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E7DFF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pacing w:val="0"/>
          <w:sz w:val="44"/>
          <w:szCs w:val="44"/>
        </w:rPr>
      </w:pPr>
      <w:bookmarkStart w:id="0" w:name="_GoBack"/>
      <w:r>
        <w:rPr>
          <w:rFonts w:hint="eastAsia" w:ascii="方正小标宋简体" w:hAnsi="方正小标宋简体" w:eastAsia="方正小标宋简体" w:cs="方正小标宋简体"/>
          <w:bCs/>
          <w:spacing w:val="-20"/>
          <w:sz w:val="44"/>
          <w:szCs w:val="44"/>
        </w:rPr>
        <w:t>崇明建设上海君阳建设发展有限公司“9·3”</w:t>
      </w:r>
      <w:r>
        <w:rPr>
          <w:rFonts w:hint="eastAsia" w:ascii="方正小标宋简体" w:hAnsi="方正小标宋简体" w:eastAsia="方正小标宋简体" w:cs="方正小标宋简体"/>
          <w:bCs/>
          <w:spacing w:val="-20"/>
          <w:sz w:val="44"/>
          <w:szCs w:val="44"/>
          <w:lang w:eastAsia="zh-CN"/>
        </w:rPr>
        <w:t>一般</w:t>
      </w:r>
      <w:r>
        <w:rPr>
          <w:rFonts w:hint="eastAsia" w:ascii="方正小标宋简体" w:hAnsi="方正小标宋简体" w:eastAsia="方正小标宋简体" w:cs="方正小标宋简体"/>
          <w:bCs/>
          <w:spacing w:val="0"/>
          <w:sz w:val="44"/>
          <w:szCs w:val="44"/>
        </w:rPr>
        <w:t>触电事故整改和防范措施落实情况评估报告</w:t>
      </w:r>
      <w:bookmarkEnd w:id="0"/>
    </w:p>
    <w:p w14:paraId="1D0188CD">
      <w:pPr>
        <w:rPr>
          <w:szCs w:val="32"/>
        </w:rPr>
      </w:pPr>
    </w:p>
    <w:p w14:paraId="2967B9E1">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9月3日9时30分左右，在崇明区建设镇草港公路滧星南路路口以东20米左右，上海君阳建设发展有限公司作业人员在修剪路北侧树木时发生一起触电事故，造成1人死亡（以下简称“9·3”事故）。事发后，相关部门依法开展事故调查，形成《崇明建设上海君阳建设发展有限公司“9·3”事故一般触电死亡事故调查报告》（以下简称事故调查报告），并报经崇明区人民政府批复同意。</w:t>
      </w:r>
    </w:p>
    <w:p w14:paraId="0992B3A0">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安全生产法》《生产安全事故报告和调查处理条例》《生产安全事故防范和整改措施落实情况评估办法》《上海市安全生产条例》《上海市实施〈生产安全事故报告和调查处理条例〉的若干规定》《上海市生产安全事故整改和防范措施落实情况评估办法》等法律法规和文件要求，上海市崇明区应急管理局牵头，会同上海市崇明区总工会、上海市公安局崇明分局、上海市崇明区建设镇人民政府等单位组成“9·3”事故评估组（以下简称评估组）。评估组通过资料核实、问询等方式，对相关单位整改和防范措施落实情况进行综合评估并提出工作建议，形成本评估报告。</w:t>
      </w:r>
    </w:p>
    <w:p w14:paraId="540067DF">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一、事故责任追究落实情况</w:t>
      </w:r>
    </w:p>
    <w:p w14:paraId="0DE31B99">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（一）行政处罚落实情况</w:t>
      </w:r>
    </w:p>
    <w:p w14:paraId="4521A8E7">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根据事故调查报告“责任认定及处理建议”，上海市崇明区应急管理局对上海君阳建设发展有限公司（以下简称君阳公司）给予了行政处罚。</w:t>
      </w:r>
    </w:p>
    <w:p w14:paraId="611E4F3B">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（二）企业按有关规章制度处理落实情况</w:t>
      </w:r>
    </w:p>
    <w:p w14:paraId="06D5DEC8">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根据事故调查报告“责任认定及处理建议”：</w:t>
      </w:r>
    </w:p>
    <w:p w14:paraId="45754C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1.君阳公司对事故责任人员陆勇（君阳公司崇明班组班组长）给予了罚款</w:t>
      </w:r>
      <w:r>
        <w:rPr>
          <w:rFonts w:hint="eastAsia" w:ascii="仿宋_GB2312" w:hAnsi="仿宋_GB2312" w:eastAsia="仿宋_GB2312" w:cs="仿宋_GB2312"/>
          <w:sz w:val="32"/>
          <w:szCs w:val="32"/>
          <w:lang w:val="en-US" w:eastAsia="zh-CN"/>
        </w:rPr>
        <w:t>20000元的内部处理，对</w:t>
      </w:r>
      <w:r>
        <w:rPr>
          <w:rFonts w:hint="eastAsia" w:ascii="仿宋_GB2312" w:hAnsi="仿宋_GB2312" w:eastAsia="仿宋_GB2312" w:cs="仿宋_GB2312"/>
          <w:sz w:val="32"/>
          <w:szCs w:val="32"/>
        </w:rPr>
        <w:t>潘佶（君阳公司主要负责人）给予了罚款</w:t>
      </w:r>
      <w:r>
        <w:rPr>
          <w:rFonts w:hint="eastAsia" w:ascii="仿宋_GB2312" w:hAnsi="仿宋_GB2312" w:eastAsia="仿宋_GB2312" w:cs="仿宋_GB2312"/>
          <w:sz w:val="32"/>
          <w:szCs w:val="32"/>
          <w:lang w:val="en-US" w:eastAsia="zh-CN"/>
        </w:rPr>
        <w:t>10000元的内部</w:t>
      </w:r>
      <w:r>
        <w:rPr>
          <w:rFonts w:hint="eastAsia" w:ascii="仿宋_GB2312" w:hAnsi="仿宋_GB2312" w:eastAsia="仿宋_GB2312" w:cs="仿宋_GB2312"/>
          <w:sz w:val="32"/>
          <w:szCs w:val="32"/>
        </w:rPr>
        <w:t>处理。</w:t>
      </w:r>
    </w:p>
    <w:p w14:paraId="3720B7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2.上海幸创电力建设工程有限公司（以下简称幸创公司）对事故责任人员黄学军（幸创公司项目负责人）给予了罚款</w:t>
      </w:r>
      <w:r>
        <w:rPr>
          <w:rFonts w:hint="eastAsia" w:ascii="仿宋_GB2312" w:hAnsi="仿宋_GB2312" w:eastAsia="仿宋_GB2312" w:cs="仿宋_GB2312"/>
          <w:sz w:val="32"/>
          <w:szCs w:val="32"/>
          <w:lang w:val="en-US" w:eastAsia="zh-CN"/>
        </w:rPr>
        <w:t>5000元的内部</w:t>
      </w:r>
      <w:r>
        <w:rPr>
          <w:rFonts w:hint="eastAsia" w:ascii="仿宋_GB2312" w:hAnsi="仿宋_GB2312" w:eastAsia="仿宋_GB2312" w:cs="仿宋_GB2312"/>
          <w:sz w:val="32"/>
          <w:szCs w:val="32"/>
        </w:rPr>
        <w:t>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rPr>
        <w:t>高祝强（幸创公司主要负责人）给予了罚款</w:t>
      </w:r>
      <w:r>
        <w:rPr>
          <w:rFonts w:hint="eastAsia" w:ascii="仿宋_GB2312" w:hAnsi="仿宋_GB2312" w:eastAsia="仿宋_GB2312" w:cs="仿宋_GB2312"/>
          <w:sz w:val="32"/>
          <w:szCs w:val="32"/>
          <w:lang w:val="en-US" w:eastAsia="zh-CN"/>
        </w:rPr>
        <w:t>3000元的内部</w:t>
      </w:r>
      <w:r>
        <w:rPr>
          <w:rFonts w:hint="eastAsia" w:ascii="仿宋_GB2312" w:hAnsi="仿宋_GB2312" w:eastAsia="仿宋_GB2312" w:cs="仿宋_GB2312"/>
          <w:sz w:val="32"/>
          <w:szCs w:val="32"/>
        </w:rPr>
        <w:t>处理。</w:t>
      </w:r>
    </w:p>
    <w:p w14:paraId="4F51C873">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二、事故整改和防范措施落实情况</w:t>
      </w:r>
    </w:p>
    <w:p w14:paraId="416A4018">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（一）君阳公司</w:t>
      </w:r>
    </w:p>
    <w:p w14:paraId="1EE972F0">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事故发生后</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rPr>
        <w:t>公司吸取事故教训，认真履行行政处罚，严肃处理相关责任人员，加强事故警示教育。</w:t>
      </w:r>
    </w:p>
    <w:p w14:paraId="74B32482">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明确安全生产工作要求，落实安全管理制度，严格生产现场作业工作票制度。根据项目施工内容，加强作业风险辨识和管控，严格依照《施工现场作业风险预警管控工作规范》做好施工风险辨识、分级，并严格落实各项预控措施；明确一般修剪树枝工作人员劳动防护用品和工具，以及高处修剪树枝时具有绝缘装备的高架车的配备要求。</w:t>
      </w:r>
    </w:p>
    <w:p w14:paraId="75561FE0">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作业人员安全教育培训，定期开展安全知识讲座与培训，各项目部或在建工地统计好施工人员，每周五由班组安全员组织学习，每月月底公司派遣安全工程师在各个工地进行安全知识培训，提升危险因素辨识、安全操作、安全防护、应急救援能力。</w:t>
      </w:r>
    </w:p>
    <w:p w14:paraId="4809538A">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作业现场安全管理，对施工人员超过30人的项目工地增设一个兼职安全员，协助专职安全员进行日常巡视；对小型临时作业项目，特别是电力抢修与维修作业安排专人监护。加强特种作业人员管理，结合特种作业证书实际情况有计划安排人员参加复训或暂停工作，确保人员持证上岗。现场开展三会制度，加强音视频影像摄录仪配备，实现危险区域作业或电力抢修整个过程实时摄录，以便及时与公司技术科沟通遇到的技术问题。</w:t>
      </w:r>
    </w:p>
    <w:p w14:paraId="4576F2FA">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highlight w:val="yellow"/>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.结合生产特点进行安全梳理、隐患排查，一般隐患或当时能处理立即排除处理；不能立即处理的，先向公司汇报后，公司立即安排资金，组织人力及设备车辆，要求5天内排除安全隐患。</w:t>
      </w:r>
    </w:p>
    <w:p w14:paraId="7F25386E">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（二）幸创公司</w:t>
      </w:r>
    </w:p>
    <w:p w14:paraId="0041E61D">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1.深刻吸取事故教训，认真分析事故原因，严肃责任人员内部处理；开展全面自查评估，检视在总包管控责任落实、危险作业管理、分包单位监督管理、现场安全监护、安全教育培训等方面的问题。</w:t>
      </w:r>
    </w:p>
    <w:p w14:paraId="2A0B6A87">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落实总包安全生产主体责任，制定公司《强化分包单位安全管理方案》，定期对分包单位安全生产工作进行检查指导，督促分包单位做好安全教育培训、隐患排查治理、作业现场安全管理等工作，加强对分包单位安全生产工作的统一协调管理。</w:t>
      </w:r>
    </w:p>
    <w:p w14:paraId="6DBA634A">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3.强化特殊作业安全风险管控，完善树木修剪、近电作业、高处作业专项安全管理制度，严格作业前风险辨识和安全确认，凡涉及电力线路交越、邻近带电体作业，必须专项排查、审批、报备，严禁私自作业。</w:t>
      </w:r>
    </w:p>
    <w:p w14:paraId="13ACD2B0">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4.加强全员安全教育培训，组织全体管理人员及分包作业人员开展事故警示教育和专项安全培训，重点强化近电作业、触电防范、应急处置等内容，严格落实三级安全教育和班前安全技术交底。</w:t>
      </w:r>
    </w:p>
    <w:p w14:paraId="6E02ED1D">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Cs/>
          <w:sz w:val="32"/>
          <w:szCs w:val="32"/>
        </w:rPr>
      </w:pPr>
      <w:r>
        <w:rPr>
          <w:rFonts w:hint="eastAsia" w:ascii="仿宋_GB2312" w:hAnsi="仿宋_GB2312" w:eastAsia="仿宋_GB2312" w:cs="仿宋_GB2312"/>
          <w:sz w:val="32"/>
          <w:szCs w:val="32"/>
        </w:rPr>
        <w:t>5.加强隐患排查治理，加大日常巡查和专项检查力度，对树线矛盾、线路破损、违章作业、无防护作业等实行“零容忍”，实施隐患排查、整改、复查、销号闭环管理。</w:t>
      </w:r>
    </w:p>
    <w:p w14:paraId="324C1FE2">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Cs w:val="0"/>
          <w:kern w:val="2"/>
          <w:sz w:val="32"/>
          <w:szCs w:val="32"/>
        </w:rPr>
      </w:pPr>
      <w:r>
        <w:rPr>
          <w:rFonts w:hint="eastAsia" w:ascii="仿宋_GB2312" w:hAnsi="仿宋_GB2312" w:eastAsia="仿宋_GB2312" w:cs="仿宋_GB2312"/>
          <w:bCs w:val="0"/>
          <w:kern w:val="2"/>
          <w:sz w:val="32"/>
          <w:szCs w:val="32"/>
        </w:rPr>
        <w:t>6.严格作业现场安全管理，所有高处、近电及树木修剪作业必须落实专人现场监护，严格执行安全操作规程，强制规范佩戴安全帽、安全带、绝缘手套、绝缘鞋等劳动防护用品，无监护、无防护一律不得作业。</w:t>
      </w:r>
    </w:p>
    <w:p w14:paraId="5752F433">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三、评估结论</w:t>
      </w:r>
    </w:p>
    <w:p w14:paraId="1D8B2B47">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评估组按照事故调查报告及其批复要求，经资料审查、问询，对事故处理、整改和防范措施落实情况进行综合评估后认为：</w:t>
      </w:r>
    </w:p>
    <w:p w14:paraId="16DD00D0">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该起事故的行政处罚已依法作出，相关单位对责任人员的处理已落实</w:t>
      </w:r>
      <w:r>
        <w:rPr>
          <w:rFonts w:hint="eastAsia" w:ascii="仿宋_GB2312" w:hAnsi="仿宋_GB2312" w:eastAsia="仿宋_GB2312" w:cs="仿宋_GB2312"/>
          <w:sz w:val="32"/>
          <w:szCs w:val="32"/>
          <w:lang w:eastAsia="zh-CN"/>
        </w:rPr>
        <w:t>。</w:t>
      </w:r>
    </w:p>
    <w:p w14:paraId="658DD017">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该起事故相关单位已实施事故调查报告提出的整改和防范措施。</w:t>
      </w:r>
    </w:p>
    <w:p w14:paraId="010BC447">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四、工作建议</w:t>
      </w:r>
    </w:p>
    <w:p w14:paraId="63A80C15">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建议企业持续完善全员安全生产责任制，加强现场安全管控，将技术交底、作业流程、防护要求、监管职责细化到岗位、落实到个人</w:t>
      </w:r>
      <w:r>
        <w:rPr>
          <w:rFonts w:hint="eastAsia" w:ascii="仿宋_GB2312" w:hAnsi="仿宋_GB2312" w:eastAsia="仿宋_GB2312" w:cs="仿宋_GB2312"/>
          <w:sz w:val="32"/>
          <w:szCs w:val="32"/>
          <w:lang w:eastAsia="zh-CN"/>
        </w:rPr>
        <w:t>。</w:t>
      </w:r>
    </w:p>
    <w:p w14:paraId="522EE58C">
      <w:pPr>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建议加强高空修剪作业风险辨识，持续提升修剪作业安全管理和技术措施可操作性，加强高空修剪安全防护、作业人员安全教育、设备操作规范、易燃物清理、用电安全、消防设施与应急物资配备。</w:t>
      </w:r>
    </w:p>
    <w:p w14:paraId="506FEA21"/>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BFD5EF"/>
    <w:rsid w:val="0C9BA98B"/>
    <w:rsid w:val="6DB3056B"/>
    <w:rsid w:val="6EBFD5EF"/>
    <w:rsid w:val="77FD6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adjustRightInd w:val="0"/>
      <w:snapToGrid w:val="0"/>
      <w:spacing w:after="120" w:line="360" w:lineRule="auto"/>
      <w:ind w:left="420" w:leftChars="200" w:firstLine="420" w:firstLineChars="200"/>
      <w:jc w:val="both"/>
    </w:pPr>
    <w:rPr>
      <w:rFonts w:hint="default" w:ascii="Times" w:hAnsi="Times" w:eastAsia="仿宋_GB2312" w:cs="Times New Roman"/>
      <w:kern w:val="2"/>
      <w:sz w:val="32"/>
      <w:szCs w:val="32"/>
      <w:lang w:val="en-US" w:eastAsia="zh-CN" w:bidi="ar-SA"/>
    </w:rPr>
  </w:style>
  <w:style w:type="paragraph" w:styleId="3">
    <w:name w:val="Body Text Indent"/>
    <w:basedOn w:val="1"/>
    <w:next w:val="4"/>
    <w:qFormat/>
    <w:uiPriority w:val="0"/>
    <w:pPr>
      <w:widowControl w:val="0"/>
      <w:adjustRightInd w:val="0"/>
      <w:snapToGrid w:val="0"/>
      <w:spacing w:line="360" w:lineRule="auto"/>
      <w:ind w:firstLine="645"/>
      <w:jc w:val="both"/>
    </w:pPr>
    <w:rPr>
      <w:rFonts w:ascii="仿宋_GB2312" w:hAnsi="Calibri" w:eastAsia="仿宋_GB2312" w:cs="Times New Roman"/>
      <w:kern w:val="2"/>
      <w:sz w:val="28"/>
      <w:szCs w:val="24"/>
      <w:lang w:val="en-US" w:eastAsia="zh-CN" w:bidi="ar-SA"/>
    </w:rPr>
  </w:style>
  <w:style w:type="paragraph" w:styleId="4">
    <w:name w:val="Normal Indent"/>
    <w:basedOn w:val="1"/>
    <w:next w:val="1"/>
    <w:qFormat/>
    <w:uiPriority w:val="0"/>
    <w:pPr>
      <w:widowControl w:val="0"/>
      <w:ind w:firstLine="420" w:firstLineChars="200"/>
      <w:jc w:val="both"/>
    </w:pPr>
    <w:rPr>
      <w:rFonts w:ascii="Calibri" w:hAnsi="Calibri" w:eastAsia="仿宋"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2026-08-18T08:49:00Z</dcterms:created>
  <dc:creator>user</dc:creator>
  <cp:lastModifiedBy>user</cp:lastModifiedBy>
  <dcterms:modified xsi:type="dcterms:W3CDTF">2026-08-18T08:53:42Z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CFBCD6485E5E892A16AD836A04927058_43</vt:lpwstr>
  </property>
</Properties>
</file>