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CA73D">
      <w:pPr>
        <w:pageBreakBefore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Cs/>
          <w:spacing w:val="-34"/>
          <w:sz w:val="44"/>
          <w:szCs w:val="44"/>
          <w:lang w:eastAsia="zh-CN"/>
        </w:rPr>
      </w:pPr>
      <w:bookmarkStart w:id="2" w:name="_GoBack"/>
      <w:r>
        <w:rPr>
          <w:rFonts w:hint="eastAsia" w:ascii="方正小标宋简体" w:hAnsi="方正小标宋简体" w:eastAsia="方正小标宋简体" w:cs="方正小标宋简体"/>
          <w:bCs/>
          <w:spacing w:val="-34"/>
          <w:sz w:val="44"/>
          <w:szCs w:val="44"/>
        </w:rPr>
        <w:t>崇明绿华上海群贤工程建设有限公司“5·2”</w:t>
      </w:r>
      <w:r>
        <w:rPr>
          <w:rFonts w:hint="eastAsia" w:ascii="方正小标宋简体" w:hAnsi="方正小标宋简体" w:eastAsia="方正小标宋简体" w:cs="方正小标宋简体"/>
          <w:bCs/>
          <w:spacing w:val="-34"/>
          <w:sz w:val="44"/>
          <w:szCs w:val="44"/>
          <w:lang w:eastAsia="zh-CN"/>
        </w:rPr>
        <w:t>一般</w:t>
      </w:r>
    </w:p>
    <w:bookmarkEnd w:id="2"/>
    <w:p w14:paraId="78F7E4D9">
      <w:pPr>
        <w:pageBreakBefore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pacing w:val="-20"/>
          <w:sz w:val="44"/>
          <w:szCs w:val="44"/>
        </w:rPr>
      </w:pPr>
      <w:r>
        <w:rPr>
          <w:rFonts w:hint="eastAsia" w:ascii="方正小标宋简体" w:hAnsi="方正小标宋简体" w:eastAsia="方正小标宋简体" w:cs="方正小标宋简体"/>
          <w:bCs/>
          <w:spacing w:val="-34"/>
          <w:sz w:val="44"/>
          <w:szCs w:val="44"/>
        </w:rPr>
        <w:t>高处坠落</w:t>
      </w:r>
      <w:r>
        <w:rPr>
          <w:rFonts w:hint="eastAsia" w:ascii="方正小标宋简体" w:hAnsi="方正小标宋简体" w:eastAsia="方正小标宋简体" w:cs="方正小标宋简体"/>
          <w:bCs/>
          <w:spacing w:val="-20"/>
          <w:sz w:val="44"/>
          <w:szCs w:val="44"/>
        </w:rPr>
        <w:t>事故整改和防范措施落实情况评估报告</w:t>
      </w:r>
    </w:p>
    <w:p w14:paraId="16682147">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p>
    <w:p w14:paraId="242828D0">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5月2日7时左右，在崇明区绿华镇华西村建桥1102号的上海明珠湖农业科技有限公司内，上海群贤工程建设有限公司在拆除钢结构厂房时发生一起高处坠落事故，造成1人死亡（以下简称“5·2”事故）。事发后，相关部门依法开展事故调查，形成《崇明绿华上海群贤工程建设有限公司“5·2”一般高处坠落死亡事故调查报告》（以下简称事故调查报告），并报经崇明区人民政府批复同意。</w:t>
      </w:r>
    </w:p>
    <w:p w14:paraId="10CE30EC">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安全生产法》《生产安全事故报告和调查处理条例》《生产安全事故防范和整改措施落实情况评估办法》《上海市安全生产条例》《上海市实施〈生产安全事故报告和调查处理条例〉的若干规定》《上海市生产安全事故整改和防范措施落实情况评估办法》等法律法规和文件要求，上海市崇明区应急管理局牵头，会同上海市崇明区总工会、上海市公安局崇明分局、上海市崇明区农业农村委、上海市崇明区绿华镇人民政府等单位组成“5·2”事故评估组（以下简称评估组）。评估组通过资料核实、问询等方式，对相关单位整改和防范措施落实情况进行综合评估并提出工作建议，形成本评估报告。</w:t>
      </w:r>
    </w:p>
    <w:p w14:paraId="362401E5">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一、事故责任追究落实情况</w:t>
      </w:r>
    </w:p>
    <w:p w14:paraId="3B141EF9">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（一）行政处罚落实情况</w:t>
      </w:r>
    </w:p>
    <w:p w14:paraId="053DD8AA">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根据事故调查报告“责任认定及处理建议”，崇明区应急管理局对上海群贤工程建设有限公司（以下简称群贤公司）、“孙涛，上海明珠湖农业科技有限公司（以下简称明珠湖公司）项目负责人”给予了行政处罚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对群贤公司的行政处罚已申请</w:t>
      </w:r>
      <w:r>
        <w:rPr>
          <w:rFonts w:hint="eastAsia" w:ascii="仿宋_GB2312" w:hAnsi="仿宋_GB2312" w:eastAsia="仿宋_GB2312" w:cs="仿宋_GB2312"/>
          <w:sz w:val="32"/>
          <w:szCs w:val="32"/>
          <w:lang w:val="en-US" w:eastAsia="zh-CN"/>
        </w:rPr>
        <w:t>崇明区</w:t>
      </w:r>
      <w:r>
        <w:rPr>
          <w:rFonts w:hint="eastAsia" w:ascii="仿宋_GB2312" w:hAnsi="仿宋_GB2312" w:eastAsia="仿宋_GB2312" w:cs="仿宋_GB2312"/>
          <w:sz w:val="32"/>
          <w:szCs w:val="32"/>
        </w:rPr>
        <w:t>人民法院强制执行</w:t>
      </w:r>
      <w:r>
        <w:rPr>
          <w:rFonts w:hint="eastAsia" w:ascii="仿宋_GB2312" w:hAnsi="仿宋_GB2312" w:eastAsia="仿宋_GB2312" w:cs="仿宋_GB2312"/>
          <w:sz w:val="32"/>
          <w:szCs w:val="32"/>
          <w:lang w:eastAsia="zh-CN"/>
        </w:rPr>
        <w:t>。</w:t>
      </w:r>
    </w:p>
    <w:p w14:paraId="0165A5BC">
      <w:pPr>
        <w:keepNext w:val="0"/>
        <w:keepLines w:val="0"/>
        <w:pageBreakBefore w:val="0"/>
        <w:widowControl w:val="0"/>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eastAsia="zh-CN"/>
        </w:rPr>
        <w:t>行业主管部门</w:t>
      </w:r>
      <w:r>
        <w:rPr>
          <w:rFonts w:hint="eastAsia" w:ascii="楷体_GB2312" w:hAnsi="楷体_GB2312" w:eastAsia="楷体_GB2312" w:cs="楷体_GB2312"/>
          <w:sz w:val="32"/>
          <w:szCs w:val="32"/>
        </w:rPr>
        <w:t>落实</w:t>
      </w:r>
      <w:r>
        <w:rPr>
          <w:rFonts w:hint="eastAsia" w:ascii="楷体_GB2312" w:hAnsi="楷体_GB2312" w:eastAsia="楷体_GB2312" w:cs="楷体_GB2312"/>
          <w:sz w:val="32"/>
          <w:szCs w:val="32"/>
          <w:lang w:eastAsia="zh-CN"/>
        </w:rPr>
        <w:t>事故报告处理意见</w:t>
      </w:r>
      <w:r>
        <w:rPr>
          <w:rFonts w:hint="eastAsia" w:ascii="楷体_GB2312" w:hAnsi="楷体_GB2312" w:eastAsia="楷体_GB2312" w:cs="楷体_GB2312"/>
          <w:sz w:val="32"/>
          <w:szCs w:val="32"/>
        </w:rPr>
        <w:t>情况</w:t>
      </w:r>
    </w:p>
    <w:p w14:paraId="0641371B">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上海市</w:t>
      </w:r>
      <w:r>
        <w:rPr>
          <w:rFonts w:hint="eastAsia" w:ascii="仿宋_GB2312" w:hAnsi="仿宋_GB2312" w:eastAsia="仿宋_GB2312" w:cs="仿宋_GB2312"/>
          <w:sz w:val="32"/>
          <w:szCs w:val="32"/>
        </w:rPr>
        <w:t>崇明区农业农村委对</w:t>
      </w:r>
      <w:bookmarkStart w:id="0" w:name="OLE_LINK5"/>
      <w:bookmarkStart w:id="1" w:name="OLE_LINK4"/>
      <w:r>
        <w:rPr>
          <w:rFonts w:hint="eastAsia" w:ascii="仿宋_GB2312" w:hAnsi="仿宋_GB2312" w:eastAsia="仿宋_GB2312" w:cs="仿宋_GB2312"/>
          <w:sz w:val="32"/>
          <w:szCs w:val="32"/>
        </w:rPr>
        <w:t>明珠湖公司</w:t>
      </w:r>
      <w:bookmarkEnd w:id="0"/>
      <w:bookmarkEnd w:id="1"/>
      <w:r>
        <w:rPr>
          <w:rFonts w:hint="eastAsia" w:ascii="仿宋_GB2312" w:hAnsi="仿宋_GB2312" w:eastAsia="仿宋_GB2312" w:cs="仿宋_GB2312"/>
          <w:sz w:val="32"/>
          <w:szCs w:val="32"/>
        </w:rPr>
        <w:t>开展了警示约谈</w:t>
      </w:r>
      <w:r>
        <w:rPr>
          <w:rFonts w:hint="eastAsia" w:ascii="仿宋_GB2312" w:hAnsi="仿宋_GB2312" w:eastAsia="仿宋_GB2312" w:cs="仿宋_GB2312"/>
          <w:sz w:val="32"/>
          <w:szCs w:val="32"/>
          <w:lang w:eastAsia="zh-CN"/>
        </w:rPr>
        <w:t>，上海市</w:t>
      </w:r>
      <w:r>
        <w:rPr>
          <w:rFonts w:hint="eastAsia" w:ascii="仿宋_GB2312" w:hAnsi="仿宋_GB2312" w:eastAsia="仿宋_GB2312" w:cs="仿宋_GB2312"/>
          <w:sz w:val="32"/>
          <w:szCs w:val="32"/>
        </w:rPr>
        <w:t>崇明区建设管理委对群贤公司开展了警示约谈</w:t>
      </w:r>
      <w:r>
        <w:rPr>
          <w:rFonts w:hint="eastAsia" w:ascii="仿宋_GB2312" w:hAnsi="仿宋_GB2312" w:eastAsia="仿宋_GB2312" w:cs="仿宋_GB2312"/>
          <w:sz w:val="32"/>
          <w:szCs w:val="32"/>
          <w:lang w:eastAsia="zh-CN"/>
        </w:rPr>
        <w:t>。</w:t>
      </w:r>
    </w:p>
    <w:p w14:paraId="793DC471">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二、事故整改和防范措施落实情况</w:t>
      </w:r>
    </w:p>
    <w:p w14:paraId="0A8A4BC3">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（一）明珠湖公司</w:t>
      </w:r>
    </w:p>
    <w:p w14:paraId="3DE01890">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公司深刻吸取事故教训，积极开展事故回顾和反思，2025年5月5日，公司总经理对全体职工进行事故警示教育，从施工现场管理、施工设备使用监管等方面分析了安全管理漏洞，切实强化全员的安全红线意识；切实落实安全生产主体责任，重申涵盖公司各级人员的安全生产职责，完善各职能部门职业健康安全责任制，明确危险作业人员对于设备维保的监督职责。</w:t>
      </w:r>
    </w:p>
    <w:p w14:paraId="43D49FF5">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公司严格落实合同管理，严格执行施工计划、施工方案和施工程序，强化现场安全管理和风险防控；强化对施工作业现场的统一协调和管理，要求项目管理人员加强现场监管和巡视，增加安全管理人员，明确任务分工，确保所有安全措施得到有效执行，确保安全质量的前提下有序推进工程进度；加强对施工单位资质审查，严禁无证上岗。</w:t>
      </w:r>
    </w:p>
    <w:p w14:paraId="7585905B">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公司健全安全生产规章制度和安全操作规程，全面梳理原有的作业安全管理制度、设备管理规定和维护保养制度；进一步完善现场安全防护措施，严禁无防护作业，严格安全带使用监管；严禁未审作业，所有高处作业必须提前提交作业申请，经现场安全负责人核查风险、确认防护到位后，方可开工。</w:t>
      </w:r>
    </w:p>
    <w:p w14:paraId="1F0CE836">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公司加强职工教育培训，分别组织开展了法律法规、岗位安全操作规程的专项培训，以及消防安全知识培训；强化隐患排查，组织对公司其他高处作业相关设备进行全面排查，对存在的隐患明确整改责任人、整改实现，形成整改闭环台账。</w:t>
      </w:r>
    </w:p>
    <w:p w14:paraId="76B248EE">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（二）群贤公司</w:t>
      </w:r>
    </w:p>
    <w:p w14:paraId="1EDF4ED9">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群贤公司与上海明珠湖生猪专业合作社存在“追偿权纠纷”，目前仍处于司法程序流程中，群贤公司尚未提供事故整改相关材料。群贤公司在被</w:t>
      </w:r>
      <w:r>
        <w:rPr>
          <w:rFonts w:hint="eastAsia" w:ascii="仿宋_GB2312" w:hAnsi="仿宋_GB2312" w:eastAsia="仿宋_GB2312" w:cs="仿宋_GB2312"/>
          <w:color w:val="auto"/>
          <w:sz w:val="32"/>
          <w:szCs w:val="32"/>
          <w:lang w:eastAsia="zh-CN"/>
        </w:rPr>
        <w:t>崇明</w:t>
      </w:r>
      <w:r>
        <w:rPr>
          <w:rFonts w:hint="eastAsia" w:ascii="仿宋_GB2312" w:hAnsi="仿宋_GB2312" w:eastAsia="仿宋_GB2312" w:cs="仿宋_GB2312"/>
          <w:color w:val="auto"/>
          <w:sz w:val="32"/>
          <w:szCs w:val="32"/>
        </w:rPr>
        <w:t>区建设管理委约谈中表态，完全认可约谈指出的所有问题，深刻认识到企业无证施工、安全管理缺失造成的严重后果和恶劣影响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下一步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将深刻汲取事故惨痛教训，全面梳理企业资质及安全生产许可短板，限期补齐合规条件，全面完善企业安全生产管理制度，严格落实危大工程、高空作业管控要求，常态化开展安全培训和隐患自查自纠，坚决杜绝同类事故再次发生，严格依法依规合规开展生产经营活动。</w:t>
      </w:r>
    </w:p>
    <w:p w14:paraId="53A2D6A9">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（三）行业主管部门和属地政府</w:t>
      </w:r>
    </w:p>
    <w:p w14:paraId="23D52CE0">
      <w:pPr>
        <w:pageBreakBefore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.上海市</w:t>
      </w:r>
      <w:r>
        <w:rPr>
          <w:rFonts w:hint="eastAsia" w:ascii="仿宋_GB2312" w:hAnsi="仿宋_GB2312" w:eastAsia="仿宋_GB2312" w:cs="仿宋_GB2312"/>
          <w:b/>
          <w:bCs/>
          <w:sz w:val="32"/>
          <w:szCs w:val="32"/>
        </w:rPr>
        <w:t>崇明区农业农村委</w:t>
      </w:r>
    </w:p>
    <w:p w14:paraId="15E6115A">
      <w:pPr>
        <w:pageBreakBefore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bCs/>
          <w:sz w:val="32"/>
          <w:szCs w:val="32"/>
        </w:rPr>
        <w:t>落实行业监管职责，</w:t>
      </w:r>
      <w:r>
        <w:rPr>
          <w:rFonts w:hint="eastAsia" w:ascii="仿宋_GB2312" w:hAnsi="仿宋_GB2312" w:eastAsia="仿宋_GB2312" w:cs="仿宋_GB2312"/>
          <w:sz w:val="32"/>
          <w:szCs w:val="32"/>
          <w:shd w:val="clear" w:color="auto" w:fill="FFFFFF"/>
        </w:rPr>
        <w:t>事故发生后第一时间对明珠湖公司法定代表人进行安全生产警示约谈，剖析企业在承包单位资质审查、作业现场安全管理、全员安全生产责任制</w:t>
      </w:r>
      <w:r>
        <w:rPr>
          <w:rFonts w:hint="eastAsia" w:ascii="仿宋_GB2312" w:hAnsi="仿宋_GB2312" w:eastAsia="仿宋_GB2312" w:cs="仿宋_GB2312"/>
          <w:color w:val="0F1115"/>
          <w:sz w:val="32"/>
          <w:szCs w:val="32"/>
          <w:shd w:val="clear" w:color="auto" w:fill="FFFFFF"/>
        </w:rPr>
        <w:t>落实等方面存在的突出问题，就承包单位资质审查、日常监督管理机制等关键问题进行质询，并提出整改措施；强化属地监管联动，向绿华镇人民政府发出《关于加强上海明珠湖农业科技有限公司安全生产管理的工作提示》，就加强明珠湖公司在落实安全生产措施等方面作出</w:t>
      </w:r>
      <w:r>
        <w:rPr>
          <w:rFonts w:hint="eastAsia" w:ascii="仿宋_GB2312" w:hAnsi="仿宋_GB2312" w:eastAsia="仿宋_GB2312" w:cs="仿宋_GB2312"/>
          <w:color w:val="0F1115"/>
          <w:sz w:val="32"/>
          <w:szCs w:val="32"/>
          <w:shd w:val="clear" w:color="auto" w:fill="FFFFFF"/>
          <w:lang w:eastAsia="zh-CN"/>
        </w:rPr>
        <w:t>提示</w:t>
      </w:r>
      <w:r>
        <w:rPr>
          <w:rFonts w:hint="eastAsia" w:ascii="仿宋_GB2312" w:hAnsi="仿宋_GB2312" w:eastAsia="仿宋_GB2312" w:cs="仿宋_GB2312"/>
          <w:color w:val="0F1115"/>
          <w:sz w:val="32"/>
          <w:szCs w:val="32"/>
          <w:shd w:val="clear" w:color="auto" w:fill="FFFFFF"/>
        </w:rPr>
        <w:t>，进一步压实属地管理责任，形成区镇联动监管合力。</w:t>
      </w:r>
    </w:p>
    <w:p w14:paraId="00B80E09">
      <w:pPr>
        <w:pageBreakBefore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
          <w:bCs/>
          <w:color w:val="0F1115"/>
          <w:sz w:val="32"/>
          <w:szCs w:val="32"/>
          <w:shd w:val="clear" w:color="auto" w:fill="FFFFFF"/>
          <w:lang w:eastAsia="zh-CN"/>
        </w:rPr>
        <w:t>二是</w:t>
      </w:r>
      <w:r>
        <w:rPr>
          <w:rFonts w:hint="eastAsia" w:ascii="仿宋_GB2312" w:hAnsi="仿宋_GB2312" w:eastAsia="仿宋_GB2312" w:cs="仿宋_GB2312"/>
          <w:color w:val="0F1115"/>
          <w:sz w:val="32"/>
          <w:szCs w:val="32"/>
          <w:shd w:val="clear" w:color="auto" w:fill="FFFFFF"/>
        </w:rPr>
        <w:t>督促企业依法依规加强安全生产工作，推动构</w:t>
      </w:r>
      <w:r>
        <w:rPr>
          <w:rFonts w:hint="eastAsia" w:ascii="仿宋_GB2312" w:hAnsi="仿宋_GB2312" w:eastAsia="仿宋_GB2312" w:cs="仿宋_GB2312"/>
          <w:bCs/>
          <w:sz w:val="32"/>
          <w:szCs w:val="32"/>
        </w:rPr>
        <w:t>建长效机制，</w:t>
      </w:r>
      <w:r>
        <w:rPr>
          <w:rFonts w:hint="eastAsia" w:ascii="仿宋_GB2312" w:hAnsi="仿宋_GB2312" w:eastAsia="仿宋_GB2312" w:cs="仿宋_GB2312"/>
          <w:color w:val="0F1115"/>
          <w:sz w:val="32"/>
          <w:szCs w:val="32"/>
          <w:shd w:val="clear" w:color="auto" w:fill="FFFFFF"/>
        </w:rPr>
        <w:t>督促指导明珠湖公司进一步健全安全管理体系、压实安全生产责任、建立健全隐患排查治理常态化机制、定期开展自查自纠并实行闭环管理；持续加强对明珠湖公司的日常监管指导，将其列为重点监管对象，及时传达上级安全生产工作部署和要求，加强日常巡查、专项检查、不定期抽查，确保过程监管持续强化；加强安全教育培训，组织明珠湖公司职工参加畜牧安全生产培训等各类线上、线下培训教育活动，切实提升企业管理人员安全意识和一线员工实操能力。</w:t>
      </w:r>
    </w:p>
    <w:p w14:paraId="45E79280">
      <w:pPr>
        <w:pageBreakBefore w:val="0"/>
        <w:widowControl/>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color w:val="0F1115"/>
          <w:sz w:val="32"/>
          <w:szCs w:val="32"/>
          <w:shd w:val="clear" w:color="auto" w:fill="FFFFFF"/>
        </w:rPr>
      </w:pP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bCs/>
          <w:sz w:val="32"/>
          <w:szCs w:val="32"/>
        </w:rPr>
        <w:t>完善安全隐患排查机制，</w:t>
      </w:r>
      <w:r>
        <w:rPr>
          <w:rFonts w:hint="eastAsia" w:ascii="仿宋_GB2312" w:hAnsi="仿宋_GB2312" w:eastAsia="仿宋_GB2312" w:cs="仿宋_GB2312"/>
          <w:color w:val="0F1115"/>
          <w:sz w:val="32"/>
          <w:szCs w:val="32"/>
          <w:shd w:val="clear" w:color="auto" w:fill="FFFFFF"/>
        </w:rPr>
        <w:t>成立由委领导牵头，相关科室、下属事业单位组成的领导小组、工作小组，围绕主要节假日开展全区专项安全生产排查，畜牧条线聚焦规模养殖场、在建养殖项目、屠宰场等领域开展常态化检查，加强现场高处作业、临时用电、吊装设备等关键环节的安全检查，推动问题隐患闭环整改，确保整改到位；加大执法巡查频次和力度，涵盖安全生产制度台账、用水用电用气、在建项目或临时施工、有限空间安全、机械设施设备等畜牧生产的各个方面；强化施工作业安全监管，将农业在建项目工程和临时施工作业列为重点监管对象，督促建设单位严格审查施工单位资质和安全生产条件，强化对承包单位的协调管理，坚决杜绝无证上岗、冒险作业等行为。</w:t>
      </w:r>
    </w:p>
    <w:p w14:paraId="6004422F">
      <w:pPr>
        <w:pageBreakBefore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eastAsia="zh-CN"/>
        </w:rPr>
        <w:t>.上海市</w:t>
      </w:r>
      <w:r>
        <w:rPr>
          <w:rFonts w:hint="eastAsia" w:ascii="仿宋_GB2312" w:hAnsi="仿宋_GB2312" w:eastAsia="仿宋_GB2312" w:cs="仿宋_GB2312"/>
          <w:b/>
          <w:bCs/>
          <w:sz w:val="32"/>
          <w:szCs w:val="32"/>
        </w:rPr>
        <w:t>崇明区建设管理委</w:t>
      </w:r>
    </w:p>
    <w:p w14:paraId="01FD3881">
      <w:pPr>
        <w:pageBreakBefore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lang w:eastAsia="zh-CN"/>
        </w:rPr>
        <w:t>一是</w:t>
      </w:r>
      <w:r>
        <w:rPr>
          <w:rFonts w:hint="eastAsia" w:ascii="仿宋_GB2312" w:hAnsi="仿宋_GB2312" w:eastAsia="仿宋_GB2312" w:cs="仿宋_GB2312"/>
          <w:bCs/>
          <w:sz w:val="32"/>
          <w:szCs w:val="32"/>
        </w:rPr>
        <w:t>落实行业监管职责，对群贤公司开展约谈，深刻剖析群贤公司在现场安全管控、危大作业管理、违法违规承揽工程、企业安全生产主体责任管理等方面存在的问题，明确提出整改要求。</w:t>
      </w:r>
    </w:p>
    <w:p w14:paraId="715F92B0">
      <w:pPr>
        <w:pageBreakBefore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lang w:eastAsia="zh-CN"/>
        </w:rPr>
        <w:t>二是</w:t>
      </w:r>
      <w:r>
        <w:rPr>
          <w:rFonts w:hint="eastAsia" w:ascii="仿宋_GB2312" w:hAnsi="仿宋_GB2312" w:eastAsia="仿宋_GB2312" w:cs="仿宋_GB2312"/>
          <w:bCs/>
          <w:sz w:val="32"/>
          <w:szCs w:val="32"/>
        </w:rPr>
        <w:t>督促企业依法依规加强安全生产工作，要求企业吸取事故教训，全面压实企业安全生产主体责任，立即开展企业资质、安全生产许可自查，严守合法合规经营底线，依法依规参与工程建设市场活动，全面健全企业内部安全管理体系，完善安全交底、岗前培训、隐患排查、作业管控等全流程管理制度，常态化开展安全自查自纠，坚决杜绝各类生产安全事故再次发生。</w:t>
      </w:r>
    </w:p>
    <w:p w14:paraId="51F937A5">
      <w:pPr>
        <w:pageBreakBefore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lang w:eastAsia="zh-CN"/>
        </w:rPr>
        <w:t>三是</w:t>
      </w:r>
      <w:r>
        <w:rPr>
          <w:rFonts w:hint="eastAsia" w:ascii="仿宋_GB2312" w:hAnsi="仿宋_GB2312" w:eastAsia="仿宋_GB2312" w:cs="仿宋_GB2312"/>
          <w:bCs/>
          <w:sz w:val="32"/>
          <w:szCs w:val="32"/>
        </w:rPr>
        <w:t>加强监督执法，依法依规加强建筑市场信用惩戒和实施联合监管制约，持续跟踪事故单位整改落实情况，坚决杜绝整改不到位、拒不整改、违规复工接单现象发生。</w:t>
      </w:r>
    </w:p>
    <w:p w14:paraId="6B4F2370">
      <w:pPr>
        <w:pageBreakBefore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3</w:t>
      </w:r>
      <w:r>
        <w:rPr>
          <w:rFonts w:hint="eastAsia" w:ascii="仿宋_GB2312" w:hAnsi="仿宋_GB2312" w:eastAsia="仿宋_GB2312" w:cs="仿宋_GB2312"/>
          <w:b/>
          <w:bCs w:val="0"/>
          <w:sz w:val="32"/>
          <w:szCs w:val="32"/>
          <w:lang w:eastAsia="zh-CN"/>
        </w:rPr>
        <w:t>.上海市</w:t>
      </w:r>
      <w:r>
        <w:rPr>
          <w:rFonts w:hint="eastAsia" w:ascii="仿宋_GB2312" w:hAnsi="仿宋_GB2312" w:eastAsia="仿宋_GB2312" w:cs="仿宋_GB2312"/>
          <w:b/>
          <w:bCs w:val="0"/>
          <w:sz w:val="32"/>
          <w:szCs w:val="32"/>
        </w:rPr>
        <w:t>崇明区绿华镇人民政府</w:t>
      </w:r>
    </w:p>
    <w:p w14:paraId="3DF446C5">
      <w:pPr>
        <w:pageBreakBefore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lang w:eastAsia="zh-CN"/>
        </w:rPr>
        <w:t>一是</w:t>
      </w:r>
      <w:r>
        <w:rPr>
          <w:rFonts w:hint="eastAsia" w:ascii="仿宋_GB2312" w:hAnsi="仿宋_GB2312" w:eastAsia="仿宋_GB2312" w:cs="仿宋_GB2312"/>
          <w:bCs/>
          <w:sz w:val="32"/>
          <w:szCs w:val="32"/>
        </w:rPr>
        <w:t>履行属地监管职责，加快构建权责清晰、闭环管控的安全生产监管体系，组建工作专班，细化各条线监管职责，建立“镇专班+村包干+项目专人”三级安全监管网格，推动实施全过程闭环监管；强化高位统筹部署，压实全域安全生产责任，主持召开三次安全生产专题会议，专题部署安全生产、消防安全、防灾减灾及应急管理重点工作，精准传达落实市、区两级安全生产工作会议及文件精神。</w:t>
      </w:r>
    </w:p>
    <w:p w14:paraId="064F26D9">
      <w:pPr>
        <w:pageBreakBefore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lang w:eastAsia="zh-CN"/>
        </w:rPr>
        <w:t>二是</w:t>
      </w:r>
      <w:r>
        <w:rPr>
          <w:rFonts w:hint="eastAsia" w:ascii="仿宋_GB2312" w:hAnsi="仿宋_GB2312" w:eastAsia="仿宋_GB2312" w:cs="仿宋_GB2312"/>
          <w:bCs/>
          <w:sz w:val="32"/>
          <w:szCs w:val="32"/>
        </w:rPr>
        <w:t>督促企业依法依规加强安全生产工作，镇领导对明珠湖公司负责人开展专题约谈，督促企业牢固树立安全红线意识、严格执行全员安全生产责任制、全面开展隐患排查；严格规范施工单位准入审核，核查新进施工企业营业执照、安全生产许可证、施工资质以及特种作业人员持证上岗情况，核验企业安全管理制度、隐患排查机制、应急处置预案的建立和落实情况，从源头防范施工安全风险。</w:t>
      </w:r>
    </w:p>
    <w:p w14:paraId="22B0B75C">
      <w:pPr>
        <w:pageBreakBefore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lang w:eastAsia="zh-CN"/>
        </w:rPr>
        <w:t>三是</w:t>
      </w:r>
      <w:r>
        <w:rPr>
          <w:rFonts w:hint="eastAsia" w:ascii="仿宋_GB2312" w:hAnsi="仿宋_GB2312" w:eastAsia="仿宋_GB2312" w:cs="仿宋_GB2312"/>
          <w:bCs/>
          <w:sz w:val="32"/>
          <w:szCs w:val="32"/>
        </w:rPr>
        <w:t>健全长效监管机制、加强监督执法，印发《关于开展绿华镇全覆盖安全隐患排查整治的通知》（崇绿委〔2025〕22号），建立“常态化排查、清单化整改、闭环式管理”的安全隐患排查整治工作制度；镇各职能部门联动开展行业领域专项排查。</w:t>
      </w:r>
    </w:p>
    <w:p w14:paraId="5CBBC97D">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三、评估结论</w:t>
      </w:r>
    </w:p>
    <w:p w14:paraId="42888ACB">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评估组按照事故调查报告及其批复要求，经资料审查、问询，对事故处理、整改和防范措施落实情况进行综合评估后认为：</w:t>
      </w:r>
    </w:p>
    <w:p w14:paraId="61C5D0F1">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该起事故的行政处罚、警示约谈已依法作出</w:t>
      </w:r>
      <w:r>
        <w:rPr>
          <w:rFonts w:hint="eastAsia" w:ascii="仿宋_GB2312" w:hAnsi="仿宋_GB2312" w:eastAsia="仿宋_GB2312" w:cs="仿宋_GB2312"/>
          <w:sz w:val="32"/>
          <w:szCs w:val="32"/>
          <w:lang w:eastAsia="zh-CN"/>
        </w:rPr>
        <w:t>。</w:t>
      </w:r>
    </w:p>
    <w:p w14:paraId="1DF42861">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区建设管理委将持续跟踪群贤公司后续整改落实情况。</w:t>
      </w:r>
    </w:p>
    <w:p w14:paraId="7B683875">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四、工作建议</w:t>
      </w:r>
    </w:p>
    <w:p w14:paraId="3F9ABB0E">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建议施工单位加强拆除施工过程管理，在施工前应制定拆除施工组织方案，落实安全技术交底，在现场配备专职安全生产管理人员，负责对拆除施工进行现场管理，落实各项安全生产防范措施，严格按照拆除施工作业顺序和施工方案要求进行施工；同时加强工地“封闭式”管理和人员的“实名制”登记</w:t>
      </w:r>
      <w:r>
        <w:rPr>
          <w:rFonts w:hint="eastAsia" w:ascii="仿宋_GB2312" w:hAnsi="仿宋_GB2312" w:eastAsia="仿宋_GB2312" w:cs="仿宋_GB2312"/>
          <w:sz w:val="32"/>
          <w:szCs w:val="32"/>
          <w:lang w:eastAsia="zh-CN"/>
        </w:rPr>
        <w:t>。</w:t>
      </w:r>
    </w:p>
    <w:p w14:paraId="58469603">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建议相关单位加强高处坠落预防工作，全面压实主体责任，全面辨识施工现场高坠风险，严格施工过程安全管理，加强作业人员管理，经常性开展自查自纠，建立隐患排查治理台账，对发现的问题立即整改，及时消除高坠事故隐患。</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BFD5EF"/>
    <w:rsid w:val="0C9BA98B"/>
    <w:rsid w:val="6EBFD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adjustRightInd w:val="0"/>
      <w:snapToGrid w:val="0"/>
      <w:spacing w:after="120" w:line="360" w:lineRule="auto"/>
      <w:ind w:left="420" w:leftChars="200" w:firstLine="420" w:firstLineChars="200"/>
      <w:jc w:val="both"/>
    </w:pPr>
    <w:rPr>
      <w:rFonts w:hint="default" w:ascii="Times" w:hAnsi="Times" w:eastAsia="仿宋_GB2312" w:cs="Times New Roman"/>
      <w:kern w:val="2"/>
      <w:sz w:val="32"/>
      <w:szCs w:val="32"/>
      <w:lang w:val="en-US" w:eastAsia="zh-CN" w:bidi="ar-SA"/>
    </w:rPr>
  </w:style>
  <w:style w:type="paragraph" w:styleId="3">
    <w:name w:val="Body Text Indent"/>
    <w:basedOn w:val="1"/>
    <w:next w:val="4"/>
    <w:qFormat/>
    <w:uiPriority w:val="0"/>
    <w:pPr>
      <w:widowControl w:val="0"/>
      <w:adjustRightInd w:val="0"/>
      <w:snapToGrid w:val="0"/>
      <w:spacing w:line="360" w:lineRule="auto"/>
      <w:ind w:firstLine="645"/>
      <w:jc w:val="both"/>
    </w:pPr>
    <w:rPr>
      <w:rFonts w:ascii="仿宋_GB2312" w:hAnsi="Calibri" w:eastAsia="仿宋_GB2312" w:cs="Times New Roman"/>
      <w:kern w:val="2"/>
      <w:sz w:val="28"/>
      <w:szCs w:val="24"/>
      <w:lang w:val="en-US" w:eastAsia="zh-CN" w:bidi="ar-SA"/>
    </w:rPr>
  </w:style>
  <w:style w:type="paragraph" w:styleId="4">
    <w:name w:val="Normal Indent"/>
    <w:basedOn w:val="1"/>
    <w:next w:val="1"/>
    <w:qFormat/>
    <w:uiPriority w:val="0"/>
    <w:pPr>
      <w:widowControl w:val="0"/>
      <w:ind w:firstLine="420" w:firstLineChars="200"/>
      <w:jc w:val="both"/>
    </w:pPr>
    <w:rPr>
      <w:rFonts w:ascii="Calibri" w:hAnsi="Calibri" w:eastAsia="仿宋"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2026-08-18T08:49:00Z</dcterms:created>
  <dc:creator>user</dc:creator>
  <cp:lastModifiedBy>user</cp:lastModifiedBy>
  <dcterms:modified xsi:type="dcterms:W3CDTF">2026-08-18T08:51:51Z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AA0C2F9388B8AD6DA7AC836A6EA1946A_43</vt:lpwstr>
  </property>
</Properties>
</file>