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D662A">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ascii="方正小标宋简体" w:hAnsi="方正小标宋简体" w:eastAsia="方正小标宋简体" w:cs="方正小标宋简体"/>
          <w:bCs/>
          <w:spacing w:val="-40"/>
          <w:sz w:val="44"/>
          <w:szCs w:val="44"/>
          <w:lang w:eastAsia="zh-CN"/>
        </w:rPr>
      </w:pPr>
      <w:r>
        <w:rPr>
          <w:rFonts w:hint="eastAsia" w:ascii="方正小标宋简体" w:hAnsi="方正小标宋简体" w:eastAsia="方正小标宋简体" w:cs="方正小标宋简体"/>
          <w:bCs/>
          <w:spacing w:val="-40"/>
          <w:sz w:val="44"/>
          <w:szCs w:val="44"/>
        </w:rPr>
        <w:t>上实东滩上海顺勇建筑劳务有限公司“2</w:t>
      </w:r>
      <w:r>
        <w:rPr>
          <w:rFonts w:hint="eastAsia" w:ascii="方正小标宋简体" w:hAnsi="方正小标宋简体" w:eastAsia="方正小标宋简体" w:cs="方正小标宋简体"/>
          <w:bCs/>
          <w:spacing w:val="-40"/>
          <w:sz w:val="44"/>
          <w:szCs w:val="44"/>
          <w:lang w:val="en-US" w:eastAsia="zh-CN"/>
        </w:rPr>
        <w:t>·</w:t>
      </w:r>
      <w:r>
        <w:rPr>
          <w:rFonts w:hint="eastAsia" w:ascii="方正小标宋简体" w:hAnsi="方正小标宋简体" w:eastAsia="方正小标宋简体" w:cs="方正小标宋简体"/>
          <w:bCs/>
          <w:spacing w:val="-40"/>
          <w:sz w:val="44"/>
          <w:szCs w:val="44"/>
        </w:rPr>
        <w:t>21”</w:t>
      </w:r>
      <w:r>
        <w:rPr>
          <w:rFonts w:hint="eastAsia" w:ascii="方正小标宋简体" w:hAnsi="方正小标宋简体" w:eastAsia="方正小标宋简体" w:cs="方正小标宋简体"/>
          <w:bCs/>
          <w:spacing w:val="-40"/>
          <w:sz w:val="44"/>
          <w:szCs w:val="44"/>
          <w:lang w:eastAsia="zh-CN"/>
        </w:rPr>
        <w:t>一般</w:t>
      </w:r>
    </w:p>
    <w:p w14:paraId="293204A8">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ascii="方正小标宋简体" w:hAnsi="方正小标宋简体" w:eastAsia="方正小标宋简体" w:cs="方正小标宋简体"/>
          <w:spacing w:val="-20"/>
          <w:sz w:val="44"/>
          <w:szCs w:val="44"/>
        </w:rPr>
      </w:pPr>
      <w:r>
        <w:rPr>
          <w:rFonts w:hint="eastAsia" w:ascii="方正小标宋简体" w:hAnsi="方正小标宋简体" w:eastAsia="方正小标宋简体" w:cs="方正小标宋简体"/>
          <w:bCs/>
          <w:spacing w:val="-40"/>
          <w:sz w:val="44"/>
          <w:szCs w:val="44"/>
        </w:rPr>
        <w:t>高处坠落</w:t>
      </w:r>
      <w:r>
        <w:rPr>
          <w:rFonts w:hint="eastAsia" w:ascii="方正小标宋简体" w:hAnsi="方正小标宋简体" w:eastAsia="方正小标宋简体" w:cs="方正小标宋简体"/>
          <w:bCs/>
          <w:spacing w:val="-20"/>
          <w:sz w:val="44"/>
          <w:szCs w:val="44"/>
        </w:rPr>
        <w:t>事故整改和防范措施落实情况评估报告</w:t>
      </w:r>
    </w:p>
    <w:p w14:paraId="37D19EBB">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p>
    <w:p w14:paraId="63B8759E">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2月21日7时30分左右，在上实农业园区2024年高标准农田建设项目施工工地，上海顺勇建筑劳务有限公司作业人员在卸钢筋混凝土管材时发生一起高处坠落事故，造成1人死亡（以下简称“2·21”事故）。事发后，相关部门依法开展事故</w:t>
      </w:r>
      <w:bookmarkStart w:id="29" w:name="_GoBack"/>
      <w:bookmarkEnd w:id="29"/>
      <w:r>
        <w:rPr>
          <w:rFonts w:hint="eastAsia" w:ascii="仿宋_GB2312" w:hAnsi="仿宋_GB2312" w:eastAsia="仿宋_GB2312" w:cs="仿宋_GB2312"/>
          <w:sz w:val="32"/>
          <w:szCs w:val="32"/>
        </w:rPr>
        <w:t>调查，形成《上实东滩上海顺勇建筑劳务有限公司“2·21”一般高处坠落事故调查报告》（以下简称事故调查报告），并报经崇明区人民政府批复同意。</w:t>
      </w:r>
    </w:p>
    <w:p w14:paraId="76F1E280">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安全生产法》《生产安全事故报告和调查处理条例》《生产安全事故防范和整改措施落实情况评估办法》《上海市安全生产条例》《上海市实施〈生产安全事故报告和调查处理条例〉的若干规定》《上海市生产安全事故整改和防范措施落实情况评估办法》等法律法规和文件要求，上海市崇明区应急管理局牵头，会同上海市农业农村委员会、上海市公安局崇明分局、上海市崇明区总工会等单位组成“2·21”事故评估组（以下简称评估组）。评估组通过资料核实、问询等方式，对相关单位整改和防范措施落实情况进行综合评估并提出工作建议，形成本评估报告。</w:t>
      </w:r>
    </w:p>
    <w:p w14:paraId="08470DBF">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sz w:val="32"/>
          <w:szCs w:val="32"/>
        </w:rPr>
      </w:pPr>
      <w:bookmarkStart w:id="0" w:name="_Toc1767"/>
      <w:bookmarkStart w:id="1" w:name="_Toc720"/>
      <w:bookmarkStart w:id="2" w:name="_Toc9218"/>
      <w:bookmarkStart w:id="3" w:name="_Toc14056"/>
      <w:bookmarkStart w:id="4" w:name="_Toc12860"/>
      <w:r>
        <w:rPr>
          <w:rFonts w:hint="eastAsia" w:ascii="黑体" w:hAnsi="黑体" w:eastAsia="黑体" w:cs="黑体"/>
          <w:sz w:val="32"/>
          <w:szCs w:val="32"/>
        </w:rPr>
        <w:t>一、</w:t>
      </w:r>
      <w:bookmarkEnd w:id="0"/>
      <w:bookmarkEnd w:id="1"/>
      <w:bookmarkEnd w:id="2"/>
      <w:bookmarkEnd w:id="3"/>
      <w:bookmarkEnd w:id="4"/>
      <w:r>
        <w:rPr>
          <w:rFonts w:hint="eastAsia" w:ascii="黑体" w:hAnsi="黑体" w:eastAsia="黑体" w:cs="黑体"/>
          <w:sz w:val="32"/>
          <w:szCs w:val="32"/>
        </w:rPr>
        <w:t>事故责任追究落实情况</w:t>
      </w:r>
    </w:p>
    <w:p w14:paraId="3D2D72B6">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sz w:val="32"/>
          <w:szCs w:val="32"/>
        </w:rPr>
      </w:pPr>
      <w:bookmarkStart w:id="5" w:name="_Ref362"/>
      <w:r>
        <w:rPr>
          <w:rFonts w:hint="eastAsia" w:ascii="楷体_GB2312" w:hAnsi="楷体_GB2312" w:eastAsia="楷体_GB2312" w:cs="楷体_GB2312"/>
          <w:sz w:val="32"/>
          <w:szCs w:val="32"/>
        </w:rPr>
        <w:t>（一）行政处罚落实情况</w:t>
      </w:r>
    </w:p>
    <w:p w14:paraId="0206E487">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根据事故调查报告“责任认定及处理建议”，上海市崇明区应急管理局对上海顺勇建筑劳务有限公司（以下简称顺勇公司）给予了行政处罚。</w:t>
      </w:r>
    </w:p>
    <w:p w14:paraId="6355FD43">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sz w:val="32"/>
          <w:szCs w:val="32"/>
        </w:rPr>
      </w:pPr>
      <w:bookmarkStart w:id="6" w:name="OLE_LINK16"/>
      <w:bookmarkStart w:id="7" w:name="OLE_LINK15"/>
      <w:r>
        <w:rPr>
          <w:rFonts w:hint="eastAsia" w:ascii="楷体_GB2312" w:hAnsi="楷体_GB2312" w:eastAsia="楷体_GB2312" w:cs="楷体_GB2312"/>
          <w:sz w:val="32"/>
          <w:szCs w:val="32"/>
        </w:rPr>
        <w:t>（二）企业按有关规章制度处理落实情况</w:t>
      </w:r>
    </w:p>
    <w:bookmarkEnd w:id="6"/>
    <w:bookmarkEnd w:id="7"/>
    <w:p w14:paraId="0D108704">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bookmarkStart w:id="8" w:name="OLE_LINK17"/>
      <w:bookmarkStart w:id="9" w:name="OLE_LINK18"/>
      <w:r>
        <w:rPr>
          <w:rFonts w:hint="eastAsia" w:ascii="仿宋_GB2312" w:hAnsi="仿宋_GB2312" w:eastAsia="仿宋_GB2312" w:cs="仿宋_GB2312"/>
          <w:sz w:val="32"/>
          <w:szCs w:val="32"/>
        </w:rPr>
        <w:t>根据事故调查报告“责任认定及处理建议”，</w:t>
      </w:r>
      <w:bookmarkEnd w:id="8"/>
      <w:bookmarkEnd w:id="9"/>
      <w:r>
        <w:rPr>
          <w:rFonts w:hint="eastAsia" w:ascii="仿宋_GB2312" w:hAnsi="仿宋_GB2312" w:eastAsia="仿宋_GB2312" w:cs="仿宋_GB2312"/>
          <w:sz w:val="32"/>
          <w:szCs w:val="32"/>
        </w:rPr>
        <w:t>顺勇公司对事故责任人员“</w:t>
      </w:r>
      <w:bookmarkStart w:id="10" w:name="OLE_LINK2"/>
      <w:bookmarkStart w:id="11" w:name="OLE_LINK1"/>
      <w:bookmarkStart w:id="12" w:name="OLE_LINK7"/>
      <w:bookmarkStart w:id="13" w:name="OLE_LINK6"/>
      <w:r>
        <w:rPr>
          <w:rFonts w:hint="eastAsia" w:ascii="仿宋_GB2312" w:hAnsi="仿宋_GB2312" w:eastAsia="仿宋_GB2312" w:cs="仿宋_GB2312"/>
          <w:sz w:val="32"/>
          <w:szCs w:val="32"/>
        </w:rPr>
        <w:t>杜志忠，</w:t>
      </w:r>
      <w:bookmarkStart w:id="14" w:name="OLE_LINK10"/>
      <w:r>
        <w:rPr>
          <w:rFonts w:hint="eastAsia" w:ascii="仿宋_GB2312" w:hAnsi="仿宋_GB2312" w:eastAsia="仿宋_GB2312" w:cs="仿宋_GB2312"/>
          <w:sz w:val="32"/>
          <w:szCs w:val="32"/>
        </w:rPr>
        <w:t>顺勇公司</w:t>
      </w:r>
      <w:bookmarkEnd w:id="10"/>
      <w:bookmarkEnd w:id="11"/>
      <w:bookmarkEnd w:id="12"/>
      <w:bookmarkEnd w:id="13"/>
      <w:bookmarkEnd w:id="14"/>
      <w:r>
        <w:rPr>
          <w:rFonts w:hint="eastAsia" w:ascii="仿宋_GB2312" w:hAnsi="仿宋_GB2312" w:eastAsia="仿宋_GB2312" w:cs="仿宋_GB2312"/>
          <w:sz w:val="32"/>
          <w:szCs w:val="32"/>
        </w:rPr>
        <w:t>现场带班”给予了</w:t>
      </w:r>
      <w:r>
        <w:rPr>
          <w:rFonts w:hint="eastAsia" w:ascii="仿宋_GB2312" w:hAnsi="仿宋_GB2312" w:eastAsia="仿宋_GB2312" w:cs="仿宋_GB2312"/>
          <w:sz w:val="32"/>
          <w:szCs w:val="32"/>
          <w:lang w:val="en-US" w:eastAsia="zh-CN"/>
        </w:rPr>
        <w:t>罚款5000元和</w:t>
      </w:r>
      <w:r>
        <w:rPr>
          <w:rFonts w:hint="eastAsia" w:ascii="仿宋_GB2312" w:hAnsi="仿宋_GB2312" w:eastAsia="仿宋_GB2312" w:cs="仿宋_GB2312"/>
          <w:sz w:val="32"/>
          <w:szCs w:val="32"/>
        </w:rPr>
        <w:t>开除（解除劳动合同）处理，对“张洪兵，顺勇公司现场负责人”给予了罚款</w:t>
      </w:r>
      <w:r>
        <w:rPr>
          <w:rFonts w:hint="eastAsia" w:ascii="仿宋_GB2312" w:hAnsi="仿宋_GB2312" w:eastAsia="仿宋_GB2312" w:cs="仿宋_GB2312"/>
          <w:sz w:val="32"/>
          <w:szCs w:val="32"/>
          <w:lang w:val="en-US" w:eastAsia="zh-CN"/>
        </w:rPr>
        <w:t>10000元</w:t>
      </w:r>
      <w:r>
        <w:rPr>
          <w:rFonts w:hint="eastAsia" w:ascii="仿宋_GB2312" w:hAnsi="仿宋_GB2312" w:eastAsia="仿宋_GB2312" w:cs="仿宋_GB2312"/>
          <w:sz w:val="32"/>
          <w:szCs w:val="32"/>
        </w:rPr>
        <w:t>和书面检查处理。</w:t>
      </w:r>
    </w:p>
    <w:bookmarkEnd w:id="5"/>
    <w:p w14:paraId="13A2E5BE">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二、事故整改和防范措施落实情况</w:t>
      </w:r>
    </w:p>
    <w:p w14:paraId="067D559D">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spacing w:val="0"/>
          <w:sz w:val="32"/>
          <w:szCs w:val="32"/>
          <w:lang w:eastAsia="zh-CN"/>
        </w:rPr>
      </w:pPr>
      <w:bookmarkStart w:id="15" w:name="OLE_LINK3"/>
      <w:r>
        <w:rPr>
          <w:rFonts w:hint="eastAsia" w:ascii="楷体_GB2312" w:hAnsi="楷体_GB2312" w:eastAsia="楷体_GB2312" w:cs="楷体_GB2312"/>
          <w:spacing w:val="0"/>
          <w:sz w:val="32"/>
          <w:szCs w:val="32"/>
        </w:rPr>
        <w:t>（一）</w:t>
      </w:r>
      <w:r>
        <w:rPr>
          <w:rFonts w:hint="eastAsia" w:ascii="楷体_GB2312" w:hAnsi="楷体_GB2312" w:eastAsia="楷体_GB2312" w:cs="楷体_GB2312"/>
          <w:sz w:val="32"/>
          <w:szCs w:val="32"/>
        </w:rPr>
        <w:t>顺勇公司</w:t>
      </w:r>
    </w:p>
    <w:p w14:paraId="587434D4">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事故发生后，</w:t>
      </w:r>
      <w:bookmarkEnd w:id="15"/>
      <w:r>
        <w:rPr>
          <w:rFonts w:hint="eastAsia" w:ascii="仿宋_GB2312" w:hAnsi="仿宋_GB2312" w:eastAsia="仿宋_GB2312" w:cs="仿宋_GB2312"/>
          <w:sz w:val="32"/>
          <w:szCs w:val="32"/>
        </w:rPr>
        <w:t>公司积极配合开展应急管理和善后工作，同时吸取事故教训，开展事故的回顾和反思，从合同管理、施工现场管理、施工设备使用监管几方面分析了安全管理漏洞</w:t>
      </w:r>
      <w:r>
        <w:rPr>
          <w:rFonts w:hint="eastAsia" w:ascii="仿宋_GB2312" w:hAnsi="仿宋_GB2312" w:eastAsia="仿宋_GB2312" w:cs="仿宋_GB2312"/>
          <w:sz w:val="32"/>
          <w:szCs w:val="32"/>
          <w:lang w:bidi="ar"/>
        </w:rPr>
        <w:t>。</w:t>
      </w:r>
    </w:p>
    <w:p w14:paraId="78B5B33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强事故警示宣传，参与施工单位针对事故召开的警示教育会议，从技术、管理、人员操作等多个维度深入剖析存在的问题，结合公司实际情况，制定了一系列针对性的改进措施，并将事件分析报告在公司内部广泛公示，加强对全体员工的警示。顺勇公司强化安全教育，积极响应建设单位要求，组织班组长开展“2·21”事故安全教育，强化班前安全活动，提升班组长和一线工人的安全意识。</w:t>
      </w:r>
    </w:p>
    <w:p w14:paraId="59E4E197">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梳理各项安全管理制度和操作规程，落实安全生产责任制度、安全生产奖惩考核制度、安全检查制度、设备管理和维修制度，电焊工、混凝土搅拌等操作规程；加强对吊装作业相关人员操作技能、安全防护技能和意识的教育培训，强化危险因素告知。</w:t>
      </w:r>
    </w:p>
    <w:p w14:paraId="0E27CD06">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事故隐患排查，配合建设单位安管办联合项目施工单位、监理单位对项目施工现场进行全方位的安全检查；同时组织管理人员每日进行安全巡查，对发现的安全隐患建立详细台账，明确整改责任人与整改期限，确保隐患能够及时得到整改。</w:t>
      </w:r>
    </w:p>
    <w:p w14:paraId="605BF3B2">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w:t>
      </w:r>
      <w:bookmarkStart w:id="16" w:name="OLE_LINK8"/>
      <w:r>
        <w:rPr>
          <w:rFonts w:hint="eastAsia" w:ascii="楷体_GB2312" w:hAnsi="楷体_GB2312" w:eastAsia="楷体_GB2312" w:cs="楷体_GB2312"/>
          <w:sz w:val="32"/>
          <w:szCs w:val="32"/>
        </w:rPr>
        <w:t>上海水务建设工程有限公司</w:t>
      </w:r>
      <w:bookmarkEnd w:id="16"/>
    </w:p>
    <w:p w14:paraId="57F0C56D">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1.吸取事故教训，开展事故原因分析，从安全意识、进出场材料管理、施工场地巡查、风险识别等角度深刻对项目管理进行反思，组织班组长开展“2·21”事故安全警示教育，组织对分包单位安全教育。</w:t>
      </w:r>
    </w:p>
    <w:p w14:paraId="77C3C766">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2.严格落实建设、建立单位提出的整改要求，执行各项整改措施并复核确认；加强安全检查力度，协同建设单位、监理单位全面排查施工现场安全隐患并落实整改措施。</w:t>
      </w:r>
    </w:p>
    <w:p w14:paraId="6D1A01A3">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3.持续加强安全培训，严格落实班前教育，全员开展</w:t>
      </w:r>
      <w:bookmarkStart w:id="17" w:name="OLE_LINK9"/>
      <w:bookmarkStart w:id="18" w:name="OLE_LINK11"/>
      <w:r>
        <w:rPr>
          <w:rFonts w:hint="eastAsia" w:ascii="仿宋_GB2312" w:hAnsi="仿宋_GB2312" w:eastAsia="仿宋_GB2312" w:cs="仿宋_GB2312"/>
          <w:sz w:val="32"/>
          <w:szCs w:val="32"/>
        </w:rPr>
        <w:t>汽车、轮胎式起重机安全操作规程，以及起重吊装指挥人员和起重挂钩工的安全</w:t>
      </w:r>
      <w:bookmarkEnd w:id="17"/>
      <w:bookmarkEnd w:id="18"/>
      <w:r>
        <w:rPr>
          <w:rFonts w:hint="eastAsia" w:ascii="仿宋_GB2312" w:hAnsi="仿宋_GB2312" w:eastAsia="仿宋_GB2312" w:cs="仿宋_GB2312"/>
          <w:sz w:val="32"/>
          <w:szCs w:val="32"/>
        </w:rPr>
        <w:t>操作规程交底、安全技术交底，加强安全生产注意事项提醒和劳保用品正确使用方式教育，强化全体施工人员安全意识。</w:t>
      </w:r>
    </w:p>
    <w:p w14:paraId="2BDE1502">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4.严格落实合同管理，严格执行施工计划、施工方案和施工程序，强化现场安全管理和风险管控，要求项目管理人员加强现场监管和</w:t>
      </w:r>
      <w:r>
        <w:rPr>
          <w:rFonts w:hint="eastAsia" w:ascii="仿宋_GB2312" w:hAnsi="仿宋_GB2312" w:eastAsia="仿宋_GB2312" w:cs="仿宋_GB2312"/>
          <w:sz w:val="32"/>
          <w:szCs w:val="32"/>
          <w:lang w:eastAsia="zh-CN"/>
        </w:rPr>
        <w:t>巡查</w:t>
      </w:r>
      <w:r>
        <w:rPr>
          <w:rFonts w:hint="eastAsia" w:ascii="仿宋_GB2312" w:hAnsi="仿宋_GB2312" w:eastAsia="仿宋_GB2312" w:cs="仿宋_GB2312"/>
          <w:sz w:val="32"/>
          <w:szCs w:val="32"/>
        </w:rPr>
        <w:t>，增加安全管理人员，明确责任分工，确保所有安全措施得到有效执行，确保安全质量的前提下有序推进工程进度。</w:t>
      </w:r>
    </w:p>
    <w:p w14:paraId="5B72C222">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）上海上实现代农业开发有限公司</w:t>
      </w:r>
    </w:p>
    <w:p w14:paraId="1DD2F4B0">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深刻汲取事故教训，公司安委会组织召开事故专题警示教育会议，对事故进行通报，分析事故原因，细化安全管理要求。公司严格履行建设单位安全责任，进一步落实施工过程中总承包和监理的管理工作。公司要求各部门、合作单位加强全员安全生产教育、增强作业人员安全意识，杜绝出现“三违”现象，并计划实施对公司所有民工及相关方进行全员安全生产教育培训</w:t>
      </w:r>
      <w:r>
        <w:rPr>
          <w:rFonts w:hint="eastAsia" w:ascii="仿宋_GB2312" w:hAnsi="仿宋_GB2312" w:eastAsia="仿宋_GB2312" w:cs="仿宋_GB2312"/>
          <w:sz w:val="32"/>
          <w:szCs w:val="32"/>
          <w:lang w:eastAsia="zh-CN"/>
        </w:rPr>
        <w:t>。</w:t>
      </w:r>
    </w:p>
    <w:p w14:paraId="60049396">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强化主体责任，完善工程管理相关制度、严格执行安全制度和操作规程；加强风险隐患辨识和排查，严格执行安全交底，完善班前教育，加强安全检查；严格执行工作许可管理规定，落实作业审批、工作交底和现场监护工作要求。公司协同各部门、合作单位加强现场安全检查力度，组织开展在建零星维修工程专项检查、在建其他维修工程安全专项检查；开展在建项目领导带班安全检查、高标准农田项目联合安全检查，对查出的安全隐患要求及时整改。</w:t>
      </w:r>
    </w:p>
    <w:p w14:paraId="1708052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lang w:eastAsia="zh-CN"/>
        </w:rPr>
        <w:t>行业主管</w:t>
      </w:r>
      <w:r>
        <w:rPr>
          <w:rFonts w:hint="eastAsia" w:ascii="楷体_GB2312" w:hAnsi="楷体_GB2312" w:eastAsia="楷体_GB2312" w:cs="楷体_GB2312"/>
          <w:sz w:val="32"/>
          <w:szCs w:val="32"/>
        </w:rPr>
        <w:t>部门</w:t>
      </w:r>
    </w:p>
    <w:p w14:paraId="049661C7">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上海市农业农村委员会</w:t>
      </w:r>
      <w:r>
        <w:rPr>
          <w:rFonts w:hint="eastAsia" w:ascii="仿宋_GB2312" w:hAnsi="仿宋_GB2312" w:eastAsia="仿宋_GB2312" w:cs="仿宋_GB2312"/>
          <w:bCs/>
          <w:kern w:val="21"/>
          <w:sz w:val="32"/>
          <w:szCs w:val="32"/>
        </w:rPr>
        <w:t>落实行业监管、属地监管职责，督促企业加强安全生产工作。农田建设管理处</w:t>
      </w:r>
      <w:r>
        <w:rPr>
          <w:rFonts w:hint="eastAsia" w:ascii="仿宋_GB2312" w:hAnsi="仿宋_GB2312" w:eastAsia="仿宋_GB2312" w:cs="仿宋_GB2312"/>
          <w:bCs/>
          <w:kern w:val="21"/>
          <w:sz w:val="32"/>
          <w:szCs w:val="32"/>
          <w:lang w:eastAsia="zh-CN"/>
        </w:rPr>
        <w:t>于</w:t>
      </w:r>
      <w:r>
        <w:rPr>
          <w:rFonts w:hint="eastAsia" w:ascii="仿宋_GB2312" w:hAnsi="仿宋_GB2312" w:eastAsia="仿宋_GB2312" w:cs="仿宋_GB2312"/>
          <w:bCs/>
          <w:kern w:val="21"/>
          <w:sz w:val="32"/>
          <w:szCs w:val="32"/>
        </w:rPr>
        <w:t>2025年12月向各涉农区农业农村委员会和市属企业发布《关于切实做好今冬明春我市农田建设安全生产及防火工作的工作提示》，强调提高思想认识，压实安全责任；聚焦重点领域深化排查治理，强化在建工程安全管理，狠抓火灾风险防控，加强农田设施安全巡查；加强宣传教育，提升应急能力；强化应急值守，做好信息报送。</w:t>
      </w:r>
    </w:p>
    <w:p w14:paraId="475629E0">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sz w:val="32"/>
          <w:szCs w:val="32"/>
        </w:rPr>
      </w:pPr>
      <w:bookmarkStart w:id="19" w:name="_Toc24835"/>
      <w:bookmarkStart w:id="20" w:name="_Toc15290"/>
      <w:bookmarkStart w:id="21" w:name="_Toc8392"/>
      <w:bookmarkStart w:id="22" w:name="_Toc21139"/>
      <w:bookmarkStart w:id="23" w:name="_Toc28779"/>
      <w:r>
        <w:rPr>
          <w:rFonts w:hint="eastAsia" w:ascii="黑体" w:hAnsi="黑体" w:eastAsia="黑体" w:cs="黑体"/>
          <w:sz w:val="32"/>
          <w:szCs w:val="32"/>
        </w:rPr>
        <w:t>三、评估结论</w:t>
      </w:r>
      <w:bookmarkEnd w:id="19"/>
      <w:bookmarkEnd w:id="20"/>
      <w:bookmarkEnd w:id="21"/>
      <w:bookmarkEnd w:id="22"/>
      <w:bookmarkEnd w:id="23"/>
    </w:p>
    <w:p w14:paraId="6EBFAB80">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bookmarkStart w:id="24" w:name="_Toc15945"/>
      <w:bookmarkStart w:id="25" w:name="_Toc31229"/>
      <w:bookmarkStart w:id="26" w:name="_Toc7575"/>
      <w:bookmarkStart w:id="27" w:name="_Toc14245"/>
      <w:bookmarkStart w:id="28" w:name="_Toc22071"/>
      <w:r>
        <w:rPr>
          <w:rFonts w:hint="eastAsia" w:ascii="仿宋_GB2312" w:hAnsi="仿宋_GB2312" w:eastAsia="仿宋_GB2312" w:cs="仿宋_GB2312"/>
          <w:sz w:val="32"/>
          <w:szCs w:val="32"/>
        </w:rPr>
        <w:t>评估组按照事故调查报告及其批复要求，经资料审查、问询，对事故处理、整改和防范措施落实情况进行综合评估后认为：</w:t>
      </w:r>
    </w:p>
    <w:p w14:paraId="0B98E8AB">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该起事故的行政处罚已依法作出，相关单位对责任人员的处理已落实</w:t>
      </w:r>
      <w:r>
        <w:rPr>
          <w:rFonts w:hint="eastAsia" w:ascii="仿宋_GB2312" w:hAnsi="仿宋_GB2312" w:eastAsia="仿宋_GB2312" w:cs="仿宋_GB2312"/>
          <w:sz w:val="32"/>
          <w:szCs w:val="32"/>
          <w:lang w:eastAsia="zh-CN"/>
        </w:rPr>
        <w:t>。</w:t>
      </w:r>
    </w:p>
    <w:p w14:paraId="59F7385A">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该起事故相关单位</w:t>
      </w:r>
      <w:r>
        <w:rPr>
          <w:rFonts w:hint="eastAsia" w:ascii="仿宋_GB2312" w:hAnsi="仿宋_GB2312" w:eastAsia="仿宋_GB2312" w:cs="仿宋_GB2312"/>
          <w:sz w:val="32"/>
          <w:szCs w:val="32"/>
          <w:lang w:eastAsia="zh-CN"/>
        </w:rPr>
        <w:t>和部门</w:t>
      </w:r>
      <w:r>
        <w:rPr>
          <w:rFonts w:hint="eastAsia" w:ascii="仿宋_GB2312" w:hAnsi="仿宋_GB2312" w:eastAsia="仿宋_GB2312" w:cs="仿宋_GB2312"/>
          <w:sz w:val="32"/>
          <w:szCs w:val="32"/>
        </w:rPr>
        <w:t>已实施事故调查报告提出的整改和防范措施。</w:t>
      </w:r>
    </w:p>
    <w:p w14:paraId="504F95B3">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四、工作建议</w:t>
      </w:r>
      <w:bookmarkEnd w:id="24"/>
      <w:bookmarkEnd w:id="25"/>
      <w:bookmarkEnd w:id="26"/>
      <w:bookmarkEnd w:id="27"/>
      <w:bookmarkEnd w:id="28"/>
    </w:p>
    <w:p w14:paraId="0B7CBE5A">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议相关企业结合工程特点加强施工工艺和施工环境高处作业风险点辨识，完善预防高处坠落专项方案和高处作业安全技术措施；严格落实物防选择、交底培训、方案编制三项重要措施，做好个人防护、设施防护、环境防护三类防护工作，执行班前自查、班中巡查、定期复查三个检查要求</w:t>
      </w:r>
      <w:r>
        <w:rPr>
          <w:rFonts w:hint="eastAsia" w:ascii="仿宋_GB2312" w:hAnsi="仿宋_GB2312" w:eastAsia="仿宋_GB2312" w:cs="仿宋_GB2312"/>
          <w:sz w:val="32"/>
          <w:szCs w:val="32"/>
          <w:lang w:eastAsia="zh-CN"/>
        </w:rPr>
        <w:t>。</w:t>
      </w:r>
    </w:p>
    <w:p w14:paraId="7DA16BF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议加强吊装作业安全管理，严格施工作业单位和人员管理，总包单位应根据施工现场特点，编制吊装专项方案；监理、总包单位应对分包单位实施的吊装作业进行统一管理；专业分包单位、劳务分包单位应将明确的吊装施工管理人员及作业人员</w:t>
      </w:r>
      <w:r>
        <w:rPr>
          <w:rFonts w:hint="eastAsia" w:ascii="仿宋_GB2312" w:hAnsi="仿宋_GB2312" w:eastAsia="仿宋_GB2312" w:cs="仿宋_GB2312"/>
          <w:sz w:val="32"/>
          <w:szCs w:val="32"/>
          <w:lang w:eastAsia="zh-CN"/>
        </w:rPr>
        <w:t>名单</w:t>
      </w:r>
      <w:r>
        <w:rPr>
          <w:rFonts w:hint="eastAsia" w:ascii="仿宋_GB2312" w:hAnsi="仿宋_GB2312" w:eastAsia="仿宋_GB2312" w:cs="仿宋_GB2312"/>
          <w:sz w:val="32"/>
          <w:szCs w:val="32"/>
        </w:rPr>
        <w:t>报总包单位严格管理。</w:t>
      </w:r>
    </w:p>
    <w:p w14:paraId="4707BE5D"/>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FD5EF"/>
    <w:rsid w:val="6EBFD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adjustRightInd w:val="0"/>
      <w:snapToGrid w:val="0"/>
      <w:spacing w:after="120" w:line="360" w:lineRule="auto"/>
      <w:ind w:left="420" w:leftChars="200" w:firstLine="420" w:firstLineChars="200"/>
      <w:jc w:val="both"/>
    </w:pPr>
    <w:rPr>
      <w:rFonts w:hint="default" w:ascii="Times" w:hAnsi="Times" w:eastAsia="仿宋_GB2312" w:cs="Times New Roman"/>
      <w:kern w:val="2"/>
      <w:sz w:val="32"/>
      <w:szCs w:val="32"/>
      <w:lang w:val="en-US" w:eastAsia="zh-CN" w:bidi="ar-SA"/>
    </w:rPr>
  </w:style>
  <w:style w:type="paragraph" w:styleId="3">
    <w:name w:val="Normal Indent"/>
    <w:next w:val="1"/>
    <w:qFormat/>
    <w:uiPriority w:val="0"/>
    <w:pPr>
      <w:widowControl w:val="0"/>
      <w:ind w:firstLine="420" w:firstLineChars="200"/>
      <w:jc w:val="both"/>
    </w:pPr>
    <w:rPr>
      <w:rFonts w:ascii="Calibri" w:hAnsi="Calibri" w:eastAsia="仿宋" w:cs="Times New Roman"/>
      <w:kern w:val="2"/>
      <w:sz w:val="32"/>
      <w:szCs w:val="24"/>
      <w:lang w:val="en-US" w:eastAsia="zh-CN" w:bidi="ar-SA"/>
    </w:rPr>
  </w:style>
  <w:style w:type="paragraph" w:styleId="4">
    <w:name w:val="Body Text Indent"/>
    <w:next w:val="3"/>
    <w:qFormat/>
    <w:uiPriority w:val="0"/>
    <w:pPr>
      <w:widowControl w:val="0"/>
      <w:adjustRightInd w:val="0"/>
      <w:snapToGrid w:val="0"/>
      <w:spacing w:line="360" w:lineRule="auto"/>
      <w:ind w:firstLine="645"/>
      <w:jc w:val="both"/>
    </w:pPr>
    <w:rPr>
      <w:rFonts w:ascii="仿宋_GB2312" w:hAnsi="Calibri" w:eastAsia="仿宋_GB2312"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2026-08-18T08:49:00Z</dcterms:created>
  <dc:creator>user</dc:creator>
  <cp:lastModifiedBy>user</cp:lastModifiedBy>
  <dcterms:modified xsi:type="dcterms:W3CDTF">2026-08-18T08:50:38Z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79BB3981194FB6311FAC836AF5751848_41</vt:lpwstr>
  </property>
</Properties>
</file>