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5AA0665">
      <w:pPr>
        <w:spacing w:line="540" w:lineRule="exact"/>
        <w:ind w:firstLine="0" w:firstLineChars="0"/>
        <w:jc w:val="center"/>
        <w:rPr>
          <w:rFonts w:hint="eastAsia" w:ascii="方正小标宋简体" w:hAnsi="方正小标宋简体" w:eastAsia="方正小标宋简体" w:cs="方正小标宋简体"/>
          <w:bCs/>
          <w:spacing w:val="-40"/>
          <w:sz w:val="44"/>
          <w:szCs w:val="44"/>
          <w:lang w:eastAsia="zh-CN"/>
        </w:rPr>
      </w:pPr>
      <w:bookmarkStart w:id="0" w:name="OLE_LINK12"/>
      <w:r>
        <w:rPr>
          <w:rFonts w:hint="eastAsia" w:ascii="方正小标宋简体" w:hAnsi="方正小标宋简体" w:eastAsia="方正小标宋简体" w:cs="方正小标宋简体"/>
          <w:bCs/>
          <w:spacing w:val="-40"/>
          <w:sz w:val="44"/>
          <w:szCs w:val="44"/>
        </w:rPr>
        <w:t>崇明建设江苏欣旺船舶修理有限公司“5·5”</w:t>
      </w:r>
      <w:r>
        <w:rPr>
          <w:rFonts w:hint="eastAsia" w:ascii="方正小标宋简体" w:hAnsi="方正小标宋简体" w:eastAsia="方正小标宋简体" w:cs="方正小标宋简体"/>
          <w:bCs/>
          <w:spacing w:val="-40"/>
          <w:sz w:val="44"/>
          <w:szCs w:val="44"/>
          <w:lang w:eastAsia="zh-CN"/>
        </w:rPr>
        <w:t>一般</w:t>
      </w:r>
    </w:p>
    <w:p w14:paraId="1A390326">
      <w:pPr>
        <w:spacing w:line="540" w:lineRule="exact"/>
        <w:ind w:firstLine="0" w:firstLineChars="0"/>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bCs/>
          <w:spacing w:val="-40"/>
          <w:sz w:val="44"/>
          <w:szCs w:val="44"/>
        </w:rPr>
        <w:t>高处坠落</w:t>
      </w:r>
      <w:r>
        <w:rPr>
          <w:rFonts w:hint="eastAsia" w:ascii="方正小标宋简体" w:hAnsi="方正小标宋简体" w:eastAsia="方正小标宋简体" w:cs="方正小标宋简体"/>
          <w:bCs/>
          <w:spacing w:val="-20"/>
          <w:sz w:val="44"/>
          <w:szCs w:val="44"/>
        </w:rPr>
        <w:t>事故</w:t>
      </w:r>
      <w:bookmarkEnd w:id="0"/>
      <w:r>
        <w:rPr>
          <w:rFonts w:hint="eastAsia" w:ascii="方正小标宋简体" w:hAnsi="方正小标宋简体" w:eastAsia="方正小标宋简体" w:cs="方正小标宋简体"/>
          <w:bCs/>
          <w:spacing w:val="-20"/>
          <w:sz w:val="44"/>
          <w:szCs w:val="44"/>
        </w:rPr>
        <w:t>整改和防范措施落实情况评估报告</w:t>
      </w:r>
    </w:p>
    <w:p w14:paraId="05AE77FA">
      <w:pPr>
        <w:spacing w:line="540" w:lineRule="exact"/>
      </w:pPr>
    </w:p>
    <w:p w14:paraId="52BEF9F0">
      <w:pPr>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2025年5月5日6时10分左右，在崇明区大东路1号的上海华润大东船务工程有限公司内，江苏欣旺船舶修理有限公司发生一起高处坠落事故，造成1人死亡、1人受伤（以下简称“5</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5”事故）。事发后，相关部门依法开展事故调查，形成《崇明建设江苏欣旺船舶修理有限公司“5</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5”一般高处坠落死亡事故调查报告》（以下简称事故调查报告），并报经崇明区人民政府批复同意。</w:t>
      </w:r>
    </w:p>
    <w:p w14:paraId="1A94E504">
      <w:pPr>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根据《中华人民共和国安全生产法》《生产安全事故报告和调查处理条例》《生产安全事故防范和整改措施落实情况评估办法》《上海市安全生产条例》《上海市实施〈生产安全事故报告和调查处理条例〉的若干规定》《上海市生产安全事故整改和防范措施落实情况评估办法》等法律法规和文件要求，上海市崇明区应急管理局牵头，会同上海市崇明区总工会、上海市公安局崇明分局、上海市崇明区建设镇人民政府等单位组成“5</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5”事故评估组（以下简称评估</w:t>
      </w:r>
      <w:bookmarkStart w:id="3" w:name="_GoBack"/>
      <w:bookmarkEnd w:id="3"/>
      <w:r>
        <w:rPr>
          <w:rFonts w:hint="eastAsia" w:ascii="仿宋_GB2312" w:hAnsi="仿宋_GB2312" w:eastAsia="仿宋_GB2312" w:cs="仿宋_GB2312"/>
          <w:sz w:val="32"/>
          <w:szCs w:val="32"/>
        </w:rPr>
        <w:t>组）。评估组通过资料核实、问询等方式，对相关单位整改和防范措施落实情况进行综合评估并提出工作建议，形成本评估报告。</w:t>
      </w:r>
    </w:p>
    <w:p w14:paraId="4C2A252F">
      <w:pPr>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黑体" w:hAnsi="黑体" w:eastAsia="黑体" w:cs="黑体"/>
          <w:sz w:val="32"/>
          <w:szCs w:val="32"/>
        </w:rPr>
      </w:pPr>
      <w:r>
        <w:rPr>
          <w:rFonts w:hint="eastAsia" w:ascii="黑体" w:hAnsi="黑体" w:eastAsia="黑体" w:cs="黑体"/>
          <w:sz w:val="32"/>
          <w:szCs w:val="32"/>
        </w:rPr>
        <w:t>一、事故责任追究落实情况</w:t>
      </w:r>
    </w:p>
    <w:p w14:paraId="76471DB2">
      <w:pPr>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（一）行政处罚落实情况</w:t>
      </w:r>
    </w:p>
    <w:p w14:paraId="3853653E">
      <w:pPr>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根据事故调查报告“责任认定及处理建议”</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上海市崇明区应急管理局对江苏欣旺船舶修理有限公司（以下简称江苏欣旺公司）、</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高健</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上海华润大东船务工程有限公司（以下简称华润大东公司）涂装车间主任</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给予了行政处罚</w:t>
      </w:r>
      <w:r>
        <w:rPr>
          <w:rFonts w:hint="eastAsia" w:ascii="仿宋_GB2312" w:hAnsi="仿宋_GB2312" w:eastAsia="仿宋_GB2312" w:cs="仿宋_GB2312"/>
          <w:sz w:val="32"/>
          <w:szCs w:val="32"/>
          <w:lang w:eastAsia="zh-CN"/>
        </w:rPr>
        <w:t>。</w:t>
      </w:r>
    </w:p>
    <w:p w14:paraId="59B98C26">
      <w:pPr>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（二）企业按有关规章制度处理落实情况</w:t>
      </w:r>
    </w:p>
    <w:p w14:paraId="24616BC9">
      <w:pPr>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根据事故调查报告“责任认定及处理建议”</w:t>
      </w:r>
      <w:r>
        <w:rPr>
          <w:rFonts w:hint="eastAsia" w:ascii="仿宋_GB2312" w:hAnsi="仿宋_GB2312" w:eastAsia="仿宋_GB2312" w:cs="仿宋_GB2312"/>
          <w:sz w:val="32"/>
          <w:szCs w:val="32"/>
          <w:lang w:eastAsia="zh-CN"/>
        </w:rPr>
        <w:t>：</w:t>
      </w:r>
    </w:p>
    <w:p w14:paraId="7F53EA3D">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hAnsi="仿宋_GB2312" w:eastAsia="仿宋_GB2312" w:cs="仿宋_GB2312"/>
          <w:color w:val="FF0000"/>
          <w:sz w:val="32"/>
          <w:szCs w:val="32"/>
          <w:lang w:eastAsia="zh-CN"/>
        </w:rPr>
      </w:pP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华润大东公司对事故责任人员陈波（华润大东公司涂装车间工段长）、李家群（华润大东公司涂装车间顾问）</w:t>
      </w:r>
      <w:r>
        <w:rPr>
          <w:rFonts w:hint="eastAsia" w:ascii="仿宋_GB2312" w:hAnsi="仿宋_GB2312" w:eastAsia="仿宋_GB2312" w:cs="仿宋_GB2312"/>
          <w:sz w:val="32"/>
          <w:szCs w:val="32"/>
          <w:lang w:val="en-US" w:eastAsia="zh-CN"/>
        </w:rPr>
        <w:t>分别</w:t>
      </w:r>
      <w:r>
        <w:rPr>
          <w:rFonts w:hint="eastAsia" w:ascii="仿宋_GB2312" w:hAnsi="仿宋_GB2312" w:eastAsia="仿宋_GB2312" w:cs="仿宋_GB2312"/>
          <w:sz w:val="32"/>
          <w:szCs w:val="32"/>
        </w:rPr>
        <w:t>给予了罚款</w:t>
      </w:r>
      <w:r>
        <w:rPr>
          <w:rFonts w:hint="eastAsia" w:ascii="仿宋_GB2312" w:hAnsi="仿宋_GB2312" w:eastAsia="仿宋_GB2312" w:cs="仿宋_GB2312"/>
          <w:sz w:val="32"/>
          <w:szCs w:val="32"/>
          <w:lang w:val="en-US" w:eastAsia="zh-CN"/>
        </w:rPr>
        <w:t>2000元</w:t>
      </w:r>
      <w:r>
        <w:rPr>
          <w:rFonts w:hint="eastAsia" w:ascii="仿宋_GB2312" w:hAnsi="仿宋_GB2312" w:eastAsia="仿宋_GB2312" w:cs="仿宋_GB2312"/>
          <w:sz w:val="32"/>
          <w:szCs w:val="32"/>
        </w:rPr>
        <w:t>的内部处理</w:t>
      </w:r>
      <w:r>
        <w:rPr>
          <w:rFonts w:hint="eastAsia" w:ascii="仿宋_GB2312" w:hAnsi="仿宋_GB2312" w:eastAsia="仿宋_GB2312" w:cs="仿宋_GB2312"/>
          <w:sz w:val="32"/>
          <w:szCs w:val="32"/>
          <w:lang w:eastAsia="zh-CN"/>
        </w:rPr>
        <w:t>。</w:t>
      </w:r>
    </w:p>
    <w:p w14:paraId="1C3D8F72">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江苏欣旺公司对事故责任人员谢士鹏（</w:t>
      </w:r>
      <w:bookmarkStart w:id="1" w:name="OLE_LINK13"/>
      <w:bookmarkStart w:id="2" w:name="OLE_LINK14"/>
      <w:r>
        <w:rPr>
          <w:rFonts w:hint="eastAsia" w:ascii="仿宋_GB2312" w:hAnsi="仿宋_GB2312" w:eastAsia="仿宋_GB2312" w:cs="仿宋_GB2312"/>
          <w:sz w:val="32"/>
          <w:szCs w:val="32"/>
        </w:rPr>
        <w:t>江苏欣旺公司</w:t>
      </w:r>
      <w:bookmarkEnd w:id="1"/>
      <w:bookmarkEnd w:id="2"/>
      <w:r>
        <w:rPr>
          <w:rFonts w:hint="eastAsia" w:ascii="仿宋_GB2312" w:hAnsi="仿宋_GB2312" w:eastAsia="仿宋_GB2312" w:cs="仿宋_GB2312"/>
          <w:sz w:val="32"/>
          <w:szCs w:val="32"/>
        </w:rPr>
        <w:t>维修工）、王德兵（江苏欣旺公司维修工）</w:t>
      </w:r>
      <w:r>
        <w:rPr>
          <w:rFonts w:hint="eastAsia" w:ascii="仿宋_GB2312" w:hAnsi="仿宋_GB2312" w:eastAsia="仿宋_GB2312" w:cs="仿宋_GB2312"/>
          <w:sz w:val="32"/>
          <w:szCs w:val="32"/>
          <w:lang w:val="en-US" w:eastAsia="zh-CN"/>
        </w:rPr>
        <w:t>分别给与了2000元罚款的内部处理，对</w:t>
      </w:r>
      <w:r>
        <w:rPr>
          <w:rFonts w:hint="eastAsia" w:ascii="仿宋_GB2312" w:hAnsi="仿宋_GB2312" w:eastAsia="仿宋_GB2312" w:cs="仿宋_GB2312"/>
          <w:sz w:val="32"/>
          <w:szCs w:val="32"/>
        </w:rPr>
        <w:t>袁礼祥（江苏欣旺公司车间总带班）给予了罚款</w:t>
      </w:r>
      <w:r>
        <w:rPr>
          <w:rFonts w:hint="eastAsia" w:ascii="仿宋_GB2312" w:hAnsi="仿宋_GB2312" w:eastAsia="仿宋_GB2312" w:cs="仿宋_GB2312"/>
          <w:sz w:val="32"/>
          <w:szCs w:val="32"/>
          <w:lang w:val="en-US" w:eastAsia="zh-CN"/>
        </w:rPr>
        <w:t>5000元</w:t>
      </w:r>
      <w:r>
        <w:rPr>
          <w:rFonts w:hint="eastAsia" w:ascii="仿宋_GB2312" w:hAnsi="仿宋_GB2312" w:eastAsia="仿宋_GB2312" w:cs="仿宋_GB2312"/>
          <w:sz w:val="32"/>
          <w:szCs w:val="32"/>
        </w:rPr>
        <w:t>的内部处理。</w:t>
      </w:r>
    </w:p>
    <w:p w14:paraId="7B14A231">
      <w:pPr>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黑体" w:hAnsi="黑体" w:eastAsia="黑体" w:cs="黑体"/>
          <w:sz w:val="32"/>
          <w:szCs w:val="32"/>
        </w:rPr>
      </w:pPr>
      <w:r>
        <w:rPr>
          <w:rFonts w:hint="eastAsia" w:ascii="黑体" w:hAnsi="黑体" w:eastAsia="黑体" w:cs="黑体"/>
          <w:sz w:val="32"/>
          <w:szCs w:val="32"/>
        </w:rPr>
        <w:t>二、事故整改和防范措施落实情况</w:t>
      </w:r>
    </w:p>
    <w:p w14:paraId="6322D005">
      <w:pPr>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楷体_GB2312" w:hAnsi="楷体_GB2312" w:eastAsia="楷体_GB2312" w:cs="楷体_GB2312"/>
          <w:sz w:val="32"/>
          <w:szCs w:val="32"/>
          <w:lang w:eastAsia="zh-CN"/>
        </w:rPr>
      </w:pPr>
      <w:r>
        <w:rPr>
          <w:rFonts w:hint="eastAsia" w:ascii="楷体_GB2312" w:hAnsi="楷体_GB2312" w:eastAsia="楷体_GB2312" w:cs="楷体_GB2312"/>
          <w:sz w:val="32"/>
          <w:szCs w:val="32"/>
        </w:rPr>
        <w:t>（一）华润大东公司</w:t>
      </w:r>
    </w:p>
    <w:p w14:paraId="023C8118">
      <w:pPr>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事故发生后，华润大东公司深刻吸取事故教训，从高空作业车安全管理、高空作业车大修方案等方面开展事故原因分析；加强事故警示教育，明确人员的事故责任，严肃事故处理。</w:t>
      </w:r>
    </w:p>
    <w:p w14:paraId="1162143E">
      <w:pPr>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完善各项安全管理制度和操作规程，修订公司《安全生产规章制度》，明确涵盖公司各级人员和外劳力供方所有人员的安全生产职责，完善各职能部门职业健康安全责任制；全面梳理并优化原有的设备管理规定和维护保养制度，完善检维修制度，明确涂装车间各级管理人员对于设备维保的监督职责；重构大修理方案模板，在大修理项目中明确需要探伤检测的部位，增加对关键部件的检测频次和深度，确保覆盖设备全风险点，确保一个大修理周期内能切实消除各项风险隐患。</w:t>
      </w:r>
    </w:p>
    <w:p w14:paraId="2F5C54C4">
      <w:pPr>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强化隐患排查，组织对公司其他高空作业车、坞壁车等相关设备进行全面排查，重点检查焊缝、液压系统、承重结构等关键部位，对存在安全隐患的设备一律停止使用，待彻底修复并验收合格后方可投入运行。</w:t>
      </w:r>
    </w:p>
    <w:p w14:paraId="5609CC91">
      <w:pPr>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加强登高车日常维保，定期抽查高空作业车的点检和维保情况，对于履职不到位的要严肃问责；强化一级保养和二级保养，通过高空作业车交接班运行记录表，加强对设备运行状态的动态监测。</w:t>
      </w:r>
    </w:p>
    <w:p w14:paraId="4A16D26F">
      <w:pPr>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加强对登高车维修保养的督促检查，完善承包合同及安全协议，与工程承包队签订《安全生产管理协议书》，加强对承包单位的统一协调管理，加强对维保队伍的日常监督和管理。</w:t>
      </w:r>
    </w:p>
    <w:p w14:paraId="289B4415">
      <w:pPr>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（二）江苏欣旺公司</w:t>
      </w:r>
    </w:p>
    <w:p w14:paraId="47EF7AE4">
      <w:pPr>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事故发生后，江苏欣旺公司深刻吸取事故教训，组织开展事故通报，对高空作业车等设备的维护单位和设备操作人员发出安全提醒。加强安全生产责任制落实，开展高空作业车管理、操作、维护、大修专项培训教育，确保严格遵守设备维护保养、设备使用前检查和试车等要求。</w:t>
      </w:r>
    </w:p>
    <w:p w14:paraId="0A749872">
      <w:pPr>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针对各项安全管理制度和操作规程，尤其是检维修制度，梳理完善了《高空作业车安全操作规程》《高空作业车大修管理要求》《高空作业车管理规定》《高空作业车维护规程》。</w:t>
      </w:r>
    </w:p>
    <w:p w14:paraId="67E2E990">
      <w:pPr>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加强作业现场安全风险辨识和事故隐患排查情况，配合华润大东公司对厂区所有的高空作业车进行检查和整改，加强对登高车的设备日常巡查，开展高空作业车、坞壁车专项检查，明确检查内容和工作要求。</w:t>
      </w:r>
    </w:p>
    <w:p w14:paraId="3452EE32">
      <w:pPr>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加强登高车日常维保，要求高空作业车等设备的维护单位要严格按照设备说明书和公司维保要求、维保计划做好设备的维护保养，及时发现和修复设备存在的问题和隐患，加强对关键部位做好动态监测，确保设备状况良好；认真开展升降车每日点检和保养修理、维修，设备大修和一二级维保、渗透探伤等。</w:t>
      </w:r>
    </w:p>
    <w:p w14:paraId="2D607003">
      <w:pPr>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（三）属地政府</w:t>
      </w:r>
    </w:p>
    <w:p w14:paraId="2A5CFD39">
      <w:pPr>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eastAsia="zh-CN"/>
        </w:rPr>
        <w:t>上海市</w:t>
      </w:r>
      <w:r>
        <w:rPr>
          <w:rFonts w:hint="eastAsia" w:ascii="仿宋_GB2312" w:hAnsi="仿宋_GB2312" w:eastAsia="仿宋_GB2312" w:cs="仿宋_GB2312"/>
          <w:color w:val="auto"/>
          <w:sz w:val="32"/>
          <w:szCs w:val="32"/>
        </w:rPr>
        <w:t>崇明区建设镇人民政府切实履行属地监管职责，结合治本攻坚三年行动工作部署、年度预防高处坠落事故专项整治</w:t>
      </w:r>
      <w:r>
        <w:rPr>
          <w:rFonts w:hint="eastAsia" w:ascii="仿宋_GB2312" w:hAnsi="仿宋_GB2312" w:eastAsia="仿宋_GB2312" w:cs="仿宋_GB2312"/>
          <w:color w:val="auto"/>
          <w:sz w:val="32"/>
          <w:szCs w:val="32"/>
          <w:lang w:eastAsia="zh-CN"/>
        </w:rPr>
        <w:t>等</w:t>
      </w:r>
      <w:r>
        <w:rPr>
          <w:rFonts w:hint="eastAsia" w:ascii="仿宋_GB2312" w:hAnsi="仿宋_GB2312" w:eastAsia="仿宋_GB2312" w:cs="仿宋_GB2312"/>
          <w:color w:val="auto"/>
          <w:sz w:val="32"/>
          <w:szCs w:val="32"/>
        </w:rPr>
        <w:t>工作，加强属地安全管理，严格按照“党政同责、一岗双责、齐抓共管、失职追责”要求，压实安全生产责任，加强风险辨识管控和隐患排查治理</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督促企业依法依规加强安全生产工作，严格要求企业建立健全安全管控体系，完善企业内部安全生产管理制度，加大对安全生产资金、物资、技术、人员的投入保障力度，改善安全生产条件，加强安全生产标准化、信息化建设，严格执行高风险作业审批和现场监护制度，防范各类生产安全事故的发生。</w:t>
      </w:r>
    </w:p>
    <w:p w14:paraId="0076C6C6">
      <w:pPr>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黑体" w:hAnsi="黑体" w:eastAsia="黑体" w:cs="黑体"/>
          <w:sz w:val="32"/>
          <w:szCs w:val="32"/>
        </w:rPr>
      </w:pPr>
      <w:r>
        <w:rPr>
          <w:rFonts w:hint="eastAsia" w:ascii="黑体" w:hAnsi="黑体" w:eastAsia="黑体" w:cs="黑体"/>
          <w:sz w:val="32"/>
          <w:szCs w:val="32"/>
        </w:rPr>
        <w:t>三、评估结论</w:t>
      </w:r>
    </w:p>
    <w:p w14:paraId="0A40E3D9">
      <w:pPr>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评估组按照事故调查报告及其批复要求，经资料审查、问询，对事故处理、整改和防范措施落实情况进行综合评估后认为：</w:t>
      </w:r>
    </w:p>
    <w:p w14:paraId="5DC6A9DA">
      <w:pPr>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该起事故的行政处罚已依法作出，相关单位对责任人员的处理已落实</w:t>
      </w:r>
      <w:r>
        <w:rPr>
          <w:rFonts w:hint="eastAsia" w:ascii="仿宋_GB2312" w:hAnsi="仿宋_GB2312" w:eastAsia="仿宋_GB2312" w:cs="仿宋_GB2312"/>
          <w:sz w:val="32"/>
          <w:szCs w:val="32"/>
          <w:lang w:eastAsia="zh-CN"/>
        </w:rPr>
        <w:t>。</w:t>
      </w:r>
    </w:p>
    <w:p w14:paraId="335CCCAA">
      <w:pPr>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该起事故</w:t>
      </w:r>
      <w:r>
        <w:rPr>
          <w:rFonts w:hint="eastAsia" w:ascii="仿宋_GB2312" w:hAnsi="仿宋_GB2312" w:eastAsia="仿宋_GB2312" w:cs="仿宋_GB2312"/>
          <w:color w:val="auto"/>
          <w:sz w:val="32"/>
          <w:szCs w:val="32"/>
        </w:rPr>
        <w:t>相关单位</w:t>
      </w:r>
      <w:r>
        <w:rPr>
          <w:rFonts w:hint="eastAsia" w:ascii="仿宋_GB2312" w:hAnsi="仿宋_GB2312" w:eastAsia="仿宋_GB2312" w:cs="仿宋_GB2312"/>
          <w:color w:val="auto"/>
          <w:sz w:val="32"/>
          <w:szCs w:val="32"/>
          <w:lang w:eastAsia="zh-CN"/>
        </w:rPr>
        <w:t>和部门</w:t>
      </w:r>
      <w:r>
        <w:rPr>
          <w:rFonts w:hint="eastAsia" w:ascii="仿宋_GB2312" w:hAnsi="仿宋_GB2312" w:eastAsia="仿宋_GB2312" w:cs="仿宋_GB2312"/>
          <w:sz w:val="32"/>
          <w:szCs w:val="32"/>
        </w:rPr>
        <w:t>已实施事故调查报告提出的整改和防范措施。</w:t>
      </w:r>
    </w:p>
    <w:p w14:paraId="4F9DDC37">
      <w:pPr>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黑体" w:hAnsi="黑体" w:eastAsia="黑体" w:cs="黑体"/>
          <w:sz w:val="32"/>
          <w:szCs w:val="32"/>
        </w:rPr>
      </w:pPr>
      <w:r>
        <w:rPr>
          <w:rFonts w:hint="eastAsia" w:ascii="黑体" w:hAnsi="黑体" w:eastAsia="黑体" w:cs="黑体"/>
          <w:sz w:val="32"/>
          <w:szCs w:val="32"/>
        </w:rPr>
        <w:t>四、工作建议</w:t>
      </w:r>
    </w:p>
    <w:p w14:paraId="2FF5CD81">
      <w:pPr>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建议规范登高作业车的使用，加强设备合规性审查、作业人员资质管控、作业前安全检查，规范作业操作、动态巡查和维护保养</w:t>
      </w:r>
      <w:r>
        <w:rPr>
          <w:rFonts w:hint="eastAsia" w:ascii="仿宋_GB2312" w:hAnsi="仿宋_GB2312" w:eastAsia="仿宋_GB2312" w:cs="仿宋_GB2312"/>
          <w:sz w:val="32"/>
          <w:szCs w:val="32"/>
          <w:lang w:eastAsia="zh-CN"/>
        </w:rPr>
        <w:t>。</w:t>
      </w:r>
    </w:p>
    <w:p w14:paraId="195C0FFF">
      <w:pPr>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建议严格登高作业车档案台账管理，落实车辆租赁合同、进场验收记录、使用说明书、操作规程、维护保养记录、检测报告、操作人员资质、作业交底记录等“一机一档”。</w:t>
      </w:r>
    </w:p>
    <w:p w14:paraId="7F16E362"/>
    <w:sectPr>
      <w:pgSz w:w="11906" w:h="16838"/>
      <w:pgMar w:top="2098" w:right="1474" w:bottom="1984"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Times New Roman"/>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Times">
    <w:altName w:val="DejaVu Sans"/>
    <w:panose1 w:val="02020603050405020304"/>
    <w:charset w:val="00"/>
    <w:family w:val="roman"/>
    <w:pitch w:val="default"/>
    <w:sig w:usb0="00000000" w:usb1="00000000" w:usb2="00000009" w:usb3="00000000" w:csb0="000001FF" w:csb1="00000000"/>
  </w:font>
  <w:font w:name="仿宋_GB2312">
    <w:panose1 w:val="02010609030101010101"/>
    <w:charset w:val="86"/>
    <w:family w:val="auto"/>
    <w:pitch w:val="default"/>
    <w:sig w:usb0="00000001" w:usb1="080E0000" w:usb2="00000000" w:usb3="00000000" w:csb0="00040000" w:csb1="00000000"/>
  </w:font>
  <w:font w:name="仿宋">
    <w:altName w:val="方正仿宋_GBK"/>
    <w:panose1 w:val="02010609060101010101"/>
    <w:charset w:val="00"/>
    <w:family w:val="modern"/>
    <w:pitch w:val="default"/>
    <w:sig w:usb0="00000000" w:usb1="00000000" w:usb2="00000016" w:usb3="00000000" w:csb0="00040001" w:csb1="00000000"/>
  </w:font>
  <w:font w:name="方正小标宋简体">
    <w:panose1 w:val="02000000000000000000"/>
    <w:charset w:val="86"/>
    <w:family w:val="auto"/>
    <w:pitch w:val="default"/>
    <w:sig w:usb0="A00002BF" w:usb1="184F6CFA" w:usb2="00000012" w:usb3="00000000" w:csb0="00040001" w:csb1="00000000"/>
  </w:font>
  <w:font w:name="楷体_GB2312">
    <w:panose1 w:val="02010609030101010101"/>
    <w:charset w:val="86"/>
    <w:family w:val="auto"/>
    <w:pitch w:val="default"/>
    <w:sig w:usb0="00000001" w:usb1="080E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EBFD5EF"/>
    <w:rsid w:val="0C9BA98B"/>
    <w:rsid w:val="6EBFD5EF"/>
    <w:rsid w:val="77FD62C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Body Text First Indent 2"/>
    <w:basedOn w:val="3"/>
    <w:next w:val="1"/>
    <w:qFormat/>
    <w:uiPriority w:val="0"/>
    <w:pPr>
      <w:widowControl w:val="0"/>
      <w:adjustRightInd w:val="0"/>
      <w:snapToGrid w:val="0"/>
      <w:spacing w:after="120" w:line="360" w:lineRule="auto"/>
      <w:ind w:left="420" w:leftChars="200" w:firstLine="420" w:firstLineChars="200"/>
      <w:jc w:val="both"/>
    </w:pPr>
    <w:rPr>
      <w:rFonts w:hint="default" w:ascii="Times" w:hAnsi="Times" w:eastAsia="仿宋_GB2312" w:cs="Times New Roman"/>
      <w:kern w:val="2"/>
      <w:sz w:val="32"/>
      <w:szCs w:val="32"/>
      <w:lang w:val="en-US" w:eastAsia="zh-CN" w:bidi="ar-SA"/>
    </w:rPr>
  </w:style>
  <w:style w:type="paragraph" w:styleId="3">
    <w:name w:val="Body Text Indent"/>
    <w:basedOn w:val="1"/>
    <w:next w:val="4"/>
    <w:qFormat/>
    <w:uiPriority w:val="0"/>
    <w:pPr>
      <w:widowControl w:val="0"/>
      <w:adjustRightInd w:val="0"/>
      <w:snapToGrid w:val="0"/>
      <w:spacing w:line="360" w:lineRule="auto"/>
      <w:ind w:firstLine="645"/>
      <w:jc w:val="both"/>
    </w:pPr>
    <w:rPr>
      <w:rFonts w:ascii="仿宋_GB2312" w:hAnsi="Calibri" w:eastAsia="仿宋_GB2312" w:cs="Times New Roman"/>
      <w:kern w:val="2"/>
      <w:sz w:val="28"/>
      <w:szCs w:val="24"/>
      <w:lang w:val="en-US" w:eastAsia="zh-CN" w:bidi="ar-SA"/>
    </w:rPr>
  </w:style>
  <w:style w:type="paragraph" w:styleId="4">
    <w:name w:val="Normal Indent"/>
    <w:basedOn w:val="1"/>
    <w:next w:val="1"/>
    <w:qFormat/>
    <w:uiPriority w:val="0"/>
    <w:pPr>
      <w:widowControl w:val="0"/>
      <w:ind w:firstLine="420" w:firstLineChars="200"/>
      <w:jc w:val="both"/>
    </w:pPr>
    <w:rPr>
      <w:rFonts w:ascii="Calibri" w:hAnsi="Calibri" w:eastAsia="仿宋" w:cs="Times New Roman"/>
      <w:kern w:val="2"/>
      <w:sz w:val="32"/>
      <w:szCs w:val="24"/>
      <w:lang w:val="en-US" w:eastAsia="zh-CN" w:bidi="ar-SA"/>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0</Words>
  <Characters>0</Characters>
  <Lines>0</Lines>
  <Paragraphs>0</Paragraphs>
  <TotalTime>0</TotalTime>
  <ScaleCrop>false</ScaleCrop>
  <LinksUpToDate>false</LinksUpToDate>
  <CharactersWithSpaces>0</CharactersWithSpaces>
  <Application>WPS Office_12.1.2.23578_F1E327BC-269C-435d-A152-05C5408002CA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2026-08-18T08:49:00Z</dcterms:created>
  <dc:creator>user</dc:creator>
  <cp:lastModifiedBy>user</cp:lastModifiedBy>
  <dcterms:modified xsi:type="dcterms:W3CDTF">2026-08-18T08:52:50Z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2052-12.1.2.23578</vt:lpwstr>
  </property>
  <property fmtid="{D5CDD505-2E9C-101B-9397-08002B2CF9AE}" pid="3" name="ICV">
    <vt:lpwstr>C31D3864D7B9E079E2AC836A1124240E_43</vt:lpwstr>
  </property>
</Properties>
</file>