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0" w:line="540" w:lineRule="exact"/>
        <w:ind w:firstLine="0" w:firstLineChars="0"/>
        <w:rPr>
          <w:rFonts w:ascii="Times New Roman" w:hAnsi="Times New Roman" w:eastAsia="宋体" w:cs="Times New Roman"/>
          <w:sz w:val="32"/>
          <w:szCs w:val="32"/>
        </w:rPr>
      </w:pPr>
    </w:p>
    <w:p>
      <w:pPr>
        <w:spacing w:before="0" w:line="540" w:lineRule="exact"/>
        <w:ind w:firstLine="0" w:firstLineChars="0"/>
        <w:rPr>
          <w:rFonts w:ascii="Times New Roman" w:hAnsi="Times New Roman" w:eastAsia="宋体" w:cs="Times New Roman"/>
          <w:sz w:val="32"/>
          <w:szCs w:val="32"/>
        </w:rPr>
      </w:pPr>
    </w:p>
    <w:p>
      <w:pPr>
        <w:spacing w:before="0" w:line="540" w:lineRule="exact"/>
        <w:ind w:firstLine="0" w:firstLineChars="0"/>
        <w:rPr>
          <w:rFonts w:ascii="Times New Roman" w:hAnsi="Times New Roman" w:eastAsia="宋体" w:cs="Times New Roman"/>
          <w:sz w:val="32"/>
          <w:szCs w:val="32"/>
        </w:rPr>
      </w:pPr>
    </w:p>
    <w:p>
      <w:pPr>
        <w:spacing w:line="880" w:lineRule="exact"/>
        <w:jc w:val="distribute"/>
        <w:rPr>
          <w:rFonts w:ascii="方正小标宋简体" w:eastAsia="方正小标宋简体"/>
          <w:color w:val="FF0000"/>
          <w:spacing w:val="-11"/>
          <w:w w:val="75"/>
          <w:sz w:val="80"/>
          <w:szCs w:val="80"/>
        </w:rPr>
      </w:pPr>
      <w:r>
        <w:rPr>
          <w:rFonts w:hint="eastAsia" w:ascii="方正小标宋简体" w:eastAsia="方正小标宋简体"/>
          <w:color w:val="FF0000"/>
          <w:spacing w:val="-11"/>
          <w:w w:val="75"/>
          <w:sz w:val="80"/>
          <w:szCs w:val="80"/>
        </w:rPr>
        <w:t>上海市崇明区农业</w:t>
      </w:r>
      <w:r>
        <w:rPr>
          <w:rFonts w:hint="eastAsia" w:ascii="方正小标宋简体" w:eastAsia="方正小标宋简体"/>
          <w:color w:val="FF0000"/>
          <w:spacing w:val="-11"/>
          <w:w w:val="75"/>
          <w:sz w:val="80"/>
          <w:szCs w:val="80"/>
          <w:lang w:val="en-US" w:eastAsia="zh-CN"/>
        </w:rPr>
        <w:t>农村</w:t>
      </w:r>
      <w:r>
        <w:rPr>
          <w:rFonts w:hint="eastAsia" w:ascii="方正小标宋简体" w:eastAsia="方正小标宋简体"/>
          <w:color w:val="FF0000"/>
          <w:spacing w:val="-11"/>
          <w:w w:val="75"/>
          <w:sz w:val="80"/>
          <w:szCs w:val="80"/>
        </w:rPr>
        <w:t>委员会文件</w:t>
      </w:r>
    </w:p>
    <w:p>
      <w:pPr>
        <w:spacing w:line="560" w:lineRule="exact"/>
        <w:rPr>
          <w:szCs w:val="21"/>
        </w:rPr>
      </w:pPr>
    </w:p>
    <w:p>
      <w:pPr>
        <w:spacing w:line="560" w:lineRule="exact"/>
        <w:rPr>
          <w:szCs w:val="21"/>
        </w:rPr>
      </w:pPr>
    </w:p>
    <w:p>
      <w:pPr>
        <w:spacing w:line="560" w:lineRule="exact"/>
        <w:jc w:val="center"/>
        <w:rPr>
          <w:rFonts w:hint="default" w:ascii="楷体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</w:rPr>
        <w:t>沪崇农发〔</w:t>
      </w:r>
      <w:r>
        <w:rPr>
          <w:rFonts w:hint="eastAsia" w:ascii="仿宋_GB2312" w:eastAsia="仿宋_GB2312"/>
          <w:sz w:val="32"/>
          <w:lang w:eastAsia="zh-CN"/>
        </w:rPr>
        <w:t>2023</w:t>
      </w:r>
      <w:r>
        <w:rPr>
          <w:rFonts w:hint="eastAsia" w:ascii="仿宋_GB2312" w:eastAsia="仿宋_GB2312"/>
          <w:sz w:val="32"/>
        </w:rPr>
        <w:t>〕</w:t>
      </w:r>
      <w:r>
        <w:rPr>
          <w:rFonts w:hint="eastAsia" w:ascii="仿宋_GB2312" w:eastAsia="仿宋_GB2312"/>
          <w:sz w:val="32"/>
          <w:lang w:val="en-US" w:eastAsia="zh-CN"/>
        </w:rPr>
        <w:t>9</w:t>
      </w:r>
      <w:r>
        <w:rPr>
          <w:rFonts w:hint="eastAsia" w:ascii="仿宋_GB2312" w:eastAsia="仿宋_GB2312"/>
          <w:sz w:val="32"/>
        </w:rPr>
        <w:t>号</w:t>
      </w:r>
    </w:p>
    <w:p>
      <w:pPr>
        <w:spacing w:line="160" w:lineRule="exact"/>
        <w:rPr>
          <w:color w:val="FF0000"/>
          <w:szCs w:val="21"/>
          <w:u w:val="thick"/>
        </w:rPr>
      </w:pPr>
      <w:r>
        <w:rPr>
          <w:rFonts w:hint="eastAsia"/>
          <w:color w:val="FF0000"/>
          <w:szCs w:val="21"/>
          <w:u w:val="thick"/>
        </w:rPr>
        <w:t xml:space="preserve">                                                                                     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关于印发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  <w:lang w:eastAsia="zh-CN"/>
        </w:rPr>
        <w:t>2023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年崇明区内陆水域禁渔期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管理工作方案的通知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各乡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镇人民政府：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为切实做好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2023</w:t>
      </w:r>
      <w:r>
        <w:rPr>
          <w:rFonts w:hint="eastAsia" w:ascii="仿宋_GB2312" w:hAnsi="仿宋_GB2312" w:eastAsia="仿宋_GB2312" w:cs="仿宋_GB2312"/>
          <w:sz w:val="32"/>
          <w:szCs w:val="32"/>
        </w:rPr>
        <w:t>年崇明区内陆水域禁渔期管理工作，根据</w:t>
      </w:r>
      <w:r>
        <w:rPr>
          <w:rFonts w:hint="eastAsia" w:ascii="仿宋_GB2312" w:hAnsi="仿宋_GB2312" w:eastAsia="仿宋_GB2312" w:cs="仿宋_GB2312"/>
          <w:spacing w:val="23"/>
          <w:kern w:val="0"/>
          <w:sz w:val="32"/>
          <w:szCs w:val="32"/>
          <w:lang w:bidi="ar"/>
        </w:rPr>
        <w:t>《关于本市实施长江口及其他内陆水域禁渔的通告》（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  <w:t>沪农委规〔2021〕2 号）</w:t>
      </w:r>
      <w:r>
        <w:rPr>
          <w:rFonts w:hint="eastAsia" w:ascii="仿宋_GB2312" w:hAnsi="仿宋_GB2312" w:eastAsia="仿宋_GB2312" w:cs="仿宋_GB2312"/>
          <w:spacing w:val="23"/>
          <w:kern w:val="0"/>
          <w:sz w:val="32"/>
          <w:szCs w:val="32"/>
          <w:lang w:bidi="ar"/>
        </w:rPr>
        <w:t>《关于发布我市渔业水域禁用渔具的通告》（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  <w:t>沪农委规〔2021〕12 号）等文件精神</w:t>
      </w:r>
      <w:r>
        <w:rPr>
          <w:rFonts w:hint="eastAsia" w:ascii="仿宋_GB2312" w:hAnsi="仿宋_GB2312" w:eastAsia="仿宋_GB2312" w:cs="仿宋_GB2312"/>
          <w:sz w:val="32"/>
          <w:szCs w:val="32"/>
        </w:rPr>
        <w:t>，我委制定了《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2023</w:t>
      </w:r>
      <w:r>
        <w:rPr>
          <w:rFonts w:hint="eastAsia" w:ascii="仿宋_GB2312" w:hAnsi="仿宋_GB2312" w:eastAsia="仿宋_GB2312" w:cs="仿宋_GB2312"/>
          <w:sz w:val="32"/>
          <w:szCs w:val="32"/>
        </w:rPr>
        <w:t>年崇明区内陆水域禁渔期管理工作方案》，现印发你们，请遵照执行。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特此通知。</w:t>
      </w:r>
    </w:p>
    <w:p>
      <w:pPr>
        <w:pStyle w:val="2"/>
        <w:rPr>
          <w:rFonts w:hint="eastAsia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2023</w:t>
      </w:r>
      <w:r>
        <w:rPr>
          <w:rFonts w:hint="eastAsia" w:ascii="仿宋_GB2312" w:hAnsi="仿宋_GB2312" w:eastAsia="仿宋_GB2312" w:cs="仿宋_GB2312"/>
          <w:sz w:val="32"/>
          <w:szCs w:val="32"/>
        </w:rPr>
        <w:t>年崇明区内陆水域禁渔期管理工作方案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上海市崇明区农业农村委员会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640" w:firstLine="640" w:firstLineChars="200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2023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</w:p>
    <w:p>
      <w:pPr>
        <w:pStyle w:val="2"/>
        <w:rPr>
          <w:rFonts w:hint="eastAsia"/>
        </w:rPr>
      </w:pPr>
    </w:p>
    <w:p>
      <w:pPr>
        <w:rPr>
          <w:rFonts w:hint="eastAsia"/>
        </w:rPr>
      </w:pPr>
    </w:p>
    <w:p>
      <w:pPr>
        <w:pStyle w:val="2"/>
        <w:rPr>
          <w:rFonts w:hint="eastAsia"/>
        </w:rPr>
      </w:pPr>
    </w:p>
    <w:p>
      <w:pPr>
        <w:rPr>
          <w:rFonts w:hint="eastAsia"/>
        </w:rPr>
      </w:pPr>
    </w:p>
    <w:p>
      <w:pPr>
        <w:pStyle w:val="2"/>
        <w:rPr>
          <w:rFonts w:hint="eastAsia"/>
        </w:rPr>
      </w:pPr>
    </w:p>
    <w:p>
      <w:pPr>
        <w:rPr>
          <w:rFonts w:hint="eastAsia"/>
        </w:rPr>
      </w:pPr>
    </w:p>
    <w:p>
      <w:pPr>
        <w:pStyle w:val="2"/>
        <w:rPr>
          <w:rFonts w:hint="eastAsia"/>
        </w:rPr>
      </w:pPr>
    </w:p>
    <w:p>
      <w:pPr>
        <w:rPr>
          <w:rFonts w:hint="eastAsia"/>
        </w:rPr>
      </w:pPr>
    </w:p>
    <w:p>
      <w:pPr>
        <w:pStyle w:val="2"/>
        <w:rPr>
          <w:rFonts w:hint="eastAsia"/>
        </w:rPr>
      </w:pPr>
    </w:p>
    <w:p>
      <w:pPr>
        <w:rPr>
          <w:rFonts w:hint="eastAsia"/>
        </w:rPr>
      </w:pPr>
    </w:p>
    <w:p>
      <w:pPr>
        <w:pStyle w:val="2"/>
        <w:rPr>
          <w:rFonts w:hint="eastAsia"/>
        </w:rPr>
      </w:pPr>
    </w:p>
    <w:p>
      <w:pPr>
        <w:rPr>
          <w:rFonts w:hint="eastAsia"/>
        </w:rPr>
      </w:pPr>
    </w:p>
    <w:p>
      <w:pPr>
        <w:pStyle w:val="2"/>
        <w:rPr>
          <w:rFonts w:hint="eastAsia"/>
        </w:rPr>
      </w:pPr>
    </w:p>
    <w:p>
      <w:pPr>
        <w:rPr>
          <w:rFonts w:hint="eastAsia"/>
        </w:rPr>
      </w:pPr>
    </w:p>
    <w:p>
      <w:pPr>
        <w:pStyle w:val="2"/>
        <w:rPr>
          <w:rFonts w:hint="eastAsia"/>
        </w:rPr>
      </w:pPr>
    </w:p>
    <w:p>
      <w:pPr>
        <w:rPr>
          <w:rFonts w:hint="eastAsia"/>
        </w:rPr>
      </w:pPr>
    </w:p>
    <w:p>
      <w:pPr>
        <w:pStyle w:val="2"/>
        <w:rPr>
          <w:rFonts w:hint="eastAsia"/>
        </w:rPr>
      </w:pPr>
    </w:p>
    <w:p>
      <w:pPr>
        <w:rPr>
          <w:rFonts w:hint="eastAsia"/>
        </w:rPr>
      </w:pPr>
    </w:p>
    <w:p>
      <w:pPr>
        <w:pStyle w:val="2"/>
        <w:rPr>
          <w:rFonts w:hint="eastAsia"/>
        </w:rPr>
      </w:pPr>
    </w:p>
    <w:p>
      <w:pPr>
        <w:rPr>
          <w:rFonts w:hint="eastAsia"/>
        </w:rPr>
      </w:pPr>
    </w:p>
    <w:p>
      <w:pPr>
        <w:pStyle w:val="2"/>
        <w:rPr>
          <w:rFonts w:hint="eastAsia"/>
        </w:rPr>
      </w:pPr>
    </w:p>
    <w:p>
      <w:pPr>
        <w:rPr>
          <w:rFonts w:hint="eastAsia"/>
        </w:rPr>
      </w:pPr>
    </w:p>
    <w:p>
      <w:pPr>
        <w:pStyle w:val="2"/>
        <w:rPr>
          <w:rFonts w:hint="eastAsia"/>
        </w:rPr>
      </w:pPr>
    </w:p>
    <w:p>
      <w:pPr>
        <w:rPr>
          <w:rFonts w:hint="eastAsia"/>
        </w:rPr>
      </w:pPr>
    </w:p>
    <w:p>
      <w:pPr>
        <w:pStyle w:val="2"/>
        <w:rPr>
          <w:rFonts w:hint="eastAsia"/>
        </w:rPr>
      </w:pPr>
    </w:p>
    <w:p>
      <w:pPr>
        <w:rPr>
          <w:rFonts w:hint="eastAsia"/>
        </w:rPr>
      </w:pPr>
    </w:p>
    <w:p>
      <w:pPr>
        <w:pStyle w:val="2"/>
        <w:rPr>
          <w:rFonts w:hint="eastAsia"/>
        </w:rPr>
      </w:pPr>
    </w:p>
    <w:p>
      <w:pPr>
        <w:rPr>
          <w:rFonts w:hint="eastAsia"/>
        </w:rPr>
      </w:pPr>
    </w:p>
    <w:p>
      <w:pPr>
        <w:pStyle w:val="2"/>
        <w:rPr>
          <w:rFonts w:hint="eastAsia"/>
        </w:rPr>
      </w:pPr>
    </w:p>
    <w:p>
      <w:pPr>
        <w:rPr>
          <w:rFonts w:hint="eastAsia"/>
        </w:rPr>
      </w:pPr>
    </w:p>
    <w:p>
      <w:pPr>
        <w:pStyle w:val="2"/>
        <w:rPr>
          <w:rFonts w:hint="eastAsia"/>
        </w:rPr>
      </w:pPr>
    </w:p>
    <w:p>
      <w:pPr>
        <w:rPr>
          <w:rFonts w:hint="eastAsia"/>
        </w:rPr>
      </w:pPr>
    </w:p>
    <w:p>
      <w:pPr>
        <w:pStyle w:val="2"/>
        <w:rPr>
          <w:rFonts w:hint="eastAsia"/>
        </w:rPr>
      </w:pPr>
    </w:p>
    <w:p>
      <w:pPr>
        <w:rPr>
          <w:rFonts w:hint="eastAsia"/>
        </w:rPr>
      </w:pPr>
    </w:p>
    <w:p>
      <w:pPr>
        <w:pStyle w:val="2"/>
        <w:rPr>
          <w:rFonts w:hint="eastAsia"/>
        </w:rPr>
      </w:pPr>
    </w:p>
    <w:p>
      <w:pPr>
        <w:rPr>
          <w:rFonts w:hint="eastAsia"/>
        </w:rPr>
      </w:pPr>
    </w:p>
    <w:p>
      <w:pPr>
        <w:pStyle w:val="2"/>
        <w:rPr>
          <w:rFonts w:hint="eastAsia"/>
        </w:rPr>
      </w:pPr>
    </w:p>
    <w:p>
      <w:pPr>
        <w:rPr>
          <w:rFonts w:hint="eastAsia"/>
        </w:rPr>
      </w:pPr>
    </w:p>
    <w:tbl>
      <w:tblPr>
        <w:tblStyle w:val="8"/>
        <w:tblW w:w="90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60" w:type="dxa"/>
            <w:tcBorders>
              <w:top w:val="single" w:color="auto" w:sz="12" w:space="0"/>
              <w:left w:val="nil"/>
              <w:bottom w:val="single" w:color="auto" w:sz="12" w:space="0"/>
              <w:right w:val="nil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right="28"/>
              <w:textAlignment w:val="auto"/>
              <w:outlineLvl w:val="9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 xml:space="preserve"> </w:t>
            </w:r>
            <w:r>
              <w:rPr>
                <w:rFonts w:hint="eastAsia" w:ascii="仿宋_GB2312" w:eastAsia="仿宋_GB2312"/>
                <w:sz w:val="28"/>
                <w:szCs w:val="28"/>
              </w:rPr>
              <w:t>上海市崇明区农业</w:t>
            </w: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农村</w:t>
            </w:r>
            <w:r>
              <w:rPr>
                <w:rFonts w:hint="eastAsia" w:ascii="仿宋_GB2312" w:eastAsia="仿宋_GB2312"/>
                <w:sz w:val="28"/>
                <w:szCs w:val="28"/>
              </w:rPr>
              <w:t xml:space="preserve">委员会办公室     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eastAsia="仿宋_GB2312"/>
                <w:sz w:val="28"/>
                <w:szCs w:val="28"/>
              </w:rPr>
              <w:t xml:space="preserve">  </w:t>
            </w: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2023</w:t>
            </w:r>
            <w:r>
              <w:rPr>
                <w:rFonts w:hint="eastAsia" w:ascii="仿宋_GB2312" w:eastAsia="仿宋_GB2312"/>
                <w:sz w:val="28"/>
                <w:szCs w:val="28"/>
              </w:rPr>
              <w:t>年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 w:ascii="仿宋_GB2312" w:eastAsia="仿宋_GB2312"/>
                <w:sz w:val="28"/>
                <w:szCs w:val="28"/>
              </w:rPr>
              <w:t>月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10</w:t>
            </w:r>
            <w:r>
              <w:rPr>
                <w:rFonts w:hint="eastAsia" w:ascii="仿宋_GB2312" w:eastAsia="仿宋_GB2312"/>
                <w:sz w:val="28"/>
                <w:szCs w:val="28"/>
              </w:rPr>
              <w:t>日印发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textAlignment w:val="auto"/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w w:val="9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w w:val="90"/>
          <w:sz w:val="44"/>
          <w:szCs w:val="44"/>
          <w:lang w:eastAsia="zh-CN"/>
        </w:rPr>
        <w:t>2023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w w:val="90"/>
          <w:sz w:val="44"/>
          <w:szCs w:val="44"/>
        </w:rPr>
        <w:t>年崇明区内陆水域禁渔期管理工作方案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为保护本区内陆水域渔业资源和水域生态环境，严厉查处“电、毒、炸、地笼”等非法捕捞行为，推进涉渔“三无”船舶清理整治，现结合我区实际情况，特制定本工作方案。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ascii="仿宋_GB2312" w:hAnsi="仿宋_GB2312" w:eastAsia="仿宋_GB2312" w:cs="仿宋_GB2312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</w:rPr>
        <w:t>一、工作目标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按照“条块结合、属地管理、着眼当前、注重长效”的工作原则，依法依责整治违反禁渔期规定的非法捕捞行为，建立区农业农村委、区公安分局、区水务局、乡镇人民政府为主要成员的联勤联动机制，开展多部门联合执法行动，取缔收缴非法捕捞渔具和“三无”船舶，情节严重的，要依法追究当事人刑事责任，确保本区内陆水域禁渔期制度贯彻实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</w:rPr>
        <w:t>二、工作内容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00"/>
        <w:textAlignment w:val="auto"/>
        <w:rPr>
          <w:rFonts w:ascii="楷体_GB2312" w:hAnsi="楷体_GB2312" w:eastAsia="楷体_GB2312" w:cs="楷体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区农业农村委执法大队、乡镇要根据实际情况，排查本区内陆水域非法捕捞情况，全面掌握其分布、数量、活动规律，制定切实可行的工作计划，积极开展禁渔期日常渔政执法检查，依托“河长制”“河道警长制”等河道管理制度，建立发现处置机制，落实网格化管理，严厉查处电捕鱼、地笼等非法捕捞行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left="-105" w:firstLine="640" w:firstLineChars="200"/>
        <w:textAlignment w:val="auto"/>
        <w:rPr>
          <w:rFonts w:hint="eastAsia" w:ascii="楷体_GB2312" w:hAnsi="楷体_GB2312" w:eastAsia="楷体_GB2312" w:cs="楷体_GB2312"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Cs/>
          <w:sz w:val="32"/>
          <w:szCs w:val="32"/>
        </w:rPr>
        <w:t>（一）开展禁渔期宣传排查工作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left="-105"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1.乡镇要对内陆水域内利用电捕鱼、地笼、攀网、迷魂阵、丝网、“三无”船舶等非法捕捞行为进行摸底排查，制定工作方案。在各行政村张贴</w:t>
      </w:r>
      <w:r>
        <w:rPr>
          <w:rFonts w:hint="eastAsia" w:ascii="仿宋_GB2312" w:hAnsi="仿宋_GB2312" w:eastAsia="仿宋_GB2312" w:cs="仿宋_GB2312"/>
          <w:spacing w:val="23"/>
          <w:kern w:val="0"/>
          <w:sz w:val="32"/>
          <w:szCs w:val="32"/>
        </w:rPr>
        <w:t>《关于本市实施长江口及其他内陆水域禁渔的通告》《关于发布我市渔业水域禁用渔具的通告》</w:t>
      </w:r>
      <w:r>
        <w:rPr>
          <w:rFonts w:hint="eastAsia" w:ascii="仿宋_GB2312" w:hAnsi="仿宋_GB2312" w:eastAsia="仿宋_GB2312" w:cs="仿宋_GB2312"/>
          <w:sz w:val="32"/>
          <w:szCs w:val="32"/>
        </w:rPr>
        <w:t>，向群众发送宣传资料，落实告知制度。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left="-105" w:firstLine="640" w:firstLineChars="200"/>
        <w:textAlignment w:val="auto"/>
        <w:rPr>
          <w:rFonts w:ascii="仿宋_GB2312" w:hAnsi="仿宋_GB2312" w:eastAsia="仿宋_GB2312" w:cs="仿宋_GB2312"/>
          <w:color w:val="FF0000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2.区农业农村委执法大队安排渔政执法人员、执法车辆、船艇在市级河道内做好日常巡查执法工作。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left="-105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区农业农村委执法大队积极开展《中华人民共和国渔业法》《最高人民检察院、公安部关于公安机关管辖的刑事案件立案追诉标准的规定》等有关法律法规及相关规定的宣传。设立110和59621692举报电话，鼓励和动员广大群众及时举报违反禁渔期规定的非法捕捞行为；在区级主要媒体宣传内陆禁渔期通告，扩大社会知晓率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区</w:t>
      </w:r>
      <w:r>
        <w:rPr>
          <w:rFonts w:hint="eastAsia" w:ascii="仿宋_GB2312" w:hAnsi="仿宋_GB2312" w:eastAsia="仿宋_GB2312" w:cs="仿宋_GB2312"/>
          <w:sz w:val="32"/>
          <w:szCs w:val="32"/>
        </w:rPr>
        <w:t>河长办要建立发现机制，严禁闸口外涉渔“三无”船舶进入内陆河道水域，按照网格化管理模式，发挥河道保洁队伍巡查发现机制作用，及时清除河道阻水物、地笼等网具；禁渔期内非法捕捞行为构成犯罪的，由公安部门立案查处。邀请电视台跟踪报道专项执法行动，形成全社会打击非法捕捞的震慑力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00"/>
        <w:textAlignment w:val="auto"/>
        <w:rPr>
          <w:rFonts w:ascii="楷体_GB2312" w:hAnsi="楷体_GB2312" w:eastAsia="楷体_GB2312" w:cs="楷体_GB2312"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Cs/>
          <w:sz w:val="32"/>
          <w:szCs w:val="32"/>
        </w:rPr>
        <w:t>（二）开展禁渔期日常巡查管理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严格落实内陆水域禁渔期制度，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2023</w:t>
      </w:r>
      <w:r>
        <w:rPr>
          <w:rFonts w:hint="eastAsia" w:ascii="仿宋_GB2312" w:hAnsi="仿宋_GB2312" w:eastAsia="仿宋_GB2312" w:cs="仿宋_GB2312"/>
          <w:sz w:val="32"/>
          <w:szCs w:val="32"/>
        </w:rPr>
        <w:t>年本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区</w:t>
      </w:r>
      <w:r>
        <w:rPr>
          <w:rFonts w:hint="eastAsia" w:ascii="仿宋_GB2312" w:hAnsi="仿宋_GB2312" w:eastAsia="仿宋_GB2312" w:cs="仿宋_GB2312"/>
          <w:sz w:val="32"/>
          <w:szCs w:val="32"/>
        </w:rPr>
        <w:t>内陆水域禁渔期时间为2月16日12时至5月16日12时，禁止除休闲垂钓外的所有捕捞作业类型，严厉打击“电、毒、炸、地笼”等严重破坏渔业资源的捕捞行为。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left="-105"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贯彻落实市渔业水域禁用渔具通告精神，内陆水域禁止使用插网、网簖、地笼网、机吸耙刺、机拖耙刺等破坏渔业资源的渔具。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left="-105"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区农业农村委执法大队要制定巡航检查计划，安排中国渔政31103船、摩托艇和执法车辆，落实禁渔期市级河道巡航执勤机制，增加日常巡查和夜间突击检查频次。区级河道、乡镇河道由各乡镇建立日常巡查处置机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ascii="楷体_GB2312" w:hAnsi="楷体_GB2312" w:eastAsia="楷体_GB2312" w:cs="楷体_GB2312"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Cs/>
          <w:sz w:val="32"/>
          <w:szCs w:val="32"/>
          <w:lang w:eastAsia="zh-CN"/>
        </w:rPr>
        <w:t>（</w:t>
      </w:r>
      <w:r>
        <w:rPr>
          <w:rFonts w:hint="eastAsia" w:ascii="楷体_GB2312" w:hAnsi="楷体_GB2312" w:eastAsia="楷体_GB2312" w:cs="楷体_GB2312"/>
          <w:bCs/>
          <w:sz w:val="32"/>
          <w:szCs w:val="32"/>
        </w:rPr>
        <w:t>三）强化专项执法和多部门联勤联动执法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持续开展渔政专项执法行动，专项执法采取白天与夜间、明查与暗访、陆上与水上相结合的检查模式；采用流动巡查、蹲点伏击等手段，加大打击力度，加强毗邻交界水域和举报集中水域执法检查；对在禁渔期内查获的电捕鱼等非法捕捞案件，积极开展行刑衔接，追究当事人刑事责任，用于非法捕捞作业的涉渔“三无”船舶随案扣押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区农业农村委、区公安分局、区水务局、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区</w:t>
      </w:r>
      <w:r>
        <w:rPr>
          <w:rFonts w:hint="eastAsia" w:ascii="仿宋_GB2312" w:hAnsi="仿宋_GB2312" w:eastAsia="仿宋_GB2312" w:cs="仿宋_GB2312"/>
          <w:sz w:val="32"/>
          <w:szCs w:val="32"/>
        </w:rPr>
        <w:t>河长办等部门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和乡镇</w:t>
      </w:r>
      <w:r>
        <w:rPr>
          <w:rFonts w:hint="eastAsia" w:ascii="仿宋_GB2312" w:hAnsi="仿宋_GB2312" w:eastAsia="仿宋_GB2312" w:cs="仿宋_GB2312"/>
          <w:sz w:val="32"/>
          <w:szCs w:val="32"/>
        </w:rPr>
        <w:t>，建立联勤联动机制，在禁渔期内开展联合行动，对查获的非法捕捞行为由区农业农村委执法大队立案调查，对符合刑事立案标准的案件，移送公安机关立案查处。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乡镇、水务部门要加强内陆河道“三无”船舶的排查，开展清理整治。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00"/>
        <w:textAlignment w:val="auto"/>
        <w:rPr>
          <w:rFonts w:ascii="楷体_GB2312" w:hAnsi="楷体_GB2312" w:eastAsia="楷体_GB2312" w:cs="楷体_GB2312"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Cs/>
          <w:sz w:val="32"/>
          <w:szCs w:val="32"/>
        </w:rPr>
        <w:t>（四）开展禁用渔具专项检查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区农业农村委、区市场监管局、区公安分局等部门建立联合执法机制，检查渔具商店，对制造销售禁用渔具的行为严肃查处。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</w:rPr>
        <w:t>三、工作要求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ascii="楷体_GB2312" w:hAnsi="楷体_GB2312" w:eastAsia="楷体_GB2312" w:cs="楷体_GB2312"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Cs/>
          <w:sz w:val="32"/>
          <w:szCs w:val="32"/>
        </w:rPr>
        <w:t>（一）提高思想认识，加强组织领导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要树立大局意识，区农业农村委、区水务局、区公安分局、乡镇等单位要按照工作职责，细化落实内陆水域禁渔期管理方案，统筹执法力量，要以“打非”“清船”“清网”为契机，将日常监管纳入乡镇网格化和河长制管理平台，充分发挥河长制作用，严格落实内陆水域禁渔期制度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将内陆水域非法捕捞、禁用渔具管理纳入村级组织绩效考核，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每月通报工作情况。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ascii="楷体_GB2312" w:hAnsi="楷体_GB2312" w:eastAsia="楷体_GB2312" w:cs="楷体_GB2312"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Cs/>
          <w:sz w:val="32"/>
          <w:szCs w:val="32"/>
        </w:rPr>
        <w:t>（二）强化舆论宣传，注重信息收集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乡镇要开展多种形式的宣传活动，重点宣传内陆禁渔期、禁用渔具和涉渔“三无”船舶专项整治行动要求，做好“非法捕捞水产罪”司法解释的宣传；建立信息报送制度，乡镇要及时报送内陆水域非法捕捞整治情况，每月25日前上报《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2023</w:t>
      </w:r>
      <w:r>
        <w:rPr>
          <w:rFonts w:hint="eastAsia" w:ascii="仿宋_GB2312" w:hAnsi="仿宋_GB2312" w:eastAsia="仿宋_GB2312" w:cs="仿宋_GB2312"/>
          <w:sz w:val="32"/>
          <w:szCs w:val="32"/>
        </w:rPr>
        <w:t>年崇明区内陆水域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打击</w:t>
      </w:r>
      <w:r>
        <w:rPr>
          <w:rFonts w:hint="eastAsia" w:ascii="仿宋_GB2312" w:hAnsi="仿宋_GB2312" w:eastAsia="仿宋_GB2312" w:cs="仿宋_GB2312"/>
          <w:sz w:val="32"/>
          <w:szCs w:val="32"/>
        </w:rPr>
        <w:t>非法捕捞月报表》（附件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）。要积极落实信访举报核查，充分利用信访举报平台，针对性地开展专项整治行动。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ascii="楷体_GB2312" w:hAnsi="楷体_GB2312" w:eastAsia="楷体_GB2312" w:cs="楷体_GB2312"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Cs/>
          <w:sz w:val="32"/>
          <w:szCs w:val="32"/>
        </w:rPr>
        <w:t>（三）加强联勤联动，形成执法合力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区农业农村委、区公安分局、区水务局等部门开展联合执法行动，建立长效机制，畅通部门间执法信息交流。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1918" w:leftChars="304" w:hanging="1280" w:hangingChars="4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附件：1.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2023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崇明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区内陆水域禁渔期管理工作领导小组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1600" w:firstLineChars="5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.2023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年崇明区内陆水域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打击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非法捕捞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情况汇总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表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textAlignment w:val="auto"/>
        <w:rPr>
          <w:rFonts w:hint="eastAsia" w:ascii="黑体" w:hAnsi="黑体" w:eastAsia="黑体" w:cs="黑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textAlignment w:val="auto"/>
        <w:outlineLvl w:val="9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附件1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textAlignment w:val="auto"/>
        <w:outlineLvl w:val="9"/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w w:val="9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w w:val="90"/>
          <w:sz w:val="44"/>
          <w:szCs w:val="44"/>
          <w:lang w:eastAsia="zh-CN"/>
        </w:rPr>
        <w:t>2023</w:t>
      </w:r>
      <w:r>
        <w:rPr>
          <w:rFonts w:hint="eastAsia" w:ascii="方正小标宋简体" w:hAnsi="方正小标宋简体" w:eastAsia="方正小标宋简体" w:cs="方正小标宋简体"/>
          <w:b w:val="0"/>
          <w:bCs/>
          <w:w w:val="90"/>
          <w:sz w:val="44"/>
          <w:szCs w:val="44"/>
        </w:rPr>
        <w:t>年</w:t>
      </w:r>
      <w:r>
        <w:rPr>
          <w:rFonts w:hint="eastAsia" w:ascii="方正小标宋简体" w:hAnsi="方正小标宋简体" w:eastAsia="方正小标宋简体" w:cs="方正小标宋简体"/>
          <w:b w:val="0"/>
          <w:bCs/>
          <w:w w:val="90"/>
          <w:sz w:val="44"/>
          <w:szCs w:val="44"/>
          <w:lang w:eastAsia="zh-CN"/>
        </w:rPr>
        <w:t>崇明</w:t>
      </w:r>
      <w:r>
        <w:rPr>
          <w:rFonts w:hint="eastAsia" w:ascii="方正小标宋简体" w:hAnsi="方正小标宋简体" w:eastAsia="方正小标宋简体" w:cs="方正小标宋简体"/>
          <w:b w:val="0"/>
          <w:bCs/>
          <w:w w:val="90"/>
          <w:sz w:val="44"/>
          <w:szCs w:val="44"/>
        </w:rPr>
        <w:t>区内陆水域禁渔期管理工作领导小组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textAlignment w:val="auto"/>
        <w:outlineLvl w:val="9"/>
        <w:rPr>
          <w:rFonts w:hint="eastAsia" w:ascii="仿宋_GB2312" w:eastAsia="仿宋_GB2312"/>
          <w:sz w:val="30"/>
          <w:szCs w:val="3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right="-334" w:rightChars="-159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组  长：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管帮超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崇明区农业农村委员会          副主任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right="-334" w:rightChars="-159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副组长：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郁春泉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崇明区农业农村委员会执法大队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w w:val="90"/>
          <w:sz w:val="32"/>
          <w:szCs w:val="32"/>
          <w:lang w:eastAsia="zh-CN"/>
        </w:rPr>
        <w:t>大队长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right="-334" w:rightChars="-159" w:firstLine="1280" w:firstLineChars="4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陆国香  崇明区农业农村委员会养殖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业</w:t>
      </w:r>
      <w:r>
        <w:rPr>
          <w:rFonts w:hint="eastAsia" w:ascii="仿宋_GB2312" w:hAnsi="仿宋_GB2312" w:eastAsia="仿宋_GB2312" w:cs="仿宋_GB2312"/>
          <w:sz w:val="32"/>
          <w:szCs w:val="32"/>
        </w:rPr>
        <w:t>科  科长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right="-334" w:rightChars="-159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组  员：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陈春晖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崇明区长兴镇农业农村发展办    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right="-334" w:rightChars="-159" w:firstLine="1280" w:firstLineChars="4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夏斌罡  崇明区横沙乡农业农村发展办    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right="-334" w:rightChars="-159" w:firstLine="1280" w:firstLineChars="4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黄耀能  崇明区新村乡农业农村发展办    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right="-334" w:rightChars="-159" w:firstLine="1280" w:firstLineChars="4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夏利军  崇明区绿华镇农业农村发展办    副主任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right="-334" w:rightChars="-159" w:firstLine="1280" w:firstLineChars="4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赵任妒  崇明区三星镇农业农村发展办    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right="-334" w:rightChars="-159" w:firstLine="1280" w:firstLineChars="4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范春贤  崇明区庙镇农业农村发展办      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right="-334" w:rightChars="-159" w:firstLine="1280" w:firstLineChars="4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孙君帅  崇明区港西镇农业农村发展办    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right="-334" w:rightChars="-159" w:firstLine="1280" w:firstLineChars="4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袁超平  崇明区城桥镇农业农村发展办    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right="-334" w:rightChars="-159" w:firstLine="1280" w:firstLineChars="4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肖  军  崇明区建设镇农业农村发展办    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right="-334" w:rightChars="-159" w:firstLine="1280" w:firstLineChars="4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李  志  崇明区新河镇农业农村发展办    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right="-334" w:rightChars="-159" w:firstLine="1280" w:firstLineChars="4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崔  慈  崇明区竖新镇农业农村发展办    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right="-334" w:rightChars="-159" w:firstLine="1280" w:firstLineChars="4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施  凯  崇明区堡镇农业农村发展办      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right="-334" w:rightChars="-159" w:firstLine="1280" w:firstLineChars="4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李洪标  崇明区港沿镇农业农村发展办    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right="-334" w:rightChars="-159" w:firstLine="1280" w:firstLineChars="4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龚裕婷  崇明区向化镇农业农村发展办    副主任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right="-334" w:rightChars="-159" w:firstLine="1280" w:firstLineChars="4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陈  醇  崇明区中兴镇农业农村发展办    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right="-334" w:rightChars="-159" w:firstLine="1280" w:firstLineChars="4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陈凡毅  崇明区陈家镇农业农村发展办    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right="-334" w:rightChars="-159" w:firstLine="1280" w:firstLineChars="4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王维嫣  崇明区新海镇农业农村发展办    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right="-334" w:rightChars="-159" w:firstLine="1280" w:firstLineChars="4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顾  超  崇明区东平镇农业农村发展办    负责人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right="-334" w:rightChars="-159" w:firstLine="1280" w:firstLineChars="4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顾乾立  崇明区农业农村委员会执法大队  副中队长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right="-334" w:rightChars="-159" w:firstLine="1280" w:firstLineChars="4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line="480" w:lineRule="auto"/>
        <w:ind w:left="-359" w:leftChars="-171" w:right="-334" w:rightChars="-159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line="360" w:lineRule="auto"/>
        <w:rPr>
          <w:rFonts w:hint="eastAsia" w:ascii="仿宋_GB2312" w:eastAsia="仿宋_GB2312"/>
          <w:sz w:val="28"/>
          <w:szCs w:val="28"/>
        </w:rPr>
      </w:pPr>
    </w:p>
    <w:p>
      <w:pPr>
        <w:rPr>
          <w:rFonts w:hint="eastAsia" w:ascii="仿宋_GB2312" w:eastAsia="仿宋_GB2312"/>
          <w:sz w:val="28"/>
          <w:szCs w:val="28"/>
        </w:rPr>
      </w:pPr>
    </w:p>
    <w:p>
      <w:pPr>
        <w:pStyle w:val="2"/>
        <w:rPr>
          <w:rFonts w:hint="eastAsia" w:ascii="仿宋_GB2312" w:eastAsia="仿宋_GB2312"/>
          <w:sz w:val="28"/>
          <w:szCs w:val="28"/>
        </w:rPr>
      </w:pPr>
    </w:p>
    <w:p>
      <w:pPr>
        <w:rPr>
          <w:rFonts w:hint="eastAsia" w:ascii="仿宋_GB2312" w:eastAsia="仿宋_GB2312"/>
          <w:sz w:val="28"/>
          <w:szCs w:val="28"/>
        </w:rPr>
      </w:pPr>
    </w:p>
    <w:p>
      <w:pPr>
        <w:pStyle w:val="2"/>
        <w:rPr>
          <w:rFonts w:hint="eastAsia" w:ascii="仿宋_GB2312" w:eastAsia="仿宋_GB2312"/>
          <w:sz w:val="28"/>
          <w:szCs w:val="28"/>
        </w:rPr>
      </w:pPr>
    </w:p>
    <w:p>
      <w:pPr>
        <w:rPr>
          <w:rFonts w:hint="eastAsia" w:ascii="仿宋_GB2312" w:eastAsia="仿宋_GB2312"/>
          <w:sz w:val="28"/>
          <w:szCs w:val="28"/>
        </w:rPr>
      </w:pPr>
    </w:p>
    <w:p>
      <w:pPr>
        <w:pStyle w:val="2"/>
        <w:rPr>
          <w:rFonts w:hint="eastAsia" w:ascii="仿宋_GB2312" w:eastAsia="仿宋_GB2312"/>
          <w:sz w:val="28"/>
          <w:szCs w:val="28"/>
        </w:rPr>
      </w:pPr>
    </w:p>
    <w:p>
      <w:pPr>
        <w:rPr>
          <w:rFonts w:hint="eastAsia" w:ascii="仿宋_GB2312" w:eastAsia="仿宋_GB2312"/>
          <w:sz w:val="28"/>
          <w:szCs w:val="28"/>
        </w:rPr>
      </w:pPr>
    </w:p>
    <w:p>
      <w:pPr>
        <w:pStyle w:val="2"/>
        <w:rPr>
          <w:rFonts w:hint="eastAsia" w:ascii="仿宋_GB2312" w:eastAsia="仿宋_GB2312"/>
          <w:sz w:val="28"/>
          <w:szCs w:val="28"/>
        </w:rPr>
      </w:pPr>
    </w:p>
    <w:p>
      <w:pPr>
        <w:rPr>
          <w:rFonts w:hint="eastAsia"/>
        </w:rPr>
      </w:pPr>
    </w:p>
    <w:p>
      <w:pPr>
        <w:pStyle w:val="2"/>
        <w:rPr>
          <w:rFonts w:hint="eastAsia"/>
        </w:rPr>
      </w:pPr>
    </w:p>
    <w:p>
      <w:pPr>
        <w:pStyle w:val="2"/>
        <w:rPr>
          <w:rFonts w:hint="eastAsia"/>
        </w:rPr>
      </w:pPr>
    </w:p>
    <w:p>
      <w:pPr>
        <w:rPr>
          <w:rFonts w:hint="eastAsia" w:ascii="黑体" w:hAnsi="黑体" w:eastAsia="黑体" w:cs="黑体"/>
          <w:sz w:val="32"/>
          <w:szCs w:val="32"/>
        </w:rPr>
      </w:pPr>
    </w:p>
    <w:p>
      <w:pPr>
        <w:rPr>
          <w:rFonts w:hint="eastAsia" w:ascii="黑体" w:hAnsi="黑体" w:eastAsia="黑体" w:cs="黑体"/>
          <w:sz w:val="32"/>
          <w:szCs w:val="32"/>
        </w:rPr>
      </w:pPr>
    </w:p>
    <w:p>
      <w:pPr>
        <w:rPr>
          <w:rFonts w:hint="eastAsia" w:ascii="黑体" w:hAnsi="黑体" w:eastAsia="黑体" w:cs="黑体"/>
          <w:sz w:val="32"/>
          <w:szCs w:val="32"/>
        </w:rPr>
      </w:pPr>
    </w:p>
    <w:p>
      <w:pPr>
        <w:widowControl/>
        <w:rPr>
          <w:rFonts w:ascii="黑体" w:hAnsi="黑体" w:eastAsia="黑体" w:cs="黑体"/>
          <w:kern w:val="0"/>
          <w:sz w:val="32"/>
          <w:szCs w:val="32"/>
        </w:rPr>
        <w:sectPr>
          <w:footerReference r:id="rId3" w:type="default"/>
          <w:pgSz w:w="11906" w:h="16838"/>
          <w:pgMar w:top="2098" w:right="1474" w:bottom="1984" w:left="1587" w:header="851" w:footer="992" w:gutter="0"/>
          <w:pgNumType w:fmt="numberInDash"/>
          <w:cols w:space="425" w:num="1"/>
          <w:docGrid w:linePitch="312" w:charSpace="0"/>
        </w:sectPr>
      </w:pPr>
    </w:p>
    <w:p>
      <w:pPr>
        <w:jc w:val="left"/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附件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2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36"/>
          <w:szCs w:val="36"/>
          <w:lang w:eastAsia="zh-CN"/>
        </w:rPr>
        <w:t>2023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36"/>
          <w:szCs w:val="36"/>
        </w:rPr>
        <w:t>年崇明区内陆水域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36"/>
          <w:szCs w:val="36"/>
          <w:lang w:eastAsia="zh-CN"/>
        </w:rPr>
        <w:t>打击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36"/>
          <w:szCs w:val="36"/>
        </w:rPr>
        <w:t>非法捕捞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36"/>
          <w:szCs w:val="36"/>
          <w:lang w:eastAsia="zh-CN"/>
        </w:rPr>
        <w:t>情况汇总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36"/>
          <w:szCs w:val="36"/>
        </w:rPr>
        <w:t>表</w:t>
      </w:r>
    </w:p>
    <w:p>
      <w:pPr>
        <w:pStyle w:val="2"/>
        <w:rPr>
          <w:rFonts w:hint="eastAsia"/>
        </w:rPr>
      </w:pPr>
    </w:p>
    <w:p>
      <w:pPr>
        <w:jc w:val="lef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单位：                                  填报人：                        填报时间：</w:t>
      </w:r>
    </w:p>
    <w:tbl>
      <w:tblPr>
        <w:tblStyle w:val="9"/>
        <w:tblW w:w="13858" w:type="dxa"/>
        <w:tblInd w:w="13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3"/>
        <w:gridCol w:w="1489"/>
        <w:gridCol w:w="1489"/>
        <w:gridCol w:w="1331"/>
        <w:gridCol w:w="1331"/>
        <w:gridCol w:w="1331"/>
        <w:gridCol w:w="1489"/>
        <w:gridCol w:w="1489"/>
        <w:gridCol w:w="1489"/>
        <w:gridCol w:w="163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5" w:hRule="atLeast"/>
        </w:trPr>
        <w:tc>
          <w:tcPr>
            <w:tcW w:w="7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项目</w:t>
            </w:r>
          </w:p>
        </w:tc>
        <w:tc>
          <w:tcPr>
            <w:tcW w:w="29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宣传发动</w:t>
            </w:r>
          </w:p>
        </w:tc>
        <w:tc>
          <w:tcPr>
            <w:tcW w:w="1009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清理整治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8" w:hRule="atLeast"/>
        </w:trPr>
        <w:tc>
          <w:tcPr>
            <w:tcW w:w="7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  <w:b/>
                <w:bCs/>
                <w:sz w:val="32"/>
                <w:szCs w:val="32"/>
              </w:rPr>
            </w:pPr>
          </w:p>
        </w:tc>
        <w:tc>
          <w:tcPr>
            <w:tcW w:w="14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113" w:right="113"/>
              <w:jc w:val="center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发放宣传材料</w:t>
            </w:r>
          </w:p>
        </w:tc>
        <w:tc>
          <w:tcPr>
            <w:tcW w:w="14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113" w:right="113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新媒体</w:t>
            </w:r>
          </w:p>
          <w:p>
            <w:pPr>
              <w:ind w:left="113" w:right="113"/>
              <w:jc w:val="center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宣传</w:t>
            </w:r>
          </w:p>
        </w:tc>
        <w:tc>
          <w:tcPr>
            <w:tcW w:w="13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113" w:right="113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出动</w:t>
            </w:r>
          </w:p>
          <w:p>
            <w:pPr>
              <w:ind w:left="113" w:right="113"/>
              <w:jc w:val="center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人员</w:t>
            </w:r>
          </w:p>
        </w:tc>
        <w:tc>
          <w:tcPr>
            <w:tcW w:w="13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113" w:right="113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出动</w:t>
            </w:r>
          </w:p>
          <w:p>
            <w:pPr>
              <w:ind w:left="113" w:right="113"/>
              <w:jc w:val="center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车辆</w:t>
            </w:r>
          </w:p>
        </w:tc>
        <w:tc>
          <w:tcPr>
            <w:tcW w:w="13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113" w:right="113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检查</w:t>
            </w:r>
          </w:p>
          <w:p>
            <w:pPr>
              <w:ind w:left="113" w:right="113"/>
              <w:jc w:val="center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河道</w:t>
            </w:r>
          </w:p>
        </w:tc>
        <w:tc>
          <w:tcPr>
            <w:tcW w:w="14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113" w:right="113"/>
              <w:jc w:val="center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开展联合整治</w:t>
            </w:r>
          </w:p>
        </w:tc>
        <w:tc>
          <w:tcPr>
            <w:tcW w:w="14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113" w:right="113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清理涉渔</w:t>
            </w:r>
          </w:p>
          <w:p>
            <w:pPr>
              <w:ind w:left="113" w:right="113"/>
              <w:jc w:val="center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“三无”船舶</w:t>
            </w:r>
          </w:p>
        </w:tc>
        <w:tc>
          <w:tcPr>
            <w:tcW w:w="14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113" w:right="113"/>
              <w:jc w:val="center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清理违规网具</w:t>
            </w:r>
          </w:p>
        </w:tc>
        <w:tc>
          <w:tcPr>
            <w:tcW w:w="1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113" w:right="113"/>
              <w:jc w:val="center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发现处置非法捕捞（电、毒、炸、地笼等）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78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数据</w:t>
            </w:r>
          </w:p>
        </w:tc>
        <w:tc>
          <w:tcPr>
            <w:tcW w:w="14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4"/>
              </w:rPr>
              <w:t>（份）</w:t>
            </w:r>
          </w:p>
        </w:tc>
        <w:tc>
          <w:tcPr>
            <w:tcW w:w="14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4"/>
              </w:rPr>
              <w:t>（次）</w:t>
            </w:r>
          </w:p>
        </w:tc>
        <w:tc>
          <w:tcPr>
            <w:tcW w:w="13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4"/>
              </w:rPr>
              <w:t>（人次）</w:t>
            </w:r>
          </w:p>
        </w:tc>
        <w:tc>
          <w:tcPr>
            <w:tcW w:w="13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4"/>
              </w:rPr>
              <w:t>（辆次）</w:t>
            </w:r>
          </w:p>
        </w:tc>
        <w:tc>
          <w:tcPr>
            <w:tcW w:w="13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4"/>
              </w:rPr>
              <w:t>（公里）</w:t>
            </w:r>
          </w:p>
        </w:tc>
        <w:tc>
          <w:tcPr>
            <w:tcW w:w="14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4"/>
              </w:rPr>
              <w:t>（次）</w:t>
            </w:r>
          </w:p>
        </w:tc>
        <w:tc>
          <w:tcPr>
            <w:tcW w:w="14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4"/>
              </w:rPr>
              <w:t>（艘）</w:t>
            </w:r>
          </w:p>
        </w:tc>
        <w:tc>
          <w:tcPr>
            <w:tcW w:w="14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4"/>
              </w:rPr>
              <w:t>（顶、类型、地点）</w:t>
            </w:r>
          </w:p>
        </w:tc>
        <w:tc>
          <w:tcPr>
            <w:tcW w:w="1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4"/>
              </w:rPr>
              <w:t>（起、时间、地点）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36" w:hRule="atLeast"/>
        </w:trPr>
        <w:tc>
          <w:tcPr>
            <w:tcW w:w="78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  <w:b/>
                <w:bCs/>
                <w:sz w:val="32"/>
                <w:szCs w:val="32"/>
              </w:rPr>
            </w:pPr>
          </w:p>
        </w:tc>
        <w:tc>
          <w:tcPr>
            <w:tcW w:w="14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113" w:right="113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113" w:right="113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3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113" w:right="113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3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113" w:right="113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3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113" w:right="113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113" w:right="113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113" w:right="113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113" w:right="113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113" w:right="113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</w:tr>
    </w:tbl>
    <w:p>
      <w:pPr>
        <w:jc w:val="left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备注：1.宣传、清理网具和“三无”船舶需同时上报照片，附时间地点。</w:t>
      </w:r>
    </w:p>
    <w:p>
      <w:pPr>
        <w:jc w:val="left"/>
        <w:sectPr>
          <w:pgSz w:w="16838" w:h="11906" w:orient="landscape"/>
          <w:pgMar w:top="2098" w:right="1474" w:bottom="1984" w:left="1587" w:header="851" w:footer="992" w:gutter="0"/>
          <w:pgNumType w:fmt="numberInDash"/>
          <w:cols w:space="425" w:num="1"/>
          <w:docGrid w:linePitch="312" w:charSpace="0"/>
        </w:sectPr>
      </w:pPr>
      <w:r>
        <w:rPr>
          <w:rFonts w:ascii="仿宋" w:hAnsi="仿宋" w:eastAsia="仿宋"/>
          <w:sz w:val="24"/>
        </w:rPr>
        <w:t xml:space="preserve">      2.</w:t>
      </w:r>
      <w:r>
        <w:rPr>
          <w:rFonts w:hint="eastAsia" w:ascii="仿宋" w:hAnsi="仿宋" w:eastAsia="仿宋"/>
          <w:sz w:val="24"/>
        </w:rPr>
        <w:t>月报表</w:t>
      </w:r>
      <w:r>
        <w:rPr>
          <w:rFonts w:ascii="仿宋" w:hAnsi="仿宋" w:eastAsia="仿宋"/>
          <w:sz w:val="24"/>
        </w:rPr>
        <w:t>自</w:t>
      </w:r>
      <w:r>
        <w:rPr>
          <w:rFonts w:hint="eastAsia" w:ascii="仿宋" w:hAnsi="仿宋" w:eastAsia="仿宋"/>
          <w:sz w:val="24"/>
        </w:rPr>
        <w:t>2月</w:t>
      </w:r>
      <w:r>
        <w:rPr>
          <w:rFonts w:ascii="仿宋" w:hAnsi="仿宋" w:eastAsia="仿宋"/>
          <w:sz w:val="24"/>
        </w:rPr>
        <w:t>起，</w:t>
      </w:r>
      <w:r>
        <w:rPr>
          <w:rFonts w:hint="eastAsia" w:ascii="仿宋" w:hAnsi="仿宋" w:eastAsia="仿宋"/>
          <w:sz w:val="24"/>
        </w:rPr>
        <w:t>每月25日</w:t>
      </w:r>
      <w:r>
        <w:rPr>
          <w:rFonts w:ascii="仿宋" w:hAnsi="仿宋" w:eastAsia="仿宋"/>
          <w:sz w:val="24"/>
        </w:rPr>
        <w:t>前上报。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14" w:lineRule="exact"/>
        <w:textAlignment w:val="auto"/>
        <w:outlineLvl w:val="9"/>
        <w:rPr>
          <w:rFonts w:hint="default"/>
          <w:lang w:val="en-US" w:eastAsia="zh-CN"/>
        </w:rPr>
      </w:pPr>
    </w:p>
    <w:sectPr>
      <w:footerReference r:id="rId4" w:type="default"/>
      <w:pgSz w:w="11906" w:h="16838"/>
      <w:pgMar w:top="2098" w:right="1474" w:bottom="1984" w:left="1587" w:header="851" w:footer="992" w:gutter="0"/>
      <w:pgNumType w:fmt="numberInDash"/>
      <w:cols w:space="0" w:num="1"/>
      <w:rtlGutter w:val="0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decorative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right"/>
      <w:rPr>
        <w:sz w:val="24"/>
      </w:rPr>
    </w:pPr>
    <w:r>
      <w:rPr>
        <w:sz w:val="24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10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keepNext w:val="0"/>
                            <w:keepLines w:val="0"/>
                            <w:pageBreakBefore w:val="0"/>
                            <w:widowControl w:val="0"/>
                            <w:kinsoku/>
                            <w:wordWrap/>
                            <w:overflowPunct/>
                            <w:topLinePunct w:val="0"/>
                            <w:autoSpaceDE/>
                            <w:autoSpaceDN/>
                            <w:bidi w:val="0"/>
                            <w:adjustRightInd/>
                            <w:snapToGrid w:val="0"/>
                            <w:spacing w:line="240" w:lineRule="exact"/>
                            <w:textAlignment w:val="auto"/>
                            <w:outlineLvl w:val="9"/>
                            <w:rPr>
                              <w:rFonts w:hint="eastAsia" w:asciiTheme="minorEastAsia" w:hAnsiTheme="minorEastAsia" w:eastAsiaTheme="minorEastAsia" w:cstheme="minorEastAsia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4"/>
                              <w:szCs w:val="24"/>
                            </w:rPr>
                            <w:t xml:space="preserve"> 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5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keepNext w:val="0"/>
                      <w:keepLines w:val="0"/>
                      <w:pageBreakBefore w:val="0"/>
                      <w:widowControl w:val="0"/>
                      <w:kinsoku/>
                      <w:wordWrap/>
                      <w:overflowPunct/>
                      <w:topLinePunct w:val="0"/>
                      <w:autoSpaceDE/>
                      <w:autoSpaceDN/>
                      <w:bidi w:val="0"/>
                      <w:adjustRightInd/>
                      <w:snapToGrid w:val="0"/>
                      <w:spacing w:line="240" w:lineRule="exact"/>
                      <w:textAlignment w:val="auto"/>
                      <w:outlineLvl w:val="9"/>
                      <w:rPr>
                        <w:rFonts w:hint="eastAsia" w:asciiTheme="minorEastAsia" w:hAnsiTheme="minorEastAsia" w:eastAsiaTheme="minorEastAsia" w:cstheme="minorEastAsia"/>
                        <w:sz w:val="24"/>
                        <w:szCs w:val="24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2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4"/>
                        <w:szCs w:val="24"/>
                      </w:rPr>
                      <w:t xml:space="preserve"> </w:t>
                    </w:r>
                  </w:p>
                </w:txbxContent>
              </v:textbox>
            </v:shape>
          </w:pict>
        </mc:Fallback>
      </mc:AlternateContent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right"/>
      <w:rPr>
        <w:sz w:val="24"/>
      </w:rPr>
    </w:pP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M2NWY5ZDE0NzliODIwNDgxNTFmMzE5NDliN2I2MjkifQ=="/>
  </w:docVars>
  <w:rsids>
    <w:rsidRoot w:val="12472389"/>
    <w:rsid w:val="000525BD"/>
    <w:rsid w:val="001D327B"/>
    <w:rsid w:val="001E00CD"/>
    <w:rsid w:val="001F0513"/>
    <w:rsid w:val="00321E4E"/>
    <w:rsid w:val="00465CB8"/>
    <w:rsid w:val="0047355D"/>
    <w:rsid w:val="0048312B"/>
    <w:rsid w:val="00577EA3"/>
    <w:rsid w:val="0059070A"/>
    <w:rsid w:val="005B5D05"/>
    <w:rsid w:val="0069422E"/>
    <w:rsid w:val="007068BD"/>
    <w:rsid w:val="00767990"/>
    <w:rsid w:val="00771930"/>
    <w:rsid w:val="00787C8D"/>
    <w:rsid w:val="007D2282"/>
    <w:rsid w:val="00812C91"/>
    <w:rsid w:val="009634AD"/>
    <w:rsid w:val="00B101D9"/>
    <w:rsid w:val="00B247A6"/>
    <w:rsid w:val="00B7719A"/>
    <w:rsid w:val="00BE47AB"/>
    <w:rsid w:val="00C34638"/>
    <w:rsid w:val="00C71E3C"/>
    <w:rsid w:val="00CA60D8"/>
    <w:rsid w:val="00DF3E98"/>
    <w:rsid w:val="00DF62F9"/>
    <w:rsid w:val="00E27FBF"/>
    <w:rsid w:val="00E627BC"/>
    <w:rsid w:val="00EB2AEE"/>
    <w:rsid w:val="00EF3A45"/>
    <w:rsid w:val="039470F5"/>
    <w:rsid w:val="08F875BE"/>
    <w:rsid w:val="0A416A71"/>
    <w:rsid w:val="0B100121"/>
    <w:rsid w:val="0D5F65AC"/>
    <w:rsid w:val="0DD126DC"/>
    <w:rsid w:val="0E583D9D"/>
    <w:rsid w:val="0E986105"/>
    <w:rsid w:val="11F7221E"/>
    <w:rsid w:val="12472389"/>
    <w:rsid w:val="1E1F3840"/>
    <w:rsid w:val="20C41134"/>
    <w:rsid w:val="21380F88"/>
    <w:rsid w:val="27143964"/>
    <w:rsid w:val="28CE372B"/>
    <w:rsid w:val="2BD41B07"/>
    <w:rsid w:val="2C826BEE"/>
    <w:rsid w:val="2C9A3CBC"/>
    <w:rsid w:val="2ED9161E"/>
    <w:rsid w:val="34E701E4"/>
    <w:rsid w:val="34EA4F23"/>
    <w:rsid w:val="365A7428"/>
    <w:rsid w:val="371A00A4"/>
    <w:rsid w:val="3BF23A62"/>
    <w:rsid w:val="3C0014AE"/>
    <w:rsid w:val="3C1B4BBD"/>
    <w:rsid w:val="49281CEF"/>
    <w:rsid w:val="4E271301"/>
    <w:rsid w:val="552E5085"/>
    <w:rsid w:val="56241CA2"/>
    <w:rsid w:val="58BA5DFB"/>
    <w:rsid w:val="5A28791D"/>
    <w:rsid w:val="66565DDE"/>
    <w:rsid w:val="6C4B3FAF"/>
    <w:rsid w:val="6CA62939"/>
    <w:rsid w:val="6EEB31B6"/>
    <w:rsid w:val="733D5778"/>
    <w:rsid w:val="780B0BA9"/>
    <w:rsid w:val="78BE718A"/>
    <w:rsid w:val="79BF3992"/>
    <w:rsid w:val="7B38059E"/>
    <w:rsid w:val="7C7627FC"/>
    <w:rsid w:val="7E6E0A63"/>
    <w:rsid w:val="7EE42DB7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iPriority="9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link w:val="10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link w:val="13"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Arial Unicode MS"/>
      <w:sz w:val="24"/>
      <w:szCs w:val="18"/>
    </w:rPr>
  </w:style>
  <w:style w:type="paragraph" w:styleId="4">
    <w:name w:val="Balloon Text"/>
    <w:basedOn w:val="1"/>
    <w:link w:val="14"/>
    <w:qFormat/>
    <w:uiPriority w:val="0"/>
    <w:rPr>
      <w:sz w:val="18"/>
      <w:szCs w:val="18"/>
    </w:rPr>
  </w:style>
  <w:style w:type="paragraph" w:styleId="5">
    <w:name w:val="header"/>
    <w:basedOn w:val="1"/>
    <w:link w:val="1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Title"/>
    <w:basedOn w:val="1"/>
    <w:next w:val="1"/>
    <w:link w:val="11"/>
    <w:qFormat/>
    <w:uiPriority w:val="0"/>
    <w:pPr>
      <w:spacing w:before="240" w:after="60"/>
      <w:jc w:val="center"/>
      <w:outlineLvl w:val="0"/>
    </w:pPr>
    <w:rPr>
      <w:rFonts w:asciiTheme="majorHAnsi" w:hAnsiTheme="majorHAnsi" w:eastAsiaTheme="majorEastAsia" w:cstheme="majorBidi"/>
      <w:b/>
      <w:bCs/>
      <w:sz w:val="32"/>
      <w:szCs w:val="32"/>
    </w:rPr>
  </w:style>
  <w:style w:type="table" w:styleId="9">
    <w:name w:val="Table Grid"/>
    <w:basedOn w:val="8"/>
    <w:unhideWhenUsed/>
    <w:qFormat/>
    <w:uiPriority w:val="99"/>
    <w:pPr>
      <w:widowControl w:val="0"/>
      <w:jc w:val="both"/>
    </w:pPr>
    <w:rPr>
      <w:rFonts w:eastAsia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标题 1 Char"/>
    <w:basedOn w:val="7"/>
    <w:link w:val="3"/>
    <w:qFormat/>
    <w:uiPriority w:val="0"/>
    <w:rPr>
      <w:b/>
      <w:bCs/>
      <w:kern w:val="44"/>
      <w:sz w:val="44"/>
      <w:szCs w:val="44"/>
    </w:rPr>
  </w:style>
  <w:style w:type="character" w:customStyle="1" w:styleId="11">
    <w:name w:val="标题 Char"/>
    <w:basedOn w:val="7"/>
    <w:link w:val="6"/>
    <w:qFormat/>
    <w:uiPriority w:val="0"/>
    <w:rPr>
      <w:rFonts w:asciiTheme="majorHAnsi" w:hAnsiTheme="majorHAnsi" w:eastAsiaTheme="majorEastAsia" w:cstheme="majorBidi"/>
      <w:b/>
      <w:bCs/>
      <w:kern w:val="2"/>
      <w:sz w:val="32"/>
      <w:szCs w:val="32"/>
    </w:rPr>
  </w:style>
  <w:style w:type="character" w:customStyle="1" w:styleId="12">
    <w:name w:val="页眉 Char"/>
    <w:basedOn w:val="7"/>
    <w:link w:val="5"/>
    <w:qFormat/>
    <w:uiPriority w:val="0"/>
    <w:rPr>
      <w:kern w:val="2"/>
      <w:sz w:val="18"/>
      <w:szCs w:val="18"/>
    </w:rPr>
  </w:style>
  <w:style w:type="character" w:customStyle="1" w:styleId="13">
    <w:name w:val="页脚 Char"/>
    <w:basedOn w:val="7"/>
    <w:link w:val="2"/>
    <w:qFormat/>
    <w:uiPriority w:val="99"/>
    <w:rPr>
      <w:rFonts w:ascii="Times New Roman" w:hAnsi="Times New Roman" w:eastAsia="Arial Unicode MS"/>
      <w:kern w:val="2"/>
      <w:sz w:val="24"/>
      <w:szCs w:val="18"/>
    </w:rPr>
  </w:style>
  <w:style w:type="character" w:customStyle="1" w:styleId="14">
    <w:name w:val="批注框文本 Char"/>
    <w:basedOn w:val="7"/>
    <w:link w:val="4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06753F9-A91B-4E10-A944-ECDB2BB5B20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9</Pages>
  <Words>2862</Words>
  <Characters>2945</Characters>
  <Lines>28</Lines>
  <Paragraphs>8</Paragraphs>
  <TotalTime>152</TotalTime>
  <ScaleCrop>false</ScaleCrop>
  <LinksUpToDate>false</LinksUpToDate>
  <CharactersWithSpaces>3301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2022-02-08T01:38:00Z</dcterms:created>
  <dc:creator>Administrator</dc:creator>
  <cp:lastModifiedBy>THE NEXT</cp:lastModifiedBy>
  <cp:lastPrinted>2023-02-10T01:16:10Z</cp:lastPrinted>
  <dcterms:modified xsi:type="dcterms:W3CDTF">2023-02-10T01:16:36Z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  <property fmtid="{D5CDD505-2E9C-101B-9397-08002B2CF9AE}" pid="3" name="ICV">
    <vt:lpwstr>560C0B8A06D343FAB84DDE676DD1A9A4</vt:lpwstr>
  </property>
</Properties>
</file>