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val="en-US" w:eastAsia="zh-CN"/>
        </w:rPr>
      </w:pPr>
    </w:p>
    <w:p>
      <w:pPr>
        <w:keepNext w:val="0"/>
        <w:keepLines w:val="0"/>
        <w:pageBreakBefore w:val="0"/>
        <w:kinsoku/>
        <w:overflowPunct/>
        <w:topLinePunct w:val="0"/>
        <w:autoSpaceDE/>
        <w:autoSpaceDN/>
        <w:bidi w:val="0"/>
        <w:spacing w:line="560" w:lineRule="exact"/>
        <w:jc w:val="center"/>
        <w:textAlignment w:val="auto"/>
        <w:outlineLvl w:val="9"/>
        <w:rPr>
          <w:rFonts w:hint="eastAsia" w:ascii="方正小标宋简体" w:hAnsi="方正小标宋简体" w:eastAsia="方正小标宋简体" w:cs="方正小标宋简体"/>
          <w:bCs/>
          <w:sz w:val="44"/>
          <w:szCs w:val="44"/>
        </w:rPr>
      </w:pPr>
      <w:bookmarkStart w:id="0" w:name="_GoBack"/>
      <w:r>
        <w:rPr>
          <w:rFonts w:hint="eastAsia" w:ascii="方正小标宋简体" w:hAnsi="方正小标宋简体" w:eastAsia="方正小标宋简体" w:cs="方正小标宋简体"/>
          <w:bCs/>
          <w:sz w:val="44"/>
          <w:szCs w:val="44"/>
          <w:lang w:eastAsia="zh-CN"/>
        </w:rPr>
        <w:t>本区</w:t>
      </w:r>
      <w:r>
        <w:rPr>
          <w:rFonts w:hint="eastAsia" w:ascii="方正小标宋简体" w:hAnsi="方正小标宋简体" w:eastAsia="方正小标宋简体" w:cs="方正小标宋简体"/>
          <w:bCs/>
          <w:sz w:val="44"/>
          <w:szCs w:val="44"/>
        </w:rPr>
        <w:t>开展森林火灾隐患排查整治</w:t>
      </w:r>
    </w:p>
    <w:p>
      <w:pPr>
        <w:keepNext w:val="0"/>
        <w:keepLines w:val="0"/>
        <w:pageBreakBefore w:val="0"/>
        <w:kinsoku/>
        <w:overflowPunct/>
        <w:topLinePunct w:val="0"/>
        <w:autoSpaceDE/>
        <w:autoSpaceDN/>
        <w:bidi w:val="0"/>
        <w:spacing w:line="560" w:lineRule="exact"/>
        <w:jc w:val="center"/>
        <w:textAlignment w:val="auto"/>
        <w:outlineLvl w:val="9"/>
        <w:rPr>
          <w:rFonts w:hint="eastAsia" w:ascii="方正小标宋简体" w:hAnsi="方正小标宋简体" w:eastAsia="方正小标宋简体" w:cs="方正小标宋简体"/>
          <w:bCs/>
          <w:sz w:val="44"/>
          <w:szCs w:val="44"/>
        </w:rPr>
      </w:pPr>
      <w:r>
        <w:rPr>
          <w:rFonts w:hint="eastAsia" w:ascii="方正小标宋简体" w:hAnsi="方正小标宋简体" w:eastAsia="方正小标宋简体" w:cs="方正小标宋简体"/>
          <w:bCs/>
          <w:sz w:val="44"/>
          <w:szCs w:val="44"/>
        </w:rPr>
        <w:t>和查处违规用火行为专项行动实施方案</w:t>
      </w:r>
    </w:p>
    <w:bookmarkEnd w:id="0"/>
    <w:p>
      <w:pPr>
        <w:keepNext w:val="0"/>
        <w:keepLines w:val="0"/>
        <w:pageBreakBefore w:val="0"/>
        <w:kinsoku/>
        <w:overflowPunct/>
        <w:topLinePunct w:val="0"/>
        <w:autoSpaceDE/>
        <w:autoSpaceDN/>
        <w:bidi w:val="0"/>
        <w:snapToGrid w:val="0"/>
        <w:spacing w:line="560" w:lineRule="exact"/>
        <w:textAlignment w:val="auto"/>
        <w:outlineLvl w:val="9"/>
        <w:rPr>
          <w:rFonts w:hint="eastAsia" w:ascii="仿宋_GB2312" w:hAnsi="仿宋_GB2312" w:eastAsia="仿宋_GB2312" w:cs="仿宋_GB2312"/>
          <w:sz w:val="32"/>
          <w:szCs w:val="32"/>
        </w:rPr>
      </w:pPr>
    </w:p>
    <w:p>
      <w:pPr>
        <w:keepNext w:val="0"/>
        <w:keepLines w:val="0"/>
        <w:pageBreakBefore w:val="0"/>
        <w:kinsoku/>
        <w:overflowPunct/>
        <w:topLinePunct w:val="0"/>
        <w:autoSpaceDE/>
        <w:autoSpaceDN/>
        <w:bidi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上海市</w:t>
      </w:r>
      <w:r>
        <w:rPr>
          <w:rFonts w:hint="eastAsia" w:ascii="仿宋_GB2312" w:hAnsi="仿宋_GB2312" w:eastAsia="仿宋_GB2312" w:cs="仿宋_GB2312"/>
          <w:sz w:val="32"/>
          <w:szCs w:val="32"/>
        </w:rPr>
        <w:t>森林防灭火指挥部办公室要求，</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森防指办公室联合</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绿化市容局、</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公安</w:t>
      </w:r>
      <w:r>
        <w:rPr>
          <w:rFonts w:hint="eastAsia" w:ascii="仿宋_GB2312" w:hAnsi="仿宋_GB2312" w:eastAsia="仿宋_GB2312" w:cs="仿宋_GB2312"/>
          <w:sz w:val="32"/>
          <w:szCs w:val="32"/>
          <w:lang w:eastAsia="zh-CN"/>
        </w:rPr>
        <w:t>分</w:t>
      </w:r>
      <w:r>
        <w:rPr>
          <w:rFonts w:hint="eastAsia" w:ascii="仿宋_GB2312" w:hAnsi="仿宋_GB2312" w:eastAsia="仿宋_GB2312" w:cs="仿宋_GB2312"/>
          <w:sz w:val="32"/>
          <w:szCs w:val="32"/>
        </w:rPr>
        <w:t>局、</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应急局、</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消防救援</w:t>
      </w:r>
      <w:r>
        <w:rPr>
          <w:rFonts w:hint="eastAsia" w:ascii="仿宋_GB2312" w:hAnsi="仿宋_GB2312" w:eastAsia="仿宋_GB2312" w:cs="仿宋_GB2312"/>
          <w:sz w:val="32"/>
          <w:szCs w:val="32"/>
          <w:lang w:eastAsia="zh-CN"/>
        </w:rPr>
        <w:t>支队</w:t>
      </w:r>
      <w:r>
        <w:rPr>
          <w:rFonts w:hint="eastAsia" w:ascii="仿宋_GB2312" w:hAnsi="仿宋_GB2312" w:eastAsia="仿宋_GB2312" w:cs="仿宋_GB2312"/>
          <w:sz w:val="32"/>
          <w:szCs w:val="32"/>
        </w:rPr>
        <w:t>组织开展森林火灾隐患排查整治和查处违规用火行为专项行动。现制定相关实施方案如下：</w:t>
      </w:r>
    </w:p>
    <w:p>
      <w:pPr>
        <w:keepNext w:val="0"/>
        <w:keepLines w:val="0"/>
        <w:pageBreakBefore w:val="0"/>
        <w:kinsoku/>
        <w:overflowPunct/>
        <w:topLinePunct w:val="0"/>
        <w:autoSpaceDE/>
        <w:autoSpaceDN/>
        <w:bidi w:val="0"/>
        <w:snapToGrid w:val="0"/>
        <w:spacing w:line="560" w:lineRule="exact"/>
        <w:ind w:firstLine="632"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一、总体目标</w:t>
      </w:r>
    </w:p>
    <w:p>
      <w:pPr>
        <w:keepNext w:val="0"/>
        <w:keepLines w:val="0"/>
        <w:pageBreakBefore w:val="0"/>
        <w:kinsoku/>
        <w:overflowPunct/>
        <w:topLinePunct w:val="0"/>
        <w:autoSpaceDE/>
        <w:autoSpaceDN/>
        <w:bidi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入学习贯彻习近平总书记关于森林草原防灭火工作的重要指示精神，按照李克强总理等领导同志重要批示要求，落实全国森林草原防灭火工作电视电话会议精神及市森林防灭火指挥部工作部署，坚持“防未、防危、防违”“打早、打小、打了”全链条管理，对森林火灾隐患进行全面排查整治，查处违规用火行为，切实从源头上防范化解森林火灾重大风险，真正把问题解决在萌芽之时、成灾之前，全力维护人民群众生命财产安全、国家生态安全与社会和谐稳定，以实际行动迎接党的二十大胜利召开。</w:t>
      </w:r>
    </w:p>
    <w:p>
      <w:pPr>
        <w:keepNext w:val="0"/>
        <w:keepLines w:val="0"/>
        <w:pageBreakBefore w:val="0"/>
        <w:kinsoku/>
        <w:overflowPunct/>
        <w:topLinePunct w:val="0"/>
        <w:autoSpaceDE/>
        <w:autoSpaceDN/>
        <w:bidi w:val="0"/>
        <w:snapToGrid w:val="0"/>
        <w:spacing w:line="560" w:lineRule="exact"/>
        <w:ind w:firstLine="632"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二、工作原则</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u w:val="none"/>
          <w:lang w:eastAsia="en-US"/>
        </w:rPr>
        <w:t>（一）坚持部门协同、压实责任。</w:t>
      </w:r>
      <w:r>
        <w:rPr>
          <w:rFonts w:hint="eastAsia" w:ascii="仿宋_GB2312" w:hAnsi="仿宋_GB2312" w:eastAsia="仿宋_GB2312" w:cs="仿宋_GB2312"/>
          <w:sz w:val="32"/>
          <w:szCs w:val="32"/>
        </w:rPr>
        <w:t>严格落实党政同责、一岗双责，强化党委政府领导责任，严格落实林业部门行业管理责任、应急管理部门和消防救援机构扑救责任、公安部门火案查处责任、经营单位防火主体责任，各相关部门加强协同配合，形成协调顺畅、配合紧密、调度有序的工作机制。</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u w:val="none"/>
          <w:lang w:eastAsia="en-US"/>
        </w:rPr>
        <w:t>（二）坚持统筹协调、分区施策。</w:t>
      </w:r>
      <w:r>
        <w:rPr>
          <w:rFonts w:hint="eastAsia" w:ascii="仿宋_GB2312" w:hAnsi="仿宋_GB2312" w:eastAsia="仿宋_GB2312" w:cs="仿宋_GB2312"/>
          <w:sz w:val="32"/>
          <w:szCs w:val="32"/>
        </w:rPr>
        <w:t>统筹安排隐患排查整治、查处违规用火行为各项工作，提高工作效率，减轻基层负担。根据森林火险区划等级、森林资源分布状况和火灾发生实际情况，对不同区域采取针对性措施，紧盯重要时段、重要部位、重要设施，科学开展专项行动。</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u w:val="none"/>
          <w:lang w:eastAsia="en-US"/>
        </w:rPr>
        <w:t>（三）坚持问题导向、务求实效。</w:t>
      </w:r>
      <w:r>
        <w:rPr>
          <w:rFonts w:hint="eastAsia" w:ascii="仿宋_GB2312" w:hAnsi="仿宋_GB2312" w:eastAsia="仿宋_GB2312" w:cs="仿宋_GB2312"/>
          <w:sz w:val="32"/>
          <w:szCs w:val="32"/>
        </w:rPr>
        <w:t>直面问题隐患，敢于较真碰硬，加大隐患排查整治力度，坚决依法查处违规用火行为。坚持边检查、边整改、边查处，及时堵塞漏洞。因责任不落实、措施不到位、排查整治流于形式等导致发生火灾的，要严肃追责。</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u w:val="none"/>
          <w:lang w:eastAsia="en-US"/>
        </w:rPr>
        <w:t>（四）坚持依法治火、筑牢防线。</w:t>
      </w:r>
      <w:r>
        <w:rPr>
          <w:rFonts w:hint="eastAsia" w:ascii="仿宋_GB2312" w:hAnsi="仿宋_GB2312" w:eastAsia="仿宋_GB2312" w:cs="仿宋_GB2312"/>
          <w:sz w:val="32"/>
          <w:szCs w:val="32"/>
        </w:rPr>
        <w:t>不断健全法规制度，完善标准规范，强化执法体系，拧紧责任链条，为依法治火、依法管火提供强大法制保障。注重普法宣传，开展警示教育，营造浓厚防火氛围，提升群众法治观念。</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三、行动方式及时间</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u w:val="none"/>
          <w:lang w:eastAsia="en-US"/>
        </w:rPr>
        <w:t>（一）行动方式。</w:t>
      </w:r>
      <w:r>
        <w:rPr>
          <w:rFonts w:hint="eastAsia" w:ascii="仿宋_GB2312" w:hAnsi="仿宋_GB2312" w:eastAsia="仿宋_GB2312" w:cs="仿宋_GB2312"/>
          <w:sz w:val="32"/>
          <w:szCs w:val="32"/>
        </w:rPr>
        <w:t>专项行动原则上以</w:t>
      </w:r>
      <w:r>
        <w:rPr>
          <w:rFonts w:hint="eastAsia" w:ascii="仿宋_GB2312" w:hAnsi="仿宋_GB2312" w:eastAsia="仿宋_GB2312" w:cs="仿宋_GB2312"/>
          <w:sz w:val="32"/>
          <w:szCs w:val="32"/>
          <w:lang w:eastAsia="zh-CN"/>
        </w:rPr>
        <w:t>各</w:t>
      </w:r>
      <w:r>
        <w:rPr>
          <w:rFonts w:hint="eastAsia" w:ascii="仿宋_GB2312" w:hAnsi="仿宋_GB2312" w:eastAsia="仿宋_GB2312" w:cs="仿宋_GB2312"/>
          <w:sz w:val="32"/>
          <w:szCs w:val="32"/>
        </w:rPr>
        <w:t>单位</w:t>
      </w:r>
      <w:r>
        <w:rPr>
          <w:rFonts w:hint="eastAsia" w:ascii="仿宋_GB2312" w:hAnsi="仿宋_GB2312" w:eastAsia="仿宋_GB2312" w:cs="仿宋_GB2312"/>
          <w:sz w:val="32"/>
          <w:szCs w:val="32"/>
          <w:lang w:eastAsia="zh-CN"/>
        </w:rPr>
        <w:t>自行</w:t>
      </w:r>
      <w:r>
        <w:rPr>
          <w:rFonts w:hint="eastAsia" w:ascii="仿宋_GB2312" w:hAnsi="仿宋_GB2312" w:eastAsia="仿宋_GB2312" w:cs="仿宋_GB2312"/>
          <w:sz w:val="32"/>
          <w:szCs w:val="32"/>
        </w:rPr>
        <w:t>组织实施，</w:t>
      </w:r>
      <w:r>
        <w:rPr>
          <w:rFonts w:hint="eastAsia" w:ascii="仿宋_GB2312" w:hAnsi="仿宋_GB2312" w:eastAsia="仿宋_GB2312" w:cs="仿宋_GB2312"/>
          <w:sz w:val="32"/>
          <w:szCs w:val="32"/>
          <w:lang w:eastAsia="zh-CN"/>
        </w:rPr>
        <w:t>各</w:t>
      </w:r>
      <w:r>
        <w:rPr>
          <w:rFonts w:hint="eastAsia" w:ascii="仿宋_GB2312" w:hAnsi="仿宋_GB2312" w:eastAsia="仿宋_GB2312" w:cs="仿宋_GB2312"/>
          <w:sz w:val="32"/>
          <w:szCs w:val="32"/>
        </w:rPr>
        <w:t>单位结合森林防灭火工作实际，成立工作领导小组，结合当地疫情防控和防灭火工作实际，制定工作方案并组织实施。</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u w:val="none"/>
        </w:rPr>
      </w:pPr>
      <w:r>
        <w:rPr>
          <w:rFonts w:hint="eastAsia" w:ascii="楷体_GB2312" w:hAnsi="楷体_GB2312" w:eastAsia="楷体_GB2312" w:cs="楷体_GB2312"/>
          <w:sz w:val="32"/>
          <w:szCs w:val="24"/>
          <w:u w:val="none"/>
          <w:lang w:eastAsia="en-US"/>
        </w:rPr>
        <w:t>（二）行动时间。</w:t>
      </w:r>
      <w:r>
        <w:rPr>
          <w:rFonts w:hint="eastAsia" w:ascii="仿宋_GB2312" w:hAnsi="仿宋_GB2312" w:eastAsia="仿宋_GB2312" w:cs="仿宋_GB2312"/>
          <w:color w:val="000000" w:themeColor="text1"/>
          <w:sz w:val="32"/>
          <w:szCs w:val="32"/>
          <w:u w:val="none"/>
          <w14:textFill>
            <w14:solidFill>
              <w14:schemeClr w14:val="tx1"/>
            </w14:solidFill>
          </w14:textFill>
        </w:rPr>
        <w:t>2022年</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5</w:t>
      </w:r>
      <w:r>
        <w:rPr>
          <w:rFonts w:hint="eastAsia" w:ascii="仿宋_GB2312" w:hAnsi="仿宋_GB2312" w:eastAsia="仿宋_GB2312" w:cs="仿宋_GB2312"/>
          <w:color w:val="000000" w:themeColor="text1"/>
          <w:sz w:val="32"/>
          <w:szCs w:val="32"/>
          <w:u w:val="none"/>
          <w14:textFill>
            <w14:solidFill>
              <w14:schemeClr w14:val="tx1"/>
            </w14:solidFill>
          </w14:textFill>
        </w:rPr>
        <w:t>月</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6</w:t>
      </w:r>
      <w:r>
        <w:rPr>
          <w:rFonts w:hint="eastAsia" w:ascii="仿宋_GB2312" w:hAnsi="仿宋_GB2312" w:eastAsia="仿宋_GB2312" w:cs="仿宋_GB2312"/>
          <w:color w:val="000000" w:themeColor="text1"/>
          <w:sz w:val="32"/>
          <w:szCs w:val="32"/>
          <w:u w:val="none"/>
          <w14:textFill>
            <w14:solidFill>
              <w14:schemeClr w14:val="tx1"/>
            </w14:solidFill>
          </w14:textFill>
        </w:rPr>
        <w:t>日—</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2022年</w:t>
      </w:r>
      <w:r>
        <w:rPr>
          <w:rFonts w:hint="eastAsia" w:ascii="仿宋_GB2312" w:hAnsi="仿宋_GB2312" w:eastAsia="仿宋_GB2312" w:cs="仿宋_GB2312"/>
          <w:color w:val="000000" w:themeColor="text1"/>
          <w:sz w:val="32"/>
          <w:szCs w:val="32"/>
          <w:u w:val="none"/>
          <w14:textFill>
            <w14:solidFill>
              <w14:schemeClr w14:val="tx1"/>
            </w14:solidFill>
          </w14:textFill>
        </w:rPr>
        <w:t>12月5日。</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黑体" w:hAnsi="黑体" w:eastAsia="黑体" w:cs="黑体"/>
          <w:sz w:val="32"/>
          <w:szCs w:val="32"/>
          <w:u w:val="none"/>
        </w:rPr>
      </w:pPr>
      <w:r>
        <w:rPr>
          <w:rFonts w:hint="eastAsia" w:ascii="黑体" w:hAnsi="黑体" w:eastAsia="黑体" w:cs="黑体"/>
          <w:sz w:val="32"/>
          <w:szCs w:val="32"/>
          <w:u w:val="none"/>
        </w:rPr>
        <w:t>四、行动内容</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专项行动包含森林火灾隐患排查整治和查处违规用火行为两个方面。</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（一）森林火灾隐患排查整治。</w:t>
      </w:r>
      <w:r>
        <w:rPr>
          <w:rFonts w:hint="eastAsia" w:ascii="仿宋_GB2312" w:hAnsi="仿宋_GB2312" w:eastAsia="仿宋_GB2312" w:cs="仿宋_GB2312"/>
          <w:sz w:val="32"/>
          <w:szCs w:val="32"/>
        </w:rPr>
        <w:t>各</w:t>
      </w:r>
      <w:r>
        <w:rPr>
          <w:rFonts w:hint="eastAsia" w:ascii="仿宋_GB2312" w:hAnsi="仿宋_GB2312" w:eastAsia="仿宋_GB2312" w:cs="仿宋_GB2312"/>
          <w:sz w:val="32"/>
          <w:szCs w:val="32"/>
          <w:lang w:eastAsia="zh-CN"/>
        </w:rPr>
        <w:t>乡镇</w:t>
      </w:r>
      <w:r>
        <w:rPr>
          <w:rFonts w:hint="eastAsia" w:ascii="仿宋_GB2312" w:hAnsi="仿宋_GB2312" w:eastAsia="仿宋_GB2312" w:cs="仿宋_GB2312"/>
          <w:sz w:val="32"/>
          <w:szCs w:val="32"/>
        </w:rPr>
        <w:t>和相关单位根据实施方案，在辖区内全面开展森林火灾隐患排查整治。根据《森林火灾隐患评价标准》( LY/T2245-2014)《国家林业和草原局森林草原防火督查工作管理办法（试行）》，按责任落实、火源管理（含火情早期处理）、防范措施、队伍建设、应急处置、宣传教育、设施设备和其他方面对隐患进行梳理归类，并明确责任、时限和整改目标，建立隐患排查整治台账。在全面排查治理的基础上，要因地制宜、突出重点，特别是加强对油气管道、输配电站、国有林场、森林公园、郊野公园、旅游景区、大型片林、</w:t>
      </w:r>
      <w:r>
        <w:rPr>
          <w:rFonts w:hint="eastAsia" w:ascii="仿宋_GB2312" w:hAnsi="仿宋_GB2312" w:eastAsia="仿宋_GB2312" w:cs="仿宋_GB2312"/>
          <w:sz w:val="32"/>
          <w:szCs w:val="32"/>
          <w:lang w:eastAsia="zh-CN"/>
        </w:rPr>
        <w:t>生态公益林、</w:t>
      </w:r>
      <w:r>
        <w:rPr>
          <w:rFonts w:hint="eastAsia" w:ascii="仿宋_GB2312" w:hAnsi="仿宋_GB2312" w:eastAsia="仿宋_GB2312" w:cs="仿宋_GB2312"/>
          <w:sz w:val="32"/>
          <w:szCs w:val="32"/>
        </w:rPr>
        <w:t>文博单位、在建工程等重要设施、重点部位的火灾风险隐患排查整治，确保整治到位。</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（二）查处违规用火行为。</w:t>
      </w:r>
      <w:r>
        <w:rPr>
          <w:rFonts w:hint="eastAsia" w:ascii="仿宋_GB2312" w:hAnsi="仿宋_GB2312" w:eastAsia="仿宋_GB2312" w:cs="仿宋_GB2312"/>
          <w:sz w:val="32"/>
          <w:szCs w:val="32"/>
        </w:rPr>
        <w:t>重点打击森林违规用火行为，整治危害防灭火安全的违规行为。</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违规农事用火。</w:t>
      </w:r>
      <w:r>
        <w:rPr>
          <w:rFonts w:hint="eastAsia" w:ascii="仿宋_GB2312" w:hAnsi="仿宋_GB2312" w:eastAsia="仿宋_GB2312" w:cs="仿宋_GB2312"/>
          <w:sz w:val="32"/>
          <w:szCs w:val="32"/>
        </w:rPr>
        <w:t>高火险天气在林缘、林内烧田埂、杂草、秸秆、灰积肥、垃圾及烧垦开荒等行为。</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违规祭祀用火。</w:t>
      </w:r>
      <w:r>
        <w:rPr>
          <w:rFonts w:hint="eastAsia" w:ascii="仿宋_GB2312" w:hAnsi="仿宋_GB2312" w:eastAsia="仿宋_GB2312" w:cs="仿宋_GB2312"/>
          <w:sz w:val="32"/>
          <w:szCs w:val="32"/>
        </w:rPr>
        <w:t>在林缘、林内焚烧纸钱、上香点烛、燃放花炮、焚香祭祀等行为。</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其他违规生产性用火。</w:t>
      </w:r>
      <w:r>
        <w:rPr>
          <w:rFonts w:hint="eastAsia" w:ascii="仿宋_GB2312" w:hAnsi="仿宋_GB2312" w:eastAsia="仿宋_GB2312" w:cs="仿宋_GB2312"/>
          <w:sz w:val="32"/>
          <w:szCs w:val="32"/>
        </w:rPr>
        <w:t>未经审批、未在允许天气条件、未按操作规程开展烧疫木、防虫防疫、点烧隔离带等行为。林地建设、施工单位未履行报备许可手续或未履行隔离防护措施进行焊接、切割、爆破、冶炼等行为。</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违规非生产性用火。</w:t>
      </w:r>
      <w:r>
        <w:rPr>
          <w:rFonts w:hint="eastAsia" w:ascii="仿宋_GB2312" w:hAnsi="仿宋_GB2312" w:eastAsia="仿宋_GB2312" w:cs="仿宋_GB2312"/>
          <w:sz w:val="32"/>
          <w:szCs w:val="32"/>
        </w:rPr>
        <w:t>林地、旅游景区野外吸烟、篝火、烧烤、野炊和燃放花炮、放孔明灯等行为，以及有关规定禁止的其他违规用火行为。</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黑体" w:hAnsi="黑体" w:eastAsia="黑体" w:cs="黑体"/>
          <w:sz w:val="32"/>
          <w:szCs w:val="32"/>
        </w:rPr>
      </w:pPr>
      <w:r>
        <w:rPr>
          <w:rFonts w:hint="eastAsia" w:ascii="黑体" w:hAnsi="黑体" w:eastAsia="黑体" w:cs="黑体"/>
          <w:sz w:val="32"/>
          <w:szCs w:val="32"/>
        </w:rPr>
        <w:t>五、行动要求</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（一）加强组织领导。</w:t>
      </w:r>
      <w:r>
        <w:rPr>
          <w:rFonts w:hint="eastAsia" w:ascii="仿宋_GB2312" w:hAnsi="仿宋_GB2312" w:eastAsia="仿宋_GB2312" w:cs="仿宋_GB2312"/>
          <w:sz w:val="32"/>
          <w:szCs w:val="32"/>
        </w:rPr>
        <w:t>各单位要严格落实党政同责、一岗双责，切实把专项行动摆上重要议事日程，成立专项行动领导小组，结合实际推动行动走深走实。</w:t>
      </w:r>
      <w:r>
        <w:rPr>
          <w:rFonts w:hint="eastAsia" w:ascii="仿宋_GB2312" w:hAnsi="仿宋_GB2312" w:eastAsia="仿宋_GB2312" w:cs="仿宋_GB2312"/>
          <w:sz w:val="32"/>
          <w:szCs w:val="32"/>
          <w:u w:val="none"/>
        </w:rPr>
        <w:t>坚持属地管理、分级管理的原则，区森防指</w:t>
      </w:r>
      <w:r>
        <w:rPr>
          <w:rFonts w:hint="eastAsia" w:ascii="仿宋_GB2312" w:hAnsi="仿宋_GB2312" w:eastAsia="仿宋_GB2312" w:cs="仿宋_GB2312"/>
          <w:sz w:val="32"/>
          <w:szCs w:val="32"/>
          <w:u w:val="none"/>
          <w:lang w:eastAsia="zh-CN"/>
        </w:rPr>
        <w:t>办公室</w:t>
      </w:r>
      <w:r>
        <w:rPr>
          <w:rFonts w:hint="eastAsia" w:ascii="仿宋_GB2312" w:hAnsi="仿宋_GB2312" w:eastAsia="仿宋_GB2312" w:cs="仿宋_GB2312"/>
          <w:sz w:val="32"/>
          <w:szCs w:val="32"/>
          <w:u w:val="none"/>
        </w:rPr>
        <w:t>发挥牵头抓总作用，协调各有关部门协同推进、形成合力。</w:t>
      </w:r>
      <w:r>
        <w:rPr>
          <w:rFonts w:hint="eastAsia" w:ascii="仿宋_GB2312" w:hAnsi="仿宋_GB2312" w:eastAsia="仿宋_GB2312" w:cs="仿宋_GB2312"/>
          <w:sz w:val="32"/>
          <w:szCs w:val="32"/>
        </w:rPr>
        <w:t>要上下联动，一级抓一级，层层抓落实，层层传导压力。</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（二）建立隐患台账。</w:t>
      </w:r>
      <w:r>
        <w:rPr>
          <w:rFonts w:hint="eastAsia" w:ascii="仿宋_GB2312" w:hAnsi="仿宋_GB2312" w:eastAsia="仿宋_GB2312" w:cs="仿宋_GB2312"/>
          <w:sz w:val="32"/>
          <w:szCs w:val="32"/>
        </w:rPr>
        <w:t>各单位要分别建立森林火灾隐患台账。对排查出的隐患分类整改，逐步推进，实行挂账销号制，对能够快速整改的隐患即知即改、立行立改；对能够采取措施、年内完成整改的隐患积极推进、限时整改；对推进困难、长期存在的隐患深入研究、制定步骤，长期推进。</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（三）加强督导检查。</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森防指办公室将专项行动作为2022年森林防灭火督查重要内容予以检查督办。对督查发现问题整改不及时、不到位的，可以通过约谈等手段督促整改。各</w:t>
      </w:r>
      <w:r>
        <w:rPr>
          <w:rFonts w:hint="eastAsia" w:ascii="仿宋_GB2312" w:hAnsi="仿宋_GB2312" w:eastAsia="仿宋_GB2312" w:cs="仿宋_GB2312"/>
          <w:sz w:val="32"/>
          <w:szCs w:val="32"/>
          <w:lang w:eastAsia="zh-CN"/>
        </w:rPr>
        <w:t>单位</w:t>
      </w:r>
      <w:r>
        <w:rPr>
          <w:rFonts w:hint="eastAsia" w:ascii="仿宋_GB2312" w:hAnsi="仿宋_GB2312" w:eastAsia="仿宋_GB2312" w:cs="仿宋_GB2312"/>
          <w:sz w:val="32"/>
          <w:szCs w:val="32"/>
        </w:rPr>
        <w:t>要及时组织对自查中发现的森林火灾隐患进行整改督办。</w:t>
      </w:r>
    </w:p>
    <w:p>
      <w:pPr>
        <w:keepNext w:val="0"/>
        <w:keepLines w:val="0"/>
        <w:pageBreakBefore w:val="0"/>
        <w:kinsoku/>
        <w:overflowPunct/>
        <w:topLinePunct w:val="0"/>
        <w:autoSpaceDE/>
        <w:autoSpaceDN/>
        <w:bidi w:val="0"/>
        <w:adjustRightInd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（四）强化警示教育。</w:t>
      </w:r>
      <w:r>
        <w:rPr>
          <w:rFonts w:hint="eastAsia" w:ascii="仿宋_GB2312" w:hAnsi="仿宋_GB2312" w:eastAsia="仿宋_GB2312" w:cs="仿宋_GB2312"/>
          <w:sz w:val="32"/>
          <w:szCs w:val="32"/>
        </w:rPr>
        <w:t>要及时曝光火灾肇事者和违规用火处罚案例，发现一起、查处一起、曝光一起、震慑一片，提升群众法治观念和防火自觉。探索建立违规用火有奖举报制度，广泛依靠群众、发动群众，筑牢火灾防控人民防线。</w:t>
      </w:r>
    </w:p>
    <w:p>
      <w:pPr>
        <w:keepNext w:val="0"/>
        <w:keepLines w:val="0"/>
        <w:pageBreakBefore w:val="0"/>
        <w:kinsoku/>
        <w:overflowPunct/>
        <w:topLinePunct w:val="0"/>
        <w:autoSpaceDE/>
        <w:autoSpaceDN/>
        <w:bidi w:val="0"/>
        <w:adjustRightInd/>
        <w:snapToGrid w:val="0"/>
        <w:spacing w:line="560" w:lineRule="exact"/>
        <w:ind w:firstLine="632" w:firstLineChars="200"/>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sz w:val="32"/>
          <w:szCs w:val="24"/>
          <w:lang w:eastAsia="en-US"/>
        </w:rPr>
        <w:t>（五）加强信息报送。</w:t>
      </w:r>
      <w:r>
        <w:rPr>
          <w:rFonts w:hint="eastAsia" w:ascii="仿宋_GB2312" w:hAnsi="仿宋_GB2312" w:eastAsia="仿宋_GB2312" w:cs="仿宋_GB2312"/>
          <w:sz w:val="32"/>
          <w:szCs w:val="32"/>
        </w:rPr>
        <w:t>各单位要确定一名工作联系人，及时总结报送专项行动做法、经验、成效等。其中，2022年5月2</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日前报送</w:t>
      </w:r>
      <w:r>
        <w:rPr>
          <w:rFonts w:hint="eastAsia" w:ascii="仿宋_GB2312" w:hAnsi="仿宋_GB2312" w:eastAsia="仿宋_GB2312" w:cs="仿宋_GB2312"/>
          <w:kern w:val="2"/>
          <w:sz w:val="32"/>
          <w:szCs w:val="32"/>
          <w:lang w:eastAsia="zh-CN"/>
        </w:rPr>
        <w:t>联络员回执表</w:t>
      </w:r>
      <w:r>
        <w:rPr>
          <w:rFonts w:hint="eastAsia" w:ascii="仿宋_GB2312" w:hAnsi="仿宋_GB2312" w:eastAsia="仿宋_GB2312" w:cs="仿宋_GB2312"/>
          <w:sz w:val="32"/>
          <w:szCs w:val="32"/>
        </w:rPr>
        <w:t>（见附件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专项行动情况统计表（见附件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）和森林火灾隐患排查整治台账（见附件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)；12月</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日前报送年终工作总结及更新后的情况统计表和隐患排查整治台账。</w:t>
      </w:r>
    </w:p>
    <w:p>
      <w:pPr>
        <w:keepNext w:val="0"/>
        <w:keepLines w:val="0"/>
        <w:pageBreakBefore w:val="0"/>
        <w:kinsoku/>
        <w:overflowPunct/>
        <w:topLinePunct w:val="0"/>
        <w:autoSpaceDE/>
        <w:autoSpaceDN/>
        <w:bidi w:val="0"/>
        <w:snapToGrid w:val="0"/>
        <w:spacing w:line="560" w:lineRule="exact"/>
        <w:ind w:firstLine="632" w:firstLineChars="200"/>
        <w:textAlignment w:val="auto"/>
        <w:outlineLvl w:val="9"/>
        <w:rPr>
          <w:rFonts w:hint="eastAsia" w:ascii="仿宋_GB2312" w:hAnsi="仿宋_GB2312" w:eastAsia="仿宋_GB2312" w:cs="仿宋_GB2312"/>
          <w:sz w:val="32"/>
          <w:szCs w:val="32"/>
        </w:rPr>
      </w:pPr>
    </w:p>
    <w:p>
      <w:pPr>
        <w:keepNext w:val="0"/>
        <w:keepLines w:val="0"/>
        <w:pageBreakBefore w:val="0"/>
        <w:kinsoku/>
        <w:overflowPunct/>
        <w:topLinePunct w:val="0"/>
        <w:autoSpaceDE/>
        <w:autoSpaceDN/>
        <w:bidi w:val="0"/>
        <w:snapToGrid w:val="0"/>
        <w:spacing w:line="560" w:lineRule="exact"/>
        <w:ind w:firstLine="632"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 xml:space="preserve">1. </w:t>
      </w:r>
      <w:r>
        <w:rPr>
          <w:rFonts w:hint="eastAsia" w:ascii="仿宋_GB2312" w:hAnsi="仿宋_GB2312" w:eastAsia="仿宋_GB2312" w:cs="仿宋_GB2312"/>
          <w:kern w:val="2"/>
          <w:sz w:val="32"/>
          <w:szCs w:val="32"/>
          <w:lang w:eastAsia="zh-CN"/>
        </w:rPr>
        <w:t>联络员回执表</w:t>
      </w:r>
    </w:p>
    <w:p>
      <w:pPr>
        <w:keepNext w:val="0"/>
        <w:keepLines w:val="0"/>
        <w:pageBreakBefore w:val="0"/>
        <w:kinsoku/>
        <w:overflowPunct/>
        <w:topLinePunct w:val="0"/>
        <w:autoSpaceDE/>
        <w:autoSpaceDN/>
        <w:bidi w:val="0"/>
        <w:snapToGrid w:val="0"/>
        <w:spacing w:line="560" w:lineRule="exact"/>
        <w:ind w:firstLine="1580" w:firstLineChars="5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专项行动情况统计表</w:t>
      </w:r>
    </w:p>
    <w:p>
      <w:pPr>
        <w:keepNext w:val="0"/>
        <w:keepLines w:val="0"/>
        <w:pageBreakBefore w:val="0"/>
        <w:kinsoku/>
        <w:overflowPunct/>
        <w:topLinePunct w:val="0"/>
        <w:autoSpaceDE/>
        <w:autoSpaceDN/>
        <w:bidi w:val="0"/>
        <w:snapToGrid w:val="0"/>
        <w:spacing w:line="560" w:lineRule="exact"/>
        <w:ind w:firstLine="1580" w:firstLineChars="5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．森林火灾隐患排查整治台账</w:t>
      </w:r>
    </w:p>
    <w:p>
      <w:pPr>
        <w:keepNext w:val="0"/>
        <w:keepLines w:val="0"/>
        <w:pageBreakBefore w:val="0"/>
        <w:kinsoku/>
        <w:overflowPunct/>
        <w:topLinePunct w:val="0"/>
        <w:autoSpaceDE/>
        <w:autoSpaceDN/>
        <w:bidi w:val="0"/>
        <w:snapToGrid w:val="0"/>
        <w:spacing w:line="560" w:lineRule="exact"/>
        <w:jc w:val="center"/>
        <w:textAlignment w:val="auto"/>
        <w:outlineLvl w:val="9"/>
        <w:rPr>
          <w:rFonts w:hint="eastAsia" w:ascii="仿宋_GB2312" w:hAnsi="仿宋_GB2312" w:eastAsia="仿宋_GB2312" w:cs="仿宋_GB2312"/>
          <w:sz w:val="32"/>
          <w:szCs w:val="32"/>
        </w:rPr>
      </w:pPr>
    </w:p>
    <w:p>
      <w:pPr>
        <w:keepNext w:val="0"/>
        <w:keepLines w:val="0"/>
        <w:pageBreakBefore w:val="0"/>
        <w:kinsoku/>
        <w:overflowPunct/>
        <w:topLinePunct w:val="0"/>
        <w:autoSpaceDE/>
        <w:autoSpaceDN/>
        <w:bidi w:val="0"/>
        <w:snapToGrid w:val="0"/>
        <w:spacing w:line="560" w:lineRule="exact"/>
        <w:jc w:val="center"/>
        <w:textAlignment w:val="auto"/>
        <w:outlineLvl w:val="9"/>
        <w:rPr>
          <w:rFonts w:hint="eastAsia" w:ascii="仿宋_GB2312" w:hAnsi="仿宋_GB2312" w:eastAsia="仿宋_GB2312" w:cs="仿宋_GB2312"/>
          <w:sz w:val="32"/>
          <w:szCs w:val="32"/>
        </w:rPr>
      </w:pPr>
    </w:p>
    <w:p>
      <w:pPr>
        <w:keepNext w:val="0"/>
        <w:keepLines w:val="0"/>
        <w:pageBreakBefore w:val="0"/>
        <w:kinsoku/>
        <w:wordWrap w:val="0"/>
        <w:overflowPunct/>
        <w:topLinePunct w:val="0"/>
        <w:autoSpaceDE/>
        <w:autoSpaceDN/>
        <w:bidi w:val="0"/>
        <w:snapToGrid w:val="0"/>
        <w:spacing w:line="560" w:lineRule="exact"/>
        <w:jc w:val="righ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kinsoku/>
        <w:overflowPunct/>
        <w:topLinePunct w:val="0"/>
        <w:autoSpaceDE/>
        <w:autoSpaceDN/>
        <w:bidi w:val="0"/>
        <w:snapToGrid w:val="0"/>
        <w:spacing w:line="560" w:lineRule="exact"/>
        <w:jc w:val="righ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br w:type="page"/>
      </w:r>
    </w:p>
    <w:p>
      <w:pPr>
        <w:pStyle w:val="3"/>
        <w:spacing w:line="560" w:lineRule="exact"/>
        <w:ind w:left="0" w:leftChars="0" w:firstLine="0" w:firstLineChars="0"/>
        <w:jc w:val="left"/>
        <w:rPr>
          <w:rFonts w:hint="eastAsia" w:ascii="黑体" w:hAnsi="黑体" w:eastAsia="黑体" w:cs="黑体"/>
          <w:color w:val="auto"/>
          <w:sz w:val="32"/>
          <w:lang w:eastAsia="zh-CN"/>
        </w:rPr>
      </w:pPr>
      <w:r>
        <w:rPr>
          <w:rFonts w:hint="eastAsia" w:ascii="黑体" w:hAnsi="黑体" w:eastAsia="黑体" w:cs="黑体"/>
          <w:color w:val="auto"/>
          <w:sz w:val="32"/>
          <w:lang w:eastAsia="zh-CN"/>
        </w:rPr>
        <w:t>附件1</w:t>
      </w:r>
    </w:p>
    <w:p>
      <w:pPr>
        <w:pStyle w:val="6"/>
        <w:rPr>
          <w:rFonts w:hint="eastAsia"/>
        </w:rPr>
      </w:pPr>
    </w:p>
    <w:p>
      <w:pPr>
        <w:pStyle w:val="6"/>
        <w:jc w:val="center"/>
        <w:rPr>
          <w:rFonts w:hint="eastAsia" w:ascii="仿宋" w:hAnsi="仿宋" w:eastAsia="方正小标宋简体" w:cs="方正黑体_GBK"/>
          <w:kern w:val="0"/>
          <w:sz w:val="44"/>
          <w:szCs w:val="44"/>
          <w:lang w:val="en-US" w:eastAsia="zh-CN" w:bidi="ar-SA"/>
        </w:rPr>
      </w:pPr>
      <w:r>
        <w:rPr>
          <w:rFonts w:hint="eastAsia" w:ascii="仿宋" w:hAnsi="仿宋" w:eastAsia="方正小标宋简体" w:cs="方正黑体_GBK"/>
          <w:kern w:val="0"/>
          <w:sz w:val="44"/>
          <w:szCs w:val="44"/>
          <w:lang w:val="en-US" w:eastAsia="zh-CN" w:bidi="ar-SA"/>
        </w:rPr>
        <w:t>联络员回执表</w:t>
      </w:r>
    </w:p>
    <w:p>
      <w:pPr>
        <w:pStyle w:val="6"/>
        <w:jc w:val="center"/>
        <w:rPr>
          <w:rFonts w:hint="eastAsia" w:ascii="方正小标宋简体" w:hAnsi="方正小标宋简体" w:eastAsia="方正小标宋简体" w:cs="方正小标宋简体"/>
          <w:kern w:val="0"/>
          <w:sz w:val="32"/>
          <w:szCs w:val="32"/>
          <w:lang w:eastAsia="zh-CN"/>
        </w:rPr>
      </w:pPr>
    </w:p>
    <w:tbl>
      <w:tblPr>
        <w:tblStyle w:val="11"/>
        <w:tblW w:w="92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21"/>
        <w:gridCol w:w="1579"/>
        <w:gridCol w:w="3271"/>
        <w:gridCol w:w="1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21" w:type="dxa"/>
          </w:tcPr>
          <w:p>
            <w:pPr>
              <w:jc w:val="center"/>
              <w:rPr>
                <w:rFonts w:hint="eastAsia"/>
                <w:sz w:val="28"/>
                <w:szCs w:val="28"/>
                <w:vertAlign w:val="baseline"/>
                <w:lang w:eastAsia="zh-CN"/>
              </w:rPr>
            </w:pPr>
            <w:r>
              <w:rPr>
                <w:rFonts w:hint="eastAsia"/>
                <w:sz w:val="28"/>
                <w:szCs w:val="28"/>
                <w:vertAlign w:val="baseline"/>
                <w:lang w:eastAsia="zh-CN"/>
              </w:rPr>
              <w:t>单位</w:t>
            </w:r>
          </w:p>
        </w:tc>
        <w:tc>
          <w:tcPr>
            <w:tcW w:w="1579" w:type="dxa"/>
          </w:tcPr>
          <w:p>
            <w:pPr>
              <w:jc w:val="center"/>
              <w:rPr>
                <w:rFonts w:hint="eastAsia"/>
                <w:sz w:val="28"/>
                <w:szCs w:val="28"/>
                <w:vertAlign w:val="baseline"/>
                <w:lang w:eastAsia="zh-CN"/>
              </w:rPr>
            </w:pPr>
            <w:r>
              <w:rPr>
                <w:rFonts w:hint="eastAsia"/>
                <w:sz w:val="28"/>
                <w:szCs w:val="28"/>
                <w:vertAlign w:val="baseline"/>
                <w:lang w:eastAsia="zh-CN"/>
              </w:rPr>
              <w:t>姓名</w:t>
            </w:r>
          </w:p>
        </w:tc>
        <w:tc>
          <w:tcPr>
            <w:tcW w:w="3271" w:type="dxa"/>
          </w:tcPr>
          <w:p>
            <w:pPr>
              <w:jc w:val="center"/>
              <w:rPr>
                <w:rFonts w:hint="eastAsia"/>
                <w:sz w:val="28"/>
                <w:szCs w:val="28"/>
                <w:vertAlign w:val="baseline"/>
                <w:lang w:eastAsia="zh-CN"/>
              </w:rPr>
            </w:pPr>
            <w:r>
              <w:rPr>
                <w:rFonts w:hint="eastAsia"/>
                <w:sz w:val="28"/>
                <w:szCs w:val="28"/>
                <w:vertAlign w:val="baseline"/>
                <w:lang w:eastAsia="zh-CN"/>
              </w:rPr>
              <w:t>联系方式</w:t>
            </w:r>
          </w:p>
        </w:tc>
        <w:tc>
          <w:tcPr>
            <w:tcW w:w="1288" w:type="dxa"/>
          </w:tcPr>
          <w:p>
            <w:pPr>
              <w:jc w:val="center"/>
              <w:rPr>
                <w:rFonts w:hint="eastAsia"/>
                <w:sz w:val="28"/>
                <w:szCs w:val="28"/>
                <w:vertAlign w:val="baseline"/>
                <w:lang w:eastAsia="zh-CN"/>
              </w:rPr>
            </w:pPr>
            <w:r>
              <w:rPr>
                <w:rFonts w:hint="eastAsia"/>
                <w:sz w:val="28"/>
                <w:szCs w:val="28"/>
                <w:vertAlign w:val="baseli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3121" w:type="dxa"/>
          </w:tcPr>
          <w:p>
            <w:pPr>
              <w:rPr>
                <w:rFonts w:hint="eastAsia"/>
                <w:vertAlign w:val="baseline"/>
                <w:lang w:eastAsia="zh-CN"/>
              </w:rPr>
            </w:pPr>
          </w:p>
        </w:tc>
        <w:tc>
          <w:tcPr>
            <w:tcW w:w="1579" w:type="dxa"/>
          </w:tcPr>
          <w:p>
            <w:pPr>
              <w:rPr>
                <w:rFonts w:hint="eastAsia"/>
                <w:vertAlign w:val="baseline"/>
                <w:lang w:eastAsia="zh-CN"/>
              </w:rPr>
            </w:pPr>
          </w:p>
        </w:tc>
        <w:tc>
          <w:tcPr>
            <w:tcW w:w="3271" w:type="dxa"/>
          </w:tcPr>
          <w:p>
            <w:pPr>
              <w:rPr>
                <w:rFonts w:hint="eastAsia"/>
                <w:vertAlign w:val="baseline"/>
                <w:lang w:eastAsia="zh-CN"/>
              </w:rPr>
            </w:pPr>
          </w:p>
        </w:tc>
        <w:tc>
          <w:tcPr>
            <w:tcW w:w="1288" w:type="dxa"/>
          </w:tcPr>
          <w:p>
            <w:pPr>
              <w:rPr>
                <w:rFonts w:hint="eastAsia"/>
                <w:vertAlign w:val="baseline"/>
                <w:lang w:eastAsia="zh-CN"/>
              </w:rPr>
            </w:pPr>
          </w:p>
        </w:tc>
      </w:tr>
    </w:tbl>
    <w:p>
      <w:pPr>
        <w:rPr>
          <w:rFonts w:hint="eastAsia"/>
          <w:lang w:eastAsia="zh-CN"/>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keepNext w:val="0"/>
        <w:keepLines w:val="0"/>
        <w:pageBreakBefore w:val="0"/>
        <w:widowControl/>
        <w:kinsoku/>
        <w:overflowPunct/>
        <w:topLinePunct w:val="0"/>
        <w:autoSpaceDE/>
        <w:autoSpaceDN/>
        <w:bidi w:val="0"/>
        <w:spacing w:line="560" w:lineRule="exact"/>
        <w:textAlignment w:val="auto"/>
        <w:outlineLvl w:val="9"/>
        <w:rPr>
          <w:rFonts w:hint="eastAsia" w:ascii="仿宋_GB2312" w:hAnsi="仿宋_GB2312" w:eastAsia="仿宋_GB2312" w:cs="仿宋_GB2312"/>
          <w:kern w:val="0"/>
          <w:sz w:val="32"/>
          <w:szCs w:val="32"/>
        </w:rPr>
      </w:pPr>
    </w:p>
    <w:p>
      <w:pPr>
        <w:rPr>
          <w:rFonts w:hint="eastAsia"/>
        </w:rPr>
      </w:pPr>
    </w:p>
    <w:p>
      <w:pPr>
        <w:pStyle w:val="3"/>
        <w:spacing w:line="560" w:lineRule="exact"/>
        <w:ind w:left="0" w:leftChars="0" w:firstLine="0" w:firstLineChars="0"/>
        <w:jc w:val="left"/>
        <w:rPr>
          <w:rFonts w:hint="eastAsia" w:ascii="黑体" w:hAnsi="黑体" w:eastAsia="黑体" w:cs="黑体"/>
          <w:color w:val="auto"/>
          <w:sz w:val="32"/>
          <w:lang w:eastAsia="zh-CN"/>
        </w:rPr>
      </w:pPr>
      <w:r>
        <w:rPr>
          <w:rFonts w:hint="eastAsia" w:ascii="黑体" w:hAnsi="黑体" w:eastAsia="黑体" w:cs="黑体"/>
          <w:color w:val="auto"/>
          <w:sz w:val="32"/>
          <w:lang w:eastAsia="zh-CN"/>
        </w:rPr>
        <w:t>附件</w:t>
      </w:r>
      <w:r>
        <w:rPr>
          <w:rFonts w:hint="eastAsia" w:ascii="黑体" w:hAnsi="黑体" w:eastAsia="黑体" w:cs="黑体"/>
          <w:color w:val="auto"/>
          <w:sz w:val="32"/>
          <w:lang w:val="en-US" w:eastAsia="zh-CN"/>
        </w:rPr>
        <w:t>2</w:t>
      </w:r>
    </w:p>
    <w:p>
      <w:pPr>
        <w:widowControl/>
        <w:snapToGrid w:val="0"/>
        <w:jc w:val="center"/>
        <w:rPr>
          <w:rFonts w:hint="eastAsia" w:ascii="仿宋" w:hAnsi="仿宋" w:eastAsia="方正小标宋简体" w:cs="方正黑体_GBK"/>
          <w:kern w:val="0"/>
          <w:sz w:val="44"/>
          <w:szCs w:val="44"/>
        </w:rPr>
      </w:pPr>
      <w:r>
        <w:rPr>
          <w:rFonts w:hint="eastAsia" w:ascii="仿宋" w:hAnsi="仿宋" w:eastAsia="方正小标宋简体" w:cs="方正黑体_GBK"/>
          <w:kern w:val="0"/>
          <w:sz w:val="44"/>
          <w:szCs w:val="44"/>
        </w:rPr>
        <w:t>专项行动情况统计表</w:t>
      </w:r>
    </w:p>
    <w:tbl>
      <w:tblPr>
        <w:tblStyle w:val="10"/>
        <w:tblW w:w="9124" w:type="dxa"/>
        <w:jc w:val="center"/>
        <w:tblInd w:w="0" w:type="dxa"/>
        <w:tblLayout w:type="fixed"/>
        <w:tblCellMar>
          <w:top w:w="0" w:type="dxa"/>
          <w:left w:w="108" w:type="dxa"/>
          <w:bottom w:w="0" w:type="dxa"/>
          <w:right w:w="108" w:type="dxa"/>
        </w:tblCellMar>
      </w:tblPr>
      <w:tblGrid>
        <w:gridCol w:w="4281"/>
        <w:gridCol w:w="2764"/>
        <w:gridCol w:w="2079"/>
      </w:tblGrid>
      <w:tr>
        <w:tblPrEx>
          <w:tblLayout w:type="fixed"/>
          <w:tblCellMar>
            <w:top w:w="0" w:type="dxa"/>
            <w:left w:w="108" w:type="dxa"/>
            <w:bottom w:w="0" w:type="dxa"/>
            <w:right w:w="108" w:type="dxa"/>
          </w:tblCellMar>
        </w:tblPrEx>
        <w:trPr>
          <w:trHeight w:val="567" w:hRule="exact"/>
          <w:jc w:val="center"/>
        </w:trPr>
        <w:tc>
          <w:tcPr>
            <w:tcW w:w="428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ascii="仿宋" w:hAnsi="仿宋" w:eastAsia="黑体" w:cs="方正仿宋_GBK"/>
                <w:color w:val="373737"/>
                <w:lang w:eastAsia="zh-CN"/>
              </w:rPr>
            </w:pPr>
            <w:r>
              <w:rPr>
                <w:rFonts w:hint="eastAsia" w:ascii="仿宋" w:hAnsi="仿宋" w:eastAsia="黑体" w:cs="方正仿宋_GBK"/>
                <w:color w:val="373737"/>
                <w:kern w:val="0"/>
                <w:sz w:val="30"/>
                <w:szCs w:val="30"/>
                <w:lang w:eastAsia="zh-CN" w:bidi="ar"/>
              </w:rPr>
              <w:t>项</w:t>
            </w:r>
            <w:r>
              <w:rPr>
                <w:rFonts w:hint="eastAsia" w:ascii="仿宋" w:hAnsi="仿宋" w:eastAsia="黑体" w:cs="方正仿宋_GBK"/>
                <w:color w:val="373737"/>
                <w:kern w:val="0"/>
                <w:sz w:val="30"/>
                <w:szCs w:val="30"/>
                <w:lang w:val="en-US" w:eastAsia="zh-CN" w:bidi="ar"/>
              </w:rPr>
              <w:t xml:space="preserve">  </w:t>
            </w:r>
            <w:r>
              <w:rPr>
                <w:rFonts w:hint="eastAsia" w:ascii="仿宋" w:hAnsi="仿宋" w:eastAsia="黑体" w:cs="方正仿宋_GBK"/>
                <w:color w:val="373737"/>
                <w:kern w:val="0"/>
                <w:sz w:val="30"/>
                <w:szCs w:val="30"/>
                <w:lang w:eastAsia="zh-CN" w:bidi="ar"/>
              </w:rPr>
              <w:t>目</w:t>
            </w:r>
          </w:p>
        </w:tc>
        <w:tc>
          <w:tcPr>
            <w:tcW w:w="4843"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hint="eastAsia" w:ascii="仿宋" w:hAnsi="仿宋" w:eastAsia="黑体" w:cs="方正仿宋_GBK"/>
                <w:color w:val="373737"/>
                <w:sz w:val="30"/>
                <w:szCs w:val="30"/>
              </w:rPr>
            </w:pPr>
            <w:r>
              <w:rPr>
                <w:rFonts w:hint="eastAsia" w:ascii="仿宋" w:hAnsi="仿宋" w:eastAsia="黑体" w:cs="方正仿宋_GBK"/>
                <w:color w:val="373737"/>
                <w:kern w:val="0"/>
                <w:sz w:val="30"/>
                <w:szCs w:val="30"/>
                <w:lang w:bidi="ar"/>
              </w:rPr>
              <w:t>数  量</w:t>
            </w:r>
          </w:p>
          <w:p>
            <w:pPr>
              <w:widowControl/>
              <w:jc w:val="center"/>
              <w:textAlignment w:val="center"/>
              <w:rPr>
                <w:rFonts w:ascii="仿宋" w:hAnsi="仿宋" w:eastAsia="黑体" w:cs="方正仿宋_GBK"/>
                <w:color w:val="373737"/>
              </w:rPr>
            </w:pPr>
            <w:r>
              <w:rPr>
                <w:rFonts w:hint="eastAsia" w:ascii="仿宋" w:hAnsi="仿宋" w:eastAsia="黑体" w:cs="方正仿宋_GBK"/>
                <w:color w:val="373737"/>
                <w:kern w:val="0"/>
                <w:lang w:bidi="ar"/>
              </w:rPr>
              <w:t>数量</w:t>
            </w:r>
          </w:p>
          <w:p>
            <w:pPr>
              <w:widowControl/>
              <w:jc w:val="center"/>
              <w:textAlignment w:val="center"/>
              <w:rPr>
                <w:rFonts w:ascii="仿宋" w:hAnsi="仿宋" w:eastAsia="黑体" w:cs="方正仿宋_GBK"/>
                <w:color w:val="373737"/>
              </w:rPr>
            </w:pPr>
            <w:r>
              <w:rPr>
                <w:rFonts w:hint="eastAsia" w:ascii="仿宋" w:hAnsi="仿宋" w:eastAsia="黑体" w:cs="方正仿宋_GBK"/>
                <w:color w:val="373737"/>
                <w:kern w:val="0"/>
                <w:lang w:bidi="ar"/>
              </w:rPr>
              <w:t>数量</w:t>
            </w:r>
          </w:p>
          <w:p>
            <w:pPr>
              <w:widowControl/>
              <w:jc w:val="center"/>
              <w:textAlignment w:val="center"/>
              <w:rPr>
                <w:rFonts w:ascii="仿宋" w:hAnsi="仿宋" w:eastAsia="黑体" w:cs="方正仿宋_GBK"/>
                <w:color w:val="373737"/>
              </w:rPr>
            </w:pPr>
            <w:r>
              <w:rPr>
                <w:rFonts w:hint="eastAsia" w:ascii="仿宋" w:hAnsi="仿宋" w:eastAsia="黑体" w:cs="方正仿宋_GBK"/>
                <w:color w:val="373737"/>
                <w:kern w:val="0"/>
                <w:lang w:bidi="ar"/>
              </w:rPr>
              <w:t>数量</w:t>
            </w: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制定专项行动方案（个）</w:t>
            </w:r>
          </w:p>
        </w:tc>
        <w:tc>
          <w:tcPr>
            <w:tcW w:w="4843"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派出检查组数量（个）</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出动人员数量（人次）</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排查火灾隐患（次）</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发放整改通知书（份）</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建立火灾隐患排查整治台账（份）</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整改火灾隐患（处）</w:t>
            </w:r>
          </w:p>
        </w:tc>
        <w:tc>
          <w:tcPr>
            <w:tcW w:w="4843" w:type="dxa"/>
            <w:gridSpan w:val="2"/>
            <w:tcBorders>
              <w:top w:val="single" w:color="000000" w:sz="4" w:space="0"/>
              <w:left w:val="single" w:color="000000" w:sz="4" w:space="0"/>
              <w:bottom w:val="nil"/>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restart"/>
            <w:tcBorders>
              <w:top w:val="single" w:color="000000" w:sz="4" w:space="0"/>
              <w:left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受理案件数量（起）</w:t>
            </w: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总数</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行政案件</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刑事案件</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restart"/>
            <w:tcBorders>
              <w:left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查处/破获案件数量（起）</w:t>
            </w: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总数</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行政案件</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刑事案件</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restart"/>
            <w:tcBorders>
              <w:left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打击处理和教育人员（人次）</w:t>
            </w: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总数</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行政处罚</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刑事拘留</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逮捕</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移送起诉</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vMerge w:val="continue"/>
            <w:tcBorders>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c>
          <w:tcPr>
            <w:tcW w:w="2764"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教育、劝阻人员</w:t>
            </w:r>
          </w:p>
        </w:tc>
        <w:tc>
          <w:tcPr>
            <w:tcW w:w="2079"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罚款金额（元）</w:t>
            </w:r>
          </w:p>
        </w:tc>
        <w:tc>
          <w:tcPr>
            <w:tcW w:w="4843"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追责问责人员（人次）</w:t>
            </w:r>
          </w:p>
        </w:tc>
        <w:tc>
          <w:tcPr>
            <w:tcW w:w="4843"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r>
        <w:tblPrEx>
          <w:tblLayout w:type="fixed"/>
          <w:tblCellMar>
            <w:top w:w="0" w:type="dxa"/>
            <w:left w:w="108" w:type="dxa"/>
            <w:bottom w:w="0" w:type="dxa"/>
            <w:right w:w="108" w:type="dxa"/>
          </w:tblCellMar>
        </w:tblPrEx>
        <w:trPr>
          <w:trHeight w:val="454" w:hRule="exact"/>
          <w:jc w:val="center"/>
        </w:trPr>
        <w:tc>
          <w:tcPr>
            <w:tcW w:w="4281" w:type="dxa"/>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r>
              <w:rPr>
                <w:rFonts w:hint="eastAsia"/>
                <w:sz w:val="28"/>
                <w:szCs w:val="28"/>
                <w:vertAlign w:val="baseline"/>
                <w:lang w:eastAsia="zh-CN"/>
              </w:rPr>
              <w:t>其他成效</w:t>
            </w:r>
          </w:p>
        </w:tc>
        <w:tc>
          <w:tcPr>
            <w:tcW w:w="4843"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hint="eastAsia"/>
                <w:sz w:val="28"/>
                <w:szCs w:val="28"/>
                <w:vertAlign w:val="baseline"/>
                <w:lang w:eastAsia="zh-CN"/>
              </w:rPr>
            </w:pPr>
          </w:p>
        </w:tc>
      </w:tr>
    </w:tbl>
    <w:p>
      <w:pPr>
        <w:spacing w:line="200" w:lineRule="exact"/>
        <w:rPr>
          <w:rFonts w:ascii="仿宋" w:hAnsi="仿宋" w:eastAsia="黑体"/>
        </w:rPr>
      </w:pPr>
    </w:p>
    <w:p>
      <w:pPr>
        <w:sectPr>
          <w:footerReference r:id="rId4" w:type="first"/>
          <w:footerReference r:id="rId3" w:type="default"/>
          <w:pgSz w:w="11906" w:h="16838"/>
          <w:pgMar w:top="2098" w:right="1474" w:bottom="1984" w:left="1587" w:header="851" w:footer="992" w:gutter="0"/>
          <w:pgNumType w:fmt="numberInDash" w:start="1"/>
          <w:cols w:space="425" w:num="1"/>
          <w:titlePg/>
          <w:docGrid w:type="linesAndChars" w:linePitch="579" w:charSpace="-849"/>
        </w:sectPr>
      </w:pPr>
      <w:r>
        <w:rPr>
          <w:rFonts w:ascii="仿宋" w:hAnsi="仿宋" w:eastAsia="黑体"/>
        </w:rPr>
        <w:br w:type="page"/>
      </w:r>
    </w:p>
    <w:p>
      <w:pPr>
        <w:pStyle w:val="3"/>
        <w:spacing w:line="560" w:lineRule="exact"/>
        <w:ind w:left="0" w:leftChars="0" w:firstLine="0" w:firstLineChars="0"/>
        <w:jc w:val="left"/>
        <w:rPr>
          <w:rFonts w:hint="eastAsia" w:ascii="黑体" w:hAnsi="黑体" w:eastAsia="黑体" w:cs="黑体"/>
          <w:color w:val="auto"/>
          <w:sz w:val="32"/>
          <w:lang w:eastAsia="zh-CN"/>
        </w:rPr>
      </w:pPr>
      <w:r>
        <w:rPr>
          <w:rFonts w:hint="eastAsia" w:ascii="黑体" w:hAnsi="黑体" w:eastAsia="黑体" w:cs="黑体"/>
          <w:color w:val="auto"/>
          <w:sz w:val="32"/>
          <w:lang w:eastAsia="zh-CN"/>
        </w:rPr>
        <w:t>附件</w:t>
      </w:r>
      <w:r>
        <w:rPr>
          <w:rFonts w:hint="eastAsia" w:ascii="黑体" w:hAnsi="黑体" w:eastAsia="黑体" w:cs="黑体"/>
          <w:color w:val="auto"/>
          <w:sz w:val="32"/>
          <w:lang w:val="en-US" w:eastAsia="zh-CN"/>
        </w:rPr>
        <w:t>3</w:t>
      </w:r>
    </w:p>
    <w:p>
      <w:pPr>
        <w:widowControl/>
        <w:snapToGrid w:val="0"/>
        <w:jc w:val="center"/>
        <w:rPr>
          <w:rFonts w:hint="eastAsia" w:ascii="仿宋" w:hAnsi="仿宋" w:eastAsia="方正小标宋简体" w:cs="方正黑体_GBK"/>
          <w:kern w:val="0"/>
          <w:sz w:val="44"/>
          <w:szCs w:val="44"/>
        </w:rPr>
      </w:pPr>
    </w:p>
    <w:p>
      <w:pPr>
        <w:widowControl/>
        <w:snapToGrid w:val="0"/>
        <w:jc w:val="center"/>
        <w:rPr>
          <w:rFonts w:hint="eastAsia" w:ascii="仿宋" w:hAnsi="仿宋" w:eastAsia="方正小标宋简体" w:cs="方正黑体_GBK"/>
          <w:kern w:val="0"/>
          <w:sz w:val="44"/>
          <w:szCs w:val="44"/>
        </w:rPr>
      </w:pPr>
      <w:r>
        <w:rPr>
          <w:rFonts w:hint="eastAsia" w:ascii="仿宋" w:hAnsi="仿宋" w:eastAsia="方正小标宋简体" w:cs="方正黑体_GBK"/>
          <w:kern w:val="0"/>
          <w:sz w:val="44"/>
          <w:szCs w:val="44"/>
        </w:rPr>
        <w:t>森林火灾隐患排查整治台账</w:t>
      </w:r>
    </w:p>
    <w:p>
      <w:pPr>
        <w:widowControl/>
        <w:adjustRightInd/>
        <w:snapToGrid w:val="0"/>
        <w:spacing w:line="240" w:lineRule="auto"/>
        <w:jc w:val="center"/>
        <w:rPr>
          <w:rFonts w:hint="eastAsia" w:ascii="仿宋" w:hAnsi="仿宋" w:eastAsia="黑体"/>
          <w:sz w:val="28"/>
          <w:szCs w:val="28"/>
          <w:lang w:val="en-US" w:eastAsia="zh-CN"/>
        </w:rPr>
      </w:pPr>
    </w:p>
    <w:tbl>
      <w:tblPr>
        <w:tblStyle w:val="10"/>
        <w:tblpPr w:leftFromText="180" w:rightFromText="180" w:vertAnchor="text" w:horzAnchor="margin" w:tblpXSpec="center" w:tblpY="562"/>
        <w:tblW w:w="137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985"/>
        <w:gridCol w:w="1483"/>
        <w:gridCol w:w="3247"/>
        <w:gridCol w:w="2377"/>
        <w:gridCol w:w="1712"/>
        <w:gridCol w:w="10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0" w:hRule="atLeast"/>
        </w:trPr>
        <w:tc>
          <w:tcPr>
            <w:tcW w:w="1951"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火灾隐患名称</w:t>
            </w:r>
          </w:p>
        </w:tc>
        <w:tc>
          <w:tcPr>
            <w:tcW w:w="1985"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隐患具体描述</w:t>
            </w:r>
          </w:p>
        </w:tc>
        <w:tc>
          <w:tcPr>
            <w:tcW w:w="1483"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地点</w:t>
            </w:r>
          </w:p>
        </w:tc>
        <w:tc>
          <w:tcPr>
            <w:tcW w:w="3247"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隐患整改类别</w:t>
            </w:r>
          </w:p>
          <w:p>
            <w:pPr>
              <w:adjustRightInd w:val="0"/>
              <w:snapToGrid w:val="0"/>
              <w:jc w:val="center"/>
              <w:rPr>
                <w:rFonts w:hint="eastAsia" w:ascii="仿宋" w:hAnsi="仿宋" w:eastAsia="黑体"/>
                <w:sz w:val="28"/>
                <w:szCs w:val="28"/>
              </w:rPr>
            </w:pPr>
            <w:r>
              <w:rPr>
                <w:rFonts w:hint="eastAsia" w:ascii="仿宋" w:hAnsi="仿宋" w:eastAsia="黑体"/>
                <w:sz w:val="28"/>
                <w:szCs w:val="28"/>
              </w:rPr>
              <w:t>（立即整改、限期整改、长期推进）</w:t>
            </w:r>
          </w:p>
        </w:tc>
        <w:tc>
          <w:tcPr>
            <w:tcW w:w="2377"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整改时限</w:t>
            </w:r>
          </w:p>
          <w:p>
            <w:pPr>
              <w:adjustRightInd w:val="0"/>
              <w:snapToGrid w:val="0"/>
              <w:jc w:val="center"/>
              <w:rPr>
                <w:rFonts w:hint="eastAsia" w:ascii="仿宋" w:hAnsi="仿宋" w:eastAsia="黑体"/>
                <w:sz w:val="28"/>
                <w:szCs w:val="28"/>
              </w:rPr>
            </w:pPr>
            <w:r>
              <w:rPr>
                <w:rFonts w:hint="eastAsia" w:ascii="仿宋" w:hAnsi="仿宋" w:eastAsia="黑体"/>
                <w:sz w:val="28"/>
                <w:szCs w:val="28"/>
              </w:rPr>
              <w:t>（已完成、整改预计完成时间）</w:t>
            </w:r>
          </w:p>
        </w:tc>
        <w:tc>
          <w:tcPr>
            <w:tcW w:w="1712"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责任人</w:t>
            </w:r>
          </w:p>
        </w:tc>
        <w:tc>
          <w:tcPr>
            <w:tcW w:w="1007" w:type="dxa"/>
            <w:vAlign w:val="center"/>
          </w:tcPr>
          <w:p>
            <w:pPr>
              <w:adjustRightInd w:val="0"/>
              <w:snapToGrid w:val="0"/>
              <w:jc w:val="center"/>
              <w:rPr>
                <w:rFonts w:hint="eastAsia" w:ascii="仿宋" w:hAnsi="仿宋" w:eastAsia="黑体"/>
                <w:sz w:val="28"/>
                <w:szCs w:val="28"/>
              </w:rPr>
            </w:pPr>
            <w:r>
              <w:rPr>
                <w:rFonts w:hint="eastAsia" w:ascii="仿宋" w:hAnsi="仿宋" w:eastAsia="黑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951" w:type="dxa"/>
            <w:vAlign w:val="center"/>
          </w:tcPr>
          <w:p>
            <w:pPr>
              <w:adjustRightInd w:val="0"/>
              <w:snapToGrid w:val="0"/>
              <w:spacing w:line="360" w:lineRule="auto"/>
              <w:rPr>
                <w:rFonts w:hint="eastAsia" w:ascii="仿宋" w:hAnsi="仿宋" w:eastAsia="黑体"/>
                <w:sz w:val="28"/>
                <w:szCs w:val="28"/>
              </w:rPr>
            </w:pPr>
          </w:p>
        </w:tc>
        <w:tc>
          <w:tcPr>
            <w:tcW w:w="1985" w:type="dxa"/>
            <w:vAlign w:val="center"/>
          </w:tcPr>
          <w:p>
            <w:pPr>
              <w:adjustRightInd w:val="0"/>
              <w:snapToGrid w:val="0"/>
              <w:spacing w:line="360" w:lineRule="auto"/>
              <w:rPr>
                <w:rFonts w:hint="eastAsia" w:ascii="仿宋" w:hAnsi="仿宋" w:eastAsia="黑体"/>
                <w:sz w:val="28"/>
                <w:szCs w:val="28"/>
              </w:rPr>
            </w:pPr>
          </w:p>
        </w:tc>
        <w:tc>
          <w:tcPr>
            <w:tcW w:w="1483" w:type="dxa"/>
            <w:vAlign w:val="center"/>
          </w:tcPr>
          <w:p>
            <w:pPr>
              <w:adjustRightInd w:val="0"/>
              <w:snapToGrid w:val="0"/>
              <w:spacing w:line="360" w:lineRule="auto"/>
              <w:rPr>
                <w:rFonts w:hint="eastAsia" w:ascii="仿宋" w:hAnsi="仿宋" w:eastAsia="黑体"/>
                <w:sz w:val="28"/>
                <w:szCs w:val="28"/>
              </w:rPr>
            </w:pPr>
          </w:p>
        </w:tc>
        <w:tc>
          <w:tcPr>
            <w:tcW w:w="3247" w:type="dxa"/>
            <w:vAlign w:val="center"/>
          </w:tcPr>
          <w:p>
            <w:pPr>
              <w:adjustRightInd w:val="0"/>
              <w:snapToGrid w:val="0"/>
              <w:spacing w:line="360" w:lineRule="auto"/>
              <w:rPr>
                <w:rFonts w:hint="eastAsia" w:ascii="仿宋" w:hAnsi="仿宋" w:eastAsia="黑体"/>
                <w:sz w:val="28"/>
                <w:szCs w:val="28"/>
              </w:rPr>
            </w:pPr>
          </w:p>
        </w:tc>
        <w:tc>
          <w:tcPr>
            <w:tcW w:w="2377" w:type="dxa"/>
            <w:vAlign w:val="center"/>
          </w:tcPr>
          <w:p>
            <w:pPr>
              <w:adjustRightInd w:val="0"/>
              <w:snapToGrid w:val="0"/>
              <w:spacing w:line="360" w:lineRule="auto"/>
              <w:rPr>
                <w:rFonts w:hint="eastAsia" w:ascii="仿宋" w:hAnsi="仿宋" w:eastAsia="黑体"/>
                <w:sz w:val="28"/>
                <w:szCs w:val="28"/>
              </w:rPr>
            </w:pPr>
          </w:p>
        </w:tc>
        <w:tc>
          <w:tcPr>
            <w:tcW w:w="1712" w:type="dxa"/>
            <w:vAlign w:val="center"/>
          </w:tcPr>
          <w:p>
            <w:pPr>
              <w:adjustRightInd w:val="0"/>
              <w:snapToGrid w:val="0"/>
              <w:spacing w:line="360" w:lineRule="auto"/>
              <w:rPr>
                <w:rFonts w:hint="eastAsia" w:ascii="仿宋" w:hAnsi="仿宋" w:eastAsia="黑体"/>
                <w:sz w:val="28"/>
                <w:szCs w:val="28"/>
              </w:rPr>
            </w:pPr>
          </w:p>
        </w:tc>
        <w:tc>
          <w:tcPr>
            <w:tcW w:w="1007" w:type="dxa"/>
            <w:vAlign w:val="center"/>
          </w:tcPr>
          <w:p>
            <w:pPr>
              <w:adjustRightInd w:val="0"/>
              <w:snapToGrid w:val="0"/>
              <w:spacing w:line="360" w:lineRule="auto"/>
              <w:rPr>
                <w:rFonts w:hint="eastAsia" w:ascii="仿宋" w:hAnsi="仿宋"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951" w:type="dxa"/>
            <w:vAlign w:val="center"/>
          </w:tcPr>
          <w:p>
            <w:pPr>
              <w:adjustRightInd w:val="0"/>
              <w:snapToGrid w:val="0"/>
              <w:spacing w:line="360" w:lineRule="auto"/>
              <w:rPr>
                <w:rFonts w:hint="eastAsia" w:ascii="仿宋" w:hAnsi="仿宋" w:eastAsia="黑体"/>
                <w:sz w:val="28"/>
                <w:szCs w:val="28"/>
              </w:rPr>
            </w:pPr>
          </w:p>
        </w:tc>
        <w:tc>
          <w:tcPr>
            <w:tcW w:w="1985" w:type="dxa"/>
            <w:vAlign w:val="center"/>
          </w:tcPr>
          <w:p>
            <w:pPr>
              <w:adjustRightInd w:val="0"/>
              <w:snapToGrid w:val="0"/>
              <w:spacing w:line="360" w:lineRule="auto"/>
              <w:rPr>
                <w:rFonts w:hint="eastAsia" w:ascii="仿宋" w:hAnsi="仿宋" w:eastAsia="黑体"/>
                <w:sz w:val="28"/>
                <w:szCs w:val="28"/>
              </w:rPr>
            </w:pPr>
          </w:p>
        </w:tc>
        <w:tc>
          <w:tcPr>
            <w:tcW w:w="1483" w:type="dxa"/>
            <w:vAlign w:val="center"/>
          </w:tcPr>
          <w:p>
            <w:pPr>
              <w:adjustRightInd w:val="0"/>
              <w:snapToGrid w:val="0"/>
              <w:spacing w:line="360" w:lineRule="auto"/>
              <w:rPr>
                <w:rFonts w:hint="eastAsia" w:ascii="仿宋" w:hAnsi="仿宋" w:eastAsia="黑体"/>
                <w:sz w:val="28"/>
                <w:szCs w:val="28"/>
              </w:rPr>
            </w:pPr>
          </w:p>
        </w:tc>
        <w:tc>
          <w:tcPr>
            <w:tcW w:w="3247" w:type="dxa"/>
            <w:vAlign w:val="center"/>
          </w:tcPr>
          <w:p>
            <w:pPr>
              <w:adjustRightInd w:val="0"/>
              <w:snapToGrid w:val="0"/>
              <w:spacing w:line="360" w:lineRule="auto"/>
              <w:rPr>
                <w:rFonts w:hint="eastAsia" w:ascii="仿宋" w:hAnsi="仿宋" w:eastAsia="黑体"/>
                <w:sz w:val="28"/>
                <w:szCs w:val="28"/>
              </w:rPr>
            </w:pPr>
          </w:p>
        </w:tc>
        <w:tc>
          <w:tcPr>
            <w:tcW w:w="2377" w:type="dxa"/>
            <w:vAlign w:val="center"/>
          </w:tcPr>
          <w:p>
            <w:pPr>
              <w:adjustRightInd w:val="0"/>
              <w:snapToGrid w:val="0"/>
              <w:spacing w:line="360" w:lineRule="auto"/>
              <w:rPr>
                <w:rFonts w:hint="eastAsia" w:ascii="仿宋" w:hAnsi="仿宋" w:eastAsia="黑体"/>
                <w:sz w:val="28"/>
                <w:szCs w:val="28"/>
              </w:rPr>
            </w:pPr>
          </w:p>
        </w:tc>
        <w:tc>
          <w:tcPr>
            <w:tcW w:w="1712" w:type="dxa"/>
            <w:vAlign w:val="center"/>
          </w:tcPr>
          <w:p>
            <w:pPr>
              <w:adjustRightInd w:val="0"/>
              <w:snapToGrid w:val="0"/>
              <w:spacing w:line="360" w:lineRule="auto"/>
              <w:rPr>
                <w:rFonts w:hint="eastAsia" w:ascii="仿宋" w:hAnsi="仿宋" w:eastAsia="黑体"/>
                <w:sz w:val="28"/>
                <w:szCs w:val="28"/>
              </w:rPr>
            </w:pPr>
          </w:p>
        </w:tc>
        <w:tc>
          <w:tcPr>
            <w:tcW w:w="1007" w:type="dxa"/>
            <w:vAlign w:val="center"/>
          </w:tcPr>
          <w:p>
            <w:pPr>
              <w:adjustRightInd w:val="0"/>
              <w:snapToGrid w:val="0"/>
              <w:spacing w:line="360" w:lineRule="auto"/>
              <w:rPr>
                <w:rFonts w:hint="eastAsia" w:ascii="仿宋" w:hAnsi="仿宋"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951" w:type="dxa"/>
            <w:vAlign w:val="center"/>
          </w:tcPr>
          <w:p>
            <w:pPr>
              <w:adjustRightInd w:val="0"/>
              <w:snapToGrid w:val="0"/>
              <w:spacing w:line="360" w:lineRule="auto"/>
              <w:rPr>
                <w:rFonts w:hint="eastAsia" w:ascii="仿宋" w:hAnsi="仿宋" w:eastAsia="黑体"/>
                <w:sz w:val="28"/>
                <w:szCs w:val="28"/>
              </w:rPr>
            </w:pPr>
          </w:p>
        </w:tc>
        <w:tc>
          <w:tcPr>
            <w:tcW w:w="1985" w:type="dxa"/>
            <w:vAlign w:val="center"/>
          </w:tcPr>
          <w:p>
            <w:pPr>
              <w:adjustRightInd w:val="0"/>
              <w:snapToGrid w:val="0"/>
              <w:spacing w:line="360" w:lineRule="auto"/>
              <w:rPr>
                <w:rFonts w:hint="eastAsia" w:ascii="仿宋" w:hAnsi="仿宋" w:eastAsia="黑体"/>
                <w:sz w:val="28"/>
                <w:szCs w:val="28"/>
              </w:rPr>
            </w:pPr>
          </w:p>
        </w:tc>
        <w:tc>
          <w:tcPr>
            <w:tcW w:w="1483" w:type="dxa"/>
            <w:vAlign w:val="center"/>
          </w:tcPr>
          <w:p>
            <w:pPr>
              <w:adjustRightInd w:val="0"/>
              <w:snapToGrid w:val="0"/>
              <w:spacing w:line="360" w:lineRule="auto"/>
              <w:rPr>
                <w:rFonts w:hint="eastAsia" w:ascii="仿宋" w:hAnsi="仿宋" w:eastAsia="黑体"/>
                <w:sz w:val="28"/>
                <w:szCs w:val="28"/>
              </w:rPr>
            </w:pPr>
          </w:p>
        </w:tc>
        <w:tc>
          <w:tcPr>
            <w:tcW w:w="3247" w:type="dxa"/>
            <w:vAlign w:val="center"/>
          </w:tcPr>
          <w:p>
            <w:pPr>
              <w:adjustRightInd w:val="0"/>
              <w:snapToGrid w:val="0"/>
              <w:spacing w:line="360" w:lineRule="auto"/>
              <w:rPr>
                <w:rFonts w:hint="eastAsia" w:ascii="仿宋" w:hAnsi="仿宋" w:eastAsia="黑体"/>
                <w:sz w:val="28"/>
                <w:szCs w:val="28"/>
              </w:rPr>
            </w:pPr>
          </w:p>
        </w:tc>
        <w:tc>
          <w:tcPr>
            <w:tcW w:w="2377" w:type="dxa"/>
            <w:vAlign w:val="center"/>
          </w:tcPr>
          <w:p>
            <w:pPr>
              <w:adjustRightInd w:val="0"/>
              <w:snapToGrid w:val="0"/>
              <w:spacing w:line="360" w:lineRule="auto"/>
              <w:rPr>
                <w:rFonts w:hint="eastAsia" w:ascii="仿宋" w:hAnsi="仿宋" w:eastAsia="黑体"/>
                <w:sz w:val="28"/>
                <w:szCs w:val="28"/>
              </w:rPr>
            </w:pPr>
          </w:p>
        </w:tc>
        <w:tc>
          <w:tcPr>
            <w:tcW w:w="1712" w:type="dxa"/>
            <w:vAlign w:val="center"/>
          </w:tcPr>
          <w:p>
            <w:pPr>
              <w:adjustRightInd w:val="0"/>
              <w:snapToGrid w:val="0"/>
              <w:spacing w:line="360" w:lineRule="auto"/>
              <w:rPr>
                <w:rFonts w:hint="eastAsia" w:ascii="仿宋" w:hAnsi="仿宋" w:eastAsia="黑体"/>
                <w:sz w:val="28"/>
                <w:szCs w:val="28"/>
              </w:rPr>
            </w:pPr>
          </w:p>
        </w:tc>
        <w:tc>
          <w:tcPr>
            <w:tcW w:w="1007" w:type="dxa"/>
            <w:vAlign w:val="center"/>
          </w:tcPr>
          <w:p>
            <w:pPr>
              <w:adjustRightInd w:val="0"/>
              <w:snapToGrid w:val="0"/>
              <w:spacing w:line="360" w:lineRule="auto"/>
              <w:rPr>
                <w:rFonts w:hint="eastAsia" w:ascii="仿宋" w:hAnsi="仿宋"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951" w:type="dxa"/>
            <w:vAlign w:val="center"/>
          </w:tcPr>
          <w:p>
            <w:pPr>
              <w:adjustRightInd w:val="0"/>
              <w:snapToGrid w:val="0"/>
              <w:spacing w:line="360" w:lineRule="auto"/>
              <w:rPr>
                <w:rFonts w:hint="eastAsia" w:ascii="仿宋" w:hAnsi="仿宋" w:eastAsia="黑体"/>
                <w:sz w:val="28"/>
                <w:szCs w:val="28"/>
              </w:rPr>
            </w:pPr>
          </w:p>
        </w:tc>
        <w:tc>
          <w:tcPr>
            <w:tcW w:w="1985" w:type="dxa"/>
            <w:vAlign w:val="center"/>
          </w:tcPr>
          <w:p>
            <w:pPr>
              <w:adjustRightInd w:val="0"/>
              <w:snapToGrid w:val="0"/>
              <w:spacing w:line="360" w:lineRule="auto"/>
              <w:rPr>
                <w:rFonts w:hint="eastAsia" w:ascii="仿宋" w:hAnsi="仿宋" w:eastAsia="黑体"/>
                <w:sz w:val="28"/>
                <w:szCs w:val="28"/>
              </w:rPr>
            </w:pPr>
          </w:p>
        </w:tc>
        <w:tc>
          <w:tcPr>
            <w:tcW w:w="1483" w:type="dxa"/>
            <w:vAlign w:val="center"/>
          </w:tcPr>
          <w:p>
            <w:pPr>
              <w:adjustRightInd w:val="0"/>
              <w:snapToGrid w:val="0"/>
              <w:spacing w:line="360" w:lineRule="auto"/>
              <w:rPr>
                <w:rFonts w:hint="eastAsia" w:ascii="仿宋" w:hAnsi="仿宋" w:eastAsia="黑体"/>
                <w:sz w:val="28"/>
                <w:szCs w:val="28"/>
              </w:rPr>
            </w:pPr>
          </w:p>
        </w:tc>
        <w:tc>
          <w:tcPr>
            <w:tcW w:w="3247" w:type="dxa"/>
            <w:vAlign w:val="center"/>
          </w:tcPr>
          <w:p>
            <w:pPr>
              <w:adjustRightInd w:val="0"/>
              <w:snapToGrid w:val="0"/>
              <w:spacing w:line="360" w:lineRule="auto"/>
              <w:rPr>
                <w:rFonts w:hint="eastAsia" w:ascii="仿宋" w:hAnsi="仿宋" w:eastAsia="黑体"/>
                <w:sz w:val="28"/>
                <w:szCs w:val="28"/>
              </w:rPr>
            </w:pPr>
          </w:p>
        </w:tc>
        <w:tc>
          <w:tcPr>
            <w:tcW w:w="2377" w:type="dxa"/>
            <w:vAlign w:val="center"/>
          </w:tcPr>
          <w:p>
            <w:pPr>
              <w:adjustRightInd w:val="0"/>
              <w:snapToGrid w:val="0"/>
              <w:spacing w:line="360" w:lineRule="auto"/>
              <w:rPr>
                <w:rFonts w:hint="eastAsia" w:ascii="仿宋" w:hAnsi="仿宋" w:eastAsia="黑体"/>
                <w:sz w:val="28"/>
                <w:szCs w:val="28"/>
              </w:rPr>
            </w:pPr>
          </w:p>
        </w:tc>
        <w:tc>
          <w:tcPr>
            <w:tcW w:w="1712" w:type="dxa"/>
            <w:vAlign w:val="center"/>
          </w:tcPr>
          <w:p>
            <w:pPr>
              <w:adjustRightInd w:val="0"/>
              <w:snapToGrid w:val="0"/>
              <w:spacing w:line="360" w:lineRule="auto"/>
              <w:rPr>
                <w:rFonts w:hint="eastAsia" w:ascii="仿宋" w:hAnsi="仿宋" w:eastAsia="黑体"/>
                <w:sz w:val="28"/>
                <w:szCs w:val="28"/>
              </w:rPr>
            </w:pPr>
          </w:p>
        </w:tc>
        <w:tc>
          <w:tcPr>
            <w:tcW w:w="1007" w:type="dxa"/>
            <w:vAlign w:val="center"/>
          </w:tcPr>
          <w:p>
            <w:pPr>
              <w:adjustRightInd w:val="0"/>
              <w:snapToGrid w:val="0"/>
              <w:spacing w:line="360" w:lineRule="auto"/>
              <w:rPr>
                <w:rFonts w:hint="eastAsia" w:ascii="仿宋" w:hAnsi="仿宋" w:eastAsia="黑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3" w:hRule="atLeast"/>
        </w:trPr>
        <w:tc>
          <w:tcPr>
            <w:tcW w:w="1951" w:type="dxa"/>
            <w:vAlign w:val="center"/>
          </w:tcPr>
          <w:p>
            <w:pPr>
              <w:adjustRightInd w:val="0"/>
              <w:snapToGrid w:val="0"/>
              <w:spacing w:line="360" w:lineRule="auto"/>
              <w:rPr>
                <w:rFonts w:hint="eastAsia" w:ascii="仿宋" w:hAnsi="仿宋" w:eastAsia="黑体"/>
                <w:sz w:val="28"/>
                <w:szCs w:val="28"/>
              </w:rPr>
            </w:pPr>
          </w:p>
        </w:tc>
        <w:tc>
          <w:tcPr>
            <w:tcW w:w="1985" w:type="dxa"/>
            <w:vAlign w:val="center"/>
          </w:tcPr>
          <w:p>
            <w:pPr>
              <w:adjustRightInd w:val="0"/>
              <w:snapToGrid w:val="0"/>
              <w:spacing w:line="360" w:lineRule="auto"/>
              <w:rPr>
                <w:rFonts w:hint="eastAsia" w:ascii="仿宋" w:hAnsi="仿宋" w:eastAsia="黑体"/>
                <w:sz w:val="28"/>
                <w:szCs w:val="28"/>
              </w:rPr>
            </w:pPr>
          </w:p>
        </w:tc>
        <w:tc>
          <w:tcPr>
            <w:tcW w:w="1483" w:type="dxa"/>
            <w:vAlign w:val="center"/>
          </w:tcPr>
          <w:p>
            <w:pPr>
              <w:adjustRightInd w:val="0"/>
              <w:snapToGrid w:val="0"/>
              <w:spacing w:line="360" w:lineRule="auto"/>
              <w:rPr>
                <w:rFonts w:hint="eastAsia" w:ascii="仿宋" w:hAnsi="仿宋" w:eastAsia="黑体"/>
                <w:sz w:val="28"/>
                <w:szCs w:val="28"/>
              </w:rPr>
            </w:pPr>
          </w:p>
        </w:tc>
        <w:tc>
          <w:tcPr>
            <w:tcW w:w="3247" w:type="dxa"/>
            <w:vAlign w:val="center"/>
          </w:tcPr>
          <w:p>
            <w:pPr>
              <w:adjustRightInd w:val="0"/>
              <w:snapToGrid w:val="0"/>
              <w:spacing w:line="360" w:lineRule="auto"/>
              <w:rPr>
                <w:rFonts w:hint="eastAsia" w:ascii="仿宋" w:hAnsi="仿宋" w:eastAsia="黑体"/>
                <w:sz w:val="28"/>
                <w:szCs w:val="28"/>
              </w:rPr>
            </w:pPr>
          </w:p>
        </w:tc>
        <w:tc>
          <w:tcPr>
            <w:tcW w:w="2377" w:type="dxa"/>
            <w:vAlign w:val="center"/>
          </w:tcPr>
          <w:p>
            <w:pPr>
              <w:adjustRightInd w:val="0"/>
              <w:snapToGrid w:val="0"/>
              <w:spacing w:line="360" w:lineRule="auto"/>
              <w:rPr>
                <w:rFonts w:hint="eastAsia" w:ascii="仿宋" w:hAnsi="仿宋" w:eastAsia="黑体"/>
                <w:sz w:val="28"/>
                <w:szCs w:val="28"/>
              </w:rPr>
            </w:pPr>
          </w:p>
        </w:tc>
        <w:tc>
          <w:tcPr>
            <w:tcW w:w="1712" w:type="dxa"/>
            <w:vAlign w:val="center"/>
          </w:tcPr>
          <w:p>
            <w:pPr>
              <w:adjustRightInd w:val="0"/>
              <w:snapToGrid w:val="0"/>
              <w:spacing w:line="360" w:lineRule="auto"/>
              <w:rPr>
                <w:rFonts w:hint="eastAsia" w:ascii="仿宋" w:hAnsi="仿宋" w:eastAsia="黑体"/>
                <w:sz w:val="28"/>
                <w:szCs w:val="28"/>
              </w:rPr>
            </w:pPr>
          </w:p>
        </w:tc>
        <w:tc>
          <w:tcPr>
            <w:tcW w:w="1007" w:type="dxa"/>
            <w:vAlign w:val="center"/>
          </w:tcPr>
          <w:p>
            <w:pPr>
              <w:adjustRightInd w:val="0"/>
              <w:snapToGrid w:val="0"/>
              <w:spacing w:line="360" w:lineRule="auto"/>
              <w:rPr>
                <w:rFonts w:hint="eastAsia" w:ascii="仿宋" w:hAnsi="仿宋" w:eastAsia="黑体"/>
                <w:sz w:val="28"/>
                <w:szCs w:val="28"/>
              </w:rPr>
            </w:pPr>
          </w:p>
        </w:tc>
      </w:tr>
    </w:tbl>
    <w:p>
      <w:pPr>
        <w:rPr>
          <w:rFonts w:hint="default" w:eastAsia="黑体"/>
          <w:sz w:val="24"/>
          <w:szCs w:val="32"/>
          <w:lang w:val="en-US" w:eastAsia="zh-CN"/>
        </w:rPr>
      </w:pPr>
      <w:r>
        <w:rPr>
          <w:rFonts w:hint="eastAsia" w:ascii="黑体" w:hAnsi="黑体" w:eastAsia="黑体"/>
          <w:sz w:val="24"/>
          <w:szCs w:val="32"/>
        </w:rPr>
        <w:t xml:space="preserve">填报单位（盖章）: </w:t>
      </w:r>
      <w:r>
        <w:rPr>
          <w:rFonts w:hint="eastAsia" w:ascii="仿宋" w:hAnsi="仿宋" w:eastAsia="黑体"/>
          <w:sz w:val="24"/>
          <w:szCs w:val="32"/>
        </w:rPr>
        <w:t xml:space="preserve">                    </w:t>
      </w:r>
      <w:r>
        <w:rPr>
          <w:rFonts w:hint="eastAsia" w:ascii="仿宋" w:hAnsi="仿宋" w:eastAsia="黑体"/>
          <w:sz w:val="24"/>
          <w:szCs w:val="32"/>
          <w:lang w:val="en-US" w:eastAsia="zh-CN"/>
        </w:rPr>
        <w:t xml:space="preserve">                                     </w:t>
      </w:r>
      <w:r>
        <w:rPr>
          <w:rFonts w:hint="eastAsia" w:ascii="仿宋" w:hAnsi="仿宋" w:eastAsia="黑体"/>
          <w:sz w:val="24"/>
          <w:szCs w:val="32"/>
        </w:rPr>
        <w:t xml:space="preserve">  </w:t>
      </w:r>
      <w:r>
        <w:rPr>
          <w:rFonts w:hint="eastAsia" w:ascii="仿宋" w:hAnsi="仿宋" w:eastAsia="黑体"/>
          <w:sz w:val="24"/>
          <w:szCs w:val="32"/>
          <w:lang w:eastAsia="zh-CN"/>
        </w:rPr>
        <w:t>填报时间：</w:t>
      </w:r>
    </w:p>
    <w:p>
      <w:pPr>
        <w:rPr>
          <w:rFonts w:hint="eastAsia" w:ascii="仿宋_GB2312" w:hAnsi="仿宋_GB2312" w:eastAsia="仿宋_GB2312" w:cs="仿宋_GB2312"/>
          <w:sz w:val="32"/>
          <w:szCs w:val="32"/>
          <w:lang w:val="en-US" w:eastAsia="zh-CN"/>
        </w:rPr>
      </w:pPr>
    </w:p>
    <w:p>
      <w:pPr>
        <w:pStyle w:val="6"/>
        <w:rPr>
          <w:rFonts w:hint="eastAsia"/>
          <w:lang w:val="en-US" w:eastAsia="zh-CN"/>
        </w:rPr>
      </w:pPr>
    </w:p>
    <w:sectPr>
      <w:pgSz w:w="16838" w:h="11906" w:orient="landscape"/>
      <w:pgMar w:top="1587" w:right="2098" w:bottom="1474" w:left="198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altName w:val="微软雅黑"/>
    <w:panose1 w:val="03000509000000000000"/>
    <w:charset w:val="86"/>
    <w:family w:val="script"/>
    <w:pitch w:val="default"/>
    <w:sig w:usb0="00000000" w:usb1="00000000" w:usb2="00000000" w:usb3="00000000" w:csb0="00040001"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jc w:val="both"/>
      <w:rPr>
        <w:rFonts w:ascii="宋体" w:hAnsi="宋体" w:eastAsia="宋体"/>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6"/>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p>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fldChar w:fldCharType="begin"/>
                          </w:r>
                          <w:r>
                            <w:rPr>
                              <w:rFonts w:hint="eastAsia" w:ascii="仿宋_GB2312" w:hAnsi="仿宋_GB2312" w:eastAsia="仿宋_GB2312" w:cs="仿宋_GB2312"/>
                              <w:sz w:val="24"/>
                              <w:szCs w:val="24"/>
                              <w:lang w:eastAsia="zh-CN"/>
                            </w:rPr>
                            <w:instrText xml:space="preserve"> PAGE  \* MERGEFORMAT </w:instrText>
                          </w:r>
                          <w:r>
                            <w:rPr>
                              <w:rFonts w:hint="eastAsia" w:ascii="仿宋_GB2312" w:hAnsi="仿宋_GB2312" w:eastAsia="仿宋_GB2312" w:cs="仿宋_GB2312"/>
                              <w:sz w:val="24"/>
                              <w:szCs w:val="24"/>
                              <w:lang w:eastAsia="zh-CN"/>
                            </w:rPr>
                            <w:fldChar w:fldCharType="separate"/>
                          </w:r>
                          <w:r>
                            <w:rPr>
                              <w:rFonts w:hint="eastAsia" w:ascii="仿宋_GB2312" w:hAnsi="仿宋_GB2312" w:eastAsia="仿宋_GB2312" w:cs="仿宋_GB2312"/>
                              <w:sz w:val="24"/>
                              <w:szCs w:val="24"/>
                              <w:lang w:eastAsia="zh-CN"/>
                            </w:rPr>
                            <w:t>- 0 -</w:t>
                          </w:r>
                          <w:r>
                            <w:rPr>
                              <w:rFonts w:hint="eastAsia" w:ascii="仿宋_GB2312" w:hAnsi="仿宋_GB2312" w:eastAsia="仿宋_GB2312" w:cs="仿宋_GB2312"/>
                              <w:sz w:val="24"/>
                              <w:szCs w:val="24"/>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6"/>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fldChar w:fldCharType="begin"/>
                    </w:r>
                    <w:r>
                      <w:rPr>
                        <w:rFonts w:hint="eastAsia" w:ascii="仿宋_GB2312" w:hAnsi="仿宋_GB2312" w:eastAsia="仿宋_GB2312" w:cs="仿宋_GB2312"/>
                        <w:sz w:val="24"/>
                        <w:szCs w:val="24"/>
                        <w:lang w:eastAsia="zh-CN"/>
                      </w:rPr>
                      <w:instrText xml:space="preserve"> PAGE  \* MERGEFORMAT </w:instrText>
                    </w:r>
                    <w:r>
                      <w:rPr>
                        <w:rFonts w:hint="eastAsia" w:ascii="仿宋_GB2312" w:hAnsi="仿宋_GB2312" w:eastAsia="仿宋_GB2312" w:cs="仿宋_GB2312"/>
                        <w:sz w:val="24"/>
                        <w:szCs w:val="24"/>
                        <w:lang w:eastAsia="zh-CN"/>
                      </w:rPr>
                      <w:fldChar w:fldCharType="separate"/>
                    </w:r>
                    <w:r>
                      <w:rPr>
                        <w:rFonts w:hint="eastAsia" w:ascii="仿宋_GB2312" w:hAnsi="仿宋_GB2312" w:eastAsia="仿宋_GB2312" w:cs="仿宋_GB2312"/>
                        <w:sz w:val="24"/>
                        <w:szCs w:val="24"/>
                        <w:lang w:eastAsia="zh-CN"/>
                      </w:rPr>
                      <w:t>- 0 -</w:t>
                    </w:r>
                    <w:r>
                      <w:rPr>
                        <w:rFonts w:hint="eastAsia" w:ascii="仿宋_GB2312" w:hAnsi="仿宋_GB2312" w:eastAsia="仿宋_GB2312" w:cs="仿宋_GB2312"/>
                        <w:sz w:val="24"/>
                        <w:szCs w:val="24"/>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3DF1481"/>
    <w:rsid w:val="03DF1481"/>
    <w:rsid w:val="182473DE"/>
    <w:rsid w:val="1FEE00CE"/>
    <w:rsid w:val="2C1074DB"/>
    <w:rsid w:val="3A1D6FC7"/>
    <w:rsid w:val="42764FF4"/>
    <w:rsid w:val="50596998"/>
    <w:rsid w:val="5BAE4E16"/>
    <w:rsid w:val="69A315CE"/>
    <w:rsid w:val="6C0E24F1"/>
    <w:rsid w:val="7EE9114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2">
    <w:name w:val="Body Text 2"/>
    <w:basedOn w:val="1"/>
    <w:next w:val="3"/>
    <w:qFormat/>
    <w:uiPriority w:val="0"/>
    <w:pPr>
      <w:ind w:firstLine="1134"/>
    </w:pPr>
    <w:rPr>
      <w:rFonts w:ascii="Times New Roman" w:hAnsi="Times New Roman"/>
    </w:rPr>
  </w:style>
  <w:style w:type="paragraph" w:styleId="3">
    <w:name w:val="Body Text First Indent"/>
    <w:basedOn w:val="4"/>
    <w:qFormat/>
    <w:uiPriority w:val="0"/>
    <w:pPr>
      <w:adjustRightInd w:val="0"/>
      <w:ind w:firstLine="880" w:firstLineChars="200"/>
      <w:jc w:val="both"/>
    </w:pPr>
    <w:rPr>
      <w:rFonts w:ascii="Times New Roman" w:hAnsi="Times New Roman"/>
    </w:rPr>
  </w:style>
  <w:style w:type="paragraph" w:styleId="4">
    <w:name w:val="Body Text"/>
    <w:basedOn w:val="1"/>
    <w:qFormat/>
    <w:uiPriority w:val="0"/>
    <w:pPr>
      <w:spacing w:after="120" w:afterLines="0" w:afterAutospacing="0"/>
    </w:pPr>
  </w:style>
  <w:style w:type="paragraph" w:styleId="5">
    <w:name w:val="Date"/>
    <w:basedOn w:val="1"/>
    <w:next w:val="1"/>
    <w:unhideWhenUsed/>
    <w:qFormat/>
    <w:uiPriority w:val="99"/>
    <w:pPr>
      <w:ind w:left="100" w:leftChars="2500"/>
    </w:pPr>
  </w:style>
  <w:style w:type="paragraph" w:styleId="6">
    <w:name w:val="footer"/>
    <w:basedOn w:val="1"/>
    <w:next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9">
    <w:name w:val="page number"/>
    <w:basedOn w:val="8"/>
    <w:qFormat/>
    <w:uiPriority w:val="0"/>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2">
    <w:name w:val="Default"/>
    <w:qFormat/>
    <w:uiPriority w:val="0"/>
    <w:pPr>
      <w:widowControl w:val="0"/>
      <w:autoSpaceDE w:val="0"/>
      <w:autoSpaceDN w:val="0"/>
      <w:adjustRightInd w:val="0"/>
    </w:pPr>
    <w:rPr>
      <w:rFonts w:ascii="方正仿宋_GBK" w:hAnsi="Times New Roman" w:eastAsia="方正仿宋_GBK" w:cs="方正仿宋_GBK"/>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上海市崇明区应急管理局</Company>
  <Pages>1</Pages>
  <Words>0</Words>
  <Characters>0</Characters>
  <Lines>0</Lines>
  <Paragraphs>0</Paragraphs>
  <TotalTime>8</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2022-04-22T01:48:00Z</dcterms:created>
  <dc:creator>Administrator</dc:creator>
  <cp:lastModifiedBy>Administrator</cp:lastModifiedBy>
  <cp:lastPrinted>2022-05-05T07:09:00Z</cp:lastPrinted>
  <dcterms:modified xsi:type="dcterms:W3CDTF">2023-01-17T03:02:06Z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