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tabs>
          <w:tab w:val="center" w:pos="4482"/>
          <w:tab w:val="right" w:pos="8845"/>
        </w:tabs>
        <w:kinsoku/>
        <w:wordWrap/>
        <w:overflowPunct/>
        <w:topLinePunct w:val="0"/>
        <w:autoSpaceDE/>
        <w:autoSpaceDN/>
        <w:bidi w:val="0"/>
        <w:adjustRightInd/>
        <w:snapToGrid/>
        <w:spacing w:line="500" w:lineRule="exact"/>
        <w:ind w:firstLine="320" w:firstLineChars="1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rPr>
        <w:t>沪崇中府</w:t>
      </w: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w:t>
      </w:r>
      <w:r>
        <w:rPr>
          <w:rFonts w:hint="eastAsia" w:ascii="仿宋_GB2312" w:eastAsia="仿宋_GB2312"/>
          <w:sz w:val="32"/>
          <w:szCs w:val="32"/>
          <w:lang w:val="en-US" w:eastAsia="zh-CN"/>
        </w:rPr>
        <w:t>36</w:t>
      </w:r>
      <w:bookmarkStart w:id="0" w:name="_GoBack"/>
      <w:bookmarkEnd w:id="0"/>
      <w:r>
        <w:rPr>
          <w:rFonts w:hint="eastAsia" w:ascii="仿宋_GB2312" w:hAnsi="宋体" w:eastAsia="仿宋_GB2312"/>
          <w:sz w:val="32"/>
          <w:szCs w:val="32"/>
        </w:rPr>
        <w:t xml:space="preserve">号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签发人：周忠</w:t>
      </w:r>
      <w:r>
        <w:rPr>
          <w:rFonts w:hint="eastAsia" w:ascii="仿宋_GB2312" w:hAnsi="仿宋" w:eastAsia="仿宋_GB2312"/>
          <w:sz w:val="32"/>
          <w:szCs w:val="32"/>
        </w:rPr>
        <w:t>涛</w:t>
      </w:r>
      <w:r>
        <w:rPr>
          <w:rFonts w:hint="eastAsia" w:ascii="仿宋_GB2312" w:hAnsi="仿宋" w:eastAsia="仿宋_GB2312"/>
          <w:sz w:val="32"/>
          <w:szCs w:val="32"/>
          <w:lang w:val="en-US" w:eastAsia="zh-CN"/>
        </w:rPr>
        <w:t xml:space="preserve">  </w:t>
      </w:r>
    </w:p>
    <w:p>
      <w:pPr>
        <w:spacing w:line="500" w:lineRule="exact"/>
        <w:jc w:val="center"/>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关于印发《2020年中兴镇农业水价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综合改革工作计划》的通知</w:t>
      </w:r>
    </w:p>
    <w:p>
      <w:pPr>
        <w:jc w:val="center"/>
        <w:rPr>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各有关村</w:t>
      </w:r>
      <w:r>
        <w:rPr>
          <w:rFonts w:hint="eastAsia" w:ascii="仿宋_GB2312" w:hAnsi="仿宋_GB2312" w:eastAsia="仿宋_GB2312" w:cs="仿宋_GB2312"/>
          <w:sz w:val="32"/>
          <w:szCs w:val="32"/>
          <w:lang w:eastAsia="zh-CN"/>
        </w:rPr>
        <w:t>（居）</w:t>
      </w:r>
      <w:r>
        <w:rPr>
          <w:rFonts w:hint="eastAsia" w:ascii="仿宋_GB2312" w:hAnsi="仿宋_GB2312" w:eastAsia="仿宋_GB2312" w:cs="仿宋_GB2312"/>
          <w:sz w:val="32"/>
          <w:szCs w:val="32"/>
        </w:rPr>
        <w:t>、养护单位：</w:t>
      </w:r>
    </w:p>
    <w:p>
      <w:pPr>
        <w:keepNext w:val="0"/>
        <w:keepLines w:val="0"/>
        <w:pageBreakBefore w:val="0"/>
        <w:widowControl w:val="0"/>
        <w:kinsoku/>
        <w:wordWrap/>
        <w:overflowPunct/>
        <w:topLinePunct w:val="0"/>
        <w:autoSpaceDE/>
        <w:autoSpaceDN/>
        <w:bidi w:val="0"/>
        <w:adjustRightInd/>
        <w:snapToGrid/>
        <w:spacing w:line="560" w:lineRule="exact"/>
        <w:ind w:firstLine="66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海市人民政府办公厅贯彻〈国务院办公厅关于推进农业水价综合改革的意见〉的实施意见》精神及《2020年上海市农业水价综合改革工作计划》、《2020年崇明区农业水价综合改革工作计划》的通知要求，研究制定了《2020年中兴镇农业水价综合改革工作计划》，现印发给你们，请按照执行。</w:t>
      </w:r>
    </w:p>
    <w:p>
      <w:pPr>
        <w:keepNext w:val="0"/>
        <w:keepLines w:val="0"/>
        <w:pageBreakBefore w:val="0"/>
        <w:widowControl w:val="0"/>
        <w:kinsoku/>
        <w:wordWrap/>
        <w:overflowPunct/>
        <w:topLinePunct w:val="0"/>
        <w:autoSpaceDE/>
        <w:autoSpaceDN/>
        <w:bidi w:val="0"/>
        <w:adjustRightInd/>
        <w:snapToGrid/>
        <w:spacing w:line="560" w:lineRule="exact"/>
        <w:ind w:firstLine="66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keepNext w:val="0"/>
        <w:keepLines w:val="0"/>
        <w:pageBreakBefore w:val="0"/>
        <w:widowControl w:val="0"/>
        <w:kinsoku/>
        <w:wordWrap/>
        <w:overflowPunct/>
        <w:topLinePunct w:val="0"/>
        <w:autoSpaceDE/>
        <w:autoSpaceDN/>
        <w:bidi w:val="0"/>
        <w:adjustRightInd/>
        <w:snapToGrid/>
        <w:spacing w:line="560" w:lineRule="exact"/>
        <w:ind w:firstLine="66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br w:type="page"/>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2020年中兴镇农业水价综合改革工作计划</w:t>
      </w:r>
    </w:p>
    <w:p>
      <w:pPr>
        <w:pStyle w:val="5"/>
        <w:spacing w:line="600" w:lineRule="exact"/>
        <w:ind w:firstLine="620" w:firstLineChars="200"/>
        <w:jc w:val="both"/>
        <w:rPr>
          <w:lang w:eastAsia="zh-CN"/>
        </w:rPr>
      </w:pP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2020年是中兴镇农业水价综合改革的收官之年。我镇将深入落实“节水优先、空间均衡、系统治理、两手发力”的治水思路，对标对表，固化机制，查漏补缺，持之以恒地继续抓好各项改革工作。</w:t>
      </w:r>
    </w:p>
    <w:p>
      <w:pPr>
        <w:pStyle w:val="5"/>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工作目标</w:t>
      </w:r>
    </w:p>
    <w:p>
      <w:pPr>
        <w:pStyle w:val="5"/>
        <w:keepNext w:val="0"/>
        <w:keepLines w:val="0"/>
        <w:pageBreakBefore w:val="0"/>
        <w:kinsoku/>
        <w:wordWrap/>
        <w:overflowPunct/>
        <w:topLinePunct w:val="0"/>
        <w:bidi w:val="0"/>
        <w:spacing w:line="560" w:lineRule="exact"/>
        <w:ind w:firstLine="632" w:firstLineChars="200"/>
        <w:jc w:val="both"/>
        <w:textAlignment w:val="auto"/>
        <w:outlineLvl w:val="9"/>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聚焦乡村振兴战略及生态岛建设，围绕保障粮食安全和水安全，以“改革再深化、措施再完善”为目标，深化各村农业水价改革，进一步优化协调推进机制，完善农业水价形成机制，进一步深入开展设施维修养护，全面加强农业用水管理，完成区级改革工作验收，迎接市级验收考核。</w:t>
      </w:r>
    </w:p>
    <w:p>
      <w:pPr>
        <w:pStyle w:val="5"/>
        <w:keepNext w:val="0"/>
        <w:keepLines w:val="0"/>
        <w:pageBreakBefore w:val="0"/>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二、重点任务</w:t>
      </w:r>
    </w:p>
    <w:p>
      <w:pPr>
        <w:keepNext w:val="0"/>
        <w:keepLines w:val="0"/>
        <w:pageBreakBefore w:val="0"/>
        <w:kinsoku/>
        <w:wordWrap/>
        <w:overflowPunct/>
        <w:topLinePunct w:val="0"/>
        <w:bidi w:val="0"/>
        <w:spacing w:line="560" w:lineRule="exact"/>
        <w:ind w:firstLine="640" w:firstLineChars="200"/>
        <w:jc w:val="both"/>
        <w:textAlignment w:val="auto"/>
        <w:outlineLvl w:val="9"/>
        <w:rPr>
          <w:rFonts w:hint="eastAsia"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（一）完善农业水价管理机制</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 xml:space="preserve">以“总体不增加农民负担“为原则，根据上海市农业水价管理办法的要求，按照巳基本形成的成本测算、面积核定、初步定价、协商定价、水价公示、成果发文、水价执行等工作流程，指导各村深化协商定价的水价形成机制，落实农业用水超定额累进加价制度，切实加强农业水价执收管理，并按要求做好信息公开工作。      </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（二）推进农田水利设施建设</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b/>
          <w:spacing w:val="-3"/>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结合我镇永久基本农田划定，健全和优化农田灌溉设施配套，实现粮田、菜田、经济果林等灌溉设施全覆盖，进一步夯实农业节水设施基础。加大土地承包经营权流转力度，加快粮食生产功能区和高标准粮田建设，按照“农林水联动、田宅路统筹、区域化推进”的要求，实施土地平整、泵站建设、沟渠配套和机耕道路等灌排工程建设，进一步夯实农业节水基础。</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（三）深化农田灌溉设施运行维护管理</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b/>
          <w:spacing w:val="-3"/>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按照《上海市农田灌溉设施长效管理工作的实施意见》、《崇明区农田灌溉设施长效管理实施办法》要求，进一步深化农田灌溉设施长效管理工作，做好泵站标准化提升工作，打造亮点、形成特色。以“四项制度”（设施登记制度、使用发证制度、责任落实制度、检查考核制度）为核心，进一步完善管理网络、检查考核和台账管理等基础工作，推进灌溉设施“日常运行属地化、维修养护市场化、检查考核常态化”，全面落实农田水利设施长效管护。进一步强化行业监管，持续做好改革完成后灌溉设施长效管护。</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（四）强化农业用水管理</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b/>
          <w:spacing w:val="-3"/>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对照村农业水权分配结果和上海市修订的灌溉定额，认真落实最严格水资源管理制度。科学确定不同区域的灌水方式，核定各灌区农业用水总量控制情况，实现农业用水总量控制和定额管理。加强各级农业用水水权执行的监督管理，完善农业取水水权分配和农业取水许可发证工作。</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（五）优化灌溉用水计量</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按照《上海市农业用水计量实施细则》要求，继续指导各村采用“按电计量，以电折水”方式进行计量，进一步校准各灌溉泵站以电折水系数，提高数据准确性，提升计量工作质量。结合农业用水在线监测信息系统，开展灌溉用水统计分析，及时掌握各灌区用水动态，做到用水计量精准、定额管理受控，确保水权明确、总量控制，为绩效考评和节水奖补提供支撑。</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（六）加强资金使用管理</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b/>
          <w:spacing w:val="-3"/>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加强镇级精准补贴和节水奖励资金的完善配套和使用管理，根据年度考核结果，及时下拨资金，体现节水奖励的成效，保障长效管护工作顺利开展。进一步细化资金管理台账，加快预算执行，严格资金管理。</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（七）做好改革台账管理</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修订完善镇、村、养护单位三级台账目录清单，不断加强设施基本情况台账、用水用电台账、维修养护台账、经费收支台账和管理考核台账等管理，提高台账记录的及时性、完整性、规范性，提升台账管理工作质量，促进运行管理、维修养护和检查考核的精细化管理工作。</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（八）开展改革工作验收</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按照制度建设、重点工作、资金管理和验收考核等四个方面内容做好验收准备工作，迎接市、区对我镇的验收考核。</w:t>
      </w:r>
    </w:p>
    <w:p>
      <w:pPr>
        <w:keepNext w:val="0"/>
        <w:keepLines w:val="0"/>
        <w:pageBreakBefore w:val="0"/>
        <w:kinsoku/>
        <w:wordWrap/>
        <w:overflowPunct/>
        <w:topLinePunct w:val="0"/>
        <w:bidi w:val="0"/>
        <w:spacing w:line="560" w:lineRule="exact"/>
        <w:jc w:val="both"/>
        <w:textAlignment w:val="auto"/>
        <w:outlineLvl w:val="9"/>
        <w:rPr>
          <w:rFonts w:hint="eastAsia" w:ascii="黑体" w:hAnsi="黑体" w:eastAsia="黑体" w:cs="黑体"/>
          <w:b w:val="0"/>
          <w:bCs w:val="0"/>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黑体" w:hAnsi="黑体" w:eastAsia="黑体" w:cs="黑体"/>
          <w:b w:val="0"/>
          <w:bCs w:val="0"/>
          <w:sz w:val="32"/>
          <w:szCs w:val="32"/>
          <w:lang w:val="zh-CN" w:eastAsia="zh-CN" w:bidi="zh-CN"/>
        </w:rPr>
        <w:t>三、保障措施</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为了保障改革工作的顺利按期完成，下一步要重点开展以下几项工作：</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（一）加强组织领导</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围绕2020年改革目标要求，进一步完善镇、村领导小组协调推进机制，研究解决改革收尾过程中的重点、难点问题，抓好各项措施落实，更加有力有效地发挥组织推动作用，确保改革的顺利完成。</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（二）加强服务指导</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针对长效管护、农业用水计量、水价形成、精准补贴节水奖励等重点工作和改革验收的程序和要求，进一步加强对村的指导服务，有序完成验收工作。</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（三）保障资金投入</w:t>
      </w:r>
    </w:p>
    <w:p>
      <w:pPr>
        <w:keepNext w:val="0"/>
        <w:keepLines w:val="0"/>
        <w:pageBreakBefore w:val="0"/>
        <w:kinsoku/>
        <w:wordWrap/>
        <w:overflowPunct/>
        <w:topLinePunct w:val="0"/>
        <w:bidi w:val="0"/>
        <w:spacing w:line="560" w:lineRule="exact"/>
        <w:jc w:val="both"/>
        <w:textAlignment w:val="auto"/>
        <w:outlineLvl w:val="9"/>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仿宋_GB2312" w:hAnsi="仿宋_GB2312" w:eastAsia="仿宋_GB2312" w:cs="仿宋_GB2312"/>
          <w:spacing w:val="-2"/>
          <w:sz w:val="32"/>
          <w:szCs w:val="32"/>
          <w:lang w:val="zh-CN" w:eastAsia="zh-CN" w:bidi="zh-CN"/>
        </w:rPr>
        <w:t>镇财政要将农田灌溉设施长效管护经费纳入年度财政预算，要按照要求足额落实精准补贴和节水奖励资金，保障改革有序推进。同时要加强资金的使用管理，专款专用，促进农业水价综合改革效益的发挥，确保财政资金安全高效。</w:t>
      </w:r>
    </w:p>
    <w:p>
      <w:pPr>
        <w:keepNext w:val="0"/>
        <w:keepLines w:val="0"/>
        <w:pageBreakBefore w:val="0"/>
        <w:kinsoku/>
        <w:wordWrap/>
        <w:overflowPunct/>
        <w:topLinePunct w:val="0"/>
        <w:bidi w:val="0"/>
        <w:spacing w:line="560" w:lineRule="exact"/>
        <w:jc w:val="both"/>
        <w:textAlignment w:val="auto"/>
        <w:outlineLvl w:val="9"/>
        <w:rPr>
          <w:rFonts w:hint="eastAsia" w:ascii="楷体_GB2312" w:hAnsi="楷体_GB2312" w:eastAsia="楷体_GB2312" w:cs="楷体_GB2312"/>
          <w:sz w:val="32"/>
          <w:szCs w:val="32"/>
          <w:lang w:val="zh-CN" w:eastAsia="zh-CN" w:bidi="zh-CN"/>
        </w:rPr>
      </w:pPr>
      <w:r>
        <w:rPr>
          <w:rFonts w:hint="eastAsia" w:ascii="仿宋_GB2312" w:hAnsi="仿宋_GB2312" w:eastAsia="仿宋_GB2312" w:cs="仿宋_GB2312"/>
          <w:b/>
          <w:spacing w:val="-3"/>
          <w:sz w:val="32"/>
          <w:szCs w:val="32"/>
          <w:lang w:val="zh-CN" w:eastAsia="zh-CN" w:bidi="zh-CN"/>
        </w:rPr>
        <w:t>　　</w:t>
      </w:r>
      <w:r>
        <w:rPr>
          <w:rFonts w:hint="eastAsia" w:ascii="楷体_GB2312" w:hAnsi="楷体_GB2312" w:eastAsia="楷体_GB2312" w:cs="楷体_GB2312"/>
          <w:sz w:val="32"/>
          <w:szCs w:val="32"/>
          <w:lang w:val="zh-CN" w:eastAsia="zh-CN" w:bidi="zh-CN"/>
        </w:rPr>
        <w:t>（四）加强改革经验宣传</w:t>
      </w:r>
    </w:p>
    <w:p>
      <w:pPr>
        <w:pStyle w:val="5"/>
        <w:keepNext w:val="0"/>
        <w:keepLines w:val="0"/>
        <w:pageBreakBefore w:val="0"/>
        <w:kinsoku/>
        <w:wordWrap/>
        <w:overflowPunct/>
        <w:topLinePunct w:val="0"/>
        <w:bidi w:val="0"/>
        <w:spacing w:line="560" w:lineRule="exact"/>
        <w:ind w:left="24" w:right="-29" w:firstLine="632" w:firstLineChars="200"/>
        <w:jc w:val="both"/>
        <w:textAlignment w:val="auto"/>
        <w:outlineLvl w:val="9"/>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spacing w:val="-2"/>
          <w:sz w:val="32"/>
          <w:szCs w:val="32"/>
          <w:lang w:val="zh-CN" w:eastAsia="zh-CN" w:bidi="zh-CN"/>
        </w:rPr>
        <w:t>围绕灌溉设施长效管护、农业用水管理等重点工作，制作系列宣传图册、折页，积极开展舆论宣传工作，形成固定的工作制度，宣传农业水价综合改革工作成果，普及农业节水和农田水利的知识，提高民众对灌溉设施长效管护、农业节水减排工作的认识和了解。</w:t>
      </w:r>
    </w:p>
    <w:p>
      <w:pPr>
        <w:pStyle w:val="5"/>
        <w:keepNext w:val="0"/>
        <w:keepLines w:val="0"/>
        <w:pageBreakBefore w:val="0"/>
        <w:kinsoku/>
        <w:wordWrap/>
        <w:overflowPunct/>
        <w:topLinePunct w:val="0"/>
        <w:bidi w:val="0"/>
        <w:spacing w:line="560" w:lineRule="exact"/>
        <w:ind w:right="-29"/>
        <w:jc w:val="both"/>
        <w:textAlignment w:val="auto"/>
        <w:outlineLvl w:val="9"/>
        <w:rPr>
          <w:rFonts w:hint="eastAsia" w:ascii="仿宋_GB2312" w:hAnsi="仿宋_GB2312" w:eastAsia="仿宋_GB2312" w:cs="仿宋_GB2312"/>
          <w:spacing w:val="-2"/>
          <w:sz w:val="32"/>
          <w:szCs w:val="32"/>
          <w:lang w:val="zh-CN" w:eastAsia="zh-CN" w:bidi="zh-CN"/>
        </w:rPr>
      </w:pPr>
    </w:p>
    <w:p>
      <w:pPr>
        <w:pStyle w:val="5"/>
        <w:keepNext w:val="0"/>
        <w:keepLines w:val="0"/>
        <w:pageBreakBefore w:val="0"/>
        <w:kinsoku/>
        <w:wordWrap/>
        <w:overflowPunct/>
        <w:topLinePunct w:val="0"/>
        <w:bidi w:val="0"/>
        <w:spacing w:line="560" w:lineRule="exact"/>
        <w:ind w:left="24" w:right="-29" w:firstLine="640" w:firstLineChars="200"/>
        <w:jc w:val="both"/>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bCs/>
          <w:color w:val="000000"/>
          <w:sz w:val="32"/>
          <w:szCs w:val="32"/>
          <w:lang w:eastAsia="zh-CN" w:bidi="ar"/>
        </w:rPr>
        <w:t>崇明区农业水价综合改革区级验收考核表</w:t>
      </w: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上海市崇明区中兴镇人民政府</w:t>
      </w:r>
    </w:p>
    <w:p>
      <w:pPr>
        <w:keepNext w:val="0"/>
        <w:keepLines w:val="0"/>
        <w:pageBreakBefore w:val="0"/>
        <w:widowControl w:val="0"/>
        <w:kinsoku/>
        <w:wordWrap/>
        <w:overflowPunct/>
        <w:topLinePunct w:val="0"/>
        <w:autoSpaceDE/>
        <w:autoSpaceDN/>
        <w:bidi w:val="0"/>
        <w:adjustRightInd/>
        <w:snapToGrid/>
        <w:spacing w:line="560" w:lineRule="exact"/>
        <w:ind w:firstLine="66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2020年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月7日</w:t>
      </w: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sz w:val="20"/>
          <w:szCs w:val="11"/>
          <w:lang w:val="en-US" w:eastAsia="zh-CN"/>
        </w:rPr>
      </w:pPr>
    </w:p>
    <w:p>
      <w:pPr>
        <w:pStyle w:val="7"/>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sz w:val="20"/>
          <w:szCs w:val="11"/>
          <w:lang w:val="en-US" w:eastAsia="zh-CN"/>
        </w:rPr>
      </w:pPr>
    </w:p>
    <w:p>
      <w:pPr>
        <w:pStyle w:val="7"/>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sz w:val="20"/>
          <w:szCs w:val="11"/>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210" w:firstLineChars="100"/>
        <w:textAlignment w:val="auto"/>
        <w:rPr>
          <w:rFonts w:hint="eastAsia" w:ascii="仿宋_GB2312" w:hAnsi="仿宋_GB2312" w:eastAsia="仿宋_GB2312" w:cs="仿宋_GB2312"/>
          <w:sz w:val="32"/>
          <w:szCs w:val="32"/>
        </w:rPr>
      </w:pPr>
      <w:r>
        <w:rPr>
          <w:rFonts w:hint="default"/>
          <w:sz w:val="21"/>
        </w:rPr>
        <w:pict>
          <v:line id="直接连接符 3" o:spid="_x0000_s1026" o:spt="20" style="position:absolute;left:0pt;margin-left:0pt;margin-top:29.6pt;height:0.05pt;width:441pt;z-index:251658240;mso-width-relative:page;mso-height-relative:page;" filled="f" stroked="t" coordsize="21600,21600" o:gfxdata="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vDSF1QAAAAYBAAAP&#10;AAAAAAAAAAEAIAAAACIAAABkcnMvZG93bnJldi54bWxQSwECFAAUAAAACACHTuJAWlbcE+IBAACx&#10;AwAADgAAAAAAAAABACAAAAAkAQAAZHJzL2Uyb0RvYy54bWxQSwUGAAAAAAYABgBZAQAAeAUAAAAA&#10;">
            <v:path arrowok="t"/>
            <v:fill on="f" focussize="0,0"/>
            <v:stroke weight="1pt" color="#000000" joinstyle="round"/>
            <v:imagedata o:title=""/>
            <o:lock v:ext="edit" aspectratio="f"/>
          </v:line>
        </w:pict>
      </w:r>
      <w:r>
        <w:rPr>
          <w:rFonts w:hint="default"/>
          <w:sz w:val="21"/>
        </w:rPr>
        <w:pict>
          <v:line id="直接连接符 4" o:spid="_x0000_s1027" o:spt="20" style="position:absolute;left:0pt;margin-left:0pt;margin-top:2.6pt;height:0.05pt;width:441pt;z-index:251659264;mso-width-relative:page;mso-height-relative:page;" filled="f" stroked="t" coordsize="21600,21600" o:gfxdata="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OWq9HTAAAABAEAAA8A&#10;AAAAAAAAAQAgAAAAIgAAAGRycy9kb3ducmV2LnhtbFBLAQIUABQAAAAIAIdO4kDyvTQU4wEAALED&#10;AAAOAAAAAAAAAAEAIAAAACIBAABkcnMvZTJvRG9jLnhtbFBLBQYAAAAABgAGAFkBAAB3BQAAAAA=&#10;">
            <v:path arrowok="t"/>
            <v:fill on="f" focussize="0,0"/>
            <v:stroke weight="1pt" color="#000000" joinstyle="round"/>
            <v:imagedata o:title=""/>
            <o:lock v:ext="edit" aspectratio="f"/>
          </v:line>
        </w:pict>
      </w:r>
      <w:r>
        <w:rPr>
          <w:rFonts w:hint="eastAsia" w:ascii="仿宋_GB2312" w:hAnsi="宋体" w:eastAsia="仿宋_GB2312"/>
          <w:sz w:val="28"/>
          <w:lang w:val="en-US" w:eastAsia="zh-CN"/>
        </w:rPr>
        <w:t>上海市</w:t>
      </w:r>
      <w:r>
        <w:rPr>
          <w:rFonts w:hint="eastAsia" w:ascii="仿宋_GB2312" w:hAnsi="宋体" w:eastAsia="仿宋_GB2312"/>
          <w:sz w:val="28"/>
        </w:rPr>
        <w:t>崇明</w:t>
      </w:r>
      <w:r>
        <w:rPr>
          <w:rFonts w:hint="eastAsia" w:ascii="仿宋_GB2312" w:hAnsi="宋体" w:eastAsia="仿宋_GB2312"/>
          <w:sz w:val="28"/>
          <w:lang w:val="en-US" w:eastAsia="zh-CN"/>
        </w:rPr>
        <w:t>区</w:t>
      </w:r>
      <w:r>
        <w:rPr>
          <w:rFonts w:hint="eastAsia" w:ascii="仿宋_GB2312" w:hAnsi="宋体" w:eastAsia="仿宋_GB2312"/>
          <w:sz w:val="28"/>
        </w:rPr>
        <w:t xml:space="preserve">中兴镇人民政府办公室    </w:t>
      </w:r>
      <w:r>
        <w:rPr>
          <w:rFonts w:hint="eastAsia" w:ascii="仿宋_GB2312" w:hAnsi="宋体" w:eastAsia="仿宋_GB2312"/>
          <w:sz w:val="28"/>
          <w:lang w:val="en-US" w:eastAsia="zh-CN"/>
        </w:rPr>
        <w:t xml:space="preserve">      </w:t>
      </w:r>
      <w:r>
        <w:rPr>
          <w:rFonts w:hint="eastAsia" w:ascii="仿宋_GB2312" w:hAnsi="宋体" w:eastAsia="仿宋_GB2312"/>
          <w:sz w:val="28"/>
        </w:rPr>
        <w:t>20</w:t>
      </w:r>
      <w:r>
        <w:rPr>
          <w:rFonts w:hint="eastAsia" w:ascii="仿宋_GB2312" w:hAnsi="宋体" w:eastAsia="仿宋_GB2312"/>
          <w:sz w:val="28"/>
          <w:lang w:val="en-US" w:eastAsia="zh-CN"/>
        </w:rPr>
        <w:t>20</w:t>
      </w:r>
      <w:r>
        <w:rPr>
          <w:rFonts w:hint="eastAsia" w:ascii="仿宋_GB2312" w:hAnsi="宋体" w:eastAsia="仿宋_GB2312"/>
          <w:sz w:val="28"/>
        </w:rPr>
        <w:t>年</w:t>
      </w:r>
      <w:r>
        <w:rPr>
          <w:rFonts w:hint="eastAsia" w:ascii="仿宋_GB2312" w:hAnsi="宋体" w:eastAsia="仿宋_GB2312"/>
          <w:sz w:val="28"/>
          <w:lang w:val="en-US" w:eastAsia="zh-CN"/>
        </w:rPr>
        <w:t>7</w:t>
      </w:r>
      <w:r>
        <w:rPr>
          <w:rFonts w:hint="eastAsia" w:ascii="仿宋_GB2312" w:hAnsi="宋体" w:eastAsia="仿宋_GB2312"/>
          <w:sz w:val="28"/>
        </w:rPr>
        <w:t>月</w:t>
      </w:r>
      <w:r>
        <w:rPr>
          <w:rFonts w:hint="eastAsia" w:ascii="仿宋_GB2312" w:hAnsi="宋体" w:eastAsia="仿宋_GB2312"/>
          <w:sz w:val="28"/>
          <w:lang w:val="en-US" w:eastAsia="zh-CN"/>
        </w:rPr>
        <w:t>7</w:t>
      </w:r>
      <w:r>
        <w:rPr>
          <w:rFonts w:hint="eastAsia" w:ascii="仿宋_GB2312" w:hAnsi="宋体" w:eastAsia="仿宋_GB2312"/>
          <w:sz w:val="28"/>
        </w:rPr>
        <w:t>日印</w:t>
      </w:r>
      <w:r>
        <w:rPr>
          <w:rFonts w:hint="eastAsia" w:ascii="仿宋_GB2312" w:hAnsi="宋体" w:eastAsia="仿宋_GB2312"/>
          <w:sz w:val="28"/>
          <w:lang w:val="en-US" w:eastAsia="zh-CN"/>
        </w:rPr>
        <w:t>发</w:t>
      </w:r>
    </w:p>
    <w:p>
      <w:pPr>
        <w:pStyle w:val="5"/>
        <w:spacing w:line="560" w:lineRule="exact"/>
        <w:ind w:right="-29"/>
        <w:jc w:val="both"/>
        <w:rPr>
          <w:rFonts w:ascii="仿宋_GB2312" w:hAnsi="仿宋_GB2312" w:eastAsia="仿宋_GB2312" w:cs="仿宋_GB2312"/>
          <w:sz w:val="32"/>
          <w:szCs w:val="32"/>
          <w:lang w:eastAsia="zh-CN"/>
        </w:rPr>
        <w:sectPr>
          <w:footerReference r:id="rId3" w:type="default"/>
          <w:pgSz w:w="11900" w:h="16840"/>
          <w:pgMar w:top="2098" w:right="1474" w:bottom="1984" w:left="1587" w:header="720" w:footer="720" w:gutter="0"/>
          <w:pgNumType w:fmt="numberInDash" w:start="1"/>
          <w:cols w:space="720" w:num="1"/>
        </w:sectPr>
      </w:pPr>
    </w:p>
    <w:p>
      <w:pPr>
        <w:pStyle w:val="5"/>
        <w:spacing w:line="560" w:lineRule="exact"/>
        <w:ind w:right="-29"/>
        <w:jc w:val="both"/>
        <w:rPr>
          <w:rFonts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附件：</w:t>
      </w:r>
    </w:p>
    <w:tbl>
      <w:tblPr>
        <w:tblStyle w:val="11"/>
        <w:tblW w:w="12810" w:type="dxa"/>
        <w:jc w:val="center"/>
        <w:tblInd w:w="0" w:type="dxa"/>
        <w:tblLayout w:type="fixed"/>
        <w:tblCellMar>
          <w:top w:w="0" w:type="dxa"/>
          <w:left w:w="0" w:type="dxa"/>
          <w:bottom w:w="0" w:type="dxa"/>
          <w:right w:w="0" w:type="dxa"/>
        </w:tblCellMar>
      </w:tblPr>
      <w:tblGrid>
        <w:gridCol w:w="1824"/>
        <w:gridCol w:w="1727"/>
        <w:gridCol w:w="4535"/>
        <w:gridCol w:w="615"/>
        <w:gridCol w:w="3064"/>
        <w:gridCol w:w="1045"/>
      </w:tblGrid>
      <w:tr>
        <w:tblPrEx>
          <w:tblLayout w:type="fixed"/>
          <w:tblCellMar>
            <w:top w:w="0" w:type="dxa"/>
            <w:left w:w="0" w:type="dxa"/>
            <w:bottom w:w="0" w:type="dxa"/>
            <w:right w:w="0" w:type="dxa"/>
          </w:tblCellMar>
        </w:tblPrEx>
        <w:trPr>
          <w:trHeight w:val="495" w:hRule="atLeast"/>
          <w:jc w:val="center"/>
        </w:trPr>
        <w:tc>
          <w:tcPr>
            <w:tcW w:w="12810" w:type="dxa"/>
            <w:gridSpan w:val="6"/>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华文中宋" w:hAnsi="华文中宋" w:eastAsia="华文中宋" w:cs="华文中宋"/>
                <w:b/>
                <w:color w:val="000000"/>
                <w:sz w:val="32"/>
                <w:szCs w:val="32"/>
                <w:lang w:eastAsia="zh-CN"/>
              </w:rPr>
            </w:pPr>
            <w:r>
              <w:rPr>
                <w:rFonts w:hint="eastAsia" w:ascii="华文中宋" w:hAnsi="华文中宋" w:eastAsia="华文中宋" w:cs="华文中宋"/>
                <w:b/>
                <w:color w:val="000000"/>
                <w:sz w:val="32"/>
                <w:szCs w:val="32"/>
                <w:lang w:eastAsia="zh-CN" w:bidi="ar"/>
              </w:rPr>
              <w:t>崇明区农业水价综合改革</w:t>
            </w:r>
            <w:r>
              <w:rPr>
                <w:rFonts w:ascii="华文中宋" w:hAnsi="华文中宋" w:eastAsia="华文中宋" w:cs="华文中宋"/>
                <w:b/>
                <w:color w:val="000000"/>
                <w:sz w:val="32"/>
                <w:szCs w:val="32"/>
                <w:lang w:eastAsia="zh-CN" w:bidi="ar"/>
              </w:rPr>
              <w:t>区级验收</w:t>
            </w:r>
            <w:r>
              <w:rPr>
                <w:rFonts w:hint="eastAsia" w:ascii="华文中宋" w:hAnsi="华文中宋" w:eastAsia="华文中宋" w:cs="华文中宋"/>
                <w:b/>
                <w:color w:val="000000"/>
                <w:sz w:val="32"/>
                <w:szCs w:val="32"/>
                <w:lang w:eastAsia="zh-CN" w:bidi="ar"/>
              </w:rPr>
              <w:t>考核表</w:t>
            </w:r>
          </w:p>
        </w:tc>
      </w:tr>
      <w:tr>
        <w:tblPrEx>
          <w:tblLayout w:type="fixed"/>
          <w:tblCellMar>
            <w:top w:w="0" w:type="dxa"/>
            <w:left w:w="0" w:type="dxa"/>
            <w:bottom w:w="0" w:type="dxa"/>
            <w:right w:w="0" w:type="dxa"/>
          </w:tblCellMar>
        </w:tblPrEx>
        <w:trPr>
          <w:trHeight w:val="327" w:hRule="atLeast"/>
          <w:jc w:val="center"/>
        </w:trPr>
        <w:tc>
          <w:tcPr>
            <w:tcW w:w="355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eastAsia="zh-CN" w:bidi="ar"/>
              </w:rPr>
              <w:t>验收内容</w:t>
            </w:r>
          </w:p>
        </w:tc>
        <w:tc>
          <w:tcPr>
            <w:tcW w:w="453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eastAsia="zh-CN" w:bidi="ar"/>
              </w:rPr>
              <w:t>验收指标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eastAsia="zh-CN" w:bidi="ar"/>
              </w:rPr>
              <w:t>分值</w:t>
            </w:r>
          </w:p>
        </w:tc>
        <w:tc>
          <w:tcPr>
            <w:tcW w:w="306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eastAsia="zh-CN" w:bidi="ar"/>
              </w:rPr>
              <w:t>打分依据</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b/>
                <w:color w:val="000000"/>
                <w:sz w:val="24"/>
                <w:szCs w:val="24"/>
              </w:rPr>
            </w:pPr>
            <w:r>
              <w:rPr>
                <w:rFonts w:hint="eastAsia"/>
                <w:b/>
                <w:color w:val="000000"/>
                <w:sz w:val="24"/>
                <w:szCs w:val="24"/>
                <w:lang w:eastAsia="zh-CN" w:bidi="ar"/>
              </w:rPr>
              <w:t>验收得分</w:t>
            </w:r>
          </w:p>
        </w:tc>
      </w:tr>
      <w:tr>
        <w:tblPrEx>
          <w:tblLayout w:type="fixed"/>
          <w:tblCellMar>
            <w:top w:w="0" w:type="dxa"/>
            <w:left w:w="0" w:type="dxa"/>
            <w:bottom w:w="0" w:type="dxa"/>
            <w:right w:w="0" w:type="dxa"/>
          </w:tblCellMar>
        </w:tblPrEx>
        <w:trPr>
          <w:trHeight w:val="327" w:hRule="atLeast"/>
          <w:jc w:val="center"/>
        </w:trPr>
        <w:tc>
          <w:tcPr>
            <w:tcW w:w="355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b/>
                <w:color w:val="000000"/>
                <w:sz w:val="24"/>
                <w:szCs w:val="24"/>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b/>
                <w:color w:val="000000"/>
                <w:sz w:val="24"/>
                <w:szCs w:val="24"/>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b/>
                <w:color w:val="000000"/>
                <w:sz w:val="24"/>
                <w:szCs w:val="24"/>
              </w:rPr>
            </w:pP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b/>
                <w:color w:val="000000"/>
                <w:sz w:val="24"/>
                <w:szCs w:val="24"/>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b/>
                <w:color w:val="000000"/>
                <w:sz w:val="24"/>
                <w:szCs w:val="24"/>
              </w:rPr>
            </w:pPr>
          </w:p>
        </w:tc>
      </w:tr>
      <w:tr>
        <w:tblPrEx>
          <w:tblLayout w:type="fixed"/>
          <w:tblCellMar>
            <w:top w:w="0" w:type="dxa"/>
            <w:left w:w="0" w:type="dxa"/>
            <w:bottom w:w="0" w:type="dxa"/>
            <w:right w:w="0" w:type="dxa"/>
          </w:tblCellMar>
        </w:tblPrEx>
        <w:trPr>
          <w:trHeight w:val="155" w:hRule="atLeast"/>
          <w:jc w:val="center"/>
        </w:trPr>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eastAsia="黑体" w:cs="黑体"/>
                <w:color w:val="000000"/>
                <w:sz w:val="24"/>
                <w:szCs w:val="24"/>
                <w:lang w:eastAsia="zh-CN"/>
              </w:rPr>
            </w:pPr>
            <w:r>
              <w:rPr>
                <w:rFonts w:hint="eastAsia" w:ascii="黑体" w:eastAsia="黑体" w:cs="黑体"/>
                <w:color w:val="000000"/>
                <w:sz w:val="24"/>
                <w:szCs w:val="24"/>
                <w:lang w:eastAsia="zh-CN" w:bidi="ar"/>
              </w:rPr>
              <w:t>（一）制度</w:t>
            </w:r>
            <w:r>
              <w:rPr>
                <w:rFonts w:hint="eastAsia" w:ascii="黑体" w:eastAsia="黑体" w:cs="黑体"/>
                <w:color w:val="000000"/>
                <w:sz w:val="24"/>
                <w:szCs w:val="24"/>
                <w:lang w:eastAsia="zh-CN" w:bidi="ar"/>
              </w:rPr>
              <w:br w:type="textWrapping"/>
            </w:r>
            <w:r>
              <w:rPr>
                <w:rFonts w:hint="eastAsia" w:ascii="黑体" w:eastAsia="黑体" w:cs="黑体"/>
                <w:color w:val="000000"/>
                <w:sz w:val="24"/>
                <w:szCs w:val="24"/>
                <w:lang w:eastAsia="zh-CN" w:bidi="ar"/>
              </w:rPr>
              <w:t>建设（20分）</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lang w:eastAsia="zh-CN"/>
              </w:rPr>
            </w:pPr>
            <w:r>
              <w:rPr>
                <w:rFonts w:hint="eastAsia"/>
                <w:color w:val="000000"/>
                <w:sz w:val="20"/>
                <w:szCs w:val="20"/>
                <w:lang w:eastAsia="zh-CN" w:bidi="ar"/>
              </w:rPr>
              <w:t>成立镇级改革领导小组，完成镇级各项制度建设</w:t>
            </w: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eastAsia="zh-CN" w:bidi="ar"/>
              </w:rPr>
              <w:t>1、领导小组发文</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305"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eastAsia="zh-CN" w:bidi="ar"/>
              </w:rPr>
              <w:t>2、工作实施方案</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32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3、精准补贴和节水奖励办法</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3</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395"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4、各年度改革试点工作计划（2018-2020）</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3</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335"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eastAsia="zh-CN" w:bidi="ar"/>
              </w:rPr>
              <w:t>5、价格核定发文</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35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6、镇级灌溉设施长效管护和农业节水考核办法</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290" w:hRule="atLeast"/>
          <w:jc w:val="center"/>
        </w:trPr>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eastAsia="黑体" w:cs="黑体"/>
                <w:color w:val="000000"/>
                <w:sz w:val="24"/>
                <w:szCs w:val="24"/>
                <w:lang w:eastAsia="zh-CN"/>
              </w:rPr>
            </w:pPr>
            <w:r>
              <w:rPr>
                <w:rFonts w:hint="eastAsia" w:ascii="黑体" w:eastAsia="黑体" w:cs="黑体"/>
                <w:color w:val="000000"/>
                <w:sz w:val="24"/>
                <w:szCs w:val="24"/>
                <w:lang w:eastAsia="zh-CN" w:bidi="ar"/>
              </w:rPr>
              <w:t>（二）重点工作（50分）</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农业水价核定</w:t>
            </w: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color w:val="000000"/>
                <w:sz w:val="20"/>
                <w:szCs w:val="20"/>
              </w:rPr>
            </w:pPr>
            <w:r>
              <w:rPr>
                <w:rFonts w:hint="eastAsia"/>
                <w:color w:val="000000"/>
                <w:sz w:val="20"/>
                <w:szCs w:val="20"/>
                <w:lang w:eastAsia="zh-CN" w:bidi="ar"/>
              </w:rPr>
              <w:t>1、镇级成本测算报告</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报告</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86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color w:val="000000"/>
                <w:sz w:val="20"/>
                <w:szCs w:val="20"/>
                <w:lang w:eastAsia="zh-CN"/>
              </w:rPr>
            </w:pPr>
            <w:r>
              <w:rPr>
                <w:rFonts w:hint="eastAsia"/>
                <w:color w:val="000000"/>
                <w:sz w:val="20"/>
                <w:szCs w:val="20"/>
                <w:lang w:eastAsia="zh-CN" w:bidi="ar"/>
              </w:rPr>
              <w:t>2、 协商定价执行：通过双方协商方式（讨论交流、举手表决、公示环节缺一不可），明确价格等条款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lang w:eastAsia="zh-CN"/>
              </w:rPr>
            </w:pPr>
            <w:r>
              <w:rPr>
                <w:rFonts w:hint="eastAsia"/>
                <w:color w:val="000000"/>
                <w:sz w:val="20"/>
                <w:szCs w:val="20"/>
                <w:lang w:eastAsia="zh-CN" w:bidi="ar"/>
              </w:rPr>
              <w:t>实施面积达到应完成面积100%得4分，低于70%得0分，70%-100%按比例得分，10%为一档加1分；无协商过程，则验收不通过。</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lang w:eastAsia="zh-CN"/>
              </w:rPr>
            </w:pPr>
          </w:p>
        </w:tc>
      </w:tr>
      <w:tr>
        <w:tblPrEx>
          <w:tblLayout w:type="fixed"/>
          <w:tblCellMar>
            <w:top w:w="0" w:type="dxa"/>
            <w:left w:w="0" w:type="dxa"/>
            <w:bottom w:w="0" w:type="dxa"/>
            <w:right w:w="0" w:type="dxa"/>
          </w:tblCellMar>
        </w:tblPrEx>
        <w:trPr>
          <w:trHeight w:val="71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lang w:eastAsia="zh-CN"/>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lang w:eastAsia="zh-CN"/>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color w:val="000000"/>
                <w:sz w:val="20"/>
                <w:szCs w:val="20"/>
                <w:lang w:eastAsia="zh-CN"/>
              </w:rPr>
            </w:pPr>
            <w:r>
              <w:rPr>
                <w:rFonts w:hint="eastAsia"/>
                <w:color w:val="000000"/>
                <w:sz w:val="20"/>
                <w:szCs w:val="20"/>
                <w:lang w:eastAsia="zh-CN" w:bidi="ar"/>
              </w:rPr>
              <w:t>3、镇域范围内农业水价合理性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6</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lang w:eastAsia="zh-CN"/>
              </w:rPr>
            </w:pPr>
            <w:r>
              <w:rPr>
                <w:rFonts w:hint="eastAsia"/>
                <w:color w:val="000000"/>
                <w:sz w:val="20"/>
                <w:szCs w:val="20"/>
                <w:lang w:eastAsia="zh-CN" w:bidi="ar"/>
              </w:rPr>
              <w:t>水价达到运行维护成本水平得3分；总体上未增加农民负担得2分；增加农民负担，则验收不通过 。</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lang w:eastAsia="zh-CN"/>
              </w:rPr>
            </w:pPr>
          </w:p>
        </w:tc>
      </w:tr>
      <w:tr>
        <w:tblPrEx>
          <w:tblLayout w:type="fixed"/>
          <w:tblCellMar>
            <w:top w:w="0" w:type="dxa"/>
            <w:left w:w="0" w:type="dxa"/>
            <w:bottom w:w="0" w:type="dxa"/>
            <w:right w:w="0" w:type="dxa"/>
          </w:tblCellMar>
        </w:tblPrEx>
        <w:trPr>
          <w:trHeight w:val="17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lang w:eastAsia="zh-CN"/>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lang w:eastAsia="zh-CN"/>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color w:val="000000"/>
                <w:sz w:val="20"/>
                <w:szCs w:val="20"/>
                <w:lang w:eastAsia="zh-CN"/>
              </w:rPr>
            </w:pPr>
            <w:r>
              <w:rPr>
                <w:rFonts w:hint="eastAsia"/>
                <w:color w:val="000000"/>
                <w:sz w:val="20"/>
                <w:szCs w:val="20"/>
                <w:lang w:eastAsia="zh-CN" w:bidi="ar"/>
              </w:rPr>
              <w:t>4、改革实施区域落实超定额累进加价制度执行情况</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148"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用水管理</w:t>
            </w: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color w:val="000000"/>
                <w:sz w:val="20"/>
                <w:szCs w:val="20"/>
                <w:lang w:eastAsia="zh-CN"/>
              </w:rPr>
            </w:pPr>
            <w:r>
              <w:rPr>
                <w:rFonts w:hint="eastAsia"/>
                <w:color w:val="000000"/>
                <w:sz w:val="20"/>
                <w:szCs w:val="20"/>
                <w:lang w:eastAsia="zh-CN" w:bidi="ar"/>
              </w:rPr>
              <w:t>1、按照分级管理权限，各镇将农业水权逐级分配到村；</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9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color w:val="000000"/>
                <w:sz w:val="20"/>
                <w:szCs w:val="20"/>
                <w:lang w:eastAsia="zh-CN"/>
              </w:rPr>
            </w:pPr>
            <w:r>
              <w:rPr>
                <w:rFonts w:hint="eastAsia"/>
                <w:color w:val="000000"/>
                <w:sz w:val="20"/>
                <w:szCs w:val="20"/>
                <w:lang w:eastAsia="zh-CN" w:bidi="ar"/>
              </w:rPr>
              <w:t>2、各村、各镇、各年度用水（用电）情况， 实行农业用水总量控制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超过控制的，得0分</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9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color w:val="000000"/>
                <w:sz w:val="20"/>
                <w:szCs w:val="20"/>
              </w:rPr>
            </w:pPr>
            <w:r>
              <w:rPr>
                <w:rFonts w:hint="eastAsia"/>
                <w:color w:val="000000"/>
                <w:sz w:val="20"/>
                <w:szCs w:val="20"/>
                <w:lang w:eastAsia="zh-CN" w:bidi="ar"/>
              </w:rPr>
              <w:t>3、定额核定情况</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9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color w:val="000000"/>
                <w:sz w:val="20"/>
                <w:szCs w:val="20"/>
                <w:lang w:eastAsia="zh-CN"/>
              </w:rPr>
            </w:pPr>
            <w:r>
              <w:rPr>
                <w:rFonts w:hint="eastAsia"/>
                <w:color w:val="000000"/>
                <w:sz w:val="20"/>
                <w:szCs w:val="20"/>
                <w:lang w:eastAsia="zh-CN" w:bidi="ar"/>
              </w:rPr>
              <w:t>4、计量设施配备和计量情况情况</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9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lang w:eastAsia="zh-CN"/>
              </w:rPr>
            </w:pPr>
            <w:r>
              <w:rPr>
                <w:rFonts w:hint="eastAsia"/>
                <w:color w:val="000000"/>
                <w:sz w:val="20"/>
                <w:szCs w:val="20"/>
                <w:lang w:eastAsia="zh-CN" w:bidi="ar"/>
              </w:rPr>
              <w:t>灌溉设施长效管护执行情况</w:t>
            </w: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1、设施登记、使用发证执行情况</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材料</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163"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 xml:space="preserve">2、落实工程管护责任得，落实灌区运行维护队伍 </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2</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lang w:eastAsia="zh-CN"/>
              </w:rPr>
            </w:pPr>
            <w:r>
              <w:rPr>
                <w:rFonts w:hint="eastAsia"/>
                <w:color w:val="000000"/>
                <w:sz w:val="20"/>
                <w:szCs w:val="20"/>
                <w:lang w:eastAsia="zh-CN" w:bidi="ar"/>
              </w:rPr>
              <w:t xml:space="preserve">管护责任未落实，则验收不通过。 </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lang w:eastAsia="zh-CN"/>
              </w:rPr>
            </w:pPr>
          </w:p>
        </w:tc>
      </w:tr>
      <w:tr>
        <w:tblPrEx>
          <w:tblLayout w:type="fixed"/>
          <w:tblCellMar>
            <w:top w:w="0" w:type="dxa"/>
            <w:left w:w="0" w:type="dxa"/>
            <w:bottom w:w="0" w:type="dxa"/>
            <w:right w:w="0" w:type="dxa"/>
          </w:tblCellMar>
        </w:tblPrEx>
        <w:trPr>
          <w:trHeight w:val="9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lang w:eastAsia="zh-CN"/>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lang w:eastAsia="zh-CN"/>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3、制定运行、维修养护、检查管理网络图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3</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材料</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227"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4、运行、养护、维修、检查记录册台账管理</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台账记录</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197"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改革实施面积</w:t>
            </w: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color w:val="000000"/>
                <w:sz w:val="20"/>
                <w:szCs w:val="20"/>
                <w:lang w:eastAsia="zh-CN"/>
              </w:rPr>
            </w:pPr>
            <w:r>
              <w:rPr>
                <w:rFonts w:hint="eastAsia"/>
                <w:color w:val="000000"/>
                <w:sz w:val="20"/>
                <w:szCs w:val="20"/>
                <w:lang w:eastAsia="zh-CN" w:bidi="ar"/>
              </w:rPr>
              <w:t xml:space="preserve">1、以灌区为单元，将每个灌区边界和泵站位置上图 </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材料</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687"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 xml:space="preserve">2、开展灌区面积核定工作，各村、镇自下而上逐级核查、公示及上报，各区、镇自上而下逐级审核，各镇政府正式行文上报区 </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材料</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227"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3、累计完成改革任务的有效灌溉面积占应完成面积的比例</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lang w:eastAsia="zh-CN"/>
              </w:rPr>
            </w:pPr>
            <w:r>
              <w:rPr>
                <w:rFonts w:hint="eastAsia"/>
                <w:color w:val="000000"/>
                <w:sz w:val="20"/>
                <w:szCs w:val="20"/>
                <w:lang w:eastAsia="zh-CN" w:bidi="ar"/>
              </w:rPr>
              <w:t>区级完成对镇改革工作的验收，已验收的乡镇改革面积，方可计入完成改革任务的有效灌溉面积。</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lang w:eastAsia="zh-CN"/>
              </w:rPr>
            </w:pPr>
          </w:p>
        </w:tc>
      </w:tr>
      <w:tr>
        <w:tblPrEx>
          <w:tblLayout w:type="fixed"/>
          <w:tblCellMar>
            <w:top w:w="0" w:type="dxa"/>
            <w:left w:w="0" w:type="dxa"/>
            <w:bottom w:w="0" w:type="dxa"/>
            <w:right w:w="0" w:type="dxa"/>
          </w:tblCellMar>
        </w:tblPrEx>
        <w:trPr>
          <w:trHeight w:val="95" w:hRule="atLeast"/>
          <w:jc w:val="center"/>
        </w:trPr>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eastAsia="黑体" w:cs="黑体"/>
                <w:color w:val="000000"/>
                <w:sz w:val="24"/>
                <w:szCs w:val="24"/>
                <w:lang w:eastAsia="zh-CN"/>
              </w:rPr>
            </w:pPr>
            <w:r>
              <w:rPr>
                <w:rFonts w:hint="eastAsia" w:ascii="黑体" w:eastAsia="黑体" w:cs="黑体"/>
                <w:color w:val="000000"/>
                <w:sz w:val="24"/>
                <w:szCs w:val="24"/>
                <w:lang w:eastAsia="zh-CN" w:bidi="ar"/>
              </w:rPr>
              <w:t>（四）资金使用</w:t>
            </w:r>
            <w:r>
              <w:rPr>
                <w:rFonts w:hint="eastAsia" w:ascii="黑体" w:eastAsia="黑体" w:cs="黑体"/>
                <w:color w:val="000000"/>
                <w:sz w:val="24"/>
                <w:szCs w:val="24"/>
                <w:lang w:eastAsia="zh-CN" w:bidi="ar"/>
              </w:rPr>
              <w:br w:type="textWrapping"/>
            </w:r>
            <w:r>
              <w:rPr>
                <w:rFonts w:hint="eastAsia" w:ascii="黑体" w:eastAsia="黑体" w:cs="黑体"/>
                <w:color w:val="000000"/>
                <w:sz w:val="24"/>
                <w:szCs w:val="24"/>
                <w:lang w:eastAsia="zh-CN" w:bidi="ar"/>
              </w:rPr>
              <w:t>管理（10）</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lang w:eastAsia="zh-CN"/>
              </w:rPr>
            </w:pPr>
            <w:r>
              <w:rPr>
                <w:rFonts w:hint="eastAsia"/>
                <w:color w:val="000000"/>
                <w:sz w:val="20"/>
                <w:szCs w:val="20"/>
                <w:lang w:eastAsia="zh-CN" w:bidi="ar"/>
              </w:rPr>
              <w:t>镇级资金落实和发放情况</w:t>
            </w: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1、年度镇级资金计划及镇级管护资金落实凭证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材料</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257"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2、奖励标准按规定与年度农田灌溉设施养护管理及农业节水考核结果挂钩</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159" w:hRule="atLeast"/>
          <w:jc w:val="center"/>
        </w:trPr>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eastAsia="黑体" w:cs="黑体"/>
                <w:color w:val="000000"/>
                <w:sz w:val="24"/>
                <w:szCs w:val="24"/>
              </w:rPr>
            </w:pPr>
            <w:r>
              <w:rPr>
                <w:rFonts w:hint="eastAsia" w:ascii="黑体" w:eastAsia="黑体" w:cs="黑体"/>
                <w:color w:val="000000"/>
                <w:sz w:val="24"/>
                <w:szCs w:val="24"/>
                <w:lang w:eastAsia="zh-CN" w:bidi="ar"/>
              </w:rPr>
              <w:t>（三）验收</w:t>
            </w:r>
            <w:r>
              <w:rPr>
                <w:rFonts w:hint="eastAsia" w:ascii="黑体" w:eastAsia="黑体" w:cs="黑体"/>
                <w:color w:val="000000"/>
                <w:sz w:val="24"/>
                <w:szCs w:val="24"/>
                <w:lang w:eastAsia="zh-CN" w:bidi="ar"/>
              </w:rPr>
              <w:br w:type="textWrapping"/>
            </w:r>
            <w:r>
              <w:rPr>
                <w:rFonts w:hint="eastAsia" w:ascii="黑体" w:eastAsia="黑体" w:cs="黑体"/>
                <w:color w:val="000000"/>
                <w:sz w:val="24"/>
                <w:szCs w:val="24"/>
                <w:lang w:eastAsia="zh-CN" w:bidi="ar"/>
              </w:rPr>
              <w:t>考核（20）</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 xml:space="preserve"> 考核管理工作情况</w:t>
            </w: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1、每年度对各村和第三方的检查考核</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材料</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9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rPr>
            </w:pPr>
            <w:r>
              <w:rPr>
                <w:rFonts w:hint="eastAsia"/>
                <w:color w:val="000000"/>
                <w:sz w:val="20"/>
                <w:szCs w:val="20"/>
                <w:lang w:eastAsia="zh-CN" w:bidi="ar"/>
              </w:rPr>
              <w:t>2、年度考核结果通报</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90"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3、每年度年终自评评分表及总结</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材料</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469" w:hRule="atLeast"/>
          <w:jc w:val="center"/>
        </w:trPr>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eastAsia="黑体" w:cs="黑体"/>
                <w:color w:val="000000"/>
                <w:sz w:val="24"/>
                <w:szCs w:val="24"/>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sz w:val="20"/>
                <w:szCs w:val="20"/>
                <w:lang w:eastAsia="zh-CN"/>
              </w:rPr>
            </w:pPr>
            <w:r>
              <w:rPr>
                <w:rFonts w:hint="eastAsia"/>
                <w:color w:val="000000"/>
                <w:sz w:val="20"/>
                <w:szCs w:val="20"/>
                <w:lang w:eastAsia="zh-CN" w:bidi="ar"/>
              </w:rPr>
              <w:t>4、镇级培训及推进会会议通知、记录、照片</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5</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材料</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r>
        <w:tblPrEx>
          <w:tblLayout w:type="fixed"/>
          <w:tblCellMar>
            <w:top w:w="0" w:type="dxa"/>
            <w:left w:w="0" w:type="dxa"/>
            <w:bottom w:w="0" w:type="dxa"/>
            <w:right w:w="0" w:type="dxa"/>
          </w:tblCellMar>
        </w:tblPrEx>
        <w:trPr>
          <w:trHeight w:val="375" w:hRule="atLeast"/>
          <w:jc w:val="center"/>
        </w:trPr>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rPr>
            </w:pPr>
            <w:r>
              <w:rPr>
                <w:rFonts w:hint="eastAsia"/>
                <w:color w:val="000000"/>
                <w:lang w:eastAsia="zh-CN" w:bidi="ar"/>
              </w:rPr>
              <w:t>合计</w:t>
            </w:r>
          </w:p>
        </w:tc>
        <w:tc>
          <w:tcPr>
            <w:tcW w:w="62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lang w:eastAsia="zh-CN" w:bidi="ar"/>
              </w:rPr>
              <w:t>100</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color w:val="000000"/>
                <w:sz w:val="20"/>
                <w:szCs w:val="20"/>
              </w:rPr>
            </w:pPr>
          </w:p>
        </w:tc>
      </w:tr>
    </w:tbl>
    <w:p>
      <w:pPr>
        <w:pStyle w:val="5"/>
        <w:spacing w:line="560" w:lineRule="exact"/>
        <w:ind w:right="-29"/>
        <w:jc w:val="both"/>
        <w:rPr>
          <w:rFonts w:ascii="仿宋_GB2312" w:hAnsi="仿宋_GB2312" w:eastAsia="仿宋_GB2312" w:cs="仿宋_GB2312"/>
          <w:sz w:val="32"/>
          <w:szCs w:val="32"/>
          <w:lang w:eastAsia="zh-CN"/>
        </w:rPr>
      </w:pPr>
    </w:p>
    <w:p>
      <w:pPr>
        <w:pStyle w:val="5"/>
        <w:spacing w:line="560" w:lineRule="exact"/>
        <w:ind w:left="24" w:right="-29" w:firstLine="640" w:firstLineChars="200"/>
        <w:jc w:val="both"/>
        <w:rPr>
          <w:rFonts w:ascii="仿宋_GB2312" w:hAnsi="仿宋_GB2312" w:eastAsia="仿宋_GB2312" w:cs="仿宋_GB2312"/>
          <w:sz w:val="32"/>
          <w:szCs w:val="32"/>
          <w:lang w:eastAsia="zh-CN"/>
        </w:rPr>
      </w:pPr>
    </w:p>
    <w:sectPr>
      <w:footerReference r:id="rId4" w:type="default"/>
      <w:pgSz w:w="16840" w:h="11900" w:orient="landscape"/>
      <w:pgMar w:top="1587" w:right="2098" w:bottom="1474" w:left="1984" w:header="720" w:footer="720" w:gutter="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rPr>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B917"/>
    <w:multiLevelType w:val="singleLevel"/>
    <w:tmpl w:val="3C21B9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620147"/>
    <w:rsid w:val="00041CAD"/>
    <w:rsid w:val="004E11CC"/>
    <w:rsid w:val="00510C95"/>
    <w:rsid w:val="0053241C"/>
    <w:rsid w:val="00620147"/>
    <w:rsid w:val="0065628D"/>
    <w:rsid w:val="00A41995"/>
    <w:rsid w:val="00C8104C"/>
    <w:rsid w:val="00DB766F"/>
    <w:rsid w:val="00E40BE0"/>
    <w:rsid w:val="00F22726"/>
    <w:rsid w:val="02F47CE9"/>
    <w:rsid w:val="04530576"/>
    <w:rsid w:val="047A7018"/>
    <w:rsid w:val="050B729A"/>
    <w:rsid w:val="051B1D0F"/>
    <w:rsid w:val="053F1225"/>
    <w:rsid w:val="060E388F"/>
    <w:rsid w:val="06120667"/>
    <w:rsid w:val="067676BD"/>
    <w:rsid w:val="06D05010"/>
    <w:rsid w:val="07487D0F"/>
    <w:rsid w:val="081931E6"/>
    <w:rsid w:val="08241A58"/>
    <w:rsid w:val="085A310C"/>
    <w:rsid w:val="08D67EB3"/>
    <w:rsid w:val="0A233D75"/>
    <w:rsid w:val="0A7B3E82"/>
    <w:rsid w:val="0A8B7AFA"/>
    <w:rsid w:val="0DC85180"/>
    <w:rsid w:val="0E884BA1"/>
    <w:rsid w:val="0F702FC0"/>
    <w:rsid w:val="1211382D"/>
    <w:rsid w:val="12AD3AA1"/>
    <w:rsid w:val="145066BD"/>
    <w:rsid w:val="14C30758"/>
    <w:rsid w:val="15447157"/>
    <w:rsid w:val="1619081E"/>
    <w:rsid w:val="16A74284"/>
    <w:rsid w:val="17CA1169"/>
    <w:rsid w:val="18420C4A"/>
    <w:rsid w:val="189205C4"/>
    <w:rsid w:val="18F56E2E"/>
    <w:rsid w:val="19772FB0"/>
    <w:rsid w:val="198754D8"/>
    <w:rsid w:val="19DC3E3D"/>
    <w:rsid w:val="1AE90C13"/>
    <w:rsid w:val="1B8A269A"/>
    <w:rsid w:val="1C263533"/>
    <w:rsid w:val="1C5B6C06"/>
    <w:rsid w:val="1D346B4E"/>
    <w:rsid w:val="1DDF76DD"/>
    <w:rsid w:val="1E5706EC"/>
    <w:rsid w:val="1E652216"/>
    <w:rsid w:val="1EAC61C3"/>
    <w:rsid w:val="1EED712A"/>
    <w:rsid w:val="213A21DC"/>
    <w:rsid w:val="22F35DC4"/>
    <w:rsid w:val="23201630"/>
    <w:rsid w:val="240F1E5A"/>
    <w:rsid w:val="24A82376"/>
    <w:rsid w:val="24D75FC5"/>
    <w:rsid w:val="25AC1C49"/>
    <w:rsid w:val="25C3126D"/>
    <w:rsid w:val="25C70134"/>
    <w:rsid w:val="26136A85"/>
    <w:rsid w:val="287165C5"/>
    <w:rsid w:val="288A2590"/>
    <w:rsid w:val="28B6333C"/>
    <w:rsid w:val="2ADA5BA0"/>
    <w:rsid w:val="2BBD5F31"/>
    <w:rsid w:val="2BCE1030"/>
    <w:rsid w:val="2C8212FD"/>
    <w:rsid w:val="2D021D14"/>
    <w:rsid w:val="2D0878F4"/>
    <w:rsid w:val="2DBD47B0"/>
    <w:rsid w:val="2EB00788"/>
    <w:rsid w:val="2EE72A8F"/>
    <w:rsid w:val="2F303235"/>
    <w:rsid w:val="301623DD"/>
    <w:rsid w:val="302F5879"/>
    <w:rsid w:val="30FE2AD3"/>
    <w:rsid w:val="31AB2B70"/>
    <w:rsid w:val="31CF61C8"/>
    <w:rsid w:val="32A70243"/>
    <w:rsid w:val="35D13C87"/>
    <w:rsid w:val="36C235B3"/>
    <w:rsid w:val="37321525"/>
    <w:rsid w:val="3736054A"/>
    <w:rsid w:val="37517F27"/>
    <w:rsid w:val="37830CB3"/>
    <w:rsid w:val="378E22A8"/>
    <w:rsid w:val="37C91926"/>
    <w:rsid w:val="399F723F"/>
    <w:rsid w:val="39AB1878"/>
    <w:rsid w:val="39BB3F82"/>
    <w:rsid w:val="39CB6386"/>
    <w:rsid w:val="3B555419"/>
    <w:rsid w:val="3BC8401D"/>
    <w:rsid w:val="3BCC284A"/>
    <w:rsid w:val="3BE92FAB"/>
    <w:rsid w:val="3BF04632"/>
    <w:rsid w:val="3D705573"/>
    <w:rsid w:val="3E30760E"/>
    <w:rsid w:val="3ECF5A4E"/>
    <w:rsid w:val="3FC075D4"/>
    <w:rsid w:val="3FF054E6"/>
    <w:rsid w:val="40282967"/>
    <w:rsid w:val="413247F0"/>
    <w:rsid w:val="414032D5"/>
    <w:rsid w:val="432C7225"/>
    <w:rsid w:val="43E36084"/>
    <w:rsid w:val="44275C28"/>
    <w:rsid w:val="450A00E9"/>
    <w:rsid w:val="45A114D6"/>
    <w:rsid w:val="463C794C"/>
    <w:rsid w:val="46DA2341"/>
    <w:rsid w:val="46FE0737"/>
    <w:rsid w:val="473311BD"/>
    <w:rsid w:val="477E4CA3"/>
    <w:rsid w:val="47863B09"/>
    <w:rsid w:val="47870BC1"/>
    <w:rsid w:val="49A54BD9"/>
    <w:rsid w:val="4A476440"/>
    <w:rsid w:val="4A735A25"/>
    <w:rsid w:val="4A8C5DE8"/>
    <w:rsid w:val="4B8608AE"/>
    <w:rsid w:val="4C813979"/>
    <w:rsid w:val="4CAB5953"/>
    <w:rsid w:val="4EFC5151"/>
    <w:rsid w:val="512A606C"/>
    <w:rsid w:val="51702D6D"/>
    <w:rsid w:val="51E5458D"/>
    <w:rsid w:val="51E56A14"/>
    <w:rsid w:val="52AE7BAC"/>
    <w:rsid w:val="534B0B08"/>
    <w:rsid w:val="552A0AB2"/>
    <w:rsid w:val="556934FC"/>
    <w:rsid w:val="556B2B3A"/>
    <w:rsid w:val="55A2063D"/>
    <w:rsid w:val="55FD5958"/>
    <w:rsid w:val="56E73391"/>
    <w:rsid w:val="57216FA4"/>
    <w:rsid w:val="57AE338F"/>
    <w:rsid w:val="599D73C3"/>
    <w:rsid w:val="5B182D5F"/>
    <w:rsid w:val="5B360567"/>
    <w:rsid w:val="5C194C0A"/>
    <w:rsid w:val="5DC711B1"/>
    <w:rsid w:val="5F277029"/>
    <w:rsid w:val="5F4104EC"/>
    <w:rsid w:val="62424754"/>
    <w:rsid w:val="624B791C"/>
    <w:rsid w:val="632B5070"/>
    <w:rsid w:val="650361E4"/>
    <w:rsid w:val="67164D7B"/>
    <w:rsid w:val="67DA5062"/>
    <w:rsid w:val="68304DCC"/>
    <w:rsid w:val="68E975ED"/>
    <w:rsid w:val="6965605E"/>
    <w:rsid w:val="69C34B21"/>
    <w:rsid w:val="6AC16BC3"/>
    <w:rsid w:val="6ADA3D2A"/>
    <w:rsid w:val="6C6736F3"/>
    <w:rsid w:val="6CA12330"/>
    <w:rsid w:val="6CD004AF"/>
    <w:rsid w:val="6F51549B"/>
    <w:rsid w:val="6F6B38F4"/>
    <w:rsid w:val="6FA04797"/>
    <w:rsid w:val="715220BE"/>
    <w:rsid w:val="71FD758A"/>
    <w:rsid w:val="724B4950"/>
    <w:rsid w:val="726D60AB"/>
    <w:rsid w:val="7692751D"/>
    <w:rsid w:val="77141D63"/>
    <w:rsid w:val="779C0F5F"/>
    <w:rsid w:val="789F7CA4"/>
    <w:rsid w:val="78CC05D8"/>
    <w:rsid w:val="7B1135F9"/>
    <w:rsid w:val="7B6350B5"/>
    <w:rsid w:val="7C101865"/>
    <w:rsid w:val="7D020E48"/>
    <w:rsid w:val="7D3F5F82"/>
    <w:rsid w:val="7F6C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10"/>
      <w:ind w:left="1043"/>
      <w:outlineLvl w:val="0"/>
    </w:pPr>
    <w:rPr>
      <w:rFonts w:ascii="楷体_GB2312" w:hAnsi="楷体_GB2312" w:eastAsia="楷体_GB2312" w:cs="楷体_GB2312"/>
      <w:b/>
      <w:bCs/>
      <w:sz w:val="32"/>
      <w:szCs w:val="32"/>
      <w:lang w:val="zh-CN" w:bidi="zh-CN"/>
    </w:rPr>
  </w:style>
  <w:style w:type="character" w:default="1" w:styleId="9">
    <w:name w:val="Default Paragraph Font"/>
    <w:semiHidden/>
    <w:unhideWhenUsed/>
    <w:qFormat/>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6"/>
    <w:qFormat/>
    <w:uiPriority w:val="0"/>
    <w:rPr>
      <w:b/>
      <w:bCs/>
    </w:rPr>
  </w:style>
  <w:style w:type="paragraph" w:styleId="4">
    <w:name w:val="annotation text"/>
    <w:basedOn w:val="1"/>
    <w:link w:val="15"/>
    <w:qFormat/>
    <w:uiPriority w:val="0"/>
  </w:style>
  <w:style w:type="paragraph" w:styleId="5">
    <w:name w:val="Body Text"/>
    <w:basedOn w:val="1"/>
    <w:qFormat/>
    <w:uiPriority w:val="1"/>
    <w:rPr>
      <w:sz w:val="31"/>
      <w:szCs w:val="31"/>
    </w:rPr>
  </w:style>
  <w:style w:type="paragraph" w:styleId="6">
    <w:name w:val="Balloon Text"/>
    <w:basedOn w:val="1"/>
    <w:link w:val="17"/>
    <w:qFormat/>
    <w:uiPriority w:val="99"/>
    <w:rPr>
      <w:sz w:val="18"/>
      <w:szCs w:val="18"/>
    </w:rPr>
  </w:style>
  <w:style w:type="paragraph" w:styleId="7">
    <w:name w:val="footer"/>
    <w:basedOn w:val="1"/>
    <w:uiPriority w:val="0"/>
    <w:pPr>
      <w:tabs>
        <w:tab w:val="center" w:pos="4153"/>
        <w:tab w:val="right" w:pos="8306"/>
      </w:tabs>
      <w:snapToGrid w:val="0"/>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10">
    <w:name w:val="annotation reference"/>
    <w:basedOn w:val="9"/>
    <w:qFormat/>
    <w:uiPriority w:val="0"/>
    <w:rPr>
      <w:sz w:val="21"/>
      <w:szCs w:val="21"/>
    </w:rPr>
  </w:style>
  <w:style w:type="table" w:customStyle="1" w:styleId="12">
    <w:name w:val="Table Normal"/>
    <w:semiHidden/>
    <w:unhideWhenUsed/>
    <w:qFormat/>
    <w:uiPriority w:val="2"/>
    <w:tblPr>
      <w:tblLayout w:type="fixed"/>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批注文字 Char"/>
    <w:basedOn w:val="9"/>
    <w:link w:val="4"/>
    <w:qFormat/>
    <w:uiPriority w:val="0"/>
    <w:rPr>
      <w:rFonts w:ascii="宋体" w:hAnsi="宋体" w:eastAsia="宋体" w:cs="宋体"/>
      <w:sz w:val="22"/>
      <w:szCs w:val="22"/>
      <w:lang w:eastAsia="en-US"/>
    </w:rPr>
  </w:style>
  <w:style w:type="character" w:customStyle="1" w:styleId="16">
    <w:name w:val="批注主题 Char"/>
    <w:basedOn w:val="15"/>
    <w:link w:val="3"/>
    <w:qFormat/>
    <w:uiPriority w:val="0"/>
    <w:rPr>
      <w:rFonts w:ascii="宋体" w:hAnsi="宋体" w:eastAsia="宋体" w:cs="宋体"/>
      <w:b/>
      <w:bCs/>
      <w:sz w:val="22"/>
      <w:szCs w:val="22"/>
      <w:lang w:eastAsia="en-US"/>
    </w:rPr>
  </w:style>
  <w:style w:type="character" w:customStyle="1" w:styleId="17">
    <w:name w:val="批注框文本 Char"/>
    <w:basedOn w:val="9"/>
    <w:link w:val="6"/>
    <w:qFormat/>
    <w:uiPriority w:val="99"/>
    <w:rPr>
      <w:rFonts w:ascii="宋体" w:hAnsi="宋体" w:eastAsia="宋体" w:cs="宋体"/>
      <w:sz w:val="18"/>
      <w:szCs w:val="18"/>
      <w:lang w:eastAsia="en-US"/>
    </w:rPr>
  </w:style>
  <w:style w:type="character" w:customStyle="1" w:styleId="18">
    <w:name w:val="font21"/>
    <w:basedOn w:val="9"/>
    <w:qFormat/>
    <w:uiPriority w:val="0"/>
    <w:rPr>
      <w:rFonts w:hint="eastAsia" w:ascii="仿宋_GB2312" w:eastAsia="仿宋_GB2312" w:cs="仿宋_GB2312"/>
      <w:color w:val="000000"/>
      <w:sz w:val="36"/>
      <w:szCs w:val="36"/>
      <w:u w:val="none"/>
    </w:rPr>
  </w:style>
  <w:style w:type="character" w:customStyle="1" w:styleId="19">
    <w:name w:val="font11"/>
    <w:basedOn w:val="9"/>
    <w:qFormat/>
    <w:uiPriority w:val="0"/>
    <w:rPr>
      <w:rFonts w:hint="eastAsia" w:ascii="仿宋_GB2312" w:eastAsia="仿宋_GB2312" w:cs="仿宋_GB2312"/>
      <w:color w:val="000000"/>
      <w:sz w:val="21"/>
      <w:szCs w:val="21"/>
      <w:u w:val="none"/>
    </w:rPr>
  </w:style>
  <w:style w:type="paragraph" w:customStyle="1" w:styleId="20">
    <w:name w:val="公文标题"/>
    <w:basedOn w:val="1"/>
    <w:qFormat/>
    <w:uiPriority w:val="0"/>
    <w:pPr>
      <w:jc w:val="center"/>
    </w:pPr>
    <w:rPr>
      <w:rFonts w:eastAsia="方正小标宋简体"/>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471</Words>
  <Characters>2686</Characters>
  <Lines>22</Lines>
  <Paragraphs>6</Paragraphs>
  <TotalTime>0</TotalTime>
  <ScaleCrop>false</ScaleCrop>
  <LinksUpToDate>false</LinksUpToDate>
  <CharactersWithSpaces>3151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2020-04-29T05:18:00Z</dcterms:created>
  <dc:creator>Administrator</dc:creator>
  <cp:lastModifiedBy>Administrator</cp:lastModifiedBy>
  <cp:lastPrinted>2020-07-07T02:54:36Z</cp:lastPrinted>
  <dcterms:modified xsi:type="dcterms:W3CDTF">2020-07-07T02:54:51Z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2019-12-24T00:00:00Z</vt:filetime>
  </property>
  <property fmtid="{D5CDD505-2E9C-101B-9397-08002B2CF9AE}" pid="3" name="Creator">
    <vt:lpwstr>TOSHIBA e-STUDIO3005AC</vt:lpwstr>
  </property>
  <property fmtid="{D5CDD505-2E9C-101B-9397-08002B2CF9AE}" pid="4" name="LastSaved">
    <vt:filetime>2019-12-24T00:00:00Z</vt:filetime>
  </property>
  <property fmtid="{D5CDD505-2E9C-101B-9397-08002B2CF9AE}" pid="5" name="KSOProductBuildVer">
    <vt:lpwstr>2052-10.8.2.6666</vt:lpwstr>
  </property>
</Properties>
</file>