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560" w:lineRule="exact"/>
        <w:jc w:val="left"/>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eastAsia="zh-CN"/>
        </w:rPr>
        <w:t>附件</w:t>
      </w:r>
      <w:r>
        <w:rPr>
          <w:rFonts w:hint="eastAsia" w:ascii="仿宋_GB2312" w:hAnsi="仿宋_GB2312" w:eastAsia="仿宋_GB2312" w:cs="仿宋_GB2312"/>
          <w:kern w:val="0"/>
          <w:sz w:val="32"/>
          <w:szCs w:val="32"/>
          <w:lang w:val="en-US" w:eastAsia="zh-CN"/>
        </w:rPr>
        <w:t>1</w:t>
      </w:r>
    </w:p>
    <w:p>
      <w:pPr>
        <w:autoSpaceDE w:val="0"/>
        <w:autoSpaceDN w:val="0"/>
        <w:adjustRightInd w:val="0"/>
        <w:spacing w:line="560" w:lineRule="exact"/>
        <w:jc w:val="center"/>
        <w:rPr>
          <w:rFonts w:hint="eastAsia" w:ascii="Times New Roman" w:hAnsi="Times New Roman" w:eastAsia="方正小标宋简体" w:cs="Times New Roman"/>
          <w:kern w:val="0"/>
          <w:sz w:val="44"/>
          <w:szCs w:val="44"/>
        </w:rPr>
      </w:pPr>
      <w:r>
        <w:rPr>
          <w:rFonts w:hint="eastAsia" w:ascii="Times New Roman" w:hAnsi="Times New Roman" w:eastAsia="方正小标宋简体" w:cs="Times New Roman"/>
          <w:kern w:val="0"/>
          <w:sz w:val="44"/>
          <w:szCs w:val="44"/>
          <w:lang w:eastAsia="zh-CN"/>
        </w:rPr>
        <w:t>崇明</w:t>
      </w:r>
      <w:r>
        <w:rPr>
          <w:rFonts w:hint="eastAsia" w:ascii="Times New Roman" w:hAnsi="Times New Roman" w:eastAsia="方正小标宋简体" w:cs="Times New Roman"/>
          <w:kern w:val="0"/>
          <w:sz w:val="44"/>
          <w:szCs w:val="44"/>
        </w:rPr>
        <w:t>区关于开展</w:t>
      </w:r>
      <w:r>
        <w:rPr>
          <w:rFonts w:hint="eastAsia" w:ascii="Times New Roman" w:hAnsi="Times New Roman" w:eastAsia="方正小标宋简体" w:cs="Times New Roman"/>
          <w:kern w:val="0"/>
          <w:sz w:val="44"/>
          <w:szCs w:val="44"/>
          <w:lang w:eastAsia="zh-CN"/>
        </w:rPr>
        <w:t>工业企业</w:t>
      </w:r>
      <w:r>
        <w:rPr>
          <w:rFonts w:hint="eastAsia" w:ascii="Times New Roman" w:hAnsi="Times New Roman" w:eastAsia="方正小标宋简体" w:cs="Times New Roman"/>
          <w:kern w:val="0"/>
          <w:sz w:val="44"/>
          <w:szCs w:val="44"/>
        </w:rPr>
        <w:t>资源利用效率</w:t>
      </w:r>
    </w:p>
    <w:p>
      <w:pPr>
        <w:autoSpaceDE w:val="0"/>
        <w:autoSpaceDN w:val="0"/>
        <w:adjustRightInd w:val="0"/>
        <w:spacing w:line="560" w:lineRule="exact"/>
        <w:jc w:val="center"/>
        <w:rPr>
          <w:rFonts w:hint="eastAsia" w:ascii="Times New Roman" w:hAnsi="Times New Roman" w:eastAsia="方正小标宋简体" w:cs="Times New Roman"/>
          <w:kern w:val="0"/>
          <w:sz w:val="44"/>
          <w:szCs w:val="44"/>
          <w:lang w:eastAsia="zh-CN"/>
        </w:rPr>
      </w:pPr>
      <w:r>
        <w:rPr>
          <w:rFonts w:hint="eastAsia" w:ascii="Times New Roman" w:hAnsi="Times New Roman" w:eastAsia="方正小标宋简体" w:cs="Times New Roman"/>
          <w:kern w:val="0"/>
          <w:sz w:val="44"/>
          <w:szCs w:val="44"/>
        </w:rPr>
        <w:t>评价工作的实施</w:t>
      </w:r>
      <w:r>
        <w:rPr>
          <w:rFonts w:hint="eastAsia" w:ascii="Times New Roman" w:hAnsi="Times New Roman" w:eastAsia="方正小标宋简体" w:cs="Times New Roman"/>
          <w:kern w:val="0"/>
          <w:sz w:val="44"/>
          <w:szCs w:val="44"/>
          <w:lang w:eastAsia="zh-CN"/>
        </w:rPr>
        <w:t>意见</w:t>
      </w:r>
    </w:p>
    <w:p>
      <w:pPr>
        <w:jc w:val="center"/>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（送审稿）</w:t>
      </w:r>
    </w:p>
    <w:p>
      <w:pPr>
        <w:keepNext w:val="0"/>
        <w:keepLines w:val="0"/>
        <w:pageBreakBefore w:val="0"/>
        <w:widowControl w:val="0"/>
        <w:kinsoku/>
        <w:wordWrap/>
        <w:overflowPunct/>
        <w:topLinePunct w:val="0"/>
        <w:autoSpaceDE/>
        <w:autoSpaceDN/>
        <w:bidi w:val="0"/>
        <w:adjustRightInd/>
        <w:snapToGrid/>
        <w:spacing w:line="240" w:lineRule="exact"/>
        <w:ind w:firstLine="640" w:firstLineChars="200"/>
        <w:textAlignment w:val="auto"/>
        <w:outlineLvl w:val="9"/>
        <w:rPr>
          <w:rFonts w:hint="eastAsia" w:ascii="仿宋_GB2312" w:hAnsi="黑体" w:eastAsia="仿宋_GB2312"/>
          <w:color w:val="auto"/>
          <w:sz w:val="32"/>
          <w:szCs w:val="32"/>
          <w:u w:val="none"/>
        </w:rPr>
      </w:pPr>
      <w:bookmarkStart w:id="0" w:name="_GoBack"/>
    </w:p>
    <w:bookmarkEnd w:id="0"/>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黑体" w:hAnsi="黑体" w:eastAsia="仿宋_GB2312"/>
          <w:color w:val="auto"/>
          <w:sz w:val="32"/>
          <w:szCs w:val="32"/>
          <w:u w:val="none"/>
          <w:lang w:eastAsia="zh-CN"/>
        </w:rPr>
      </w:pPr>
      <w:r>
        <w:rPr>
          <w:rFonts w:hint="eastAsia" w:ascii="仿宋_GB2312" w:hAnsi="黑体" w:eastAsia="仿宋_GB2312"/>
          <w:color w:val="auto"/>
          <w:sz w:val="32"/>
          <w:szCs w:val="32"/>
          <w:u w:val="none"/>
        </w:rPr>
        <w:t>为贯彻</w:t>
      </w:r>
      <w:r>
        <w:rPr>
          <w:rFonts w:hint="eastAsia" w:ascii="仿宋_GB2312" w:hAnsi="黑体" w:eastAsia="仿宋_GB2312"/>
          <w:color w:val="auto"/>
          <w:sz w:val="32"/>
          <w:szCs w:val="32"/>
          <w:u w:val="none"/>
          <w:lang w:eastAsia="zh-CN"/>
        </w:rPr>
        <w:t>落实</w:t>
      </w:r>
      <w:r>
        <w:rPr>
          <w:rFonts w:hint="eastAsia" w:ascii="仿宋_GB2312" w:hAnsi="黑体" w:eastAsia="仿宋_GB2312"/>
          <w:color w:val="auto"/>
          <w:sz w:val="32"/>
          <w:szCs w:val="32"/>
          <w:u w:val="none"/>
        </w:rPr>
        <w:t>上海市《关于本市促进资源高效率配置推动产业高质量发展的若干意见》</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沪府办发〔2018〕41号）及《关于开展资源利用效率评价工作的指导意见》</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沪经信产〔2019〕206号）的要求，结合</w:t>
      </w:r>
      <w:r>
        <w:rPr>
          <w:rFonts w:hint="eastAsia" w:ascii="仿宋_GB2312" w:hAnsi="黑体" w:eastAsia="仿宋_GB2312"/>
          <w:color w:val="auto"/>
          <w:sz w:val="32"/>
          <w:szCs w:val="32"/>
          <w:u w:val="none"/>
          <w:lang w:eastAsia="zh-CN"/>
        </w:rPr>
        <w:t>崇明</w:t>
      </w:r>
      <w:r>
        <w:rPr>
          <w:rFonts w:hint="eastAsia" w:ascii="仿宋_GB2312" w:hAnsi="黑体" w:eastAsia="仿宋_GB2312"/>
          <w:color w:val="auto"/>
          <w:sz w:val="32"/>
          <w:szCs w:val="32"/>
          <w:u w:val="none"/>
        </w:rPr>
        <w:t>发展实际，</w:t>
      </w:r>
      <w:r>
        <w:rPr>
          <w:rFonts w:hint="eastAsia" w:ascii="仿宋_GB2312" w:hAnsi="黑体" w:eastAsia="仿宋_GB2312"/>
          <w:color w:val="auto"/>
          <w:sz w:val="32"/>
          <w:szCs w:val="32"/>
          <w:u w:val="none"/>
          <w:lang w:eastAsia="zh-CN"/>
        </w:rPr>
        <w:t>区政府同意</w:t>
      </w:r>
      <w:r>
        <w:rPr>
          <w:rFonts w:hint="eastAsia" w:ascii="仿宋_GB2312" w:hAnsi="黑体" w:eastAsia="仿宋_GB2312"/>
          <w:color w:val="auto"/>
          <w:sz w:val="32"/>
          <w:szCs w:val="32"/>
          <w:u w:val="none"/>
        </w:rPr>
        <w:t>本区开展工业企业资源综合利用效率评价工作</w:t>
      </w:r>
      <w:r>
        <w:rPr>
          <w:rFonts w:hint="eastAsia" w:ascii="仿宋_GB2312" w:hAnsi="黑体" w:eastAsia="仿宋_GB2312"/>
          <w:color w:val="auto"/>
          <w:sz w:val="32"/>
          <w:szCs w:val="32"/>
          <w:u w:val="none"/>
          <w:lang w:eastAsia="zh-CN"/>
        </w:rPr>
        <w:t>，现提出</w:t>
      </w:r>
      <w:r>
        <w:rPr>
          <w:rFonts w:hint="eastAsia" w:ascii="仿宋_GB2312" w:hAnsi="黑体" w:eastAsia="仿宋_GB2312"/>
          <w:color w:val="auto"/>
          <w:sz w:val="32"/>
          <w:szCs w:val="32"/>
          <w:u w:val="none"/>
        </w:rPr>
        <w:t>如下实施意见</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黑体" w:hAnsi="黑体" w:eastAsia="黑体"/>
          <w:color w:val="auto"/>
          <w:sz w:val="32"/>
          <w:szCs w:val="32"/>
          <w:u w:val="none"/>
          <w:lang w:eastAsia="zh-CN"/>
        </w:rPr>
      </w:pPr>
      <w:r>
        <w:rPr>
          <w:rFonts w:hint="eastAsia" w:ascii="黑体" w:hAnsi="黑体" w:eastAsia="黑体"/>
          <w:color w:val="auto"/>
          <w:sz w:val="32"/>
          <w:szCs w:val="32"/>
          <w:u w:val="none"/>
          <w:lang w:eastAsia="zh-CN"/>
        </w:rPr>
        <w:t>一、总体要求</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olor w:val="auto"/>
          <w:sz w:val="32"/>
          <w:szCs w:val="32"/>
          <w:u w:val="none"/>
          <w:lang w:val="en-US"/>
        </w:rPr>
      </w:pPr>
      <w:r>
        <w:rPr>
          <w:rFonts w:hint="eastAsia" w:ascii="楷体_GB2312" w:hAnsi="黑体" w:eastAsia="楷体_GB2312"/>
          <w:b/>
          <w:color w:val="auto"/>
          <w:sz w:val="32"/>
          <w:szCs w:val="32"/>
          <w:u w:val="none"/>
          <w:lang w:eastAsia="zh-CN"/>
        </w:rPr>
        <w:t>（</w:t>
      </w:r>
      <w:r>
        <w:rPr>
          <w:rFonts w:hint="eastAsia" w:ascii="楷体_GB2312" w:hAnsi="黑体" w:eastAsia="楷体_GB2312"/>
          <w:b/>
          <w:color w:val="auto"/>
          <w:sz w:val="32"/>
          <w:szCs w:val="32"/>
          <w:u w:val="none"/>
          <w:lang w:val="en-US" w:eastAsia="zh-CN"/>
        </w:rPr>
        <w:t>一</w:t>
      </w:r>
      <w:r>
        <w:rPr>
          <w:rFonts w:hint="eastAsia" w:ascii="楷体_GB2312" w:hAnsi="黑体" w:eastAsia="楷体_GB2312"/>
          <w:b/>
          <w:color w:val="auto"/>
          <w:sz w:val="32"/>
          <w:szCs w:val="32"/>
          <w:u w:val="none"/>
          <w:lang w:eastAsia="zh-CN"/>
        </w:rPr>
        <w:t>）</w:t>
      </w:r>
      <w:r>
        <w:rPr>
          <w:rFonts w:hint="eastAsia" w:ascii="楷体_GB2312" w:hAnsi="黑体" w:eastAsia="楷体_GB2312"/>
          <w:b/>
          <w:color w:val="auto"/>
          <w:sz w:val="32"/>
          <w:szCs w:val="32"/>
          <w:u w:val="none"/>
          <w:lang w:val="en-US" w:eastAsia="zh-CN"/>
        </w:rPr>
        <w:t>指导思想</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rPr>
        <w:t>深入贯彻党的十九大精神，以“亩产论英雄、效益论英雄、能耗论英雄、环境论英雄”为发展导向，全面落实“资源高效优配”的精细化管理和精准化服务，积极发挥正向激励和反向倒逼作用，以评促转、以评促优，引导资源要素向利用效率高的区域、产业和企业流动，推动优质企业创新发展，促进低效企业调整转型，加快形成“利用效率评价、资源差别配置、政策精准创新”的制度新供给，着力提高经济密度，持续推动</w:t>
      </w:r>
      <w:r>
        <w:rPr>
          <w:rFonts w:hint="eastAsia" w:ascii="仿宋_GB2312" w:hAnsi="黑体" w:eastAsia="仿宋_GB2312"/>
          <w:color w:val="auto"/>
          <w:sz w:val="32"/>
          <w:szCs w:val="32"/>
          <w:u w:val="none"/>
          <w:lang w:eastAsia="zh-CN"/>
        </w:rPr>
        <w:t>生态</w:t>
      </w:r>
      <w:r>
        <w:rPr>
          <w:rFonts w:hint="eastAsia" w:ascii="仿宋_GB2312" w:hAnsi="黑体" w:eastAsia="仿宋_GB2312"/>
          <w:color w:val="auto"/>
          <w:sz w:val="32"/>
          <w:szCs w:val="32"/>
          <w:u w:val="none"/>
        </w:rPr>
        <w:t>经济规模和效益提升，全力打造面向未来经济高质量发展的</w:t>
      </w:r>
      <w:r>
        <w:rPr>
          <w:rFonts w:hint="eastAsia" w:ascii="仿宋_GB2312" w:hAnsi="黑体" w:eastAsia="仿宋_GB2312"/>
          <w:color w:val="auto"/>
          <w:sz w:val="32"/>
          <w:szCs w:val="32"/>
          <w:u w:val="none"/>
          <w:lang w:eastAsia="zh-CN"/>
        </w:rPr>
        <w:t>生态文明</w:t>
      </w:r>
      <w:r>
        <w:rPr>
          <w:rFonts w:hint="eastAsia" w:ascii="仿宋_GB2312" w:hAnsi="黑体" w:eastAsia="仿宋_GB2312"/>
          <w:color w:val="auto"/>
          <w:sz w:val="32"/>
          <w:szCs w:val="32"/>
          <w:u w:val="none"/>
        </w:rPr>
        <w:t>样板</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仿宋_GB2312" w:eastAsia="仿宋_GB2312" w:cs="仿宋_GB2312"/>
          <w:color w:val="auto"/>
          <w:sz w:val="32"/>
          <w:szCs w:val="32"/>
          <w:u w:val="none"/>
          <w:lang w:eastAsia="zh-CN"/>
        </w:rPr>
      </w:pPr>
      <w:r>
        <w:rPr>
          <w:rFonts w:hint="eastAsia" w:ascii="楷体_GB2312" w:hAnsi="黑体" w:eastAsia="楷体_GB2312"/>
          <w:b/>
          <w:color w:val="auto"/>
          <w:sz w:val="32"/>
          <w:szCs w:val="32"/>
          <w:u w:val="none"/>
          <w:lang w:eastAsia="zh-CN"/>
        </w:rPr>
        <w:t>（二）主要目标</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lang w:eastAsia="zh-CN"/>
        </w:rPr>
        <w:t>根据市相关文件要求，资源利用效率评价范围涵盖全区存量工业用地，具体对工业企业的资源利用效率进行评价。根据企业综合评估得分实行分类，将评价结果作为集中资源扶优扶强、培育优势产业、促进改造提升及淘汰低效落后产能的有效依据。结合我区区域特点与实际情况，将分步实施。</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lang w:eastAsia="zh-CN"/>
        </w:rPr>
        <w:t>第一步</w:t>
      </w:r>
      <w:r>
        <w:rPr>
          <w:rFonts w:hint="eastAsia" w:ascii="仿宋_GB2312" w:hAnsi="仿宋_GB2312" w:eastAsia="仿宋_GB2312" w:cs="仿宋_GB2312"/>
          <w:color w:val="auto"/>
          <w:sz w:val="32"/>
          <w:szCs w:val="32"/>
          <w:u w:val="none"/>
        </w:rPr>
        <w:t>，开展</w:t>
      </w:r>
      <w:r>
        <w:rPr>
          <w:rFonts w:hint="eastAsia" w:ascii="仿宋_GB2312" w:hAnsi="仿宋_GB2312" w:eastAsia="仿宋_GB2312" w:cs="仿宋_GB2312"/>
          <w:color w:val="auto"/>
          <w:sz w:val="32"/>
          <w:szCs w:val="32"/>
          <w:u w:val="none"/>
          <w:lang w:eastAsia="zh-CN"/>
        </w:rPr>
        <w:t>产业区块内</w:t>
      </w:r>
      <w:r>
        <w:rPr>
          <w:rFonts w:hint="eastAsia" w:ascii="仿宋_GB2312" w:hAnsi="仿宋_GB2312" w:eastAsia="仿宋_GB2312" w:cs="仿宋_GB2312"/>
          <w:color w:val="auto"/>
          <w:sz w:val="32"/>
          <w:szCs w:val="32"/>
          <w:u w:val="none"/>
        </w:rPr>
        <w:t>存量工业用地</w:t>
      </w:r>
      <w:r>
        <w:rPr>
          <w:rFonts w:hint="eastAsia" w:ascii="仿宋_GB2312" w:hAnsi="仿宋_GB2312" w:eastAsia="仿宋_GB2312" w:cs="仿宋_GB2312"/>
          <w:color w:val="auto"/>
          <w:sz w:val="32"/>
          <w:szCs w:val="32"/>
          <w:u w:val="none"/>
          <w:lang w:eastAsia="zh-CN"/>
        </w:rPr>
        <w:t>工业企业</w:t>
      </w:r>
      <w:r>
        <w:rPr>
          <w:rFonts w:hint="eastAsia" w:ascii="仿宋_GB2312" w:hAnsi="仿宋_GB2312" w:eastAsia="仿宋_GB2312" w:cs="仿宋_GB2312"/>
          <w:color w:val="auto"/>
          <w:sz w:val="32"/>
          <w:szCs w:val="32"/>
          <w:u w:val="none"/>
        </w:rPr>
        <w:t>资源利用效率评价工作</w:t>
      </w:r>
      <w:r>
        <w:rPr>
          <w:rFonts w:hint="eastAsia" w:ascii="仿宋_GB2312" w:hAnsi="仿宋_GB2312" w:eastAsia="仿宋_GB2312" w:cs="仿宋_GB2312"/>
          <w:color w:val="auto"/>
          <w:sz w:val="32"/>
          <w:szCs w:val="32"/>
          <w:u w:val="none"/>
          <w:lang w:eastAsia="zh-CN"/>
        </w:rPr>
        <w:t>。研究</w:t>
      </w:r>
      <w:r>
        <w:rPr>
          <w:rFonts w:hint="eastAsia" w:ascii="仿宋_GB2312" w:hAnsi="仿宋_GB2312" w:eastAsia="仿宋_GB2312" w:cs="仿宋_GB2312"/>
          <w:color w:val="auto"/>
          <w:sz w:val="32"/>
          <w:szCs w:val="32"/>
          <w:u w:val="none"/>
        </w:rPr>
        <w:t>基于评价结果的差别化政策体系，形成精准施策和扶优汰劣的政策机制</w:t>
      </w:r>
      <w:r>
        <w:rPr>
          <w:rFonts w:hint="eastAsia" w:ascii="仿宋_GB2312" w:hAnsi="仿宋_GB2312" w:eastAsia="仿宋_GB2312" w:cs="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黑体" w:eastAsia="楷体_GB2312"/>
          <w:b/>
          <w:color w:val="auto"/>
          <w:sz w:val="32"/>
          <w:szCs w:val="32"/>
          <w:u w:val="none"/>
          <w:lang w:eastAsia="zh-CN"/>
        </w:rPr>
      </w:pPr>
      <w:r>
        <w:rPr>
          <w:rFonts w:hint="eastAsia" w:ascii="仿宋_GB2312" w:hAnsi="仿宋_GB2312" w:eastAsia="仿宋_GB2312" w:cs="仿宋_GB2312"/>
          <w:color w:val="auto"/>
          <w:sz w:val="32"/>
          <w:szCs w:val="32"/>
          <w:lang w:eastAsia="zh-CN"/>
        </w:rPr>
        <w:t>第二步，逐步</w:t>
      </w:r>
      <w:r>
        <w:rPr>
          <w:rFonts w:hint="eastAsia" w:ascii="仿宋_GB2312" w:hAnsi="黑体" w:eastAsia="仿宋_GB2312"/>
          <w:color w:val="auto"/>
          <w:sz w:val="32"/>
          <w:szCs w:val="32"/>
          <w:u w:val="none"/>
        </w:rPr>
        <w:t>实现对全区工业用地</w:t>
      </w:r>
      <w:r>
        <w:rPr>
          <w:rFonts w:hint="eastAsia" w:ascii="仿宋_GB2312" w:hAnsi="黑体" w:eastAsia="仿宋_GB2312"/>
          <w:color w:val="auto"/>
          <w:sz w:val="32"/>
          <w:szCs w:val="32"/>
          <w:u w:val="none"/>
          <w:lang w:eastAsia="zh-CN"/>
        </w:rPr>
        <w:t>工业企业</w:t>
      </w:r>
      <w:r>
        <w:rPr>
          <w:rFonts w:hint="eastAsia" w:ascii="仿宋_GB2312" w:hAnsi="黑体" w:eastAsia="仿宋_GB2312"/>
          <w:color w:val="auto"/>
          <w:sz w:val="32"/>
          <w:szCs w:val="32"/>
          <w:u w:val="none"/>
        </w:rPr>
        <w:t>评价工作全覆盖</w:t>
      </w:r>
      <w:r>
        <w:rPr>
          <w:rFonts w:hint="eastAsia" w:ascii="仿宋_GB2312" w:hAnsi="黑体" w:eastAsia="仿宋_GB2312"/>
          <w:color w:val="auto"/>
          <w:sz w:val="32"/>
          <w:szCs w:val="32"/>
          <w:u w:val="none"/>
          <w:lang w:eastAsia="zh-CN"/>
        </w:rPr>
        <w:t>。</w:t>
      </w:r>
      <w:r>
        <w:rPr>
          <w:rFonts w:hint="eastAsia" w:ascii="仿宋_GB2312" w:hAnsi="仿宋_GB2312" w:eastAsia="仿宋_GB2312" w:cs="仿宋_GB2312"/>
          <w:color w:val="auto"/>
          <w:sz w:val="32"/>
          <w:szCs w:val="32"/>
        </w:rPr>
        <w:t>建立</w:t>
      </w:r>
      <w:r>
        <w:rPr>
          <w:rFonts w:hint="eastAsia" w:ascii="仿宋_GB2312" w:hAnsi="仿宋_GB2312" w:eastAsia="仿宋_GB2312" w:cs="仿宋_GB2312"/>
          <w:color w:val="auto"/>
          <w:sz w:val="32"/>
          <w:szCs w:val="32"/>
          <w:lang w:eastAsia="zh-CN"/>
        </w:rPr>
        <w:t>工业企业</w:t>
      </w:r>
      <w:r>
        <w:rPr>
          <w:rFonts w:hint="eastAsia" w:ascii="仿宋_GB2312" w:hAnsi="仿宋_GB2312" w:eastAsia="仿宋_GB2312" w:cs="仿宋_GB2312"/>
          <w:color w:val="auto"/>
          <w:sz w:val="32"/>
          <w:szCs w:val="32"/>
        </w:rPr>
        <w:t>资源利用效率评价、要素精准配置、政策差别化引导的常态化工作机制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形成招商引资阶段产业准入、项目落地建设阶段开竣工监管、达产运营阶段资源利用效率评价的全生命周期管理机制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重点评选出首档资源</w:t>
      </w:r>
      <w:r>
        <w:rPr>
          <w:rFonts w:hint="eastAsia" w:ascii="仿宋_GB2312" w:hAnsi="仿宋_GB2312" w:eastAsia="仿宋_GB2312" w:cs="仿宋_GB2312"/>
          <w:color w:val="auto"/>
          <w:sz w:val="32"/>
          <w:szCs w:val="32"/>
          <w:lang w:eastAsia="zh-CN"/>
        </w:rPr>
        <w:t>利</w:t>
      </w:r>
      <w:r>
        <w:rPr>
          <w:rFonts w:hint="eastAsia" w:ascii="仿宋_GB2312" w:hAnsi="仿宋_GB2312" w:eastAsia="仿宋_GB2312" w:cs="仿宋_GB2312"/>
          <w:color w:val="auto"/>
          <w:sz w:val="32"/>
          <w:szCs w:val="32"/>
        </w:rPr>
        <w:t>用高效的企业和末档资源利用低效的企业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支持优质企业创新发展和提升能级</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促进低效企业调整改造和转移腾退</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（三）基本原则</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eastAsia="仿宋_GB2312"/>
          <w:sz w:val="32"/>
          <w:szCs w:val="32"/>
          <w:lang w:eastAsia="zh-CN"/>
        </w:rPr>
      </w:pPr>
      <w:r>
        <w:rPr>
          <w:rFonts w:hint="eastAsia" w:ascii="楷体_GB2312" w:hAnsi="楷体_GB2312" w:eastAsia="楷体_GB2312" w:cs="楷体_GB2312"/>
          <w:color w:val="auto"/>
          <w:kern w:val="0"/>
          <w:sz w:val="32"/>
          <w:szCs w:val="32"/>
          <w:u w:val="none"/>
          <w:lang w:val="en-US" w:eastAsia="zh-CN" w:bidi="ar-SA"/>
        </w:rPr>
        <w:t>1.统筹部署</w:t>
      </w:r>
      <w:r>
        <w:rPr>
          <w:rFonts w:hint="eastAsia" w:ascii="Times New Roman" w:hAnsi="Times New Roman" w:eastAsia="楷体_GB2312"/>
          <w:color w:val="000000"/>
          <w:kern w:val="0"/>
          <w:sz w:val="32"/>
          <w:szCs w:val="32"/>
        </w:rPr>
        <w:t>、科学</w:t>
      </w:r>
      <w:r>
        <w:rPr>
          <w:rFonts w:ascii="Times New Roman" w:hAnsi="Times New Roman" w:eastAsia="楷体_GB2312"/>
          <w:color w:val="000000"/>
          <w:kern w:val="0"/>
          <w:sz w:val="32"/>
          <w:szCs w:val="32"/>
        </w:rPr>
        <w:t>评估。</w:t>
      </w:r>
      <w:r>
        <w:rPr>
          <w:rFonts w:hint="eastAsia" w:ascii="Times New Roman" w:eastAsia="仿宋_GB2312"/>
          <w:sz w:val="32"/>
          <w:szCs w:val="32"/>
          <w:lang w:val="en-US" w:eastAsia="zh-CN"/>
        </w:rPr>
        <w:t>坚持区委区政府统筹部署，区级部门组织实施，落实差别化政策供给，推进政策协同和信息共享；各乡镇、园区参与推进，着力做好信息收集确认</w:t>
      </w:r>
      <w:r>
        <w:rPr>
          <w:rFonts w:ascii="Times New Roman" w:hAnsi="Times New Roman" w:eastAsia="楷体_GB2312"/>
          <w:color w:val="000000"/>
          <w:kern w:val="0"/>
          <w:sz w:val="32"/>
          <w:szCs w:val="32"/>
        </w:rPr>
        <w:t>、</w:t>
      </w:r>
      <w:r>
        <w:rPr>
          <w:rFonts w:hint="eastAsia" w:ascii="Times New Roman" w:eastAsia="仿宋_GB2312"/>
          <w:sz w:val="32"/>
          <w:szCs w:val="32"/>
          <w:lang w:val="en-US" w:eastAsia="zh-CN"/>
        </w:rPr>
        <w:t>安商稳商和服务配套工作。建立区、镇（园区）两级信息收集和效率评价</w:t>
      </w:r>
      <w:r>
        <w:rPr>
          <w:rFonts w:hint="eastAsia" w:ascii="Times New Roman" w:eastAsia="仿宋_GB2312"/>
          <w:sz w:val="32"/>
          <w:szCs w:val="32"/>
          <w:lang w:eastAsia="zh-CN"/>
        </w:rPr>
        <w:t>工作体系</w:t>
      </w:r>
      <w:r>
        <w:rPr>
          <w:rFonts w:ascii="Times New Roman" w:eastAsia="仿宋_GB2312"/>
          <w:sz w:val="32"/>
          <w:szCs w:val="32"/>
        </w:rPr>
        <w:t>，</w:t>
      </w:r>
      <w:r>
        <w:rPr>
          <w:rFonts w:hint="eastAsia" w:ascii="Times New Roman" w:eastAsia="仿宋_GB2312"/>
          <w:sz w:val="32"/>
          <w:szCs w:val="32"/>
          <w:lang w:eastAsia="zh-CN"/>
        </w:rPr>
        <w:t>确保评价数据来源客观真实，评价办法科学合理，评价过程公正公开。</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eastAsia="仿宋_GB2312"/>
          <w:sz w:val="32"/>
          <w:szCs w:val="32"/>
          <w:lang w:eastAsia="zh-CN"/>
        </w:rPr>
      </w:pPr>
      <w:r>
        <w:rPr>
          <w:rFonts w:hint="eastAsia" w:ascii="楷体_GB2312" w:hAnsi="楷体_GB2312" w:eastAsia="楷体_GB2312" w:cs="楷体_GB2312"/>
          <w:color w:val="auto"/>
          <w:kern w:val="0"/>
          <w:sz w:val="32"/>
          <w:szCs w:val="32"/>
          <w:u w:val="none"/>
          <w:lang w:val="en-US" w:eastAsia="zh-CN" w:bidi="ar-SA"/>
        </w:rPr>
        <w:t>2.</w:t>
      </w:r>
      <w:r>
        <w:rPr>
          <w:rFonts w:hint="eastAsia" w:ascii="Times New Roman" w:hAnsi="Times New Roman" w:eastAsia="楷体_GB2312"/>
          <w:color w:val="000000"/>
          <w:kern w:val="0"/>
          <w:sz w:val="32"/>
          <w:szCs w:val="32"/>
        </w:rPr>
        <w:t>效益优先</w:t>
      </w:r>
      <w:r>
        <w:rPr>
          <w:rFonts w:ascii="Times New Roman" w:hAnsi="Times New Roman" w:eastAsia="楷体_GB2312"/>
          <w:color w:val="000000"/>
          <w:kern w:val="0"/>
          <w:sz w:val="32"/>
          <w:szCs w:val="32"/>
        </w:rPr>
        <w:t>、</w:t>
      </w:r>
      <w:r>
        <w:rPr>
          <w:rFonts w:hint="eastAsia" w:ascii="Times New Roman" w:hAnsi="Times New Roman" w:eastAsia="楷体_GB2312"/>
          <w:color w:val="000000"/>
          <w:kern w:val="0"/>
          <w:sz w:val="32"/>
          <w:szCs w:val="32"/>
        </w:rPr>
        <w:t>综合考量</w:t>
      </w:r>
      <w:r>
        <w:rPr>
          <w:rFonts w:ascii="Times New Roman" w:hAnsi="Times New Roman" w:eastAsia="楷体_GB2312"/>
          <w:color w:val="000000"/>
          <w:kern w:val="0"/>
          <w:sz w:val="32"/>
          <w:szCs w:val="32"/>
        </w:rPr>
        <w:t>。</w:t>
      </w:r>
      <w:r>
        <w:rPr>
          <w:rFonts w:hint="eastAsia" w:ascii="仿宋_GB2312" w:hAnsi="黑体" w:eastAsia="仿宋_GB2312"/>
          <w:sz w:val="32"/>
          <w:szCs w:val="32"/>
          <w:u w:val="none"/>
          <w:lang w:val="en-US" w:eastAsia="zh-CN"/>
        </w:rPr>
        <w:t>综合考量企业单元资源</w:t>
      </w:r>
      <w:r>
        <w:rPr>
          <w:rFonts w:hint="eastAsia" w:ascii="仿宋_GB2312" w:hAnsi="黑体" w:eastAsia="仿宋_GB2312"/>
          <w:sz w:val="32"/>
          <w:szCs w:val="32"/>
          <w:u w:val="none"/>
        </w:rPr>
        <w:t>、</w:t>
      </w:r>
      <w:r>
        <w:rPr>
          <w:rFonts w:hint="eastAsia" w:ascii="仿宋_GB2312" w:hAnsi="黑体" w:eastAsia="仿宋_GB2312"/>
          <w:sz w:val="32"/>
          <w:szCs w:val="32"/>
          <w:u w:val="none"/>
          <w:lang w:val="en-US" w:eastAsia="zh-CN"/>
        </w:rPr>
        <w:t>能源和创新要素的产出效益，</w:t>
      </w:r>
      <w:r>
        <w:rPr>
          <w:rFonts w:hint="eastAsia" w:ascii="仿宋_GB2312" w:hAnsi="黑体" w:eastAsia="仿宋_GB2312"/>
          <w:sz w:val="32"/>
          <w:szCs w:val="32"/>
          <w:u w:val="none"/>
        </w:rPr>
        <w:t>合理分配各项评价指标权重，强化亩产效益理念，以资源产出效益为核心，同时兼顾创新、环保、节能等指标，全面反映企业资源利用的综合效益。</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楷体_GB2312" w:hAnsi="楷体_GB2312" w:eastAsia="楷体_GB2312" w:cs="楷体_GB2312"/>
          <w:color w:val="auto"/>
          <w:kern w:val="0"/>
          <w:sz w:val="32"/>
          <w:szCs w:val="32"/>
          <w:u w:val="none"/>
          <w:lang w:val="en-US" w:eastAsia="zh-CN" w:bidi="ar-SA"/>
        </w:rPr>
        <w:t>3.</w:t>
      </w:r>
      <w:r>
        <w:rPr>
          <w:rFonts w:hint="eastAsia" w:ascii="Times New Roman" w:hAnsi="Times New Roman" w:eastAsia="楷体_GB2312"/>
          <w:color w:val="000000"/>
          <w:kern w:val="0"/>
          <w:sz w:val="32"/>
          <w:szCs w:val="32"/>
          <w:lang w:val="en-US" w:eastAsia="zh-CN"/>
        </w:rPr>
        <w:t>依法依规</w:t>
      </w:r>
      <w:r>
        <w:rPr>
          <w:rFonts w:ascii="Times New Roman" w:hAnsi="Times New Roman" w:eastAsia="楷体_GB2312"/>
          <w:color w:val="000000"/>
          <w:kern w:val="0"/>
          <w:sz w:val="32"/>
          <w:szCs w:val="32"/>
        </w:rPr>
        <w:t>、</w:t>
      </w:r>
      <w:r>
        <w:rPr>
          <w:rFonts w:hint="eastAsia" w:ascii="Times New Roman" w:hAnsi="Times New Roman" w:eastAsia="楷体_GB2312"/>
          <w:color w:val="000000"/>
          <w:kern w:val="0"/>
          <w:sz w:val="32"/>
          <w:szCs w:val="32"/>
          <w:lang w:eastAsia="zh-CN"/>
        </w:rPr>
        <w:t>逐步推进</w:t>
      </w:r>
      <w:r>
        <w:rPr>
          <w:rFonts w:hint="eastAsia" w:ascii="Times New Roman" w:hAnsi="Times New Roman" w:eastAsia="楷体_GB2312"/>
          <w:color w:val="000000"/>
          <w:kern w:val="0"/>
          <w:sz w:val="32"/>
          <w:szCs w:val="32"/>
        </w:rPr>
        <w:t>。</w:t>
      </w:r>
      <w:r>
        <w:rPr>
          <w:rFonts w:ascii="Times New Roman" w:eastAsia="仿宋_GB2312"/>
          <w:sz w:val="32"/>
          <w:szCs w:val="32"/>
        </w:rPr>
        <w:t>注重依法行政，在实践中不断完善</w:t>
      </w:r>
      <w:r>
        <w:rPr>
          <w:rFonts w:hint="eastAsia" w:ascii="Times New Roman" w:eastAsia="仿宋_GB2312"/>
          <w:sz w:val="32"/>
          <w:szCs w:val="32"/>
          <w:lang w:eastAsia="zh-CN"/>
        </w:rPr>
        <w:t>工作机制</w:t>
      </w:r>
      <w:r>
        <w:rPr>
          <w:rFonts w:ascii="Times New Roman" w:eastAsia="仿宋_GB2312"/>
          <w:sz w:val="32"/>
          <w:szCs w:val="32"/>
        </w:rPr>
        <w:t>，规范有序推进各项工作。</w:t>
      </w:r>
      <w:r>
        <w:rPr>
          <w:rFonts w:hint="eastAsia" w:ascii="仿宋_GB2312" w:hAnsi="黑体" w:eastAsia="仿宋_GB2312"/>
          <w:color w:val="auto"/>
          <w:sz w:val="32"/>
          <w:szCs w:val="32"/>
          <w:u w:val="none"/>
        </w:rPr>
        <w:t>以具有一定用地规模的工业企业为重点，积极探索对创新型企业的绩效评价办法，逐步建立对</w:t>
      </w:r>
      <w:r>
        <w:rPr>
          <w:rFonts w:hint="eastAsia" w:ascii="仿宋_GB2312" w:hAnsi="黑体" w:eastAsia="仿宋_GB2312"/>
          <w:color w:val="auto"/>
          <w:sz w:val="32"/>
          <w:szCs w:val="32"/>
          <w:u w:val="none"/>
          <w:lang w:val="en-US" w:eastAsia="zh-CN"/>
        </w:rPr>
        <w:t>相关工业企业及</w:t>
      </w:r>
      <w:r>
        <w:rPr>
          <w:rFonts w:hint="eastAsia" w:ascii="仿宋_GB2312" w:hAnsi="黑体" w:eastAsia="仿宋_GB2312"/>
          <w:color w:val="auto"/>
          <w:sz w:val="32"/>
          <w:szCs w:val="32"/>
          <w:u w:val="none"/>
        </w:rPr>
        <w:t>各产业园区的综合绩效评价工作</w:t>
      </w:r>
      <w:r>
        <w:rPr>
          <w:rFonts w:hint="eastAsia" w:ascii="仿宋_GB2312" w:hAnsi="黑体" w:eastAsia="仿宋_GB2312"/>
          <w:color w:val="auto"/>
          <w:sz w:val="32"/>
          <w:szCs w:val="32"/>
          <w:u w:val="none"/>
          <w:lang w:eastAsia="zh-CN"/>
        </w:rPr>
        <w:t>机制，</w:t>
      </w:r>
      <w:r>
        <w:rPr>
          <w:rFonts w:hint="eastAsia" w:ascii="Times New Roman" w:eastAsia="仿宋_GB2312"/>
          <w:sz w:val="32"/>
          <w:szCs w:val="32"/>
          <w:lang w:eastAsia="zh-CN"/>
        </w:rPr>
        <w:t>逐步推进</w:t>
      </w:r>
      <w:r>
        <w:rPr>
          <w:rFonts w:ascii="Times New Roman" w:eastAsia="仿宋_GB2312"/>
          <w:sz w:val="32"/>
          <w:szCs w:val="32"/>
        </w:rPr>
        <w:t>实施资源要素差别化配置政策措施</w:t>
      </w:r>
      <w:r>
        <w:rPr>
          <w:rFonts w:hint="eastAsia" w:ascii="Times New Roman" w:eastAsia="仿宋_GB2312"/>
          <w:sz w:val="32"/>
          <w:szCs w:val="32"/>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黑体" w:eastAsia="楷体_GB2312"/>
          <w:b/>
          <w:color w:val="auto"/>
          <w:sz w:val="32"/>
          <w:szCs w:val="32"/>
          <w:u w:val="none"/>
          <w:lang w:eastAsia="zh-CN"/>
        </w:rPr>
      </w:pPr>
      <w:r>
        <w:rPr>
          <w:rFonts w:hint="eastAsia" w:ascii="Times New Roman" w:hAnsi="Times New Roman" w:eastAsia="楷体_GB2312"/>
          <w:color w:val="000000"/>
          <w:kern w:val="0"/>
          <w:sz w:val="32"/>
          <w:szCs w:val="32"/>
          <w:lang w:val="en-US" w:eastAsia="zh-CN"/>
        </w:rPr>
        <w:t>4.</w:t>
      </w:r>
      <w:r>
        <w:rPr>
          <w:rFonts w:hint="eastAsia" w:ascii="Times New Roman" w:hAnsi="Times New Roman" w:eastAsia="楷体_GB2312"/>
          <w:color w:val="000000"/>
          <w:kern w:val="0"/>
          <w:sz w:val="32"/>
          <w:szCs w:val="32"/>
        </w:rPr>
        <w:t>分类指导、精准服务。</w:t>
      </w:r>
      <w:r>
        <w:rPr>
          <w:rFonts w:hint="eastAsia" w:ascii="Times New Roman" w:eastAsia="仿宋_GB2312"/>
          <w:sz w:val="32"/>
          <w:szCs w:val="32"/>
        </w:rPr>
        <w:t>强化政策约束和激励机制，以评审结果为依据，对</w:t>
      </w:r>
      <w:r>
        <w:rPr>
          <w:rFonts w:hint="eastAsia" w:ascii="Times New Roman" w:eastAsia="仿宋_GB2312"/>
          <w:sz w:val="32"/>
          <w:szCs w:val="32"/>
          <w:lang w:val="en-US" w:eastAsia="zh-CN"/>
        </w:rPr>
        <w:t>工业</w:t>
      </w:r>
      <w:r>
        <w:rPr>
          <w:rFonts w:hint="eastAsia" w:ascii="Times New Roman" w:eastAsia="仿宋_GB2312"/>
          <w:sz w:val="32"/>
          <w:szCs w:val="32"/>
        </w:rPr>
        <w:t>企业和</w:t>
      </w:r>
      <w:r>
        <w:rPr>
          <w:rFonts w:hint="eastAsia" w:ascii="Times New Roman" w:eastAsia="仿宋_GB2312"/>
          <w:sz w:val="32"/>
          <w:szCs w:val="32"/>
          <w:lang w:eastAsia="zh-CN"/>
        </w:rPr>
        <w:t>产业</w:t>
      </w:r>
      <w:r>
        <w:rPr>
          <w:rFonts w:hint="eastAsia" w:ascii="Times New Roman" w:eastAsia="仿宋_GB2312"/>
          <w:sz w:val="32"/>
          <w:szCs w:val="32"/>
        </w:rPr>
        <w:t>园区分类施策，支持和鼓励各类要素资源向优势产业集聚，逐步淘汰劣势产业。</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黑体" w:hAnsi="黑体" w:eastAsia="黑体"/>
          <w:color w:val="auto"/>
          <w:sz w:val="32"/>
          <w:szCs w:val="32"/>
          <w:u w:val="none"/>
          <w:lang w:eastAsia="zh-CN"/>
        </w:rPr>
      </w:pPr>
      <w:r>
        <w:rPr>
          <w:rFonts w:hint="eastAsia" w:ascii="黑体" w:hAnsi="黑体" w:eastAsia="黑体"/>
          <w:color w:val="auto"/>
          <w:sz w:val="32"/>
          <w:szCs w:val="32"/>
          <w:u w:val="none"/>
          <w:lang w:eastAsia="zh-CN"/>
        </w:rPr>
        <w:t>二</w:t>
      </w:r>
      <w:r>
        <w:rPr>
          <w:rFonts w:hint="eastAsia" w:ascii="黑体" w:hAnsi="黑体" w:eastAsia="黑体"/>
          <w:color w:val="auto"/>
          <w:sz w:val="32"/>
          <w:szCs w:val="32"/>
          <w:u w:val="none"/>
        </w:rPr>
        <w:t>、</w:t>
      </w:r>
      <w:r>
        <w:rPr>
          <w:rFonts w:hint="eastAsia" w:ascii="黑体" w:hAnsi="黑体" w:eastAsia="黑体"/>
          <w:color w:val="auto"/>
          <w:sz w:val="32"/>
          <w:szCs w:val="32"/>
          <w:u w:val="none"/>
          <w:lang w:eastAsia="zh-CN"/>
        </w:rPr>
        <w:t>评价办法</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ascii="楷体_GB2312" w:hAnsi="黑体" w:eastAsia="楷体_GB2312"/>
          <w:b/>
          <w:color w:val="auto"/>
          <w:sz w:val="32"/>
          <w:szCs w:val="32"/>
          <w:u w:val="none"/>
        </w:rPr>
      </w:pPr>
      <w:r>
        <w:rPr>
          <w:rFonts w:hint="eastAsia" w:ascii="楷体_GB2312" w:hAnsi="黑体" w:eastAsia="楷体_GB2312"/>
          <w:b/>
          <w:color w:val="auto"/>
          <w:sz w:val="32"/>
          <w:szCs w:val="32"/>
          <w:u w:val="none"/>
          <w:lang w:eastAsia="zh-CN"/>
        </w:rPr>
        <w:t>（一）</w:t>
      </w:r>
      <w:r>
        <w:rPr>
          <w:rFonts w:hint="eastAsia" w:ascii="楷体_GB2312" w:hAnsi="黑体" w:eastAsia="楷体_GB2312"/>
          <w:b/>
          <w:color w:val="auto"/>
          <w:sz w:val="32"/>
          <w:szCs w:val="32"/>
          <w:u w:val="none"/>
        </w:rPr>
        <w:t>评价范围</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工业企业</w:t>
      </w:r>
      <w:r>
        <w:rPr>
          <w:rFonts w:hint="eastAsia" w:ascii="仿宋_GB2312" w:hAnsi="仿宋_GB2312" w:eastAsia="仿宋_GB2312" w:cs="仿宋_GB2312"/>
          <w:color w:val="auto"/>
          <w:sz w:val="32"/>
          <w:szCs w:val="32"/>
        </w:rPr>
        <w:t>资源利用效率评价</w:t>
      </w:r>
      <w:r>
        <w:rPr>
          <w:rFonts w:hint="eastAsia" w:ascii="仿宋_GB2312" w:hAnsi="仿宋_GB2312" w:eastAsia="仿宋_GB2312" w:cs="仿宋_GB2312"/>
          <w:color w:val="auto"/>
          <w:sz w:val="32"/>
          <w:szCs w:val="32"/>
          <w:lang w:eastAsia="zh-CN"/>
        </w:rPr>
        <w:t>范围覆盖</w:t>
      </w:r>
      <w:r>
        <w:rPr>
          <w:rFonts w:hint="eastAsia" w:ascii="仿宋_GB2312" w:hAnsi="仿宋_GB2312" w:eastAsia="仿宋_GB2312" w:cs="仿宋_GB2312"/>
          <w:color w:val="auto"/>
          <w:sz w:val="32"/>
          <w:szCs w:val="32"/>
          <w:u w:val="none"/>
          <w:lang w:eastAsia="zh-CN"/>
        </w:rPr>
        <w:t>产业区块内</w:t>
      </w:r>
      <w:r>
        <w:rPr>
          <w:rFonts w:hint="eastAsia" w:ascii="仿宋_GB2312" w:hAnsi="仿宋_GB2312" w:eastAsia="仿宋_GB2312" w:cs="仿宋_GB2312"/>
          <w:color w:val="auto"/>
          <w:sz w:val="32"/>
          <w:szCs w:val="32"/>
          <w:u w:val="none"/>
        </w:rPr>
        <w:t>存量工业用地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具体对工业企业的资源利用效率进行评价</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能源、给排水、垃圾焚烧、污水处理等公益配套类行业的企业不纳入评价范围</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不进行评价分类</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highlight w:val="none"/>
          <w:u w:val="none"/>
          <w:lang w:eastAsia="zh-CN"/>
        </w:rPr>
      </w:pPr>
      <w:r>
        <w:rPr>
          <w:rFonts w:hint="eastAsia" w:ascii="仿宋_GB2312" w:hAnsi="仿宋_GB2312" w:eastAsia="仿宋_GB2312" w:cs="仿宋_GB2312"/>
          <w:color w:val="auto"/>
          <w:sz w:val="32"/>
          <w:szCs w:val="32"/>
          <w:highlight w:val="none"/>
          <w:u w:val="none"/>
        </w:rPr>
        <w:t>新增土地项目</w:t>
      </w:r>
      <w:r>
        <w:rPr>
          <w:rFonts w:hint="eastAsia" w:ascii="仿宋_GB2312" w:hAnsi="仿宋_GB2312" w:eastAsia="仿宋_GB2312" w:cs="仿宋_GB2312"/>
          <w:color w:val="auto"/>
          <w:sz w:val="32"/>
          <w:szCs w:val="32"/>
          <w:highlight w:val="none"/>
          <w:u w:val="none"/>
          <w:lang w:eastAsia="zh-CN"/>
        </w:rPr>
        <w:t>在竣工投产满三年后，</w:t>
      </w:r>
      <w:r>
        <w:rPr>
          <w:rFonts w:hint="eastAsia" w:ascii="仿宋_GB2312" w:hAnsi="仿宋_GB2312" w:eastAsia="仿宋_GB2312" w:cs="仿宋_GB2312"/>
          <w:color w:val="auto"/>
          <w:sz w:val="32"/>
          <w:szCs w:val="32"/>
          <w:highlight w:val="none"/>
          <w:u w:val="none"/>
        </w:rPr>
        <w:t>纳入资源利用效率评价范围</w:t>
      </w:r>
      <w:r>
        <w:rPr>
          <w:rFonts w:hint="eastAsia" w:ascii="仿宋_GB2312" w:hAnsi="仿宋_GB2312" w:eastAsia="仿宋_GB2312" w:cs="仿宋_GB2312"/>
          <w:color w:val="auto"/>
          <w:sz w:val="32"/>
          <w:szCs w:val="32"/>
          <w:highlight w:val="none"/>
          <w:u w:val="none"/>
          <w:lang w:eastAsia="zh-CN"/>
        </w:rPr>
        <w:t>，作为</w:t>
      </w:r>
      <w:r>
        <w:rPr>
          <w:rFonts w:hint="eastAsia" w:ascii="仿宋_GB2312" w:hAnsi="仿宋_GB2312" w:eastAsia="仿宋_GB2312" w:cs="仿宋_GB2312"/>
          <w:color w:val="auto"/>
          <w:sz w:val="32"/>
          <w:szCs w:val="32"/>
          <w:highlight w:val="none"/>
          <w:u w:val="none"/>
        </w:rPr>
        <w:t>落实土地利用绩效评估和实施全生命周期管理的重点措施</w:t>
      </w:r>
      <w:r>
        <w:rPr>
          <w:rFonts w:hint="eastAsia" w:ascii="仿宋_GB2312" w:hAnsi="仿宋_GB2312" w:eastAsia="仿宋_GB2312" w:cs="仿宋_GB2312"/>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（二）计算方法</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kern w:val="0"/>
          <w:sz w:val="32"/>
          <w:szCs w:val="32"/>
          <w:u w:val="none"/>
          <w:lang w:val="en-US" w:eastAsia="zh-CN" w:bidi="ar-SA"/>
        </w:rPr>
      </w:pPr>
      <w:r>
        <w:rPr>
          <w:rFonts w:hint="eastAsia" w:ascii="仿宋_GB2312" w:hAnsi="仿宋_GB2312" w:eastAsia="仿宋_GB2312" w:cs="仿宋_GB2312"/>
          <w:color w:val="auto"/>
          <w:kern w:val="0"/>
          <w:sz w:val="32"/>
          <w:szCs w:val="32"/>
          <w:u w:val="none"/>
          <w:lang w:val="en-US" w:eastAsia="zh-CN" w:bidi="ar-SA"/>
        </w:rPr>
        <w:t>以“亩均税收、亩均产值、人均产值、单位产值能耗”等作为核心评价指标，在科技创新、社会贡献、质量品牌、节能减排、安全生产、环境保护等方面，设立加减分项和调档项。</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default"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1.评价得分</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b w:val="0"/>
          <w:bCs/>
          <w:color w:val="auto"/>
          <w:sz w:val="32"/>
          <w:szCs w:val="32"/>
          <w:u w:val="none"/>
          <w:lang w:val="en-US" w:eastAsia="zh-CN"/>
        </w:rPr>
      </w:pPr>
      <w:r>
        <w:rPr>
          <w:rFonts w:hint="eastAsia" w:ascii="仿宋_GB2312" w:hAnsi="黑体" w:eastAsia="仿宋_GB2312"/>
          <w:b w:val="0"/>
          <w:bCs/>
          <w:color w:val="auto"/>
          <w:sz w:val="32"/>
          <w:szCs w:val="32"/>
          <w:u w:val="none"/>
          <w:lang w:val="en-US" w:eastAsia="zh-CN"/>
        </w:rPr>
        <w:t>计算公式如下：</w:t>
      </w:r>
    </w:p>
    <w:p>
      <w:pPr>
        <w:keepNext w:val="0"/>
        <w:keepLines w:val="0"/>
        <w:pageBreakBefore w:val="0"/>
        <w:widowControl w:val="0"/>
        <w:numPr>
          <w:ilvl w:val="0"/>
          <w:numId w:val="0"/>
        </w:numPr>
        <w:kinsoku/>
        <w:wordWrap/>
        <w:overflowPunct/>
        <w:topLinePunct w:val="0"/>
        <w:autoSpaceDE/>
        <w:autoSpaceDN/>
        <w:bidi w:val="0"/>
        <w:spacing w:line="552" w:lineRule="exact"/>
        <w:ind w:firstLine="643" w:firstLineChars="200"/>
        <w:textAlignment w:val="auto"/>
        <w:rPr>
          <w:rFonts w:hint="default" w:ascii="楷体_GB2312" w:hAnsi="楷体_GB2312" w:eastAsia="楷体_GB2312" w:cs="楷体_GB2312"/>
          <w:color w:val="auto"/>
          <w:kern w:val="0"/>
          <w:sz w:val="32"/>
          <w:szCs w:val="32"/>
          <w:u w:val="none"/>
          <w:lang w:val="en-US" w:eastAsia="zh-CN" w:bidi="ar-SA"/>
        </w:rPr>
      </w:pPr>
      <w:r>
        <w:rPr>
          <w:rFonts w:hint="eastAsia" w:ascii="仿宋_GB2312" w:hAnsi="黑体" w:eastAsia="仿宋_GB2312"/>
          <w:b/>
          <w:bCs w:val="0"/>
          <w:color w:val="auto"/>
          <w:sz w:val="32"/>
          <w:szCs w:val="32"/>
          <w:u w:val="none"/>
          <w:lang w:val="en-US" w:eastAsia="zh-CN"/>
        </w:rPr>
        <w:t>分值=∑(企业各指标值÷基准值)×权重+加分/减分项。</w:t>
      </w:r>
      <w:r>
        <w:rPr>
          <w:rFonts w:hint="eastAsia" w:ascii="仿宋_GB2312" w:hAnsi="黑体" w:eastAsia="仿宋_GB2312"/>
          <w:b w:val="0"/>
          <w:bCs/>
          <w:color w:val="auto"/>
          <w:sz w:val="32"/>
          <w:szCs w:val="32"/>
          <w:u w:val="none"/>
          <w:lang w:val="en-US" w:eastAsia="zh-CN"/>
        </w:rPr>
        <w:t>（单位产值能耗为逆指标，其得分计算公式为“基准值÷企业指标值”）。其中，单项指标最高得分不超过该项权数的2倍，最低为零分。</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2.评价指标</w:t>
      </w:r>
    </w:p>
    <w:p>
      <w:pPr>
        <w:keepNext w:val="0"/>
        <w:keepLines w:val="0"/>
        <w:pageBreakBefore w:val="0"/>
        <w:widowControl w:val="0"/>
        <w:kinsoku/>
        <w:wordWrap/>
        <w:overflowPunct/>
        <w:topLinePunct w:val="0"/>
        <w:autoSpaceDE/>
        <w:autoSpaceDN/>
        <w:bidi w:val="0"/>
        <w:adjustRightInd w:val="0"/>
        <w:snapToGrid w:val="0"/>
        <w:spacing w:line="552" w:lineRule="exact"/>
        <w:ind w:firstLine="640" w:firstLineChars="200"/>
        <w:textAlignment w:val="auto"/>
        <w:rPr>
          <w:rFonts w:hint="eastAsia" w:ascii="仿宋_GB2312" w:hAnsi="黑体" w:eastAsia="仿宋_GB2312"/>
          <w:b w:val="0"/>
          <w:bCs/>
          <w:color w:val="auto"/>
          <w:sz w:val="32"/>
          <w:szCs w:val="32"/>
          <w:u w:val="none"/>
          <w:lang w:eastAsia="zh-CN"/>
        </w:rPr>
      </w:pPr>
      <w:r>
        <w:rPr>
          <w:rFonts w:hint="eastAsia" w:ascii="仿宋_GB2312" w:hAnsi="黑体" w:eastAsia="仿宋_GB2312"/>
          <w:b w:val="0"/>
          <w:bCs/>
          <w:color w:val="auto"/>
          <w:sz w:val="32"/>
          <w:szCs w:val="32"/>
          <w:u w:val="none"/>
          <w:lang w:eastAsia="zh-CN"/>
        </w:rPr>
        <w:t>各核心</w:t>
      </w:r>
      <w:r>
        <w:rPr>
          <w:rFonts w:hint="eastAsia" w:ascii="仿宋_GB2312" w:hAnsi="黑体" w:eastAsia="仿宋_GB2312"/>
          <w:b w:val="0"/>
          <w:bCs/>
          <w:color w:val="auto"/>
          <w:sz w:val="32"/>
          <w:szCs w:val="32"/>
          <w:u w:val="none"/>
          <w:lang w:val="en-US" w:eastAsia="zh-CN"/>
        </w:rPr>
        <w:t>评价</w:t>
      </w:r>
      <w:r>
        <w:rPr>
          <w:rFonts w:hint="eastAsia" w:ascii="仿宋_GB2312" w:hAnsi="黑体" w:eastAsia="仿宋_GB2312"/>
          <w:b w:val="0"/>
          <w:bCs/>
          <w:color w:val="auto"/>
          <w:sz w:val="32"/>
          <w:szCs w:val="32"/>
          <w:u w:val="none"/>
          <w:lang w:eastAsia="zh-CN"/>
        </w:rPr>
        <w:t>指标及权重为：亩均税收（权重</w:t>
      </w:r>
      <w:r>
        <w:rPr>
          <w:rFonts w:hint="eastAsia" w:ascii="仿宋_GB2312" w:hAnsi="黑体" w:eastAsia="仿宋_GB2312"/>
          <w:b w:val="0"/>
          <w:bCs/>
          <w:color w:val="auto"/>
          <w:sz w:val="32"/>
          <w:szCs w:val="32"/>
          <w:u w:val="none"/>
          <w:lang w:val="en-US" w:eastAsia="zh-CN"/>
        </w:rPr>
        <w:t>5</w:t>
      </w:r>
      <w:r>
        <w:rPr>
          <w:rFonts w:hint="eastAsia" w:ascii="仿宋_GB2312" w:hAnsi="黑体" w:eastAsia="仿宋_GB2312"/>
          <w:b w:val="0"/>
          <w:bCs/>
          <w:color w:val="auto"/>
          <w:sz w:val="32"/>
          <w:szCs w:val="32"/>
          <w:u w:val="none"/>
          <w:lang w:eastAsia="zh-CN"/>
        </w:rPr>
        <w:t>0%），亩均产值（权重</w:t>
      </w:r>
      <w:r>
        <w:rPr>
          <w:rFonts w:hint="eastAsia" w:ascii="仿宋_GB2312" w:hAnsi="黑体" w:eastAsia="仿宋_GB2312"/>
          <w:b w:val="0"/>
          <w:bCs/>
          <w:color w:val="auto"/>
          <w:sz w:val="32"/>
          <w:szCs w:val="32"/>
          <w:u w:val="none"/>
          <w:lang w:val="en-US" w:eastAsia="zh-CN"/>
        </w:rPr>
        <w:t>2</w:t>
      </w:r>
      <w:r>
        <w:rPr>
          <w:rFonts w:hint="eastAsia" w:ascii="仿宋_GB2312" w:hAnsi="黑体" w:eastAsia="仿宋_GB2312"/>
          <w:b w:val="0"/>
          <w:bCs/>
          <w:color w:val="auto"/>
          <w:sz w:val="32"/>
          <w:szCs w:val="32"/>
          <w:u w:val="none"/>
          <w:lang w:eastAsia="zh-CN"/>
        </w:rPr>
        <w:t>0%），人均产值（权重20%），单位产值能耗（权重10%）。</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eastAsia="仿宋_GB2312"/>
          <w:b w:val="0"/>
          <w:bCs/>
          <w:color w:val="auto"/>
          <w:sz w:val="32"/>
          <w:szCs w:val="32"/>
          <w:u w:val="none"/>
          <w:lang w:val="en-US" w:eastAsia="zh-CN"/>
        </w:rPr>
      </w:pPr>
      <w:r>
        <w:rPr>
          <w:rFonts w:hint="eastAsia" w:ascii="仿宋_GB2312" w:eastAsia="仿宋_GB2312"/>
          <w:b w:val="0"/>
          <w:bCs/>
          <w:color w:val="auto"/>
          <w:sz w:val="32"/>
          <w:szCs w:val="32"/>
          <w:u w:val="none"/>
        </w:rPr>
        <w:t>亩均税收</w:t>
      </w:r>
      <w:r>
        <w:rPr>
          <w:rFonts w:hint="eastAsia" w:ascii="仿宋_GB2312" w:eastAsia="仿宋_GB2312"/>
          <w:b w:val="0"/>
          <w:bCs/>
          <w:color w:val="auto"/>
          <w:sz w:val="32"/>
          <w:szCs w:val="32"/>
          <w:u w:val="none"/>
          <w:lang w:eastAsia="zh-CN"/>
        </w:rPr>
        <w:t>（万元</w:t>
      </w:r>
      <w:r>
        <w:rPr>
          <w:rFonts w:hint="eastAsia" w:ascii="仿宋_GB2312" w:eastAsia="仿宋_GB2312"/>
          <w:b w:val="0"/>
          <w:bCs/>
          <w:color w:val="auto"/>
          <w:sz w:val="32"/>
          <w:szCs w:val="32"/>
          <w:u w:val="none"/>
          <w:lang w:val="en-US" w:eastAsia="zh-CN"/>
        </w:rPr>
        <w:t>/</w:t>
      </w:r>
      <w:r>
        <w:rPr>
          <w:rFonts w:hint="eastAsia" w:ascii="仿宋_GB2312" w:eastAsia="仿宋_GB2312"/>
          <w:b w:val="0"/>
          <w:bCs/>
          <w:color w:val="auto"/>
          <w:sz w:val="32"/>
          <w:szCs w:val="32"/>
          <w:u w:val="none"/>
          <w:lang w:eastAsia="zh-CN"/>
        </w:rPr>
        <w:t>亩）</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rPr>
        <w:t>实缴税金</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lang w:eastAsia="zh-CN"/>
        </w:rPr>
        <w:t>占地</w:t>
      </w:r>
      <w:r>
        <w:rPr>
          <w:rFonts w:hint="eastAsia" w:ascii="仿宋_GB2312" w:eastAsia="仿宋_GB2312"/>
          <w:b w:val="0"/>
          <w:bCs/>
          <w:color w:val="auto"/>
          <w:sz w:val="32"/>
          <w:szCs w:val="32"/>
          <w:u w:val="none"/>
        </w:rPr>
        <w:t>面积</w:t>
      </w:r>
      <w:r>
        <w:rPr>
          <w:rFonts w:hint="eastAsia" w:ascii="仿宋_GB2312" w:eastAsia="仿宋_GB2312"/>
          <w:b w:val="0"/>
          <w:bCs/>
          <w:color w:val="auto"/>
          <w:sz w:val="32"/>
          <w:szCs w:val="32"/>
          <w:u w:val="none"/>
          <w:lang w:eastAsia="zh-CN"/>
        </w:rPr>
        <w:t>。</w:t>
      </w:r>
      <w:r>
        <w:rPr>
          <w:rFonts w:hint="eastAsia" w:ascii="仿宋_GB2312" w:eastAsia="仿宋_GB2312"/>
          <w:b w:val="0"/>
          <w:bCs/>
          <w:color w:val="auto"/>
          <w:sz w:val="32"/>
          <w:szCs w:val="32"/>
          <w:u w:val="none"/>
        </w:rPr>
        <w:t>企业实缴税金</w:t>
      </w:r>
      <w:r>
        <w:rPr>
          <w:rFonts w:hint="eastAsia" w:ascii="仿宋_GB2312" w:eastAsia="仿宋_GB2312"/>
          <w:b w:val="0"/>
          <w:bCs/>
          <w:color w:val="auto"/>
          <w:sz w:val="32"/>
          <w:szCs w:val="32"/>
          <w:u w:val="none"/>
          <w:lang w:eastAsia="zh-CN"/>
        </w:rPr>
        <w:t>由</w:t>
      </w:r>
      <w:r>
        <w:rPr>
          <w:rFonts w:hint="eastAsia" w:ascii="仿宋_GB2312" w:eastAsia="仿宋_GB2312"/>
          <w:b w:val="0"/>
          <w:bCs/>
          <w:color w:val="auto"/>
          <w:sz w:val="32"/>
          <w:szCs w:val="32"/>
          <w:u w:val="none"/>
        </w:rPr>
        <w:t>区税务局提供；</w:t>
      </w:r>
      <w:r>
        <w:rPr>
          <w:rFonts w:hint="eastAsia" w:ascii="仿宋_GB2312" w:eastAsia="仿宋_GB2312"/>
          <w:b w:val="0"/>
          <w:bCs/>
          <w:color w:val="auto"/>
          <w:sz w:val="32"/>
          <w:szCs w:val="32"/>
          <w:u w:val="none"/>
          <w:lang w:eastAsia="zh-CN"/>
        </w:rPr>
        <w:t>占地</w:t>
      </w:r>
      <w:r>
        <w:rPr>
          <w:rFonts w:hint="eastAsia" w:ascii="仿宋_GB2312" w:eastAsia="仿宋_GB2312"/>
          <w:b w:val="0"/>
          <w:bCs/>
          <w:color w:val="auto"/>
          <w:sz w:val="32"/>
          <w:szCs w:val="32"/>
          <w:u w:val="none"/>
        </w:rPr>
        <w:t>面积由各</w:t>
      </w:r>
      <w:r>
        <w:rPr>
          <w:rFonts w:hint="eastAsia" w:ascii="仿宋_GB2312" w:eastAsia="仿宋_GB2312"/>
          <w:b w:val="0"/>
          <w:bCs/>
          <w:color w:val="auto"/>
          <w:sz w:val="32"/>
          <w:szCs w:val="32"/>
          <w:u w:val="none"/>
          <w:lang w:eastAsia="zh-CN"/>
        </w:rPr>
        <w:t>乡镇（园区）</w:t>
      </w:r>
      <w:r>
        <w:rPr>
          <w:rFonts w:hint="eastAsia" w:ascii="仿宋_GB2312" w:eastAsia="仿宋_GB2312"/>
          <w:b w:val="0"/>
          <w:bCs/>
          <w:color w:val="auto"/>
          <w:sz w:val="32"/>
          <w:szCs w:val="32"/>
          <w:u w:val="none"/>
        </w:rPr>
        <w:t>负责提供</w:t>
      </w:r>
      <w:r>
        <w:rPr>
          <w:rFonts w:hint="eastAsia" w:ascii="仿宋_GB2312" w:eastAsia="仿宋_GB2312"/>
          <w:b w:val="0"/>
          <w:bCs/>
          <w:color w:val="auto"/>
          <w:sz w:val="32"/>
          <w:szCs w:val="32"/>
          <w:u w:val="none"/>
          <w:lang w:val="en-US"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eastAsia="仿宋_GB2312"/>
          <w:b w:val="0"/>
          <w:bCs/>
          <w:color w:val="auto"/>
          <w:sz w:val="32"/>
          <w:szCs w:val="32"/>
          <w:u w:val="none"/>
          <w:lang w:eastAsia="zh-CN"/>
        </w:rPr>
      </w:pPr>
      <w:r>
        <w:rPr>
          <w:rFonts w:hint="eastAsia" w:ascii="仿宋_GB2312" w:eastAsia="仿宋_GB2312"/>
          <w:b w:val="0"/>
          <w:bCs/>
          <w:color w:val="auto"/>
          <w:sz w:val="32"/>
          <w:szCs w:val="32"/>
          <w:u w:val="none"/>
        </w:rPr>
        <w:t>亩均产值</w:t>
      </w:r>
      <w:r>
        <w:rPr>
          <w:rFonts w:hint="eastAsia" w:ascii="仿宋_GB2312" w:eastAsia="仿宋_GB2312"/>
          <w:b w:val="0"/>
          <w:bCs/>
          <w:color w:val="auto"/>
          <w:sz w:val="32"/>
          <w:szCs w:val="32"/>
          <w:u w:val="none"/>
          <w:lang w:eastAsia="zh-CN"/>
        </w:rPr>
        <w:t>（万元</w:t>
      </w:r>
      <w:r>
        <w:rPr>
          <w:rFonts w:hint="eastAsia" w:ascii="仿宋_GB2312" w:eastAsia="仿宋_GB2312"/>
          <w:b w:val="0"/>
          <w:bCs/>
          <w:color w:val="auto"/>
          <w:sz w:val="32"/>
          <w:szCs w:val="32"/>
          <w:u w:val="none"/>
          <w:lang w:val="en-US" w:eastAsia="zh-CN"/>
        </w:rPr>
        <w:t>/</w:t>
      </w:r>
      <w:r>
        <w:rPr>
          <w:rFonts w:hint="eastAsia" w:ascii="仿宋_GB2312" w:eastAsia="仿宋_GB2312"/>
          <w:b w:val="0"/>
          <w:bCs/>
          <w:color w:val="auto"/>
          <w:sz w:val="32"/>
          <w:szCs w:val="32"/>
          <w:u w:val="none"/>
          <w:lang w:eastAsia="zh-CN"/>
        </w:rPr>
        <w:t>亩）</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lang w:eastAsia="zh-CN"/>
        </w:rPr>
        <w:t>工业</w:t>
      </w:r>
      <w:r>
        <w:rPr>
          <w:rFonts w:hint="eastAsia" w:ascii="仿宋_GB2312" w:eastAsia="仿宋_GB2312"/>
          <w:b w:val="0"/>
          <w:bCs/>
          <w:color w:val="auto"/>
          <w:sz w:val="32"/>
          <w:szCs w:val="32"/>
          <w:u w:val="none"/>
        </w:rPr>
        <w:t>总产值</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lang w:eastAsia="zh-CN"/>
        </w:rPr>
        <w:t>占地</w:t>
      </w:r>
      <w:r>
        <w:rPr>
          <w:rFonts w:hint="eastAsia" w:ascii="仿宋_GB2312" w:eastAsia="仿宋_GB2312"/>
          <w:b w:val="0"/>
          <w:bCs/>
          <w:color w:val="auto"/>
          <w:sz w:val="32"/>
          <w:szCs w:val="32"/>
          <w:u w:val="none"/>
        </w:rPr>
        <w:t>面积</w:t>
      </w:r>
      <w:r>
        <w:rPr>
          <w:rFonts w:hint="eastAsia" w:ascii="仿宋_GB2312" w:eastAsia="仿宋_GB2312"/>
          <w:b w:val="0"/>
          <w:bCs/>
          <w:color w:val="auto"/>
          <w:sz w:val="32"/>
          <w:szCs w:val="32"/>
          <w:u w:val="none"/>
          <w:lang w:eastAsia="zh-CN"/>
        </w:rPr>
        <w:t>。</w:t>
      </w:r>
      <w:r>
        <w:rPr>
          <w:rFonts w:hint="eastAsia" w:ascii="仿宋_GB2312" w:eastAsia="仿宋_GB2312"/>
          <w:b w:val="0"/>
          <w:bCs/>
          <w:color w:val="auto"/>
          <w:sz w:val="32"/>
          <w:szCs w:val="32"/>
          <w:u w:val="none"/>
        </w:rPr>
        <w:t>企业总产值</w:t>
      </w:r>
      <w:r>
        <w:rPr>
          <w:rFonts w:hint="eastAsia" w:ascii="仿宋_GB2312" w:eastAsia="仿宋_GB2312"/>
          <w:b w:val="0"/>
          <w:bCs/>
          <w:color w:val="auto"/>
          <w:sz w:val="32"/>
          <w:szCs w:val="32"/>
          <w:u w:val="none"/>
          <w:lang w:eastAsia="zh-CN"/>
        </w:rPr>
        <w:t>由</w:t>
      </w:r>
      <w:r>
        <w:rPr>
          <w:rFonts w:hint="eastAsia" w:ascii="仿宋_GB2312" w:eastAsia="仿宋_GB2312"/>
          <w:b w:val="0"/>
          <w:bCs/>
          <w:color w:val="auto"/>
          <w:sz w:val="32"/>
          <w:szCs w:val="32"/>
          <w:u w:val="none"/>
        </w:rPr>
        <w:t>区统计局提供，</w:t>
      </w:r>
      <w:r>
        <w:rPr>
          <w:rFonts w:hint="eastAsia" w:ascii="仿宋_GB2312" w:eastAsia="仿宋_GB2312"/>
          <w:b w:val="0"/>
          <w:bCs/>
          <w:color w:val="auto"/>
          <w:sz w:val="32"/>
          <w:szCs w:val="32"/>
          <w:u w:val="none"/>
          <w:lang w:eastAsia="zh-CN"/>
        </w:rPr>
        <w:t>占地</w:t>
      </w:r>
      <w:r>
        <w:rPr>
          <w:rFonts w:hint="eastAsia" w:ascii="仿宋_GB2312" w:eastAsia="仿宋_GB2312"/>
          <w:b w:val="0"/>
          <w:bCs/>
          <w:color w:val="auto"/>
          <w:sz w:val="32"/>
          <w:szCs w:val="32"/>
          <w:u w:val="none"/>
        </w:rPr>
        <w:t>面积由各</w:t>
      </w:r>
      <w:r>
        <w:rPr>
          <w:rFonts w:hint="eastAsia" w:ascii="仿宋_GB2312" w:eastAsia="仿宋_GB2312"/>
          <w:b w:val="0"/>
          <w:bCs/>
          <w:color w:val="auto"/>
          <w:sz w:val="32"/>
          <w:szCs w:val="32"/>
          <w:u w:val="none"/>
          <w:lang w:eastAsia="zh-CN"/>
        </w:rPr>
        <w:t>乡镇（园区）</w:t>
      </w:r>
      <w:r>
        <w:rPr>
          <w:rFonts w:hint="eastAsia" w:ascii="仿宋_GB2312" w:eastAsia="仿宋_GB2312"/>
          <w:b w:val="0"/>
          <w:bCs/>
          <w:color w:val="auto"/>
          <w:sz w:val="32"/>
          <w:szCs w:val="32"/>
          <w:u w:val="none"/>
        </w:rPr>
        <w:t>负责提供</w:t>
      </w:r>
      <w:r>
        <w:rPr>
          <w:rFonts w:hint="eastAsia" w:ascii="仿宋_GB2312" w:eastAsia="仿宋_GB2312"/>
          <w:b w:val="0"/>
          <w:bCs/>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ascii="仿宋_GB2312" w:eastAsia="仿宋_GB2312"/>
          <w:b w:val="0"/>
          <w:bCs/>
          <w:color w:val="auto"/>
          <w:sz w:val="32"/>
          <w:szCs w:val="32"/>
          <w:u w:val="none"/>
        </w:rPr>
      </w:pPr>
      <w:r>
        <w:rPr>
          <w:rFonts w:hint="eastAsia" w:ascii="仿宋_GB2312" w:eastAsia="仿宋_GB2312"/>
          <w:b w:val="0"/>
          <w:bCs/>
          <w:color w:val="auto"/>
          <w:sz w:val="32"/>
          <w:szCs w:val="32"/>
          <w:u w:val="none"/>
          <w:lang w:eastAsia="zh-CN"/>
        </w:rPr>
        <w:t>单位</w:t>
      </w:r>
      <w:r>
        <w:rPr>
          <w:rFonts w:hint="eastAsia" w:ascii="仿宋_GB2312" w:eastAsia="仿宋_GB2312"/>
          <w:b w:val="0"/>
          <w:bCs/>
          <w:color w:val="auto"/>
          <w:sz w:val="32"/>
          <w:szCs w:val="32"/>
          <w:u w:val="none"/>
        </w:rPr>
        <w:t>产值能耗</w:t>
      </w:r>
      <w:r>
        <w:rPr>
          <w:rFonts w:hint="eastAsia" w:ascii="仿宋_GB2312" w:eastAsia="仿宋_GB2312"/>
          <w:b w:val="0"/>
          <w:bCs/>
          <w:color w:val="auto"/>
          <w:sz w:val="32"/>
          <w:szCs w:val="32"/>
          <w:u w:val="none"/>
          <w:lang w:eastAsia="zh-CN"/>
        </w:rPr>
        <w:t>（吨标煤</w:t>
      </w:r>
      <w:r>
        <w:rPr>
          <w:rFonts w:hint="eastAsia" w:ascii="仿宋_GB2312" w:eastAsia="仿宋_GB2312"/>
          <w:b w:val="0"/>
          <w:bCs/>
          <w:color w:val="auto"/>
          <w:sz w:val="32"/>
          <w:szCs w:val="32"/>
          <w:u w:val="none"/>
          <w:lang w:val="en-US" w:eastAsia="zh-CN"/>
        </w:rPr>
        <w:t>/万元</w:t>
      </w:r>
      <w:r>
        <w:rPr>
          <w:rFonts w:hint="eastAsia" w:ascii="仿宋_GB2312" w:eastAsia="仿宋_GB2312"/>
          <w:b w:val="0"/>
          <w:bCs/>
          <w:color w:val="auto"/>
          <w:sz w:val="32"/>
          <w:szCs w:val="32"/>
          <w:u w:val="none"/>
          <w:lang w:eastAsia="zh-CN"/>
        </w:rPr>
        <w:t>）</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lang w:eastAsia="zh-CN"/>
        </w:rPr>
        <w:t>综合能耗</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rPr>
        <w:t>工业总产值</w:t>
      </w:r>
      <w:r>
        <w:rPr>
          <w:rFonts w:hint="eastAsia" w:ascii="仿宋_GB2312" w:eastAsia="仿宋_GB2312"/>
          <w:b w:val="0"/>
          <w:bCs/>
          <w:color w:val="auto"/>
          <w:sz w:val="32"/>
          <w:szCs w:val="32"/>
          <w:u w:val="none"/>
          <w:lang w:eastAsia="zh-CN"/>
        </w:rPr>
        <w:t>。</w:t>
      </w:r>
      <w:r>
        <w:rPr>
          <w:rFonts w:hint="eastAsia" w:ascii="仿宋_GB2312" w:eastAsia="仿宋_GB2312"/>
          <w:b w:val="0"/>
          <w:bCs/>
          <w:color w:val="auto"/>
          <w:sz w:val="32"/>
          <w:szCs w:val="32"/>
          <w:u w:val="none"/>
        </w:rPr>
        <w:t>由区统计局负责提供</w:t>
      </w:r>
      <w:r>
        <w:rPr>
          <w:rFonts w:hint="eastAsia" w:ascii="仿宋_GB2312" w:eastAsia="仿宋_GB2312"/>
          <w:b w:val="0"/>
          <w:bCs/>
          <w:color w:val="auto"/>
          <w:sz w:val="32"/>
          <w:szCs w:val="32"/>
          <w:u w:val="none"/>
          <w:lang w:val="en-US" w:eastAsia="zh-CN"/>
        </w:rPr>
        <w:t>。</w:t>
      </w:r>
      <w:r>
        <w:rPr>
          <w:rFonts w:ascii="仿宋_GB2312" w:eastAsia="仿宋_GB2312"/>
          <w:b w:val="0"/>
          <w:bCs/>
          <w:color w:val="auto"/>
          <w:sz w:val="32"/>
          <w:szCs w:val="32"/>
          <w:u w:val="none"/>
        </w:rPr>
        <w:t xml:space="preserve"> </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eastAsia="仿宋_GB2312"/>
          <w:b w:val="0"/>
          <w:bCs/>
          <w:color w:val="auto"/>
          <w:sz w:val="32"/>
          <w:szCs w:val="32"/>
          <w:u w:val="none"/>
          <w:lang w:eastAsia="zh-CN"/>
        </w:rPr>
      </w:pPr>
      <w:r>
        <w:rPr>
          <w:rFonts w:hint="eastAsia" w:ascii="仿宋_GB2312" w:eastAsia="仿宋_GB2312"/>
          <w:b w:val="0"/>
          <w:bCs/>
          <w:color w:val="auto"/>
          <w:sz w:val="32"/>
          <w:szCs w:val="32"/>
          <w:u w:val="none"/>
          <w:lang w:eastAsia="zh-CN"/>
        </w:rPr>
        <w:t>人均产值（万元</w:t>
      </w:r>
      <w:r>
        <w:rPr>
          <w:rFonts w:hint="eastAsia" w:ascii="仿宋_GB2312" w:eastAsia="仿宋_GB2312"/>
          <w:b w:val="0"/>
          <w:bCs/>
          <w:color w:val="auto"/>
          <w:sz w:val="32"/>
          <w:szCs w:val="32"/>
          <w:u w:val="none"/>
          <w:lang w:val="en-US" w:eastAsia="zh-CN"/>
        </w:rPr>
        <w:t>/人</w:t>
      </w:r>
      <w:r>
        <w:rPr>
          <w:rFonts w:hint="eastAsia" w:ascii="仿宋_GB2312" w:eastAsia="仿宋_GB2312"/>
          <w:b w:val="0"/>
          <w:bCs/>
          <w:color w:val="auto"/>
          <w:sz w:val="32"/>
          <w:szCs w:val="32"/>
          <w:u w:val="none"/>
          <w:lang w:eastAsia="zh-CN"/>
        </w:rPr>
        <w:t>）</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rPr>
        <w:t>工业总产值</w:t>
      </w:r>
      <w:r>
        <w:rPr>
          <w:rFonts w:ascii="仿宋_GB2312" w:eastAsia="仿宋_GB2312"/>
          <w:b w:val="0"/>
          <w:bCs/>
          <w:color w:val="auto"/>
          <w:sz w:val="32"/>
          <w:szCs w:val="32"/>
          <w:u w:val="none"/>
        </w:rPr>
        <w:t>/</w:t>
      </w:r>
      <w:r>
        <w:rPr>
          <w:rFonts w:hint="eastAsia" w:ascii="仿宋_GB2312" w:eastAsia="仿宋_GB2312"/>
          <w:b w:val="0"/>
          <w:bCs/>
          <w:color w:val="auto"/>
          <w:sz w:val="32"/>
          <w:szCs w:val="32"/>
          <w:u w:val="none"/>
        </w:rPr>
        <w:t>全部</w:t>
      </w:r>
      <w:r>
        <w:rPr>
          <w:rFonts w:hint="eastAsia" w:ascii="仿宋_GB2312" w:eastAsia="仿宋_GB2312"/>
          <w:b w:val="0"/>
          <w:bCs/>
          <w:color w:val="auto"/>
          <w:sz w:val="32"/>
          <w:szCs w:val="32"/>
          <w:u w:val="none"/>
          <w:lang w:eastAsia="zh-CN"/>
        </w:rPr>
        <w:t>从业人员平均</w:t>
      </w:r>
      <w:r>
        <w:rPr>
          <w:rFonts w:hint="eastAsia" w:ascii="仿宋_GB2312" w:eastAsia="仿宋_GB2312"/>
          <w:b w:val="0"/>
          <w:bCs/>
          <w:color w:val="auto"/>
          <w:sz w:val="32"/>
          <w:szCs w:val="32"/>
          <w:u w:val="none"/>
        </w:rPr>
        <w:t>人数</w:t>
      </w:r>
      <w:r>
        <w:rPr>
          <w:rFonts w:hint="eastAsia" w:ascii="仿宋_GB2312" w:eastAsia="仿宋_GB2312"/>
          <w:b w:val="0"/>
          <w:bCs/>
          <w:color w:val="auto"/>
          <w:sz w:val="32"/>
          <w:szCs w:val="32"/>
          <w:u w:val="none"/>
          <w:lang w:eastAsia="zh-CN"/>
        </w:rPr>
        <w:t>。</w:t>
      </w:r>
      <w:r>
        <w:rPr>
          <w:rFonts w:hint="eastAsia" w:ascii="仿宋_GB2312" w:eastAsia="仿宋_GB2312"/>
          <w:b w:val="0"/>
          <w:bCs/>
          <w:color w:val="auto"/>
          <w:sz w:val="32"/>
          <w:szCs w:val="32"/>
          <w:u w:val="none"/>
        </w:rPr>
        <w:t>由区统计局负责提供</w:t>
      </w:r>
      <w:r>
        <w:rPr>
          <w:rFonts w:hint="eastAsia" w:ascii="仿宋_GB2312" w:eastAsia="仿宋_GB2312"/>
          <w:b w:val="0"/>
          <w:bCs/>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3.指标基准值</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b w:val="0"/>
          <w:bCs/>
          <w:color w:val="auto"/>
          <w:sz w:val="32"/>
          <w:szCs w:val="32"/>
          <w:u w:val="none"/>
          <w:lang w:val="en-US" w:eastAsia="zh-CN"/>
        </w:rPr>
        <w:t>规模以上工业企业：</w:t>
      </w:r>
      <w:r>
        <w:rPr>
          <w:rFonts w:hint="eastAsia" w:ascii="仿宋_GB2312" w:hAnsi="黑体" w:eastAsia="仿宋_GB2312"/>
          <w:b w:val="0"/>
          <w:bCs/>
          <w:color w:val="auto"/>
          <w:sz w:val="32"/>
          <w:szCs w:val="32"/>
          <w:u w:val="none"/>
        </w:rPr>
        <w:t>亩均税收、亩均产值、人均产值参照</w:t>
      </w:r>
      <w:r>
        <w:rPr>
          <w:rFonts w:hint="eastAsia" w:ascii="仿宋_GB2312" w:hAnsi="黑体" w:eastAsia="仿宋_GB2312"/>
          <w:b w:val="0"/>
          <w:bCs/>
          <w:color w:val="auto"/>
          <w:sz w:val="32"/>
          <w:szCs w:val="32"/>
          <w:u w:val="none"/>
          <w:lang w:eastAsia="zh-CN"/>
        </w:rPr>
        <w:t>崇明区</w:t>
      </w:r>
      <w:r>
        <w:rPr>
          <w:rFonts w:hint="eastAsia" w:ascii="仿宋_GB2312" w:hAnsi="黑体" w:eastAsia="仿宋_GB2312"/>
          <w:b w:val="0"/>
          <w:bCs/>
          <w:color w:val="auto"/>
          <w:sz w:val="32"/>
          <w:szCs w:val="32"/>
          <w:u w:val="none"/>
        </w:rPr>
        <w:t>近三年指标均值明确基准值</w:t>
      </w:r>
      <w:r>
        <w:rPr>
          <w:rFonts w:hint="eastAsia" w:ascii="仿宋_GB2312" w:hAnsi="黑体" w:eastAsia="仿宋_GB2312"/>
          <w:b w:val="0"/>
          <w:bCs/>
          <w:color w:val="auto"/>
          <w:sz w:val="32"/>
          <w:szCs w:val="32"/>
          <w:u w:val="none"/>
          <w:lang w:eastAsia="zh-CN"/>
        </w:rPr>
        <w:t>，</w:t>
      </w:r>
      <w:r>
        <w:rPr>
          <w:rFonts w:hint="eastAsia" w:ascii="仿宋_GB2312" w:hAnsi="黑体" w:eastAsia="仿宋_GB2312"/>
          <w:b w:val="0"/>
          <w:bCs/>
          <w:color w:val="auto"/>
          <w:sz w:val="32"/>
          <w:szCs w:val="32"/>
          <w:u w:val="none"/>
        </w:rPr>
        <w:t>单位</w:t>
      </w:r>
      <w:r>
        <w:rPr>
          <w:rFonts w:hint="eastAsia" w:ascii="仿宋_GB2312" w:hAnsi="黑体" w:eastAsia="仿宋_GB2312"/>
          <w:color w:val="auto"/>
          <w:sz w:val="32"/>
          <w:szCs w:val="32"/>
          <w:u w:val="none"/>
        </w:rPr>
        <w:t>产值能耗参照上海产业能效指南分行业标准作为基准值</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eastAsia="仿宋_GB2312"/>
          <w:b w:val="0"/>
          <w:bCs/>
          <w:color w:val="auto"/>
          <w:sz w:val="32"/>
          <w:szCs w:val="32"/>
          <w:u w:val="none"/>
          <w:lang w:eastAsia="zh-CN"/>
        </w:rPr>
      </w:pPr>
      <w:r>
        <w:rPr>
          <w:rFonts w:hint="eastAsia" w:ascii="仿宋_GB2312" w:hAnsi="黑体" w:eastAsia="仿宋_GB2312"/>
          <w:color w:val="auto"/>
          <w:sz w:val="32"/>
          <w:szCs w:val="32"/>
          <w:u w:val="none"/>
        </w:rPr>
        <w:t>规模以下工业企业</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不设基准值</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按亩均税收排序</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4.加减分项和调档项</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eastAsia="仿宋_GB2312"/>
          <w:sz w:val="32"/>
          <w:szCs w:val="32"/>
        </w:rPr>
      </w:pPr>
      <w:r>
        <w:rPr>
          <w:rFonts w:hint="eastAsia" w:ascii="仿宋_GB2312" w:hAnsi="黑体" w:eastAsia="仿宋_GB2312"/>
          <w:b w:val="0"/>
          <w:bCs/>
          <w:color w:val="auto"/>
          <w:sz w:val="32"/>
          <w:szCs w:val="32"/>
          <w:u w:val="none"/>
          <w:lang w:val="en-US" w:eastAsia="zh-CN"/>
        </w:rPr>
        <w:t>除</w:t>
      </w:r>
      <w:r>
        <w:rPr>
          <w:rFonts w:hint="eastAsia" w:ascii="仿宋_GB2312" w:hAnsi="黑体" w:eastAsia="仿宋_GB2312"/>
          <w:b w:val="0"/>
          <w:bCs/>
          <w:color w:val="auto"/>
          <w:sz w:val="32"/>
          <w:szCs w:val="32"/>
          <w:u w:val="none"/>
        </w:rPr>
        <w:t>上述</w:t>
      </w:r>
      <w:r>
        <w:rPr>
          <w:rFonts w:hint="eastAsia" w:ascii="仿宋_GB2312" w:hAnsi="黑体" w:eastAsia="仿宋_GB2312"/>
          <w:b w:val="0"/>
          <w:bCs/>
          <w:color w:val="auto"/>
          <w:sz w:val="32"/>
          <w:szCs w:val="32"/>
          <w:u w:val="none"/>
          <w:lang w:val="en-US" w:eastAsia="zh-CN"/>
        </w:rPr>
        <w:t>核心评价</w:t>
      </w:r>
      <w:r>
        <w:rPr>
          <w:rFonts w:hint="eastAsia" w:ascii="仿宋_GB2312" w:hAnsi="黑体" w:eastAsia="仿宋_GB2312"/>
          <w:b w:val="0"/>
          <w:bCs/>
          <w:color w:val="auto"/>
          <w:sz w:val="32"/>
          <w:szCs w:val="32"/>
          <w:u w:val="none"/>
        </w:rPr>
        <w:t>指标</w:t>
      </w:r>
      <w:r>
        <w:rPr>
          <w:rFonts w:hint="eastAsia" w:ascii="仿宋_GB2312" w:hAnsi="黑体" w:eastAsia="仿宋_GB2312"/>
          <w:b w:val="0"/>
          <w:bCs/>
          <w:color w:val="auto"/>
          <w:sz w:val="32"/>
          <w:szCs w:val="32"/>
          <w:u w:val="none"/>
          <w:lang w:eastAsia="zh-CN"/>
        </w:rPr>
        <w:t>外，</w:t>
      </w:r>
      <w:r>
        <w:rPr>
          <w:rFonts w:hint="eastAsia" w:ascii="仿宋_GB2312" w:hAnsi="黑体" w:eastAsia="仿宋_GB2312"/>
          <w:b w:val="0"/>
          <w:bCs/>
          <w:color w:val="auto"/>
          <w:sz w:val="32"/>
          <w:szCs w:val="32"/>
          <w:u w:val="none"/>
        </w:rPr>
        <w:t>在产业特色、科技创新、社会贡献、质</w:t>
      </w:r>
      <w:r>
        <w:rPr>
          <w:rFonts w:hint="eastAsia" w:ascii="仿宋_GB2312" w:hAnsi="黑体" w:eastAsia="仿宋_GB2312"/>
          <w:color w:val="auto"/>
          <w:sz w:val="32"/>
          <w:szCs w:val="32"/>
          <w:u w:val="none"/>
        </w:rPr>
        <w:t>量品牌、节能减排、安全生产、环境保护等方面</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设立</w:t>
      </w:r>
      <w:r>
        <w:rPr>
          <w:rFonts w:hint="eastAsia" w:ascii="仿宋_GB2312" w:hAnsi="黑体" w:eastAsia="仿宋_GB2312"/>
          <w:color w:val="auto"/>
          <w:sz w:val="32"/>
          <w:szCs w:val="32"/>
          <w:u w:val="none"/>
          <w:lang w:val="en-US" w:eastAsia="zh-CN"/>
        </w:rPr>
        <w:t>加减分项</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rPr>
      </w:pP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lang w:val="en-US" w:eastAsia="zh-CN"/>
        </w:rPr>
        <w:t>1</w:t>
      </w:r>
      <w:r>
        <w:rPr>
          <w:rFonts w:hint="eastAsia" w:ascii="仿宋_GB2312" w:hAnsi="黑体" w:eastAsia="仿宋_GB2312"/>
          <w:color w:val="auto"/>
          <w:sz w:val="32"/>
          <w:szCs w:val="32"/>
          <w:u w:val="none"/>
          <w:lang w:eastAsia="zh-CN"/>
        </w:rPr>
        <w:t>）符合</w:t>
      </w:r>
      <w:r>
        <w:rPr>
          <w:rFonts w:hint="eastAsia" w:ascii="仿宋_GB2312" w:hAnsi="黑体" w:eastAsia="仿宋_GB2312"/>
          <w:color w:val="auto"/>
          <w:sz w:val="32"/>
          <w:szCs w:val="32"/>
          <w:u w:val="none"/>
        </w:rPr>
        <w:t>下列情形</w:t>
      </w:r>
      <w:r>
        <w:rPr>
          <w:rFonts w:hint="eastAsia" w:ascii="仿宋_GB2312" w:hAnsi="黑体" w:eastAsia="仿宋_GB2312"/>
          <w:color w:val="auto"/>
          <w:sz w:val="32"/>
          <w:szCs w:val="32"/>
          <w:u w:val="none"/>
          <w:lang w:eastAsia="zh-CN"/>
        </w:rPr>
        <w:t>中任意一项</w:t>
      </w:r>
      <w:r>
        <w:rPr>
          <w:rFonts w:hint="eastAsia" w:ascii="仿宋_GB2312" w:hAnsi="黑体" w:eastAsia="仿宋_GB2312"/>
          <w:color w:val="auto"/>
          <w:sz w:val="32"/>
          <w:szCs w:val="32"/>
          <w:u w:val="none"/>
        </w:rPr>
        <w:t>的</w:t>
      </w:r>
      <w:r>
        <w:rPr>
          <w:rFonts w:hint="eastAsia" w:ascii="仿宋_GB2312" w:hAnsi="黑体" w:eastAsia="仿宋_GB2312"/>
          <w:color w:val="auto"/>
          <w:sz w:val="32"/>
          <w:szCs w:val="32"/>
          <w:u w:val="none"/>
          <w:lang w:eastAsia="zh-CN"/>
        </w:rPr>
        <w:t>各加</w:t>
      </w:r>
      <w:r>
        <w:rPr>
          <w:rFonts w:hint="eastAsia" w:ascii="仿宋_GB2312" w:hAnsi="黑体" w:eastAsia="仿宋_GB2312"/>
          <w:color w:val="auto"/>
          <w:sz w:val="32"/>
          <w:szCs w:val="32"/>
          <w:u w:val="none"/>
          <w:lang w:val="en-US" w:eastAsia="zh-CN"/>
        </w:rPr>
        <w:t>4分</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lang w:val="en-US" w:eastAsia="zh-CN"/>
        </w:rPr>
        <w:t>其中，企业取得的加分项在有效期内的，可在不同评价周期重复得分</w:t>
      </w:r>
      <w:r>
        <w:rPr>
          <w:rFonts w:hint="eastAsia" w:ascii="仿宋_GB2312" w:hAnsi="黑体" w:eastAsia="仿宋_GB2312"/>
          <w:color w:val="auto"/>
          <w:sz w:val="32"/>
          <w:szCs w:val="32"/>
          <w:u w:val="none"/>
          <w:lang w:eastAsia="zh-CN"/>
        </w:rPr>
        <w:t>）得分可累计，最多不超过</w:t>
      </w:r>
      <w:r>
        <w:rPr>
          <w:rFonts w:hint="eastAsia" w:ascii="仿宋_GB2312" w:hAnsi="黑体" w:eastAsia="仿宋_GB2312"/>
          <w:color w:val="auto"/>
          <w:sz w:val="32"/>
          <w:szCs w:val="32"/>
          <w:u w:val="none"/>
          <w:lang w:val="en-US" w:eastAsia="zh-CN"/>
        </w:rPr>
        <w:t>20分</w:t>
      </w:r>
      <w:r>
        <w:rPr>
          <w:rFonts w:hint="eastAsia" w:ascii="仿宋_GB2312" w:hAnsi="黑体" w:eastAsia="仿宋_GB2312"/>
          <w:color w:val="auto"/>
          <w:sz w:val="32"/>
          <w:szCs w:val="32"/>
          <w:u w:val="none"/>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①</w:t>
      </w:r>
      <w:r>
        <w:rPr>
          <w:rFonts w:hint="eastAsia" w:ascii="仿宋_GB2312" w:hAnsi="黑体" w:eastAsia="仿宋_GB2312"/>
          <w:color w:val="auto"/>
          <w:sz w:val="32"/>
          <w:szCs w:val="32"/>
          <w:u w:val="none"/>
        </w:rPr>
        <w:t>高新技术企</w:t>
      </w:r>
      <w:r>
        <w:rPr>
          <w:rFonts w:hint="eastAsia" w:ascii="仿宋_GB2312" w:hAnsi="黑体" w:eastAsia="仿宋_GB2312"/>
          <w:color w:val="auto"/>
          <w:sz w:val="32"/>
          <w:szCs w:val="32"/>
          <w:u w:val="none"/>
          <w:lang w:val="en-US" w:eastAsia="zh-CN"/>
        </w:rPr>
        <w:t>业或小巨人企业；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②市级专精特新企业或智能制造示范企业；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③区级及以上技术中心或工程（技术）研究中心企业；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④</w:t>
      </w:r>
      <w:r>
        <w:rPr>
          <w:rFonts w:hint="eastAsia" w:ascii="仿宋_GB2312" w:hAnsi="黑体" w:eastAsia="仿宋_GB2312"/>
          <w:color w:val="auto"/>
          <w:sz w:val="32"/>
          <w:szCs w:val="32"/>
          <w:u w:val="none"/>
          <w:lang w:val="en-US" w:eastAsia="zh-CN"/>
        </w:rPr>
        <w:t>评价周期的区级红榜企业或</w:t>
      </w:r>
      <w:r>
        <w:rPr>
          <w:rFonts w:hint="eastAsia" w:ascii="仿宋_GB2312" w:hAnsi="宋体" w:eastAsia="仿宋_GB2312" w:cs="宋体"/>
          <w:color w:val="000000"/>
          <w:kern w:val="0"/>
          <w:sz w:val="32"/>
          <w:szCs w:val="32"/>
          <w:u w:val="none"/>
        </w:rPr>
        <w:t>区</w:t>
      </w:r>
      <w:r>
        <w:rPr>
          <w:rFonts w:hint="eastAsia" w:ascii="仿宋_GB2312" w:hAnsi="宋体" w:eastAsia="仿宋_GB2312" w:cs="宋体"/>
          <w:color w:val="000000"/>
          <w:kern w:val="0"/>
          <w:sz w:val="32"/>
          <w:szCs w:val="32"/>
          <w:u w:val="none"/>
          <w:lang w:val="en-US" w:eastAsia="zh-CN"/>
        </w:rPr>
        <w:t>级及以上</w:t>
      </w:r>
      <w:r>
        <w:rPr>
          <w:rFonts w:hint="eastAsia" w:ascii="仿宋_GB2312" w:hAnsi="宋体" w:eastAsia="仿宋_GB2312" w:cs="宋体"/>
          <w:color w:val="000000"/>
          <w:kern w:val="0"/>
          <w:sz w:val="32"/>
          <w:szCs w:val="32"/>
          <w:u w:val="none"/>
        </w:rPr>
        <w:t>质量奖企业</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宋体" w:eastAsia="仿宋_GB2312" w:cs="宋体"/>
          <w:color w:val="000000"/>
          <w:kern w:val="0"/>
          <w:sz w:val="32"/>
          <w:szCs w:val="32"/>
          <w:u w:val="none"/>
          <w:lang w:eastAsia="zh-CN"/>
        </w:rPr>
      </w:pPr>
      <w:r>
        <w:rPr>
          <w:rFonts w:hint="eastAsia" w:ascii="仿宋_GB2312" w:hAnsi="黑体" w:eastAsia="仿宋_GB2312"/>
          <w:color w:val="auto"/>
          <w:sz w:val="32"/>
          <w:szCs w:val="32"/>
          <w:u w:val="none"/>
          <w:lang w:val="en-US" w:eastAsia="zh-CN"/>
        </w:rPr>
        <w:t>⑤评价周期内获中国驰名商标、市专利工作试点或示范的企业；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⑥</w:t>
      </w:r>
      <w:r>
        <w:rPr>
          <w:rFonts w:hint="eastAsia" w:ascii="仿宋_GB2312" w:hAnsi="黑体" w:eastAsia="仿宋_GB2312"/>
          <w:color w:val="auto"/>
          <w:sz w:val="32"/>
          <w:szCs w:val="32"/>
          <w:u w:val="none"/>
          <w:lang w:val="en-US" w:eastAsia="zh-CN"/>
        </w:rPr>
        <w:t>作为起草人制订国家标准</w:t>
      </w:r>
      <w:r>
        <w:rPr>
          <w:rFonts w:hint="eastAsia" w:ascii="仿宋_GB2312" w:hAnsi="黑体" w:eastAsia="仿宋_GB2312"/>
          <w:b w:val="0"/>
          <w:bCs/>
          <w:color w:val="auto"/>
          <w:sz w:val="32"/>
          <w:szCs w:val="32"/>
          <w:u w:val="none"/>
        </w:rPr>
        <w:t>、</w:t>
      </w:r>
      <w:r>
        <w:rPr>
          <w:rFonts w:hint="eastAsia" w:ascii="仿宋_GB2312" w:hAnsi="黑体" w:eastAsia="仿宋_GB2312"/>
          <w:color w:val="auto"/>
          <w:sz w:val="32"/>
          <w:szCs w:val="32"/>
          <w:u w:val="none"/>
          <w:lang w:val="en-US" w:eastAsia="zh-CN"/>
        </w:rPr>
        <w:t>行业标准或地方标准的企业（起草人排序在前三名）</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⑦获得中华老字号或国家地理标志的企业）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⑧</w:t>
      </w:r>
      <w:r>
        <w:rPr>
          <w:rFonts w:hint="eastAsia" w:ascii="仿宋_GB2312" w:hAnsi="黑体" w:eastAsia="仿宋_GB2312"/>
          <w:color w:val="auto"/>
          <w:sz w:val="32"/>
          <w:szCs w:val="32"/>
          <w:u w:val="none"/>
        </w:rPr>
        <w:t>已上市及</w:t>
      </w:r>
      <w:r>
        <w:rPr>
          <w:rFonts w:hint="eastAsia" w:ascii="仿宋_GB2312" w:hAnsi="黑体" w:eastAsia="仿宋_GB2312"/>
          <w:color w:val="auto"/>
          <w:sz w:val="32"/>
          <w:szCs w:val="32"/>
          <w:u w:val="none"/>
          <w:lang w:eastAsia="zh-CN"/>
        </w:rPr>
        <w:t>列入</w:t>
      </w:r>
      <w:r>
        <w:rPr>
          <w:rFonts w:hint="eastAsia" w:ascii="仿宋_GB2312" w:hAnsi="黑体" w:eastAsia="仿宋_GB2312"/>
          <w:color w:val="auto"/>
          <w:sz w:val="32"/>
          <w:szCs w:val="32"/>
          <w:u w:val="none"/>
        </w:rPr>
        <w:t>拟上市企业</w:t>
      </w:r>
      <w:r>
        <w:rPr>
          <w:rFonts w:hint="eastAsia" w:ascii="仿宋_GB2312" w:hAnsi="黑体" w:eastAsia="仿宋_GB2312"/>
          <w:color w:val="auto"/>
          <w:sz w:val="32"/>
          <w:szCs w:val="32"/>
          <w:u w:val="none"/>
          <w:lang w:eastAsia="zh-CN"/>
        </w:rPr>
        <w:t>储备库的企业；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⑨</w:t>
      </w:r>
      <w:r>
        <w:rPr>
          <w:rFonts w:hint="eastAsia" w:ascii="仿宋_GB2312" w:hAnsi="黑体" w:eastAsia="仿宋_GB2312"/>
          <w:color w:val="auto"/>
          <w:sz w:val="32"/>
          <w:szCs w:val="32"/>
          <w:u w:val="none"/>
        </w:rPr>
        <w:t>近两年工业</w:t>
      </w:r>
      <w:r>
        <w:rPr>
          <w:rFonts w:hint="eastAsia" w:ascii="仿宋_GB2312" w:hAnsi="黑体" w:eastAsia="仿宋_GB2312"/>
          <w:color w:val="auto"/>
          <w:sz w:val="32"/>
          <w:szCs w:val="32"/>
          <w:u w:val="none"/>
          <w:lang w:eastAsia="zh-CN"/>
        </w:rPr>
        <w:t>投资（</w:t>
      </w:r>
      <w:r>
        <w:rPr>
          <w:rFonts w:hint="eastAsia" w:ascii="仿宋_GB2312" w:hAnsi="黑体" w:eastAsia="仿宋_GB2312"/>
          <w:color w:val="auto"/>
          <w:sz w:val="32"/>
          <w:szCs w:val="32"/>
          <w:u w:val="none"/>
        </w:rPr>
        <w:t>设备</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超1000万元的企业</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⑩评价周期引进国家级高端、市级高端人才的企业。</w:t>
      </w:r>
    </w:p>
    <w:p>
      <w:pPr>
        <w:keepNext w:val="0"/>
        <w:keepLines w:val="0"/>
        <w:pageBreakBefore w:val="0"/>
        <w:widowControl w:val="0"/>
        <w:numPr>
          <w:ilvl w:val="0"/>
          <w:numId w:val="1"/>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rPr>
      </w:pPr>
      <w:r>
        <w:rPr>
          <w:rFonts w:hint="eastAsia" w:ascii="仿宋_GB2312" w:hAnsi="黑体" w:eastAsia="仿宋_GB2312"/>
          <w:color w:val="auto"/>
          <w:sz w:val="32"/>
          <w:szCs w:val="32"/>
          <w:u w:val="none"/>
          <w:lang w:eastAsia="zh-CN"/>
        </w:rPr>
        <w:t>符合</w:t>
      </w:r>
      <w:r>
        <w:rPr>
          <w:rFonts w:hint="eastAsia" w:ascii="仿宋_GB2312" w:hAnsi="黑体" w:eastAsia="仿宋_GB2312"/>
          <w:color w:val="auto"/>
          <w:sz w:val="32"/>
          <w:szCs w:val="32"/>
          <w:u w:val="none"/>
        </w:rPr>
        <w:t>下列情形</w:t>
      </w:r>
      <w:r>
        <w:rPr>
          <w:rFonts w:hint="eastAsia" w:ascii="仿宋_GB2312" w:hAnsi="黑体" w:eastAsia="仿宋_GB2312"/>
          <w:color w:val="auto"/>
          <w:sz w:val="32"/>
          <w:szCs w:val="32"/>
          <w:u w:val="none"/>
          <w:lang w:eastAsia="zh-CN"/>
        </w:rPr>
        <w:t>任意一条</w:t>
      </w:r>
      <w:r>
        <w:rPr>
          <w:rFonts w:hint="eastAsia" w:ascii="仿宋_GB2312" w:hAnsi="黑体" w:eastAsia="仿宋_GB2312"/>
          <w:color w:val="auto"/>
          <w:sz w:val="32"/>
          <w:szCs w:val="32"/>
          <w:u w:val="none"/>
        </w:rPr>
        <w:t>的</w:t>
      </w:r>
      <w:r>
        <w:rPr>
          <w:rFonts w:hint="eastAsia" w:ascii="仿宋_GB2312" w:hAnsi="黑体" w:eastAsia="仿宋_GB2312"/>
          <w:color w:val="auto"/>
          <w:sz w:val="32"/>
          <w:szCs w:val="32"/>
          <w:u w:val="none"/>
          <w:lang w:val="en-US" w:eastAsia="zh-CN"/>
        </w:rPr>
        <w:t>减分</w:t>
      </w:r>
      <w:r>
        <w:rPr>
          <w:rFonts w:hint="eastAsia" w:ascii="仿宋_GB2312" w:hAnsi="黑体" w:eastAsia="仿宋_GB2312"/>
          <w:color w:val="auto"/>
          <w:sz w:val="32"/>
          <w:szCs w:val="32"/>
          <w:u w:val="none"/>
        </w:rPr>
        <w:t>处理</w:t>
      </w:r>
      <w:r>
        <w:rPr>
          <w:rFonts w:hint="eastAsia" w:ascii="仿宋_GB2312" w:hAnsi="黑体" w:eastAsia="仿宋_GB2312"/>
          <w:color w:val="auto"/>
          <w:sz w:val="32"/>
          <w:szCs w:val="32"/>
          <w:u w:val="none"/>
          <w:lang w:eastAsia="zh-CN"/>
        </w:rPr>
        <w:t>，可累计，最多不超过</w:t>
      </w:r>
      <w:r>
        <w:rPr>
          <w:rFonts w:hint="eastAsia" w:ascii="仿宋_GB2312" w:hAnsi="黑体" w:eastAsia="仿宋_GB2312"/>
          <w:color w:val="auto"/>
          <w:sz w:val="32"/>
          <w:szCs w:val="32"/>
          <w:u w:val="none"/>
          <w:lang w:val="en-US" w:eastAsia="zh-CN"/>
        </w:rPr>
        <w:t>10分</w:t>
      </w:r>
      <w:r>
        <w:rPr>
          <w:rFonts w:hint="eastAsia" w:ascii="仿宋_GB2312" w:hAnsi="黑体" w:eastAsia="仿宋_GB2312"/>
          <w:color w:val="auto"/>
          <w:sz w:val="32"/>
          <w:szCs w:val="32"/>
          <w:u w:val="none"/>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①</w:t>
      </w:r>
      <w:r>
        <w:rPr>
          <w:rFonts w:hint="eastAsia" w:ascii="仿宋_GB2312" w:hAnsi="黑体" w:eastAsia="仿宋_GB2312"/>
          <w:color w:val="auto"/>
          <w:sz w:val="32"/>
          <w:szCs w:val="32"/>
          <w:u w:val="none"/>
          <w:lang w:val="en-US" w:eastAsia="zh-CN"/>
        </w:rPr>
        <w:t>评价周期内因不符合安全生产要求被处罚的企业，每被处罚一次，得-2分;</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②</w:t>
      </w:r>
      <w:r>
        <w:rPr>
          <w:rFonts w:hint="eastAsia" w:ascii="仿宋_GB2312" w:hAnsi="黑体" w:eastAsia="仿宋_GB2312"/>
          <w:color w:val="auto"/>
          <w:sz w:val="32"/>
          <w:szCs w:val="32"/>
          <w:u w:val="none"/>
          <w:lang w:val="en-US" w:eastAsia="zh-CN"/>
        </w:rPr>
        <w:t>评价周期内未完成节能降耗目标的企业，得-2分；</w:t>
      </w:r>
    </w:p>
    <w:p>
      <w:pPr>
        <w:keepNext w:val="0"/>
        <w:keepLines w:val="0"/>
        <w:pageBreakBefore w:val="0"/>
        <w:widowControl w:val="0"/>
        <w:numPr>
          <w:ilvl w:val="0"/>
          <w:numId w:val="0"/>
        </w:numPr>
        <w:kinsoku/>
        <w:wordWrap/>
        <w:overflowPunct/>
        <w:topLinePunct w:val="0"/>
        <w:autoSpaceDE/>
        <w:autoSpaceDN/>
        <w:bidi w:val="0"/>
        <w:spacing w:line="552" w:lineRule="exact"/>
        <w:ind w:firstLine="6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③</w:t>
      </w:r>
      <w:r>
        <w:rPr>
          <w:rFonts w:hint="eastAsia" w:ascii="仿宋_GB2312" w:hAnsi="黑体" w:eastAsia="仿宋_GB2312"/>
          <w:color w:val="auto"/>
          <w:sz w:val="32"/>
          <w:szCs w:val="32"/>
          <w:u w:val="none"/>
          <w:lang w:val="en-US" w:eastAsia="zh-CN"/>
        </w:rPr>
        <w:t>评价周期内因不符合环保要求被处罚的企业，每被处罚一次，得-2分；</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④“</w:t>
      </w:r>
      <w:r>
        <w:rPr>
          <w:rFonts w:hint="eastAsia" w:ascii="仿宋_GB2312" w:hAnsi="黑体" w:eastAsia="仿宋_GB2312"/>
          <w:color w:val="auto"/>
          <w:sz w:val="32"/>
          <w:szCs w:val="32"/>
          <w:u w:val="none"/>
          <w:lang w:val="en-US" w:eastAsia="zh-CN"/>
        </w:rPr>
        <w:t>围而不建</w:t>
      </w:r>
      <w:r>
        <w:rPr>
          <w:rFonts w:hint="eastAsia" w:ascii="仿宋_GB2312" w:hAnsi="黑体" w:eastAsia="仿宋_GB2312"/>
          <w:color w:val="auto"/>
          <w:sz w:val="32"/>
          <w:szCs w:val="32"/>
          <w:u w:val="none"/>
          <w:lang w:eastAsia="zh-CN"/>
        </w:rPr>
        <w:t>”、“建而不投”的企业，得</w:t>
      </w:r>
      <w:r>
        <w:rPr>
          <w:rFonts w:hint="eastAsia" w:ascii="仿宋_GB2312" w:hAnsi="黑体" w:eastAsia="仿宋_GB2312"/>
          <w:color w:val="auto"/>
          <w:sz w:val="32"/>
          <w:szCs w:val="32"/>
          <w:u w:val="none"/>
          <w:lang w:val="en-US" w:eastAsia="zh-CN"/>
        </w:rPr>
        <w:t>-2分</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 xml:space="preserve">⑤ </w:t>
      </w:r>
      <w:r>
        <w:rPr>
          <w:rFonts w:hint="eastAsia" w:ascii="仿宋_GB2312" w:hAnsi="黑体" w:eastAsia="仿宋_GB2312"/>
          <w:color w:val="auto"/>
          <w:sz w:val="32"/>
          <w:szCs w:val="32"/>
          <w:u w:val="none"/>
          <w:lang w:eastAsia="zh-CN"/>
        </w:rPr>
        <w:t>其它违法及失信记录，每条得</w:t>
      </w:r>
      <w:r>
        <w:rPr>
          <w:rFonts w:hint="eastAsia" w:ascii="仿宋_GB2312" w:hAnsi="黑体" w:eastAsia="仿宋_GB2312"/>
          <w:color w:val="auto"/>
          <w:sz w:val="32"/>
          <w:szCs w:val="32"/>
          <w:u w:val="none"/>
          <w:lang w:val="en-US" w:eastAsia="zh-CN"/>
        </w:rPr>
        <w:t>-2分。</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rPr>
      </w:pP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lang w:val="en-US" w:eastAsia="zh-CN"/>
        </w:rPr>
        <w:t>3</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有下列情形的</w:t>
      </w:r>
      <w:r>
        <w:rPr>
          <w:rFonts w:hint="eastAsia" w:ascii="仿宋_GB2312" w:hAnsi="黑体" w:eastAsia="仿宋_GB2312"/>
          <w:color w:val="auto"/>
          <w:sz w:val="32"/>
          <w:szCs w:val="32"/>
          <w:u w:val="none"/>
          <w:lang w:eastAsia="zh-CN"/>
        </w:rPr>
        <w:t>提</w:t>
      </w:r>
      <w:r>
        <w:rPr>
          <w:rFonts w:hint="eastAsia" w:ascii="仿宋_GB2312" w:hAnsi="黑体" w:eastAsia="仿宋_GB2312"/>
          <w:color w:val="auto"/>
          <w:sz w:val="32"/>
          <w:szCs w:val="32"/>
          <w:u w:val="none"/>
        </w:rPr>
        <w:t>一档处理：</w:t>
      </w:r>
    </w:p>
    <w:p>
      <w:pPr>
        <w:keepNext w:val="0"/>
        <w:keepLines w:val="0"/>
        <w:pageBreakBefore w:val="0"/>
        <w:widowControl w:val="0"/>
        <w:numPr>
          <w:ilvl w:val="0"/>
          <w:numId w:val="0"/>
        </w:numPr>
        <w:kinsoku/>
        <w:wordWrap/>
        <w:overflowPunct/>
        <w:topLinePunct w:val="0"/>
        <w:autoSpaceDE/>
        <w:autoSpaceDN/>
        <w:bidi w:val="0"/>
        <w:spacing w:line="552" w:lineRule="exact"/>
        <w:ind w:firstLine="600"/>
        <w:textAlignment w:val="auto"/>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①</w:t>
      </w:r>
      <w:r>
        <w:rPr>
          <w:rFonts w:hint="eastAsia" w:ascii="仿宋_GB2312" w:hAnsi="黑体" w:eastAsia="仿宋_GB2312"/>
          <w:color w:val="auto"/>
          <w:sz w:val="32"/>
          <w:szCs w:val="32"/>
          <w:u w:val="none"/>
          <w:lang w:val="en-US" w:eastAsia="zh-CN"/>
        </w:rPr>
        <w:t>评价周期税收超500万的企业;</w:t>
      </w:r>
    </w:p>
    <w:p>
      <w:pPr>
        <w:keepNext w:val="0"/>
        <w:keepLines w:val="0"/>
        <w:pageBreakBefore w:val="0"/>
        <w:widowControl w:val="0"/>
        <w:numPr>
          <w:ilvl w:val="0"/>
          <w:numId w:val="0"/>
        </w:numPr>
        <w:kinsoku/>
        <w:wordWrap/>
        <w:overflowPunct/>
        <w:topLinePunct w:val="0"/>
        <w:autoSpaceDE/>
        <w:autoSpaceDN/>
        <w:bidi w:val="0"/>
        <w:spacing w:line="552" w:lineRule="exact"/>
        <w:ind w:firstLine="600"/>
        <w:textAlignment w:val="auto"/>
        <w:rPr>
          <w:rFonts w:hint="default"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eastAsia="zh-CN"/>
        </w:rPr>
        <w:t>②</w:t>
      </w:r>
      <w:r>
        <w:rPr>
          <w:rFonts w:hint="eastAsia" w:ascii="仿宋_GB2312" w:hAnsi="黑体" w:eastAsia="仿宋_GB2312"/>
          <w:color w:val="auto"/>
          <w:sz w:val="32"/>
          <w:szCs w:val="32"/>
          <w:u w:val="none"/>
          <w:lang w:val="en-US" w:eastAsia="zh-CN"/>
        </w:rPr>
        <w:t>符合本区产业发展导向，经区扶持企业发展联席会议认定可提一档的优质企业。</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rPr>
      </w:pP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lang w:val="en-US" w:eastAsia="zh-CN"/>
        </w:rPr>
        <w:t>4</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有下列情形的降一档处理</w:t>
      </w:r>
      <w:r>
        <w:rPr>
          <w:rFonts w:hint="eastAsia" w:ascii="仿宋_GB2312" w:hAnsi="黑体" w:eastAsia="仿宋_GB2312"/>
          <w:color w:val="auto"/>
          <w:sz w:val="32"/>
          <w:szCs w:val="32"/>
          <w:u w:val="none"/>
          <w:lang w:eastAsia="zh-CN"/>
        </w:rPr>
        <w:t>，降档可累计</w:t>
      </w:r>
      <w:r>
        <w:rPr>
          <w:rFonts w:hint="eastAsia" w:ascii="仿宋_GB2312" w:hAnsi="黑体" w:eastAsia="仿宋_GB2312"/>
          <w:color w:val="auto"/>
          <w:sz w:val="32"/>
          <w:szCs w:val="32"/>
          <w:u w:val="none"/>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①</w:t>
      </w:r>
      <w:r>
        <w:rPr>
          <w:rFonts w:hint="eastAsia" w:ascii="仿宋_GB2312" w:hAnsi="黑体" w:eastAsia="仿宋_GB2312"/>
          <w:color w:val="auto"/>
          <w:sz w:val="32"/>
          <w:szCs w:val="32"/>
          <w:u w:val="none"/>
        </w:rPr>
        <w:t>近两年有</w:t>
      </w:r>
      <w:r>
        <w:rPr>
          <w:rFonts w:hint="eastAsia" w:ascii="仿宋_GB2312" w:hAnsi="黑体" w:eastAsia="仿宋_GB2312"/>
          <w:color w:val="auto"/>
          <w:sz w:val="32"/>
          <w:szCs w:val="32"/>
          <w:u w:val="none"/>
          <w:lang w:eastAsia="zh-CN"/>
        </w:rPr>
        <w:t>较大</w:t>
      </w:r>
      <w:r>
        <w:rPr>
          <w:rFonts w:hint="eastAsia" w:ascii="仿宋_GB2312" w:hAnsi="黑体" w:eastAsia="仿宋_GB2312"/>
          <w:color w:val="auto"/>
          <w:sz w:val="32"/>
          <w:szCs w:val="32"/>
          <w:u w:val="none"/>
        </w:rPr>
        <w:t>环保问题的企业</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②</w:t>
      </w:r>
      <w:r>
        <w:rPr>
          <w:rFonts w:hint="eastAsia" w:ascii="仿宋_GB2312" w:hAnsi="黑体" w:eastAsia="仿宋_GB2312"/>
          <w:color w:val="auto"/>
          <w:sz w:val="32"/>
          <w:szCs w:val="32"/>
          <w:u w:val="none"/>
        </w:rPr>
        <w:t>近两年有</w:t>
      </w:r>
      <w:r>
        <w:rPr>
          <w:rFonts w:hint="eastAsia" w:ascii="仿宋_GB2312" w:hAnsi="黑体" w:eastAsia="仿宋_GB2312"/>
          <w:color w:val="auto"/>
          <w:sz w:val="32"/>
          <w:szCs w:val="32"/>
          <w:u w:val="none"/>
          <w:lang w:eastAsia="zh-CN"/>
        </w:rPr>
        <w:t>较大</w:t>
      </w:r>
      <w:r>
        <w:rPr>
          <w:rFonts w:hint="eastAsia" w:ascii="仿宋_GB2312" w:hAnsi="黑体" w:eastAsia="仿宋_GB2312"/>
          <w:color w:val="auto"/>
          <w:sz w:val="32"/>
          <w:szCs w:val="32"/>
          <w:u w:val="none"/>
        </w:rPr>
        <w:t>安全事故的企业</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lang w:eastAsia="zh-CN"/>
        </w:rPr>
        <w:t>③</w:t>
      </w:r>
      <w:r>
        <w:rPr>
          <w:rFonts w:hint="eastAsia" w:ascii="仿宋_GB2312" w:hAnsi="黑体" w:eastAsia="仿宋_GB2312"/>
          <w:color w:val="auto"/>
          <w:sz w:val="32"/>
          <w:szCs w:val="32"/>
          <w:u w:val="none"/>
        </w:rPr>
        <w:t>近两年有</w:t>
      </w:r>
      <w:r>
        <w:rPr>
          <w:rFonts w:hint="eastAsia" w:ascii="仿宋_GB2312" w:hAnsi="黑体" w:eastAsia="仿宋_GB2312"/>
          <w:color w:val="auto"/>
          <w:sz w:val="32"/>
          <w:szCs w:val="32"/>
          <w:u w:val="none"/>
          <w:lang w:eastAsia="zh-CN"/>
        </w:rPr>
        <w:t>严重失信行为</w:t>
      </w:r>
      <w:r>
        <w:rPr>
          <w:rFonts w:hint="eastAsia" w:ascii="仿宋_GB2312" w:hAnsi="黑体" w:eastAsia="仿宋_GB2312"/>
          <w:color w:val="auto"/>
          <w:sz w:val="32"/>
          <w:szCs w:val="32"/>
          <w:u w:val="none"/>
        </w:rPr>
        <w:t>的企业</w:t>
      </w:r>
      <w:r>
        <w:rPr>
          <w:rFonts w:hint="eastAsia" w:ascii="仿宋_GB2312" w:hAnsi="黑体" w:eastAsia="仿宋_GB2312"/>
          <w:color w:val="auto"/>
          <w:sz w:val="32"/>
          <w:szCs w:val="32"/>
          <w:u w:val="none"/>
          <w:lang w:eastAsia="zh-CN"/>
        </w:rPr>
        <w:t>；</w:t>
      </w:r>
    </w:p>
    <w:p>
      <w:pPr>
        <w:keepNext w:val="0"/>
        <w:keepLines w:val="0"/>
        <w:pageBreakBefore w:val="0"/>
        <w:widowControl w:val="0"/>
        <w:numPr>
          <w:ilvl w:val="0"/>
          <w:numId w:val="0"/>
        </w:numPr>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rPr>
      </w:pPr>
      <w:r>
        <w:rPr>
          <w:rFonts w:hint="eastAsia" w:ascii="仿宋_GB2312" w:hAnsi="黑体" w:eastAsia="仿宋_GB2312"/>
          <w:color w:val="auto"/>
          <w:sz w:val="32"/>
          <w:szCs w:val="32"/>
          <w:u w:val="none"/>
          <w:lang w:val="en-US" w:eastAsia="zh-CN"/>
        </w:rPr>
        <w:t>④得分排在A类比例范围内但亩均税收低于参评企业评价周期平均值的企业（</w:t>
      </w:r>
      <w:r>
        <w:rPr>
          <w:rFonts w:hint="eastAsia" w:ascii="仿宋_GB2312" w:hAnsi="黑体" w:eastAsia="仿宋_GB2312"/>
          <w:b/>
          <w:bCs/>
          <w:color w:val="auto"/>
          <w:sz w:val="32"/>
          <w:szCs w:val="32"/>
          <w:u w:val="none"/>
          <w:lang w:val="en-US" w:eastAsia="zh-CN"/>
        </w:rPr>
        <w:t>上海领军人才项目、首次认定为高新技术企业、“小升规”企业可享受三年豁免期</w:t>
      </w:r>
      <w:r>
        <w:rPr>
          <w:rFonts w:hint="eastAsia" w:ascii="仿宋_GB2312" w:hAnsi="黑体" w:eastAsia="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（三）评价分类</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olor w:val="auto"/>
          <w:sz w:val="32"/>
          <w:szCs w:val="32"/>
          <w:u w:val="none"/>
          <w:lang w:eastAsia="zh-CN"/>
        </w:rPr>
      </w:pPr>
      <w:r>
        <w:rPr>
          <w:rFonts w:hint="eastAsia" w:ascii="仿宋_GB2312" w:hAnsi="黑体" w:eastAsia="仿宋_GB2312"/>
          <w:color w:val="auto"/>
          <w:sz w:val="32"/>
          <w:szCs w:val="32"/>
          <w:u w:val="none"/>
        </w:rPr>
        <w:t>根据企业综合绩效评估得分，将所有评价对象分为</w:t>
      </w:r>
      <w:r>
        <w:rPr>
          <w:rFonts w:ascii="仿宋_GB2312" w:hAnsi="黑体" w:eastAsia="仿宋_GB2312"/>
          <w:color w:val="auto"/>
          <w:sz w:val="32"/>
          <w:szCs w:val="32"/>
          <w:u w:val="none"/>
        </w:rPr>
        <w:t>A</w:t>
      </w:r>
      <w:r>
        <w:rPr>
          <w:rFonts w:hint="eastAsia" w:ascii="仿宋_GB2312" w:hAnsi="黑体" w:eastAsia="仿宋_GB2312"/>
          <w:b w:val="0"/>
          <w:bCs/>
          <w:color w:val="auto"/>
          <w:sz w:val="32"/>
          <w:szCs w:val="32"/>
          <w:u w:val="none"/>
        </w:rPr>
        <w:t>、</w:t>
      </w:r>
      <w:r>
        <w:rPr>
          <w:rFonts w:ascii="仿宋_GB2312" w:hAnsi="黑体" w:eastAsia="仿宋_GB2312"/>
          <w:color w:val="auto"/>
          <w:sz w:val="32"/>
          <w:szCs w:val="32"/>
          <w:u w:val="none"/>
        </w:rPr>
        <w:t>B</w:t>
      </w:r>
      <w:r>
        <w:rPr>
          <w:rFonts w:hint="eastAsia" w:ascii="仿宋_GB2312" w:hAnsi="黑体" w:eastAsia="仿宋_GB2312"/>
          <w:b w:val="0"/>
          <w:bCs/>
          <w:color w:val="auto"/>
          <w:sz w:val="32"/>
          <w:szCs w:val="32"/>
          <w:u w:val="none"/>
        </w:rPr>
        <w:t>、</w:t>
      </w:r>
      <w:r>
        <w:rPr>
          <w:rFonts w:ascii="仿宋_GB2312" w:hAnsi="黑体" w:eastAsia="仿宋_GB2312"/>
          <w:color w:val="auto"/>
          <w:sz w:val="32"/>
          <w:szCs w:val="32"/>
          <w:u w:val="none"/>
        </w:rPr>
        <w:t>C</w:t>
      </w:r>
      <w:r>
        <w:rPr>
          <w:rFonts w:hint="eastAsia" w:ascii="仿宋_GB2312" w:hAnsi="黑体" w:eastAsia="仿宋_GB2312"/>
          <w:b w:val="0"/>
          <w:bCs/>
          <w:color w:val="auto"/>
          <w:sz w:val="32"/>
          <w:szCs w:val="32"/>
          <w:u w:val="none"/>
        </w:rPr>
        <w:t>、</w:t>
      </w:r>
      <w:r>
        <w:rPr>
          <w:rFonts w:hint="eastAsia" w:ascii="仿宋_GB2312" w:hAnsi="黑体" w:eastAsia="仿宋_GB2312"/>
          <w:color w:val="auto"/>
          <w:sz w:val="32"/>
          <w:szCs w:val="32"/>
          <w:u w:val="none"/>
        </w:rPr>
        <w:t>D四类，确定最终的评价结果</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olor w:val="auto"/>
          <w:sz w:val="32"/>
          <w:szCs w:val="32"/>
          <w:u w:val="none"/>
          <w:lang w:eastAsia="zh-CN"/>
        </w:rPr>
      </w:pPr>
      <w:r>
        <w:rPr>
          <w:rFonts w:ascii="仿宋_GB2312" w:hAnsi="黑体" w:eastAsia="仿宋_GB2312"/>
          <w:b/>
          <w:color w:val="auto"/>
          <w:sz w:val="32"/>
          <w:szCs w:val="32"/>
          <w:u w:val="none"/>
        </w:rPr>
        <w:t>A</w:t>
      </w:r>
      <w:r>
        <w:rPr>
          <w:rFonts w:hint="eastAsia" w:ascii="仿宋_GB2312" w:hAnsi="黑体" w:eastAsia="仿宋_GB2312"/>
          <w:b/>
          <w:color w:val="auto"/>
          <w:sz w:val="32"/>
          <w:szCs w:val="32"/>
          <w:u w:val="none"/>
        </w:rPr>
        <w:t>类企业</w:t>
      </w:r>
      <w:r>
        <w:rPr>
          <w:rFonts w:hint="eastAsia" w:ascii="仿宋_GB2312" w:hAnsi="黑体" w:eastAsia="仿宋_GB2312"/>
          <w:b/>
          <w:color w:val="auto"/>
          <w:sz w:val="32"/>
          <w:szCs w:val="32"/>
          <w:u w:val="none"/>
          <w:lang w:eastAsia="zh-CN"/>
        </w:rPr>
        <w:t>为优先支持类</w:t>
      </w:r>
      <w:r>
        <w:rPr>
          <w:rFonts w:hint="eastAsia" w:ascii="仿宋_GB2312" w:hAnsi="黑体" w:eastAsia="仿宋_GB2312"/>
          <w:b/>
          <w:color w:val="auto"/>
          <w:sz w:val="32"/>
          <w:szCs w:val="32"/>
          <w:u w:val="none"/>
        </w:rPr>
        <w:t>：</w:t>
      </w:r>
      <w:r>
        <w:rPr>
          <w:rFonts w:hint="eastAsia" w:ascii="仿宋_GB2312" w:hAnsi="黑体" w:eastAsia="仿宋_GB2312"/>
          <w:color w:val="auto"/>
          <w:sz w:val="32"/>
          <w:szCs w:val="32"/>
          <w:u w:val="none"/>
        </w:rPr>
        <w:t>单位资源占用产出效率高，经营效益好的企业</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综合评价得分排名前</w:t>
      </w:r>
      <w:r>
        <w:rPr>
          <w:rFonts w:hint="eastAsia" w:ascii="仿宋_GB2312" w:hAnsi="黑体" w:eastAsia="仿宋_GB2312"/>
          <w:color w:val="auto"/>
          <w:sz w:val="32"/>
          <w:szCs w:val="32"/>
          <w:u w:val="none"/>
          <w:lang w:val="en-US" w:eastAsia="zh-CN"/>
        </w:rPr>
        <w:t>30</w:t>
      </w:r>
      <w:r>
        <w:rPr>
          <w:rFonts w:ascii="仿宋_GB2312" w:hAnsi="黑体" w:eastAsia="仿宋_GB2312"/>
          <w:color w:val="auto"/>
          <w:sz w:val="32"/>
          <w:szCs w:val="32"/>
          <w:u w:val="none"/>
        </w:rPr>
        <w:t>%</w:t>
      </w:r>
      <w:r>
        <w:rPr>
          <w:rFonts w:hint="eastAsia" w:ascii="仿宋_GB2312" w:hAnsi="黑体" w:eastAsia="仿宋_GB2312"/>
          <w:color w:val="auto"/>
          <w:sz w:val="32"/>
          <w:szCs w:val="32"/>
          <w:u w:val="none"/>
        </w:rPr>
        <w:t>的工业企业</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36" w:firstLineChars="198"/>
        <w:textAlignment w:val="auto"/>
        <w:rPr>
          <w:rFonts w:hint="eastAsia" w:ascii="仿宋_GB2312" w:hAnsi="黑体" w:eastAsia="仿宋_GB2312"/>
          <w:color w:val="auto"/>
          <w:sz w:val="32"/>
          <w:szCs w:val="32"/>
          <w:u w:val="none"/>
          <w:lang w:eastAsia="zh-CN"/>
        </w:rPr>
      </w:pPr>
      <w:r>
        <w:rPr>
          <w:rFonts w:ascii="仿宋_GB2312" w:hAnsi="黑体" w:eastAsia="仿宋_GB2312"/>
          <w:b/>
          <w:color w:val="auto"/>
          <w:sz w:val="32"/>
          <w:szCs w:val="32"/>
          <w:u w:val="none"/>
        </w:rPr>
        <w:t>B</w:t>
      </w:r>
      <w:r>
        <w:rPr>
          <w:rFonts w:hint="eastAsia" w:ascii="仿宋_GB2312" w:hAnsi="黑体" w:eastAsia="仿宋_GB2312"/>
          <w:b/>
          <w:color w:val="auto"/>
          <w:sz w:val="32"/>
          <w:szCs w:val="32"/>
          <w:u w:val="none"/>
        </w:rPr>
        <w:t>类企业</w:t>
      </w:r>
      <w:r>
        <w:rPr>
          <w:rFonts w:hint="eastAsia" w:ascii="仿宋_GB2312" w:hAnsi="黑体" w:eastAsia="仿宋_GB2312"/>
          <w:b/>
          <w:color w:val="auto"/>
          <w:sz w:val="32"/>
          <w:szCs w:val="32"/>
          <w:u w:val="none"/>
          <w:lang w:eastAsia="zh-CN"/>
        </w:rPr>
        <w:t>为鼓励提升类</w:t>
      </w:r>
      <w:r>
        <w:rPr>
          <w:rFonts w:hint="eastAsia" w:ascii="仿宋_GB2312" w:hAnsi="黑体" w:eastAsia="仿宋_GB2312"/>
          <w:b/>
          <w:color w:val="auto"/>
          <w:sz w:val="32"/>
          <w:szCs w:val="32"/>
          <w:u w:val="none"/>
        </w:rPr>
        <w:t>：</w:t>
      </w:r>
      <w:r>
        <w:rPr>
          <w:rFonts w:hint="eastAsia" w:ascii="仿宋_GB2312" w:hAnsi="黑体" w:eastAsia="仿宋_GB2312"/>
          <w:color w:val="auto"/>
          <w:sz w:val="32"/>
          <w:szCs w:val="32"/>
          <w:u w:val="none"/>
        </w:rPr>
        <w:t>单位资源占用产出效率较高，经营效益较好，但技术能级和经营发展水平有待进一步提升的潜力型企业</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综合评价得分排名</w:t>
      </w:r>
      <w:r>
        <w:rPr>
          <w:rFonts w:hint="eastAsia" w:ascii="仿宋_GB2312" w:hAnsi="黑体" w:eastAsia="仿宋_GB2312"/>
          <w:color w:val="auto"/>
          <w:sz w:val="32"/>
          <w:szCs w:val="32"/>
          <w:u w:val="none"/>
          <w:lang w:val="en-US" w:eastAsia="zh-CN"/>
        </w:rPr>
        <w:t>3</w:t>
      </w:r>
      <w:r>
        <w:rPr>
          <w:rFonts w:hint="eastAsia" w:ascii="仿宋_GB2312" w:hAnsi="黑体" w:eastAsia="仿宋_GB2312"/>
          <w:color w:val="auto"/>
          <w:sz w:val="32"/>
          <w:szCs w:val="32"/>
          <w:u w:val="none"/>
        </w:rPr>
        <w:t>0-60</w:t>
      </w:r>
      <w:r>
        <w:rPr>
          <w:rFonts w:ascii="仿宋_GB2312" w:hAnsi="黑体" w:eastAsia="仿宋_GB2312"/>
          <w:color w:val="auto"/>
          <w:sz w:val="32"/>
          <w:szCs w:val="32"/>
          <w:u w:val="none"/>
        </w:rPr>
        <w:t>%</w:t>
      </w:r>
      <w:r>
        <w:rPr>
          <w:rFonts w:hint="eastAsia" w:ascii="仿宋_GB2312" w:hAnsi="黑体" w:eastAsia="仿宋_GB2312"/>
          <w:color w:val="auto"/>
          <w:sz w:val="32"/>
          <w:szCs w:val="32"/>
          <w:u w:val="none"/>
        </w:rPr>
        <w:t>的工业企业</w:t>
      </w:r>
      <w:r>
        <w:rPr>
          <w:rFonts w:hint="eastAsia" w:ascii="仿宋_GB2312" w:hAnsi="黑体"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36" w:firstLineChars="198"/>
        <w:textAlignment w:val="auto"/>
        <w:rPr>
          <w:rFonts w:hint="eastAsia" w:ascii="仿宋_GB2312" w:hAnsi="黑体" w:eastAsia="仿宋_GB2312"/>
          <w:b/>
          <w:color w:val="auto"/>
          <w:sz w:val="32"/>
          <w:szCs w:val="32"/>
          <w:u w:val="none"/>
          <w:lang w:eastAsia="zh-CN"/>
        </w:rPr>
      </w:pPr>
      <w:r>
        <w:rPr>
          <w:rFonts w:hint="eastAsia" w:ascii="仿宋_GB2312" w:hAnsi="黑体" w:eastAsia="仿宋_GB2312"/>
          <w:b/>
          <w:color w:val="auto"/>
          <w:sz w:val="32"/>
          <w:szCs w:val="32"/>
          <w:u w:val="none"/>
        </w:rPr>
        <w:t>C类企业为</w:t>
      </w:r>
      <w:r>
        <w:rPr>
          <w:rFonts w:hint="eastAsia" w:ascii="仿宋_GB2312" w:hAnsi="黑体" w:eastAsia="仿宋_GB2312"/>
          <w:b/>
          <w:color w:val="auto"/>
          <w:sz w:val="32"/>
          <w:szCs w:val="32"/>
          <w:u w:val="none"/>
          <w:lang w:eastAsia="zh-CN"/>
        </w:rPr>
        <w:t>调整转型类</w:t>
      </w:r>
      <w:r>
        <w:rPr>
          <w:rFonts w:hint="eastAsia" w:ascii="仿宋_GB2312" w:hAnsi="黑体" w:eastAsia="仿宋_GB2312"/>
          <w:b/>
          <w:color w:val="auto"/>
          <w:sz w:val="32"/>
          <w:szCs w:val="32"/>
          <w:u w:val="none"/>
        </w:rPr>
        <w:t>：</w:t>
      </w:r>
      <w:r>
        <w:rPr>
          <w:rFonts w:hint="eastAsia" w:ascii="仿宋_GB2312" w:hAnsi="黑体" w:eastAsia="仿宋_GB2312"/>
          <w:b w:val="0"/>
          <w:bCs/>
          <w:color w:val="auto"/>
          <w:sz w:val="32"/>
          <w:szCs w:val="32"/>
          <w:u w:val="none"/>
        </w:rPr>
        <w:t>效益与贡献相对较差，需要进行技术改造、能级提升的企业</w:t>
      </w:r>
      <w:r>
        <w:rPr>
          <w:rFonts w:hint="eastAsia" w:ascii="仿宋_GB2312" w:hAnsi="黑体" w:eastAsia="仿宋_GB2312"/>
          <w:b w:val="0"/>
          <w:bCs/>
          <w:color w:val="auto"/>
          <w:sz w:val="32"/>
          <w:szCs w:val="32"/>
          <w:u w:val="none"/>
          <w:lang w:eastAsia="zh-CN"/>
        </w:rPr>
        <w:t>。</w:t>
      </w:r>
      <w:r>
        <w:rPr>
          <w:rFonts w:hint="eastAsia" w:ascii="仿宋_GB2312" w:hAnsi="黑体" w:eastAsia="仿宋_GB2312"/>
          <w:b w:val="0"/>
          <w:bCs/>
          <w:color w:val="auto"/>
          <w:sz w:val="32"/>
          <w:szCs w:val="32"/>
          <w:u w:val="none"/>
        </w:rPr>
        <w:t>综合评价得分排名60-9</w:t>
      </w:r>
      <w:r>
        <w:rPr>
          <w:rFonts w:hint="eastAsia" w:ascii="仿宋_GB2312" w:hAnsi="黑体" w:eastAsia="仿宋_GB2312"/>
          <w:b w:val="0"/>
          <w:bCs/>
          <w:color w:val="auto"/>
          <w:sz w:val="32"/>
          <w:szCs w:val="32"/>
          <w:u w:val="none"/>
          <w:lang w:val="en-US" w:eastAsia="zh-CN"/>
        </w:rPr>
        <w:t>5</w:t>
      </w:r>
      <w:r>
        <w:rPr>
          <w:rFonts w:hint="eastAsia" w:ascii="仿宋_GB2312" w:hAnsi="黑体" w:eastAsia="仿宋_GB2312"/>
          <w:b w:val="0"/>
          <w:bCs/>
          <w:color w:val="auto"/>
          <w:sz w:val="32"/>
          <w:szCs w:val="32"/>
          <w:u w:val="none"/>
        </w:rPr>
        <w:t>%的工业企业</w:t>
      </w:r>
      <w:r>
        <w:rPr>
          <w:rFonts w:hint="eastAsia" w:ascii="仿宋_GB2312" w:hAnsi="黑体" w:eastAsia="仿宋_GB2312"/>
          <w:b w:val="0"/>
          <w:bCs/>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36" w:firstLineChars="198"/>
        <w:textAlignment w:val="auto"/>
        <w:outlineLvl w:val="9"/>
        <w:rPr>
          <w:rFonts w:hint="eastAsia" w:ascii="仿宋_GB2312" w:hAnsi="黑体" w:eastAsia="仿宋_GB2312"/>
          <w:color w:val="auto"/>
          <w:sz w:val="32"/>
          <w:szCs w:val="32"/>
          <w:u w:val="none"/>
          <w:lang w:val="en-US" w:eastAsia="zh-CN"/>
        </w:rPr>
      </w:pPr>
      <w:r>
        <w:rPr>
          <w:rFonts w:hint="eastAsia" w:ascii="仿宋_GB2312" w:hAnsi="黑体" w:eastAsia="仿宋_GB2312"/>
          <w:b/>
          <w:color w:val="auto"/>
          <w:sz w:val="32"/>
          <w:szCs w:val="32"/>
          <w:u w:val="none"/>
        </w:rPr>
        <w:t>D类企业</w:t>
      </w:r>
      <w:r>
        <w:rPr>
          <w:rFonts w:hint="eastAsia" w:ascii="仿宋_GB2312" w:hAnsi="黑体" w:eastAsia="仿宋_GB2312"/>
          <w:b/>
          <w:color w:val="auto"/>
          <w:sz w:val="32"/>
          <w:szCs w:val="32"/>
          <w:u w:val="none"/>
          <w:lang w:eastAsia="zh-CN"/>
        </w:rPr>
        <w:t>为落后淘汰类</w:t>
      </w:r>
      <w:r>
        <w:rPr>
          <w:rFonts w:hint="eastAsia" w:ascii="仿宋_GB2312" w:hAnsi="黑体" w:eastAsia="仿宋_GB2312"/>
          <w:b/>
          <w:color w:val="auto"/>
          <w:sz w:val="32"/>
          <w:szCs w:val="32"/>
          <w:u w:val="none"/>
        </w:rPr>
        <w:t>：</w:t>
      </w:r>
      <w:r>
        <w:rPr>
          <w:rFonts w:hint="eastAsia" w:ascii="仿宋_GB2312" w:hAnsi="黑体" w:eastAsia="仿宋_GB2312"/>
          <w:color w:val="auto"/>
          <w:sz w:val="32"/>
          <w:szCs w:val="32"/>
          <w:u w:val="none"/>
        </w:rPr>
        <w:t>发展水平落后、综合效益差、</w:t>
      </w:r>
      <w:r>
        <w:rPr>
          <w:rFonts w:hint="eastAsia" w:ascii="仿宋_GB2312" w:hAnsi="黑体" w:eastAsia="仿宋_GB2312"/>
          <w:color w:val="auto"/>
          <w:sz w:val="32"/>
          <w:szCs w:val="32"/>
          <w:u w:val="none"/>
          <w:lang w:eastAsia="zh-CN"/>
        </w:rPr>
        <w:t>资源利用效率低、</w:t>
      </w:r>
      <w:r>
        <w:rPr>
          <w:rFonts w:hint="eastAsia" w:ascii="仿宋_GB2312" w:hAnsi="黑体" w:eastAsia="仿宋_GB2312"/>
          <w:color w:val="auto"/>
          <w:sz w:val="32"/>
          <w:szCs w:val="32"/>
          <w:u w:val="none"/>
        </w:rPr>
        <w:t>环保排污不合规</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需要重点倒逼整治淘汰退出的企业</w:t>
      </w:r>
      <w:r>
        <w:rPr>
          <w:rFonts w:hint="eastAsia" w:ascii="仿宋_GB2312" w:hAnsi="黑体" w:eastAsia="仿宋_GB2312"/>
          <w:color w:val="auto"/>
          <w:sz w:val="32"/>
          <w:szCs w:val="32"/>
          <w:u w:val="none"/>
          <w:lang w:eastAsia="zh-CN"/>
        </w:rPr>
        <w:t>。</w:t>
      </w:r>
      <w:r>
        <w:rPr>
          <w:rFonts w:hint="eastAsia" w:ascii="仿宋_GB2312" w:hAnsi="黑体" w:eastAsia="仿宋_GB2312"/>
          <w:color w:val="auto"/>
          <w:sz w:val="32"/>
          <w:szCs w:val="32"/>
          <w:u w:val="none"/>
        </w:rPr>
        <w:t>综合评价得分排名最后</w:t>
      </w:r>
      <w:r>
        <w:rPr>
          <w:rFonts w:hint="eastAsia" w:ascii="仿宋_GB2312" w:hAnsi="黑体" w:eastAsia="仿宋_GB2312"/>
          <w:color w:val="auto"/>
          <w:sz w:val="32"/>
          <w:szCs w:val="32"/>
          <w:u w:val="none"/>
          <w:lang w:val="en-US" w:eastAsia="zh-CN"/>
        </w:rPr>
        <w:t>5</w:t>
      </w:r>
      <w:r>
        <w:rPr>
          <w:rFonts w:ascii="仿宋_GB2312" w:hAnsi="黑体" w:eastAsia="仿宋_GB2312"/>
          <w:color w:val="auto"/>
          <w:sz w:val="32"/>
          <w:szCs w:val="32"/>
          <w:u w:val="none"/>
        </w:rPr>
        <w:t>%</w:t>
      </w:r>
      <w:r>
        <w:rPr>
          <w:rFonts w:hint="eastAsia" w:ascii="仿宋_GB2312" w:hAnsi="黑体" w:eastAsia="仿宋_GB2312"/>
          <w:color w:val="auto"/>
          <w:sz w:val="32"/>
          <w:szCs w:val="32"/>
          <w:u w:val="none"/>
        </w:rPr>
        <w:t>的工业企业</w:t>
      </w:r>
      <w:r>
        <w:rPr>
          <w:rFonts w:hint="eastAsia" w:ascii="仿宋_GB2312" w:hAnsi="黑体" w:eastAsia="仿宋_GB2312"/>
          <w:color w:val="auto"/>
          <w:sz w:val="32"/>
          <w:szCs w:val="32"/>
          <w:u w:val="none"/>
          <w:lang w:eastAsia="zh-CN"/>
        </w:rPr>
        <w:t>。</w:t>
      </w:r>
      <w:r>
        <w:rPr>
          <w:rFonts w:hint="eastAsia" w:ascii="仿宋_GB2312" w:hAnsi="黑体" w:eastAsia="仿宋_GB2312"/>
          <w:b/>
          <w:bCs/>
          <w:color w:val="auto"/>
          <w:sz w:val="32"/>
          <w:szCs w:val="32"/>
          <w:u w:val="none"/>
          <w:lang w:eastAsia="zh-CN"/>
        </w:rPr>
        <w:t>其中，</w:t>
      </w:r>
      <w:r>
        <w:rPr>
          <w:rFonts w:hint="eastAsia" w:ascii="仿宋_GB2312" w:hAnsi="黑体" w:eastAsia="仿宋_GB2312"/>
          <w:b/>
          <w:color w:val="auto"/>
          <w:sz w:val="32"/>
          <w:szCs w:val="32"/>
          <w:u w:val="none"/>
          <w:lang w:eastAsia="zh-CN"/>
        </w:rPr>
        <w:t>纳入《产业结构调整指导目录（</w:t>
      </w:r>
      <w:r>
        <w:rPr>
          <w:rFonts w:hint="eastAsia" w:ascii="仿宋_GB2312" w:hAnsi="黑体" w:eastAsia="仿宋_GB2312"/>
          <w:b/>
          <w:color w:val="auto"/>
          <w:sz w:val="32"/>
          <w:szCs w:val="32"/>
          <w:u w:val="none"/>
          <w:lang w:val="en-US" w:eastAsia="zh-CN"/>
        </w:rPr>
        <w:t>2019年本</w:t>
      </w:r>
      <w:r>
        <w:rPr>
          <w:rFonts w:hint="eastAsia" w:ascii="仿宋_GB2312" w:hAnsi="黑体" w:eastAsia="仿宋_GB2312"/>
          <w:b/>
          <w:color w:val="auto"/>
          <w:sz w:val="32"/>
          <w:szCs w:val="32"/>
          <w:u w:val="none"/>
          <w:lang w:eastAsia="zh-CN"/>
        </w:rPr>
        <w:t>）》及《上海市产业结构调整负面清单（</w:t>
      </w:r>
      <w:r>
        <w:rPr>
          <w:rFonts w:hint="eastAsia" w:ascii="仿宋_GB2312" w:hAnsi="黑体" w:eastAsia="仿宋_GB2312"/>
          <w:b/>
          <w:color w:val="auto"/>
          <w:sz w:val="32"/>
          <w:szCs w:val="32"/>
          <w:u w:val="none"/>
          <w:lang w:val="en-US" w:eastAsia="zh-CN"/>
        </w:rPr>
        <w:t>2018版</w:t>
      </w:r>
      <w:r>
        <w:rPr>
          <w:rFonts w:hint="eastAsia" w:ascii="仿宋_GB2312" w:hAnsi="黑体" w:eastAsia="仿宋_GB2312"/>
          <w:b/>
          <w:color w:val="auto"/>
          <w:sz w:val="32"/>
          <w:szCs w:val="32"/>
          <w:u w:val="none"/>
          <w:lang w:eastAsia="zh-CN"/>
        </w:rPr>
        <w:t>）》的淘汰类企业，</w:t>
      </w:r>
      <w:r>
        <w:rPr>
          <w:rFonts w:hint="eastAsia" w:ascii="仿宋_GB2312" w:hAnsi="黑体" w:eastAsia="仿宋_GB2312"/>
          <w:b/>
          <w:bCs/>
          <w:color w:val="auto"/>
          <w:sz w:val="32"/>
          <w:szCs w:val="32"/>
          <w:u w:val="none"/>
          <w:lang w:eastAsia="zh-CN"/>
        </w:rPr>
        <w:t>“围而不建”、“建而不投”及停产闲置用地所涉投资主体，一律列为</w:t>
      </w:r>
      <w:r>
        <w:rPr>
          <w:rFonts w:hint="eastAsia" w:ascii="仿宋_GB2312" w:hAnsi="黑体" w:eastAsia="仿宋_GB2312"/>
          <w:b/>
          <w:bCs/>
          <w:color w:val="auto"/>
          <w:sz w:val="32"/>
          <w:szCs w:val="32"/>
          <w:u w:val="none"/>
          <w:lang w:val="en-US" w:eastAsia="zh-CN"/>
        </w:rPr>
        <w:t>D类企业。</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（四）</w:t>
      </w:r>
      <w:r>
        <w:rPr>
          <w:rFonts w:hint="eastAsia" w:ascii="楷体_GB2312" w:hAnsi="黑体" w:eastAsia="楷体_GB2312"/>
          <w:b/>
          <w:color w:val="auto"/>
          <w:sz w:val="32"/>
          <w:szCs w:val="32"/>
          <w:u w:val="none"/>
        </w:rPr>
        <w:t>评价</w:t>
      </w:r>
      <w:r>
        <w:rPr>
          <w:rFonts w:hint="eastAsia" w:ascii="楷体_GB2312" w:hAnsi="黑体" w:eastAsia="楷体_GB2312"/>
          <w:b/>
          <w:color w:val="auto"/>
          <w:sz w:val="32"/>
          <w:szCs w:val="32"/>
          <w:u w:val="none"/>
          <w:lang w:eastAsia="zh-CN"/>
        </w:rPr>
        <w:t>时点</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ascii="楷体_GB2312" w:hAnsi="黑体" w:eastAsia="楷体_GB2312"/>
          <w:b/>
          <w:color w:val="auto"/>
          <w:sz w:val="32"/>
          <w:szCs w:val="32"/>
          <w:u w:val="none"/>
        </w:rPr>
      </w:pPr>
      <w:r>
        <w:rPr>
          <w:rFonts w:hint="eastAsia" w:ascii="仿宋_GB2312" w:hAnsi="黑体" w:eastAsia="仿宋_GB2312"/>
          <w:color w:val="auto"/>
          <w:sz w:val="32"/>
          <w:szCs w:val="32"/>
          <w:u w:val="none"/>
          <w:lang w:eastAsia="zh-CN"/>
        </w:rPr>
        <w:t>资源利用效率</w:t>
      </w:r>
      <w:r>
        <w:rPr>
          <w:rFonts w:hint="eastAsia" w:ascii="仿宋_GB2312" w:hAnsi="黑体" w:eastAsia="仿宋_GB2312"/>
          <w:color w:val="auto"/>
          <w:sz w:val="32"/>
          <w:szCs w:val="32"/>
          <w:u w:val="none"/>
        </w:rPr>
        <w:t>评价</w:t>
      </w:r>
      <w:r>
        <w:rPr>
          <w:rFonts w:hint="eastAsia" w:ascii="仿宋_GB2312" w:hAnsi="黑体" w:eastAsia="仿宋_GB2312"/>
          <w:color w:val="auto"/>
          <w:sz w:val="32"/>
          <w:szCs w:val="32"/>
          <w:u w:val="none"/>
          <w:lang w:eastAsia="zh-CN"/>
        </w:rPr>
        <w:t>工作按照每</w:t>
      </w:r>
      <w:r>
        <w:rPr>
          <w:rFonts w:hint="eastAsia" w:ascii="仿宋_GB2312" w:hAnsi="黑体" w:eastAsia="仿宋_GB2312"/>
          <w:color w:val="auto"/>
          <w:sz w:val="32"/>
          <w:szCs w:val="32"/>
          <w:u w:val="none"/>
          <w:lang w:val="en-US" w:eastAsia="zh-CN"/>
        </w:rPr>
        <w:t>2</w:t>
      </w:r>
      <w:r>
        <w:rPr>
          <w:rFonts w:hint="eastAsia" w:ascii="仿宋_GB2312" w:hAnsi="黑体" w:eastAsia="仿宋_GB2312"/>
          <w:color w:val="auto"/>
          <w:sz w:val="32"/>
          <w:szCs w:val="32"/>
          <w:u w:val="none"/>
          <w:lang w:eastAsia="zh-CN"/>
        </w:rPr>
        <w:t>年</w:t>
      </w:r>
      <w:r>
        <w:rPr>
          <w:rFonts w:hint="eastAsia" w:ascii="仿宋_GB2312" w:hAnsi="黑体" w:eastAsia="仿宋_GB2312"/>
          <w:color w:val="auto"/>
          <w:sz w:val="32"/>
          <w:szCs w:val="32"/>
          <w:u w:val="none"/>
          <w:lang w:val="en-US" w:eastAsia="zh-CN"/>
        </w:rPr>
        <w:t>开展一次</w:t>
      </w:r>
      <w:r>
        <w:rPr>
          <w:rFonts w:hint="eastAsia" w:ascii="仿宋_GB2312" w:hAnsi="黑体" w:eastAsia="仿宋_GB2312"/>
          <w:color w:val="auto"/>
          <w:sz w:val="32"/>
          <w:szCs w:val="32"/>
          <w:u w:val="none"/>
          <w:lang w:eastAsia="zh-CN"/>
        </w:rPr>
        <w:t>企业资源利用效率评价工作</w:t>
      </w:r>
      <w:r>
        <w:rPr>
          <w:rFonts w:hint="eastAsia" w:ascii="仿宋_GB2312" w:hAnsi="黑体" w:eastAsia="仿宋_GB2312"/>
          <w:color w:val="auto"/>
          <w:sz w:val="32"/>
          <w:szCs w:val="32"/>
          <w:u w:val="none"/>
        </w:rPr>
        <w:t>，</w:t>
      </w:r>
      <w:r>
        <w:rPr>
          <w:rFonts w:hint="eastAsia" w:ascii="仿宋_GB2312" w:hAnsi="黑体" w:eastAsia="仿宋_GB2312"/>
          <w:color w:val="auto"/>
          <w:sz w:val="32"/>
          <w:szCs w:val="32"/>
          <w:u w:val="none"/>
          <w:lang w:eastAsia="zh-CN"/>
        </w:rPr>
        <w:t>包括数据采集、数据核对、评价分类、结果公布等步骤，并适时进行信息发布和成果应用。</w:t>
      </w:r>
    </w:p>
    <w:p>
      <w:pPr>
        <w:pStyle w:val="7"/>
        <w:keepNext w:val="0"/>
        <w:keepLines w:val="0"/>
        <w:pageBreakBefore w:val="0"/>
        <w:widowControl w:val="0"/>
        <w:kinsoku/>
        <w:wordWrap/>
        <w:overflowPunct/>
        <w:topLinePunct w:val="0"/>
        <w:autoSpaceDE/>
        <w:autoSpaceDN/>
        <w:bidi w:val="0"/>
        <w:spacing w:line="552" w:lineRule="exact"/>
        <w:ind w:firstLine="604" w:firstLineChars="189"/>
        <w:textAlignment w:val="auto"/>
        <w:rPr>
          <w:rFonts w:hint="eastAsia" w:ascii="黑体" w:hAnsi="黑体" w:eastAsia="黑体"/>
          <w:color w:val="auto"/>
          <w:sz w:val="32"/>
          <w:szCs w:val="32"/>
          <w:u w:val="none"/>
          <w:lang w:eastAsia="zh-CN"/>
        </w:rPr>
      </w:pPr>
      <w:r>
        <w:rPr>
          <w:rFonts w:hint="eastAsia" w:ascii="黑体" w:hAnsi="黑体" w:eastAsia="黑体"/>
          <w:color w:val="auto"/>
          <w:sz w:val="32"/>
          <w:szCs w:val="32"/>
          <w:u w:val="none"/>
          <w:lang w:eastAsia="zh-CN"/>
        </w:rPr>
        <w:t>三</w:t>
      </w:r>
      <w:r>
        <w:rPr>
          <w:rFonts w:hint="eastAsia" w:ascii="黑体" w:hAnsi="黑体" w:eastAsia="黑体"/>
          <w:color w:val="auto"/>
          <w:sz w:val="32"/>
          <w:szCs w:val="32"/>
          <w:u w:val="none"/>
        </w:rPr>
        <w:t>、</w:t>
      </w:r>
      <w:r>
        <w:rPr>
          <w:rFonts w:hint="eastAsia" w:ascii="黑体" w:hAnsi="黑体" w:eastAsia="黑体"/>
          <w:color w:val="auto"/>
          <w:sz w:val="32"/>
          <w:szCs w:val="32"/>
          <w:u w:val="none"/>
          <w:lang w:eastAsia="zh-CN"/>
        </w:rPr>
        <w:t>推进评价数据资源的归集利用</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ascii="楷体_GB2312" w:hAnsi="黑体" w:eastAsia="楷体_GB2312"/>
          <w:b/>
          <w:color w:val="auto"/>
          <w:sz w:val="32"/>
          <w:szCs w:val="32"/>
          <w:u w:val="none"/>
        </w:rPr>
      </w:pPr>
      <w:r>
        <w:rPr>
          <w:rFonts w:hint="eastAsia" w:ascii="楷体_GB2312" w:hAnsi="黑体" w:eastAsia="楷体_GB2312"/>
          <w:b/>
          <w:color w:val="auto"/>
          <w:sz w:val="32"/>
          <w:szCs w:val="32"/>
          <w:u w:val="none"/>
          <w:lang w:eastAsia="zh-CN"/>
        </w:rPr>
        <w:t>（一）建立评价数据双通道采集核对机制</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评价数据由政务信息和企业自报双通道进行采集和核对。</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政务信息方面，由区经委牵头，区</w:t>
      </w:r>
      <w:r>
        <w:rPr>
          <w:rFonts w:hint="eastAsia" w:ascii="仿宋_GB2312" w:hAnsi="仿宋_GB2312" w:eastAsia="仿宋_GB2312" w:cs="仿宋_GB2312"/>
          <w:color w:val="auto"/>
          <w:sz w:val="32"/>
          <w:szCs w:val="32"/>
        </w:rPr>
        <w:t>规划资源</w:t>
      </w:r>
      <w:r>
        <w:rPr>
          <w:rFonts w:hint="eastAsia" w:ascii="仿宋_GB2312" w:hAnsi="仿宋_GB2312" w:eastAsia="仿宋_GB2312" w:cs="仿宋_GB2312"/>
          <w:color w:val="auto"/>
          <w:sz w:val="32"/>
          <w:szCs w:val="32"/>
          <w:lang w:eastAsia="zh-CN"/>
        </w:rPr>
        <w:t>局、区住房保障房屋管理局负责</w:t>
      </w:r>
      <w:r>
        <w:rPr>
          <w:rFonts w:hint="eastAsia" w:ascii="仿宋_GB2312" w:hAnsi="仿宋_GB2312" w:eastAsia="仿宋_GB2312" w:cs="仿宋_GB2312"/>
          <w:color w:val="auto"/>
          <w:sz w:val="32"/>
          <w:szCs w:val="32"/>
        </w:rPr>
        <w:t>提供存量工业用地的</w:t>
      </w:r>
      <w:r>
        <w:rPr>
          <w:rFonts w:hint="eastAsia" w:ascii="仿宋_GB2312" w:hAnsi="仿宋_GB2312" w:eastAsia="仿宋_GB2312" w:cs="仿宋_GB2312"/>
          <w:color w:val="auto"/>
          <w:sz w:val="32"/>
          <w:szCs w:val="32"/>
          <w:u w:val="none"/>
        </w:rPr>
        <w:t>宗地使用权人名单和位置图情况</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统计</w:t>
      </w:r>
      <w:r>
        <w:rPr>
          <w:rFonts w:hint="eastAsia" w:ascii="仿宋_GB2312" w:hAnsi="仿宋_GB2312" w:eastAsia="仿宋_GB2312" w:cs="仿宋_GB2312"/>
          <w:color w:val="auto"/>
          <w:sz w:val="32"/>
          <w:szCs w:val="32"/>
          <w:lang w:eastAsia="zh-CN"/>
        </w:rPr>
        <w:t>局负责</w:t>
      </w:r>
      <w:r>
        <w:rPr>
          <w:rFonts w:hint="eastAsia" w:ascii="仿宋_GB2312" w:hAnsi="仿宋_GB2312" w:eastAsia="仿宋_GB2312" w:cs="仿宋_GB2312"/>
          <w:color w:val="auto"/>
          <w:sz w:val="32"/>
          <w:szCs w:val="32"/>
        </w:rPr>
        <w:t>提供企业名单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区统计</w:t>
      </w:r>
      <w:r>
        <w:rPr>
          <w:rFonts w:hint="eastAsia" w:ascii="仿宋_GB2312" w:hAnsi="仿宋_GB2312" w:eastAsia="仿宋_GB2312" w:cs="仿宋_GB2312"/>
          <w:color w:val="auto"/>
          <w:sz w:val="32"/>
          <w:szCs w:val="32"/>
          <w:lang w:val="en-US" w:eastAsia="zh-CN"/>
        </w:rPr>
        <w:t>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区人力资源社会保障局、</w:t>
      </w:r>
      <w:r>
        <w:rPr>
          <w:rFonts w:hint="eastAsia" w:ascii="仿宋_GB2312" w:hAnsi="仿宋_GB2312" w:eastAsia="仿宋_GB2312" w:cs="仿宋_GB2312"/>
          <w:color w:val="auto"/>
          <w:sz w:val="32"/>
          <w:szCs w:val="32"/>
          <w:lang w:val="en-US" w:eastAsia="zh-CN"/>
        </w:rPr>
        <w:t>区</w:t>
      </w:r>
      <w:r>
        <w:rPr>
          <w:rFonts w:hint="eastAsia" w:ascii="仿宋_GB2312" w:hAnsi="仿宋_GB2312" w:eastAsia="仿宋_GB2312" w:cs="仿宋_GB2312"/>
          <w:color w:val="auto"/>
          <w:sz w:val="32"/>
          <w:szCs w:val="32"/>
        </w:rPr>
        <w:t>税务</w:t>
      </w:r>
      <w:r>
        <w:rPr>
          <w:rFonts w:hint="eastAsia" w:ascii="仿宋_GB2312" w:hAnsi="仿宋_GB2312" w:eastAsia="仿宋_GB2312" w:cs="仿宋_GB2312"/>
          <w:color w:val="auto"/>
          <w:sz w:val="32"/>
          <w:szCs w:val="32"/>
          <w:lang w:val="en-US" w:eastAsia="zh-CN"/>
        </w:rPr>
        <w:t>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区</w:t>
      </w:r>
      <w:r>
        <w:rPr>
          <w:rFonts w:hint="eastAsia" w:ascii="仿宋_GB2312" w:hAnsi="仿宋_GB2312" w:eastAsia="仿宋_GB2312" w:cs="仿宋_GB2312"/>
          <w:color w:val="auto"/>
          <w:sz w:val="32"/>
          <w:szCs w:val="32"/>
        </w:rPr>
        <w:t>规划资源</w:t>
      </w:r>
      <w:r>
        <w:rPr>
          <w:rFonts w:hint="eastAsia" w:ascii="仿宋_GB2312" w:hAnsi="仿宋_GB2312" w:eastAsia="仿宋_GB2312" w:cs="仿宋_GB2312"/>
          <w:color w:val="auto"/>
          <w:sz w:val="32"/>
          <w:szCs w:val="32"/>
          <w:lang w:val="en-US" w:eastAsia="zh-CN"/>
        </w:rPr>
        <w:t>局</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生态环境</w:t>
      </w:r>
      <w:r>
        <w:rPr>
          <w:rFonts w:hint="eastAsia" w:ascii="仿宋_GB2312" w:hAnsi="仿宋_GB2312" w:eastAsia="仿宋_GB2312" w:cs="仿宋_GB2312"/>
          <w:color w:val="auto"/>
          <w:sz w:val="32"/>
          <w:szCs w:val="32"/>
          <w:lang w:eastAsia="zh-CN"/>
        </w:rPr>
        <w:t>局</w:t>
      </w:r>
      <w:r>
        <w:rPr>
          <w:rFonts w:hint="eastAsia" w:ascii="仿宋_GB2312" w:hAnsi="仿宋_GB2312" w:eastAsia="仿宋_GB2312" w:cs="仿宋_GB2312"/>
          <w:color w:val="auto"/>
          <w:sz w:val="32"/>
          <w:szCs w:val="32"/>
        </w:rPr>
        <w:t>等部门明确取数口径</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梳理企业近三年的</w:t>
      </w:r>
      <w:r>
        <w:rPr>
          <w:rFonts w:hint="eastAsia" w:ascii="仿宋_GB2312" w:hAnsi="仿宋_GB2312" w:eastAsia="仿宋_GB2312" w:cs="仿宋_GB2312"/>
          <w:color w:val="auto"/>
          <w:sz w:val="32"/>
          <w:szCs w:val="32"/>
          <w:lang w:val="en-US" w:eastAsia="zh-CN"/>
        </w:rPr>
        <w:t>相关</w:t>
      </w:r>
      <w:r>
        <w:rPr>
          <w:rFonts w:hint="eastAsia" w:ascii="仿宋_GB2312" w:hAnsi="仿宋_GB2312" w:eastAsia="仿宋_GB2312" w:cs="仿宋_GB2312"/>
          <w:color w:val="auto"/>
          <w:sz w:val="32"/>
          <w:szCs w:val="32"/>
        </w:rPr>
        <w:t>数据信息</w:t>
      </w:r>
      <w:r>
        <w:rPr>
          <w:rFonts w:hint="eastAsia" w:ascii="仿宋_GB2312" w:hAnsi="仿宋_GB2312" w:eastAsia="仿宋_GB2312" w:cs="仿宋_GB2312"/>
          <w:color w:val="auto"/>
          <w:sz w:val="32"/>
          <w:szCs w:val="32"/>
          <w:lang w:eastAsia="zh-CN"/>
        </w:rPr>
        <w:t>并上报。</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企业自报方面</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由企业根据取数口径提供评价基础数据</w:t>
      </w:r>
      <w:r>
        <w:rPr>
          <w:rFonts w:hint="eastAsia" w:ascii="仿宋_GB2312" w:hAnsi="仿宋_GB2312" w:eastAsia="仿宋_GB2312" w:cs="仿宋_GB2312"/>
          <w:color w:val="auto"/>
          <w:sz w:val="32"/>
          <w:szCs w:val="32"/>
          <w:lang w:eastAsia="zh-CN"/>
        </w:rPr>
        <w:t>，各乡镇（园区）</w:t>
      </w:r>
      <w:r>
        <w:rPr>
          <w:rFonts w:hint="eastAsia" w:ascii="仿宋_GB2312" w:hAnsi="仿宋_GB2312" w:eastAsia="仿宋_GB2312" w:cs="仿宋_GB2312"/>
          <w:color w:val="auto"/>
          <w:sz w:val="32"/>
          <w:szCs w:val="32"/>
        </w:rPr>
        <w:t>汇总后</w:t>
      </w:r>
      <w:r>
        <w:rPr>
          <w:rFonts w:hint="eastAsia" w:ascii="仿宋_GB2312" w:hAnsi="仿宋_GB2312" w:eastAsia="仿宋_GB2312" w:cs="仿宋_GB2312"/>
          <w:color w:val="auto"/>
          <w:sz w:val="32"/>
          <w:szCs w:val="32"/>
          <w:lang w:eastAsia="zh-CN"/>
        </w:rPr>
        <w:t>上报并由区</w:t>
      </w:r>
      <w:r>
        <w:rPr>
          <w:rFonts w:hint="eastAsia" w:ascii="仿宋_GB2312" w:hAnsi="仿宋_GB2312" w:eastAsia="仿宋_GB2312" w:cs="仿宋_GB2312"/>
          <w:color w:val="auto"/>
          <w:sz w:val="32"/>
          <w:szCs w:val="32"/>
        </w:rPr>
        <w:t>相关部门复核</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企业对评价数据及结果有疑义的</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可提供相关证明材料申请进行核实或修改</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（二）建立资源利用效率评价数据库</w:t>
      </w:r>
    </w:p>
    <w:p>
      <w:pPr>
        <w:pStyle w:val="2"/>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由区经委牵头，推动区资源利用效率评价数据库建设，汇总各部门相关数据，使之成为评价数据交换、存储、查询、利用的工作平</w:t>
      </w:r>
      <w:r>
        <w:rPr>
          <w:rFonts w:hint="eastAsia" w:ascii="仿宋_GB2312" w:hAnsi="仿宋_GB2312" w:eastAsia="仿宋_GB2312" w:cs="仿宋_GB2312"/>
          <w:color w:val="auto"/>
          <w:sz w:val="32"/>
          <w:szCs w:val="32"/>
          <w:lang w:val="en-US" w:eastAsia="zh-CN"/>
        </w:rPr>
        <w:t>台</w:t>
      </w:r>
      <w:r>
        <w:rPr>
          <w:rFonts w:hint="eastAsia" w:ascii="仿宋_GB2312" w:hAnsi="仿宋_GB2312" w:eastAsia="仿宋_GB2312" w:cs="仿宋_GB2312"/>
          <w:color w:val="auto"/>
          <w:sz w:val="32"/>
          <w:szCs w:val="32"/>
          <w:lang w:eastAsia="zh-CN"/>
        </w:rPr>
        <w:t>，区发展改革委、区人力资源社会保障局、区规划资源局、区生态环境局、区市场监管局、区税务局等有关部门积极配合对接应用，将资源利用效率</w:t>
      </w:r>
      <w:r>
        <w:rPr>
          <w:rFonts w:hint="eastAsia" w:ascii="仿宋_GB2312" w:hAnsi="仿宋_GB2312" w:eastAsia="仿宋_GB2312" w:cs="仿宋_GB2312"/>
          <w:color w:val="auto"/>
          <w:sz w:val="32"/>
          <w:szCs w:val="32"/>
          <w:highlight w:val="none"/>
          <w:lang w:eastAsia="zh-CN"/>
        </w:rPr>
        <w:t>评价数据导入数据库，保证基础信息的准确、完整、及时更新和共享，</w:t>
      </w:r>
      <w:r>
        <w:rPr>
          <w:rFonts w:hint="eastAsia" w:ascii="Times New Roman" w:hAnsi="Times New Roman" w:eastAsia="仿宋_GB2312"/>
          <w:color w:val="auto"/>
          <w:sz w:val="32"/>
          <w:szCs w:val="32"/>
          <w:highlight w:val="none"/>
          <w:u w:val="none"/>
        </w:rPr>
        <w:t>持续反映资源要素供给情况，加强对存量资源空置及盘活信息的梳理和更新，推动资源要素的流转利用</w:t>
      </w:r>
      <w:r>
        <w:rPr>
          <w:rFonts w:hint="eastAsia" w:ascii="Times New Roman" w:hAnsi="Times New Roman" w:eastAsia="仿宋_GB2312"/>
          <w:color w:val="auto"/>
          <w:sz w:val="32"/>
          <w:szCs w:val="32"/>
          <w:highlight w:val="none"/>
          <w:u w:val="none"/>
          <w:lang w:eastAsia="zh-CN"/>
        </w:rPr>
        <w:t>，</w:t>
      </w:r>
      <w:r>
        <w:rPr>
          <w:rFonts w:hint="eastAsia" w:ascii="仿宋_GB2312" w:hAnsi="仿宋_GB2312" w:eastAsia="仿宋_GB2312" w:cs="仿宋_GB2312"/>
          <w:color w:val="auto"/>
          <w:sz w:val="32"/>
          <w:szCs w:val="32"/>
          <w:highlight w:val="none"/>
          <w:lang w:eastAsia="zh-CN"/>
        </w:rPr>
        <w:t>有效提高各部门涉企数据的互联互通水平，为政府决策提供信息服务。</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（三）加强评价数据安全管理</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仿宋_GB2312" w:eastAsia="仿宋_GB2312" w:cs="仿宋_GB2312"/>
          <w:color w:val="auto"/>
          <w:sz w:val="32"/>
          <w:szCs w:val="32"/>
          <w:u w:val="none"/>
          <w:lang w:eastAsia="zh-CN"/>
        </w:rPr>
      </w:pPr>
      <w:r>
        <w:rPr>
          <w:rFonts w:hint="eastAsia" w:ascii="仿宋_GB2312" w:hAnsi="仿宋_GB2312" w:eastAsia="仿宋_GB2312" w:cs="仿宋_GB2312"/>
          <w:color w:val="auto"/>
          <w:sz w:val="32"/>
          <w:szCs w:val="32"/>
          <w:u w:val="none"/>
          <w:lang w:eastAsia="zh-CN"/>
        </w:rPr>
        <w:t>资源利用效率评价结果主要为制定产业政策、实施差别化政策引导、开展地区年度考核、推进企业精准服务提供参考，企业个体数据信息未经企业同意，不得对外公开发布。切实强化数据信息安全管理，通过建立健全管理制度、签订保密协议、定期开展信息安全检查与风险评估等多种措施，保障涉企数据信息安全。对违反信息安全相关规定的，要给予严肃处理，对造成信息安全事故的，要依法追究责任。</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黑体" w:hAnsi="黑体" w:eastAsia="黑体" w:cs="Times New Roman"/>
          <w:color w:val="auto"/>
          <w:kern w:val="2"/>
          <w:sz w:val="32"/>
          <w:szCs w:val="32"/>
          <w:u w:val="none"/>
          <w:lang w:val="en-US" w:eastAsia="zh-CN" w:bidi="ar-SA"/>
        </w:rPr>
      </w:pPr>
      <w:r>
        <w:rPr>
          <w:rFonts w:hint="eastAsia" w:ascii="黑体" w:hAnsi="黑体" w:eastAsia="黑体" w:cs="Times New Roman"/>
          <w:color w:val="auto"/>
          <w:kern w:val="2"/>
          <w:sz w:val="32"/>
          <w:szCs w:val="32"/>
          <w:u w:val="none"/>
          <w:lang w:val="en-US" w:eastAsia="zh-CN" w:bidi="ar-SA"/>
        </w:rPr>
        <w:t>四、结果运用</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s="Times New Roman"/>
          <w:color w:val="auto"/>
          <w:sz w:val="32"/>
          <w:szCs w:val="32"/>
          <w:u w:val="none"/>
          <w:lang w:val="en-US" w:eastAsia="zh-CN"/>
        </w:rPr>
      </w:pPr>
      <w:r>
        <w:rPr>
          <w:rFonts w:hint="eastAsia" w:ascii="仿宋_GB2312" w:hAnsi="黑体" w:eastAsia="仿宋_GB2312" w:cs="Times New Roman"/>
          <w:color w:val="auto"/>
          <w:sz w:val="32"/>
          <w:szCs w:val="32"/>
          <w:u w:val="none"/>
          <w:lang w:val="en-US" w:eastAsia="zh-CN"/>
        </w:rPr>
        <w:t>加强评价结果应用，将评价结果作为在产业政策引导和资源要素配置上采取差别化措施的重要依据，并制订出台差别化政策措施，提高政策精准度和协同性。</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s="Times New Roman"/>
          <w:color w:val="auto"/>
          <w:sz w:val="32"/>
          <w:szCs w:val="32"/>
          <w:u w:val="none"/>
          <w:lang w:val="en-US" w:eastAsia="zh-CN"/>
        </w:rPr>
      </w:pPr>
      <w:r>
        <w:rPr>
          <w:rFonts w:hint="eastAsia" w:ascii="楷体_GB2312" w:hAnsi="黑体" w:eastAsia="楷体_GB2312"/>
          <w:b/>
          <w:color w:val="auto"/>
          <w:sz w:val="32"/>
          <w:szCs w:val="32"/>
          <w:u w:val="none"/>
          <w:lang w:val="en-US" w:eastAsia="zh-CN"/>
        </w:rPr>
        <w:t>（一）全面推行企业分类指导和精准服务</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default" w:ascii="仿宋_GB2312" w:hAnsi="黑体" w:eastAsia="仿宋_GB2312" w:cs="Times New Roman"/>
          <w:color w:val="auto"/>
          <w:sz w:val="32"/>
          <w:szCs w:val="32"/>
          <w:u w:val="none"/>
          <w:lang w:val="en-US" w:eastAsia="zh-CN"/>
        </w:rPr>
      </w:pPr>
      <w:r>
        <w:rPr>
          <w:rFonts w:hint="eastAsia" w:ascii="仿宋_GB2312" w:hAnsi="黑体" w:eastAsia="仿宋_GB2312" w:cs="Times New Roman"/>
          <w:color w:val="auto"/>
          <w:sz w:val="32"/>
          <w:szCs w:val="32"/>
          <w:u w:val="none"/>
          <w:lang w:val="en-US" w:eastAsia="zh-CN"/>
        </w:rPr>
        <w:t>参照资源利用效率评价结果，依法依规分类施策，引导资源高效率配置。集中资源，大力培育发展优势产业,合理转移和淘汰低效低端产业,不断提高产业发展的整体质量和效益。</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s="Times New Roman"/>
          <w:color w:val="auto"/>
          <w:sz w:val="32"/>
          <w:szCs w:val="32"/>
          <w:u w:val="none"/>
          <w:lang w:val="en-US" w:eastAsia="zh-CN"/>
        </w:rPr>
      </w:pPr>
      <w:r>
        <w:rPr>
          <w:rFonts w:hint="eastAsia" w:ascii="楷体_GB2312" w:hAnsi="楷体_GB2312" w:eastAsia="楷体_GB2312" w:cs="楷体_GB2312"/>
          <w:b/>
          <w:bCs/>
          <w:color w:val="auto"/>
          <w:kern w:val="0"/>
          <w:sz w:val="32"/>
          <w:szCs w:val="32"/>
          <w:u w:val="none"/>
          <w:lang w:val="en-US" w:eastAsia="zh-CN" w:bidi="ar-SA"/>
        </w:rPr>
        <w:t>A类企业</w:t>
      </w:r>
      <w:r>
        <w:rPr>
          <w:rFonts w:hint="eastAsia" w:ascii="仿宋_GB2312" w:hAnsi="黑体" w:eastAsia="仿宋_GB2312"/>
          <w:b/>
          <w:color w:val="auto"/>
          <w:sz w:val="32"/>
          <w:szCs w:val="32"/>
          <w:u w:val="none"/>
        </w:rPr>
        <w:t>：</w:t>
      </w:r>
      <w:r>
        <w:rPr>
          <w:rFonts w:hint="eastAsia" w:ascii="仿宋_GB2312" w:hAnsi="黑体" w:eastAsia="仿宋_GB2312" w:cs="Times New Roman"/>
          <w:color w:val="auto"/>
          <w:sz w:val="32"/>
          <w:szCs w:val="32"/>
          <w:u w:val="none"/>
          <w:lang w:val="en-US" w:eastAsia="zh-CN"/>
        </w:rPr>
        <w:t>优先纳入试点示范项目,在产业准入、用电、新增用能指标、兼并重组、信贷扶持、项目申报、城镇土地使用税、人才引进、品牌建设、技术创新、技术改造等方面给予优先支持，鼓励企业上市发展。</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s="Times New Roman"/>
          <w:color w:val="auto"/>
          <w:sz w:val="32"/>
          <w:szCs w:val="32"/>
          <w:u w:val="none"/>
          <w:lang w:val="en-US" w:eastAsia="zh-CN"/>
        </w:rPr>
      </w:pPr>
      <w:r>
        <w:rPr>
          <w:rFonts w:hint="eastAsia" w:ascii="楷体_GB2312" w:hAnsi="楷体_GB2312" w:eastAsia="楷体_GB2312" w:cs="楷体_GB2312"/>
          <w:b/>
          <w:bCs/>
          <w:color w:val="auto"/>
          <w:kern w:val="0"/>
          <w:sz w:val="32"/>
          <w:szCs w:val="32"/>
          <w:u w:val="none"/>
          <w:lang w:val="en-US" w:eastAsia="zh-CN" w:bidi="ar-SA"/>
        </w:rPr>
        <w:t>B类企业</w:t>
      </w:r>
      <w:r>
        <w:rPr>
          <w:rFonts w:hint="eastAsia" w:ascii="仿宋_GB2312" w:hAnsi="黑体" w:eastAsia="仿宋_GB2312"/>
          <w:b/>
          <w:color w:val="auto"/>
          <w:sz w:val="32"/>
          <w:szCs w:val="32"/>
          <w:u w:val="none"/>
        </w:rPr>
        <w:t>：</w:t>
      </w:r>
      <w:r>
        <w:rPr>
          <w:rFonts w:hint="eastAsia" w:ascii="仿宋_GB2312" w:hAnsi="黑体" w:eastAsia="仿宋_GB2312" w:cs="Times New Roman"/>
          <w:color w:val="auto"/>
          <w:sz w:val="32"/>
          <w:szCs w:val="32"/>
          <w:u w:val="none"/>
          <w:lang w:val="en-US" w:eastAsia="zh-CN"/>
        </w:rPr>
        <w:t>支持企业加快技术创新,在资金信贷人才引进、品牌建设、技术创新、技术改造、城镇土地使用税等方面给予支持,提高发展质量和效益。</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s="Times New Roman"/>
          <w:color w:val="auto"/>
          <w:sz w:val="32"/>
          <w:szCs w:val="32"/>
          <w:u w:val="none"/>
          <w:lang w:val="en-US" w:eastAsia="zh-CN"/>
        </w:rPr>
      </w:pPr>
      <w:r>
        <w:rPr>
          <w:rFonts w:hint="eastAsia" w:ascii="楷体_GB2312" w:hAnsi="楷体_GB2312" w:eastAsia="楷体_GB2312" w:cs="楷体_GB2312"/>
          <w:b/>
          <w:bCs/>
          <w:color w:val="auto"/>
          <w:kern w:val="0"/>
          <w:sz w:val="32"/>
          <w:szCs w:val="32"/>
          <w:u w:val="none"/>
          <w:lang w:val="en-US" w:eastAsia="zh-CN" w:bidi="ar-SA"/>
        </w:rPr>
        <w:t>C类企业</w:t>
      </w:r>
      <w:r>
        <w:rPr>
          <w:rFonts w:hint="eastAsia" w:ascii="仿宋_GB2312" w:hAnsi="黑体" w:eastAsia="仿宋_GB2312"/>
          <w:b/>
          <w:color w:val="auto"/>
          <w:sz w:val="32"/>
          <w:szCs w:val="32"/>
          <w:u w:val="none"/>
        </w:rPr>
        <w:t>：</w:t>
      </w:r>
      <w:r>
        <w:rPr>
          <w:rFonts w:hint="eastAsia" w:ascii="仿宋_GB2312" w:hAnsi="黑体" w:eastAsia="仿宋_GB2312" w:cs="Times New Roman"/>
          <w:color w:val="auto"/>
          <w:sz w:val="32"/>
          <w:szCs w:val="32"/>
          <w:u w:val="none"/>
          <w:lang w:val="en-US" w:eastAsia="zh-CN"/>
        </w:rPr>
        <w:t>指导企业制定具体的提升计划,鼓励企业“腾笼换鸟”转产转型,要求企业加快提档升级、节能减排、清洁生产等技术改造，降低资源消耗，提高利用效率。</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s="Times New Roman"/>
          <w:color w:val="auto"/>
          <w:sz w:val="32"/>
          <w:szCs w:val="32"/>
          <w:u w:val="none"/>
          <w:lang w:val="en-US" w:eastAsia="zh-CN"/>
        </w:rPr>
      </w:pPr>
      <w:r>
        <w:rPr>
          <w:rFonts w:hint="eastAsia" w:ascii="楷体_GB2312" w:hAnsi="楷体_GB2312" w:eastAsia="楷体_GB2312" w:cs="楷体_GB2312"/>
          <w:b/>
          <w:bCs/>
          <w:color w:val="auto"/>
          <w:kern w:val="0"/>
          <w:sz w:val="32"/>
          <w:szCs w:val="32"/>
          <w:u w:val="none"/>
          <w:lang w:val="en-US" w:eastAsia="zh-CN" w:bidi="ar-SA"/>
        </w:rPr>
        <w:t>D类企业</w:t>
      </w:r>
      <w:r>
        <w:rPr>
          <w:rFonts w:hint="eastAsia" w:ascii="仿宋_GB2312" w:hAnsi="黑体" w:eastAsia="仿宋_GB2312"/>
          <w:b/>
          <w:color w:val="auto"/>
          <w:sz w:val="32"/>
          <w:szCs w:val="32"/>
          <w:u w:val="none"/>
        </w:rPr>
        <w:t>：</w:t>
      </w:r>
      <w:r>
        <w:rPr>
          <w:rFonts w:hint="eastAsia" w:ascii="仿宋_GB2312" w:hAnsi="黑体" w:eastAsia="仿宋_GB2312" w:cs="Times New Roman"/>
          <w:color w:val="auto"/>
          <w:sz w:val="32"/>
          <w:szCs w:val="32"/>
          <w:u w:val="none"/>
          <w:lang w:val="en-US" w:eastAsia="zh-CN"/>
        </w:rPr>
        <w:t>严格按照国家产业政策以及环境保护安全生产、资源综合利用等方面法律法规,纳入低效企业名单，依法依规加大资源要素差别化政策实施和整治淘汰力度，鼓励企业主动关停退出。</w:t>
      </w:r>
    </w:p>
    <w:p>
      <w:pPr>
        <w:keepNext w:val="0"/>
        <w:keepLines w:val="0"/>
        <w:pageBreakBefore w:val="0"/>
        <w:widowControl w:val="0"/>
        <w:kinsoku/>
        <w:wordWrap/>
        <w:overflowPunct/>
        <w:topLinePunct w:val="0"/>
        <w:autoSpaceDE/>
        <w:autoSpaceDN/>
        <w:bidi w:val="0"/>
        <w:spacing w:line="552" w:lineRule="exact"/>
        <w:ind w:firstLine="643" w:firstLineChars="200"/>
        <w:textAlignment w:val="auto"/>
        <w:rPr>
          <w:rFonts w:hint="eastAsia" w:ascii="仿宋_GB2312" w:hAnsi="黑体" w:eastAsia="仿宋_GB2312" w:cs="Times New Roman"/>
          <w:color w:val="auto"/>
          <w:sz w:val="32"/>
          <w:szCs w:val="32"/>
          <w:u w:val="none"/>
          <w:lang w:val="en-US" w:eastAsia="zh-CN"/>
        </w:rPr>
      </w:pPr>
      <w:r>
        <w:rPr>
          <w:rFonts w:hint="eastAsia" w:ascii="楷体_GB2312" w:hAnsi="黑体" w:eastAsia="楷体_GB2312"/>
          <w:b/>
          <w:color w:val="auto"/>
          <w:sz w:val="32"/>
          <w:szCs w:val="32"/>
          <w:u w:val="none"/>
          <w:lang w:val="en-US" w:eastAsia="zh-CN"/>
        </w:rPr>
        <w:t>（二）</w:t>
      </w:r>
      <w:r>
        <w:rPr>
          <w:rFonts w:hint="eastAsia" w:ascii="楷体_GB2312" w:hAnsi="黑体" w:eastAsia="楷体_GB2312"/>
          <w:b/>
          <w:color w:val="auto"/>
          <w:sz w:val="32"/>
          <w:szCs w:val="32"/>
          <w:u w:val="none"/>
          <w:lang w:eastAsia="zh-CN"/>
        </w:rPr>
        <w:t>全面完善落实资源要素差别化配置</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s="Times New Roman"/>
          <w:color w:val="auto"/>
          <w:sz w:val="32"/>
          <w:szCs w:val="32"/>
          <w:u w:val="none"/>
          <w:lang w:val="en-US" w:eastAsia="zh-CN"/>
        </w:rPr>
      </w:pPr>
      <w:r>
        <w:rPr>
          <w:rFonts w:hint="eastAsia" w:ascii="仿宋_GB2312" w:hAnsi="黑体" w:eastAsia="仿宋_GB2312" w:cs="Times New Roman"/>
          <w:color w:val="auto"/>
          <w:sz w:val="32"/>
          <w:szCs w:val="32"/>
          <w:u w:val="none"/>
          <w:lang w:val="en-US" w:eastAsia="zh-CN"/>
        </w:rPr>
        <w:t>按照创新资源配置的要求，充分体现政府配置资源的引导作用，重点在产业准入、用地保障、能源价格、产业扶持、人才用工及信贷政策等方面，实施正向激励和反向倒逼的差别化政策，优化资源要素配置水平。</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1.实施差别化的产业准入政策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s="Times New Roman"/>
          <w:color w:val="auto"/>
          <w:sz w:val="32"/>
          <w:szCs w:val="32"/>
          <w:u w:val="none"/>
          <w:lang w:val="en-US" w:eastAsia="zh-CN"/>
        </w:rPr>
      </w:pPr>
      <w:r>
        <w:rPr>
          <w:rFonts w:hint="eastAsia" w:ascii="仿宋_GB2312" w:hAnsi="黑体" w:eastAsia="仿宋_GB2312" w:cs="Times New Roman"/>
          <w:color w:val="auto"/>
          <w:sz w:val="32"/>
          <w:szCs w:val="32"/>
          <w:u w:val="none"/>
          <w:lang w:val="en-US" w:eastAsia="zh-CN"/>
        </w:rPr>
        <w:t>优先保</w:t>
      </w:r>
      <w:r>
        <w:rPr>
          <w:rFonts w:hint="eastAsia" w:ascii="Times New Roman" w:hAnsi="Times New Roman" w:eastAsia="仿宋_GB2312"/>
          <w:color w:val="auto"/>
          <w:sz w:val="32"/>
          <w:szCs w:val="32"/>
          <w:u w:val="none"/>
          <w:lang w:val="en-US" w:eastAsia="zh-CN"/>
        </w:rPr>
        <w:t>障A类企业的改扩建需求，着力提高项目质量，提高审批效率。对C类、D类</w:t>
      </w:r>
      <w:r>
        <w:rPr>
          <w:rFonts w:hint="eastAsia" w:ascii="仿宋_GB2312" w:hAnsi="黑体" w:eastAsia="仿宋_GB2312" w:cs="Times New Roman"/>
          <w:color w:val="auto"/>
          <w:sz w:val="32"/>
          <w:szCs w:val="32"/>
          <w:u w:val="none"/>
          <w:lang w:val="en-US" w:eastAsia="zh-CN"/>
        </w:rPr>
        <w:t>企业，不再新增用地、能耗和环境容量，进一步加大结构调整力度。</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仿宋_GB2312" w:hAnsi="黑体" w:eastAsia="仿宋_GB2312" w:cs="Times New Roman"/>
          <w:color w:val="auto"/>
          <w:sz w:val="32"/>
          <w:szCs w:val="32"/>
          <w:u w:val="none"/>
          <w:lang w:val="en-US" w:eastAsia="zh-CN"/>
        </w:rPr>
      </w:pPr>
      <w:r>
        <w:rPr>
          <w:rFonts w:hint="eastAsia" w:ascii="Times New Roman" w:hAnsi="Times New Roman" w:eastAsia="仿宋_GB2312"/>
          <w:color w:val="auto"/>
          <w:sz w:val="32"/>
          <w:szCs w:val="32"/>
          <w:u w:val="none"/>
        </w:rPr>
        <w:t>（责任单位：区</w:t>
      </w:r>
      <w:r>
        <w:rPr>
          <w:rFonts w:hint="eastAsia" w:ascii="Times New Roman" w:hAnsi="Times New Roman" w:eastAsia="仿宋_GB2312"/>
          <w:color w:val="auto"/>
          <w:sz w:val="32"/>
          <w:szCs w:val="32"/>
          <w:u w:val="none"/>
          <w:lang w:val="en-US" w:eastAsia="zh-CN"/>
        </w:rPr>
        <w:t>经委、区规划资源局、区生态环境局</w:t>
      </w:r>
      <w:r>
        <w:rPr>
          <w:rFonts w:hint="eastAsia" w:ascii="Times New Roman" w:hAnsi="Times New Roman" w:eastAsia="仿宋_GB2312"/>
          <w:color w:val="auto"/>
          <w:sz w:val="32"/>
          <w:szCs w:val="32"/>
          <w:u w:val="none"/>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2.实施差别化的土地政策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rPr>
        <w:t>加大A类企业的扶持力度，优先支持扩建用地</w:t>
      </w:r>
      <w:r>
        <w:rPr>
          <w:rFonts w:hint="eastAsia" w:ascii="Times New Roman" w:hAnsi="Times New Roman" w:eastAsia="仿宋_GB2312"/>
          <w:color w:val="auto"/>
          <w:sz w:val="32"/>
          <w:szCs w:val="32"/>
          <w:u w:val="none"/>
          <w:lang w:eastAsia="zh-CN"/>
        </w:rPr>
        <w:t>申请。经区政府集体决策后，</w:t>
      </w:r>
      <w:r>
        <w:rPr>
          <w:rFonts w:hint="eastAsia" w:ascii="Times New Roman" w:hAnsi="Times New Roman" w:eastAsia="仿宋_GB2312"/>
          <w:color w:val="auto"/>
          <w:sz w:val="32"/>
          <w:szCs w:val="32"/>
          <w:u w:val="none"/>
        </w:rPr>
        <w:t>土地价款可按照分期方式缴纳或</w:t>
      </w:r>
      <w:r>
        <w:rPr>
          <w:rFonts w:hint="eastAsia" w:ascii="Times New Roman" w:hAnsi="Times New Roman" w:eastAsia="仿宋_GB2312"/>
          <w:color w:val="auto"/>
          <w:sz w:val="32"/>
          <w:szCs w:val="32"/>
          <w:u w:val="none"/>
          <w:lang w:eastAsia="zh-CN"/>
        </w:rPr>
        <w:t>除土地价款</w:t>
      </w:r>
      <w:r>
        <w:rPr>
          <w:rFonts w:hint="eastAsia" w:ascii="Times New Roman" w:hAnsi="Times New Roman" w:eastAsia="仿宋_GB2312"/>
          <w:color w:val="auto"/>
          <w:sz w:val="32"/>
          <w:szCs w:val="32"/>
          <w:u w:val="none"/>
          <w:lang w:val="en-US" w:eastAsia="zh-CN"/>
        </w:rPr>
        <w:t>20%定金外，其余剩余价款可</w:t>
      </w:r>
      <w:r>
        <w:rPr>
          <w:rFonts w:hint="eastAsia" w:ascii="Times New Roman" w:hAnsi="Times New Roman" w:eastAsia="仿宋_GB2312"/>
          <w:color w:val="auto"/>
          <w:sz w:val="32"/>
          <w:szCs w:val="32"/>
          <w:u w:val="none"/>
        </w:rPr>
        <w:t>在项目竣工后不动产登记前缴纳</w:t>
      </w:r>
      <w:r>
        <w:rPr>
          <w:rFonts w:hint="eastAsia" w:ascii="Times New Roman" w:hAnsi="Times New Roman" w:eastAsia="仿宋_GB2312"/>
          <w:color w:val="auto"/>
          <w:sz w:val="32"/>
          <w:szCs w:val="32"/>
          <w:u w:val="none"/>
          <w:lang w:eastAsia="zh-CN"/>
        </w:rPr>
        <w:t>，最长时间不超过两年</w:t>
      </w:r>
      <w:r>
        <w:rPr>
          <w:rFonts w:hint="eastAsia" w:ascii="Times New Roman" w:hAnsi="Times New Roman" w:eastAsia="仿宋_GB2312"/>
          <w:color w:val="auto"/>
          <w:sz w:val="32"/>
          <w:szCs w:val="32"/>
          <w:u w:val="none"/>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lang w:val="en-US" w:eastAsia="zh-CN"/>
        </w:rPr>
      </w:pPr>
      <w:r>
        <w:rPr>
          <w:rFonts w:hint="eastAsia" w:ascii="Times New Roman" w:hAnsi="Times New Roman" w:eastAsia="仿宋_GB2312"/>
          <w:color w:val="auto"/>
          <w:sz w:val="32"/>
          <w:szCs w:val="32"/>
          <w:u w:val="none"/>
        </w:rPr>
        <w:t>鼓励A</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B类企业利用现有土地、厂房、设备等资源实施“零增地”技改，引导企业合理使用土地</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促进土地资源的集约利用； 支持A</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lang w:val="en-US" w:eastAsia="zh-CN"/>
        </w:rPr>
        <w:t>B</w:t>
      </w:r>
      <w:r>
        <w:rPr>
          <w:rFonts w:hint="eastAsia" w:ascii="Times New Roman" w:hAnsi="Times New Roman" w:eastAsia="仿宋_GB2312"/>
          <w:color w:val="auto"/>
          <w:sz w:val="32"/>
          <w:szCs w:val="32"/>
          <w:u w:val="none"/>
        </w:rPr>
        <w:t>类企业提高土地容积率，</w:t>
      </w:r>
      <w:r>
        <w:rPr>
          <w:rFonts w:hint="eastAsia" w:ascii="Times New Roman" w:hAnsi="Times New Roman" w:eastAsia="仿宋_GB2312"/>
          <w:color w:val="auto"/>
          <w:sz w:val="32"/>
          <w:szCs w:val="32"/>
          <w:u w:val="none"/>
          <w:lang w:eastAsia="zh-CN"/>
        </w:rPr>
        <w:t>增容</w:t>
      </w:r>
      <w:r>
        <w:rPr>
          <w:rFonts w:hint="eastAsia" w:ascii="Times New Roman" w:hAnsi="Times New Roman" w:eastAsia="仿宋_GB2312"/>
          <w:color w:val="auto"/>
          <w:sz w:val="32"/>
          <w:szCs w:val="32"/>
          <w:u w:val="none"/>
        </w:rPr>
        <w:t>可免征土地</w:t>
      </w:r>
      <w:r>
        <w:rPr>
          <w:rFonts w:hint="eastAsia" w:ascii="Times New Roman" w:hAnsi="Times New Roman" w:eastAsia="仿宋_GB2312"/>
          <w:color w:val="auto"/>
          <w:sz w:val="32"/>
          <w:szCs w:val="32"/>
          <w:u w:val="none"/>
          <w:lang w:eastAsia="zh-CN"/>
        </w:rPr>
        <w:t>出让</w:t>
      </w:r>
      <w:r>
        <w:rPr>
          <w:rFonts w:hint="eastAsia" w:ascii="Times New Roman" w:hAnsi="Times New Roman" w:eastAsia="仿宋_GB2312"/>
          <w:color w:val="auto"/>
          <w:sz w:val="32"/>
          <w:szCs w:val="32"/>
          <w:u w:val="none"/>
        </w:rPr>
        <w:t>价款。</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rPr>
        <w:t>（责任单位：区</w:t>
      </w:r>
      <w:r>
        <w:rPr>
          <w:rFonts w:hint="eastAsia" w:ascii="Times New Roman" w:hAnsi="Times New Roman" w:eastAsia="仿宋_GB2312"/>
          <w:color w:val="auto"/>
          <w:sz w:val="32"/>
          <w:szCs w:val="32"/>
          <w:u w:val="none"/>
          <w:lang w:eastAsia="zh-CN"/>
        </w:rPr>
        <w:t>规划资源局</w:t>
      </w:r>
      <w:r>
        <w:rPr>
          <w:rFonts w:hint="eastAsia" w:ascii="Times New Roman" w:hAnsi="Times New Roman" w:eastAsia="仿宋_GB2312"/>
          <w:color w:val="auto"/>
          <w:sz w:val="32"/>
          <w:szCs w:val="32"/>
          <w:u w:val="none"/>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3.实施差别化的能源</w:t>
      </w:r>
      <w:r>
        <w:rPr>
          <w:rFonts w:hint="eastAsia" w:ascii="仿宋_GB2312" w:hAnsi="黑体" w:eastAsia="仿宋_GB2312" w:cs="Times New Roman"/>
          <w:color w:val="auto"/>
          <w:sz w:val="32"/>
          <w:szCs w:val="32"/>
          <w:u w:val="none"/>
          <w:lang w:val="en-US" w:eastAsia="zh-CN"/>
        </w:rPr>
        <w:t>、资源</w:t>
      </w:r>
      <w:r>
        <w:rPr>
          <w:rFonts w:hint="eastAsia" w:ascii="楷体_GB2312" w:hAnsi="楷体_GB2312" w:eastAsia="楷体_GB2312" w:cs="楷体_GB2312"/>
          <w:color w:val="auto"/>
          <w:kern w:val="0"/>
          <w:sz w:val="32"/>
          <w:szCs w:val="32"/>
          <w:u w:val="none"/>
          <w:lang w:val="en-US" w:eastAsia="zh-CN" w:bidi="ar-SA"/>
        </w:rPr>
        <w:t>价格政策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lang w:eastAsia="zh-CN"/>
        </w:rPr>
        <w:t>在市级有关政策文件指导下，推动</w:t>
      </w:r>
      <w:r>
        <w:rPr>
          <w:rFonts w:hint="eastAsia" w:ascii="Times New Roman" w:hAnsi="Times New Roman" w:eastAsia="仿宋_GB2312"/>
          <w:color w:val="auto"/>
          <w:sz w:val="32"/>
          <w:szCs w:val="32"/>
          <w:u w:val="none"/>
        </w:rPr>
        <w:t>对不同类别企业实行差别化的电价</w:t>
      </w:r>
      <w:r>
        <w:rPr>
          <w:rFonts w:hint="eastAsia" w:ascii="Times New Roman" w:hAnsi="Times New Roman" w:eastAsia="仿宋_GB2312"/>
          <w:color w:val="auto"/>
          <w:sz w:val="32"/>
          <w:szCs w:val="32"/>
          <w:u w:val="none"/>
          <w:lang w:eastAsia="zh-CN"/>
        </w:rPr>
        <w:t>、水价等</w:t>
      </w:r>
      <w:r>
        <w:rPr>
          <w:rFonts w:hint="eastAsia" w:ascii="Times New Roman" w:hAnsi="Times New Roman" w:eastAsia="仿宋_GB2312"/>
          <w:color w:val="auto"/>
          <w:sz w:val="32"/>
          <w:szCs w:val="32"/>
          <w:u w:val="none"/>
        </w:rPr>
        <w:t>价格政策。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lang w:eastAsia="zh-CN"/>
        </w:rPr>
      </w:pPr>
      <w:r>
        <w:rPr>
          <w:rFonts w:hint="eastAsia" w:ascii="Times New Roman" w:hAnsi="Times New Roman" w:eastAsia="仿宋_GB2312"/>
          <w:color w:val="auto"/>
          <w:sz w:val="32"/>
          <w:szCs w:val="32"/>
          <w:u w:val="none"/>
        </w:rPr>
        <w:t>（责任单位：</w:t>
      </w:r>
      <w:r>
        <w:rPr>
          <w:rFonts w:hint="eastAsia" w:ascii="Times New Roman" w:hAnsi="Times New Roman" w:eastAsia="仿宋_GB2312"/>
          <w:color w:val="auto"/>
          <w:sz w:val="32"/>
          <w:szCs w:val="32"/>
          <w:u w:val="none"/>
          <w:lang w:eastAsia="zh-CN"/>
        </w:rPr>
        <w:t>区</w:t>
      </w:r>
      <w:r>
        <w:rPr>
          <w:rFonts w:hint="eastAsia" w:ascii="Times New Roman" w:hAnsi="Times New Roman" w:eastAsia="仿宋_GB2312"/>
          <w:color w:val="auto"/>
          <w:sz w:val="32"/>
          <w:szCs w:val="32"/>
          <w:u w:val="none"/>
          <w:lang w:val="en-US" w:eastAsia="zh-CN"/>
        </w:rPr>
        <w:t>经委</w:t>
      </w:r>
      <w:r>
        <w:rPr>
          <w:rFonts w:hint="eastAsia" w:ascii="Times New Roman" w:hAnsi="Times New Roman" w:eastAsia="仿宋_GB2312"/>
          <w:color w:val="auto"/>
          <w:sz w:val="32"/>
          <w:szCs w:val="32"/>
          <w:u w:val="none"/>
          <w:lang w:eastAsia="zh-CN"/>
        </w:rPr>
        <w:t>、区发展改革</w:t>
      </w:r>
      <w:r>
        <w:rPr>
          <w:rFonts w:hint="eastAsia" w:ascii="Times New Roman" w:hAnsi="Times New Roman" w:eastAsia="仿宋_GB2312"/>
          <w:color w:val="auto"/>
          <w:sz w:val="32"/>
          <w:szCs w:val="32"/>
          <w:u w:val="none"/>
          <w:lang w:val="en-US" w:eastAsia="zh-CN"/>
        </w:rPr>
        <w:t>委</w:t>
      </w:r>
      <w:r>
        <w:rPr>
          <w:rFonts w:hint="eastAsia" w:ascii="Times New Roman" w:hAnsi="Times New Roman" w:eastAsia="仿宋_GB2312"/>
          <w:color w:val="auto"/>
          <w:sz w:val="32"/>
          <w:szCs w:val="32"/>
          <w:u w:val="none"/>
          <w:lang w:eastAsia="zh-CN"/>
        </w:rPr>
        <w:t>、区</w:t>
      </w:r>
      <w:r>
        <w:rPr>
          <w:rFonts w:hint="eastAsia" w:ascii="Times New Roman" w:hAnsi="Times New Roman" w:eastAsia="仿宋_GB2312"/>
          <w:color w:val="auto"/>
          <w:sz w:val="32"/>
          <w:szCs w:val="32"/>
          <w:u w:val="none"/>
          <w:lang w:val="en-US" w:eastAsia="zh-CN"/>
        </w:rPr>
        <w:t>财政局</w:t>
      </w:r>
      <w:r>
        <w:rPr>
          <w:rFonts w:hint="eastAsia" w:ascii="Times New Roman" w:hAnsi="Times New Roman" w:eastAsia="仿宋_GB2312"/>
          <w:color w:val="auto"/>
          <w:sz w:val="32"/>
          <w:szCs w:val="32"/>
          <w:u w:val="none"/>
          <w:lang w:eastAsia="zh-CN"/>
        </w:rPr>
        <w:t>、区</w:t>
      </w:r>
      <w:r>
        <w:rPr>
          <w:rFonts w:hint="eastAsia" w:ascii="Times New Roman" w:hAnsi="Times New Roman" w:eastAsia="仿宋_GB2312"/>
          <w:color w:val="auto"/>
          <w:sz w:val="32"/>
          <w:szCs w:val="32"/>
          <w:u w:val="none"/>
          <w:lang w:val="en-US" w:eastAsia="zh-CN"/>
        </w:rPr>
        <w:t>水务局等</w:t>
      </w:r>
      <w:r>
        <w:rPr>
          <w:rFonts w:hint="eastAsia" w:ascii="Times New Roman" w:hAnsi="Times New Roman"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4.实施差别化的产业政策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rPr>
        <w:t>对A</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B类企业优先推荐国家、市、区各类产业、科技政策。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lang w:eastAsia="zh-CN"/>
        </w:rPr>
        <w:t>严格控制</w:t>
      </w:r>
      <w:r>
        <w:rPr>
          <w:rFonts w:hint="eastAsia" w:ascii="Times New Roman" w:hAnsi="Times New Roman" w:eastAsia="仿宋_GB2312"/>
          <w:color w:val="auto"/>
          <w:sz w:val="32"/>
          <w:szCs w:val="32"/>
          <w:u w:val="none"/>
        </w:rPr>
        <w:t>D类企业申请各类产业政策。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rPr>
        <w:t>（责任单位：</w:t>
      </w:r>
      <w:r>
        <w:rPr>
          <w:rFonts w:hint="eastAsia" w:ascii="Times New Roman" w:hAnsi="Times New Roman" w:eastAsia="仿宋_GB2312"/>
          <w:color w:val="auto"/>
          <w:sz w:val="32"/>
          <w:szCs w:val="32"/>
          <w:u w:val="none"/>
          <w:lang w:eastAsia="zh-CN"/>
        </w:rPr>
        <w:t>区发展改革委、</w:t>
      </w:r>
      <w:r>
        <w:rPr>
          <w:rFonts w:hint="eastAsia" w:ascii="Times New Roman" w:hAnsi="Times New Roman" w:eastAsia="仿宋_GB2312"/>
          <w:color w:val="auto"/>
          <w:sz w:val="32"/>
          <w:szCs w:val="32"/>
          <w:u w:val="none"/>
        </w:rPr>
        <w:t>区经委、区科委</w:t>
      </w:r>
      <w:r>
        <w:rPr>
          <w:rFonts w:hint="eastAsia" w:ascii="Times New Roman" w:hAnsi="Times New Roman" w:eastAsia="仿宋_GB2312"/>
          <w:color w:val="auto"/>
          <w:sz w:val="32"/>
          <w:szCs w:val="32"/>
          <w:u w:val="none"/>
          <w:lang w:eastAsia="zh-CN"/>
        </w:rPr>
        <w:t>、区财政局</w:t>
      </w:r>
      <w:r>
        <w:rPr>
          <w:rFonts w:hint="eastAsia" w:ascii="Times New Roman" w:hAnsi="Times New Roman" w:eastAsia="仿宋_GB2312"/>
          <w:color w:val="auto"/>
          <w:sz w:val="32"/>
          <w:szCs w:val="32"/>
          <w:u w:val="none"/>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5.实施差别化的金融政策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lang w:val="en-US" w:eastAsia="zh-CN"/>
        </w:rPr>
      </w:pPr>
      <w:r>
        <w:rPr>
          <w:rFonts w:hint="eastAsia" w:ascii="Times New Roman" w:hAnsi="Times New Roman" w:eastAsia="仿宋_GB2312"/>
          <w:color w:val="auto"/>
          <w:sz w:val="32"/>
          <w:szCs w:val="32"/>
          <w:u w:val="none"/>
        </w:rPr>
        <w:t>深化产融合作</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建立企业综合评价结果与金融机构信贷合作机制</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lang w:val="en-US" w:eastAsia="zh-CN"/>
        </w:rPr>
        <w:t>在风险可控和商业可持续的前提下，对A、B类企业在信用评级、贷款授信、多层次资本市场融资等方面予以重点支持。</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rPr>
        <w:t>（责任单位：</w:t>
      </w:r>
      <w:r>
        <w:rPr>
          <w:rFonts w:hint="eastAsia" w:ascii="Times New Roman" w:hAnsi="Times New Roman" w:eastAsia="仿宋_GB2312"/>
          <w:color w:val="auto"/>
          <w:sz w:val="32"/>
          <w:szCs w:val="32"/>
          <w:u w:val="none"/>
          <w:lang w:val="en-US" w:eastAsia="zh-CN"/>
        </w:rPr>
        <w:t>区财政局</w:t>
      </w:r>
      <w:r>
        <w:rPr>
          <w:rFonts w:hint="eastAsia" w:ascii="Times New Roman" w:hAnsi="Times New Roman" w:eastAsia="仿宋_GB2312"/>
          <w:color w:val="auto"/>
          <w:sz w:val="32"/>
          <w:szCs w:val="32"/>
          <w:u w:val="none"/>
        </w:rPr>
        <w:t>、</w:t>
      </w:r>
      <w:r>
        <w:rPr>
          <w:rFonts w:hint="eastAsia" w:ascii="Times New Roman" w:hAnsi="Times New Roman" w:eastAsia="仿宋_GB2312"/>
          <w:color w:val="auto"/>
          <w:sz w:val="32"/>
          <w:szCs w:val="32"/>
          <w:u w:val="none"/>
          <w:lang w:eastAsia="zh-CN"/>
        </w:rPr>
        <w:t>区发展改革委</w:t>
      </w:r>
      <w:r>
        <w:rPr>
          <w:rFonts w:hint="eastAsia" w:ascii="Times New Roman" w:hAnsi="Times New Roman" w:eastAsia="仿宋_GB2312"/>
          <w:color w:val="auto"/>
          <w:sz w:val="32"/>
          <w:szCs w:val="32"/>
          <w:u w:val="none"/>
        </w:rPr>
        <w:t>、区</w:t>
      </w:r>
      <w:r>
        <w:rPr>
          <w:rFonts w:hint="eastAsia" w:ascii="Times New Roman" w:hAnsi="Times New Roman" w:eastAsia="仿宋_GB2312"/>
          <w:color w:val="auto"/>
          <w:sz w:val="32"/>
          <w:szCs w:val="32"/>
          <w:u w:val="none"/>
          <w:lang w:eastAsia="zh-CN"/>
        </w:rPr>
        <w:t>经</w:t>
      </w:r>
      <w:r>
        <w:rPr>
          <w:rFonts w:hint="eastAsia" w:ascii="Times New Roman" w:hAnsi="Times New Roman" w:eastAsia="仿宋_GB2312"/>
          <w:color w:val="auto"/>
          <w:sz w:val="32"/>
          <w:szCs w:val="32"/>
          <w:u w:val="none"/>
        </w:rPr>
        <w:t>委）</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楷体_GB2312" w:hAnsi="楷体_GB2312" w:eastAsia="楷体_GB2312" w:cs="楷体_GB2312"/>
          <w:color w:val="auto"/>
          <w:kern w:val="0"/>
          <w:sz w:val="32"/>
          <w:szCs w:val="32"/>
          <w:u w:val="none"/>
          <w:lang w:val="en-US" w:eastAsia="zh-CN" w:bidi="ar-SA"/>
        </w:rPr>
      </w:pPr>
      <w:r>
        <w:rPr>
          <w:rFonts w:hint="eastAsia" w:ascii="楷体_GB2312" w:hAnsi="楷体_GB2312" w:eastAsia="楷体_GB2312" w:cs="楷体_GB2312"/>
          <w:color w:val="auto"/>
          <w:kern w:val="0"/>
          <w:sz w:val="32"/>
          <w:szCs w:val="32"/>
          <w:u w:val="none"/>
          <w:lang w:val="en-US" w:eastAsia="zh-CN" w:bidi="ar-SA"/>
        </w:rPr>
        <w:t>6.实施部门联合监管机制</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rPr>
      </w:pPr>
      <w:r>
        <w:rPr>
          <w:rFonts w:hint="eastAsia" w:ascii="Times New Roman" w:hAnsi="Times New Roman" w:eastAsia="仿宋_GB2312"/>
          <w:color w:val="auto"/>
          <w:sz w:val="32"/>
          <w:szCs w:val="32"/>
          <w:u w:val="none"/>
        </w:rPr>
        <w:t>D类企业纳入相关执法部门重点抽检名录，加大监管频次，加强联合执法，形成整治合力。</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default" w:ascii="Times New Roman" w:hAnsi="Times New Roman" w:eastAsia="仿宋_GB2312"/>
          <w:color w:val="auto"/>
          <w:sz w:val="32"/>
          <w:szCs w:val="32"/>
          <w:u w:val="none"/>
          <w:lang w:val="en-US" w:eastAsia="zh-CN"/>
        </w:rPr>
      </w:pPr>
      <w:r>
        <w:rPr>
          <w:rFonts w:hint="eastAsia" w:ascii="Times New Roman" w:hAnsi="Times New Roman" w:eastAsia="仿宋_GB2312"/>
          <w:color w:val="auto"/>
          <w:sz w:val="32"/>
          <w:szCs w:val="32"/>
          <w:u w:val="none"/>
        </w:rPr>
        <w:t>（责任单位：</w:t>
      </w:r>
      <w:r>
        <w:rPr>
          <w:rFonts w:hint="eastAsia" w:ascii="Times New Roman" w:hAnsi="Times New Roman" w:eastAsia="仿宋_GB2312"/>
          <w:color w:val="auto"/>
          <w:sz w:val="32"/>
          <w:szCs w:val="32"/>
          <w:u w:val="none"/>
          <w:lang w:eastAsia="zh-CN"/>
        </w:rPr>
        <w:t>区相关</w:t>
      </w:r>
      <w:r>
        <w:rPr>
          <w:rFonts w:hint="eastAsia" w:ascii="Times New Roman" w:hAnsi="Times New Roman" w:eastAsia="仿宋_GB2312"/>
          <w:color w:val="auto"/>
          <w:sz w:val="32"/>
          <w:szCs w:val="32"/>
          <w:u w:val="none"/>
        </w:rPr>
        <w:t>部门）</w:t>
      </w:r>
    </w:p>
    <w:p>
      <w:pPr>
        <w:pStyle w:val="7"/>
        <w:keepNext w:val="0"/>
        <w:keepLines w:val="0"/>
        <w:pageBreakBefore w:val="0"/>
        <w:widowControl w:val="0"/>
        <w:kinsoku/>
        <w:wordWrap/>
        <w:overflowPunct/>
        <w:topLinePunct w:val="0"/>
        <w:autoSpaceDE/>
        <w:autoSpaceDN/>
        <w:bidi w:val="0"/>
        <w:spacing w:line="552" w:lineRule="exact"/>
        <w:ind w:left="600" w:firstLine="0" w:firstLineChars="0"/>
        <w:textAlignment w:val="auto"/>
        <w:rPr>
          <w:rFonts w:ascii="黑体" w:hAnsi="黑体" w:eastAsia="黑体"/>
          <w:color w:val="auto"/>
          <w:sz w:val="32"/>
          <w:szCs w:val="32"/>
          <w:u w:val="none"/>
        </w:rPr>
      </w:pPr>
      <w:r>
        <w:rPr>
          <w:rFonts w:hint="eastAsia" w:ascii="黑体" w:hAnsi="黑体" w:eastAsia="黑体"/>
          <w:color w:val="auto"/>
          <w:sz w:val="32"/>
          <w:szCs w:val="32"/>
          <w:u w:val="none"/>
          <w:lang w:eastAsia="zh-CN"/>
        </w:rPr>
        <w:t>五</w:t>
      </w:r>
      <w:r>
        <w:rPr>
          <w:rFonts w:hint="eastAsia" w:ascii="黑体" w:hAnsi="黑体" w:eastAsia="黑体"/>
          <w:color w:val="auto"/>
          <w:sz w:val="32"/>
          <w:szCs w:val="32"/>
          <w:u w:val="none"/>
        </w:rPr>
        <w:t>、保障措施</w:t>
      </w:r>
    </w:p>
    <w:p>
      <w:pPr>
        <w:keepNext w:val="0"/>
        <w:keepLines w:val="0"/>
        <w:pageBreakBefore w:val="0"/>
        <w:widowControl w:val="0"/>
        <w:kinsoku/>
        <w:wordWrap/>
        <w:overflowPunct/>
        <w:topLinePunct w:val="0"/>
        <w:autoSpaceDE/>
        <w:autoSpaceDN/>
        <w:bidi w:val="0"/>
        <w:spacing w:line="552" w:lineRule="exact"/>
        <w:ind w:left="600"/>
        <w:textAlignment w:val="auto"/>
        <w:rPr>
          <w:rFonts w:ascii="楷体_GB2312" w:hAnsi="黑体" w:eastAsia="楷体_GB2312"/>
          <w:b/>
          <w:color w:val="auto"/>
          <w:sz w:val="32"/>
          <w:szCs w:val="32"/>
          <w:u w:val="none"/>
        </w:rPr>
      </w:pPr>
      <w:r>
        <w:rPr>
          <w:rFonts w:hint="eastAsia" w:ascii="楷体_GB2312" w:hAnsi="黑体" w:eastAsia="楷体_GB2312"/>
          <w:b/>
          <w:color w:val="auto"/>
          <w:sz w:val="32"/>
          <w:szCs w:val="32"/>
          <w:u w:val="none"/>
          <w:lang w:eastAsia="zh-CN"/>
        </w:rPr>
        <w:t>（一）</w:t>
      </w:r>
      <w:r>
        <w:rPr>
          <w:rFonts w:hint="eastAsia" w:ascii="楷体_GB2312" w:hAnsi="黑体" w:eastAsia="楷体_GB2312"/>
          <w:b/>
          <w:color w:val="auto"/>
          <w:sz w:val="32"/>
          <w:szCs w:val="32"/>
          <w:u w:val="none"/>
        </w:rPr>
        <w:t>健全</w:t>
      </w:r>
      <w:r>
        <w:rPr>
          <w:rFonts w:hint="eastAsia" w:ascii="楷体_GB2312" w:hAnsi="黑体" w:eastAsia="楷体_GB2312"/>
          <w:b/>
          <w:color w:val="auto"/>
          <w:sz w:val="32"/>
          <w:szCs w:val="32"/>
          <w:u w:val="none"/>
          <w:lang w:eastAsia="zh-CN"/>
        </w:rPr>
        <w:t>工作</w:t>
      </w:r>
      <w:r>
        <w:rPr>
          <w:rFonts w:hint="eastAsia" w:ascii="楷体_GB2312" w:hAnsi="黑体" w:eastAsia="楷体_GB2312"/>
          <w:b/>
          <w:color w:val="auto"/>
          <w:sz w:val="32"/>
          <w:szCs w:val="32"/>
          <w:u w:val="none"/>
        </w:rPr>
        <w:t>机制</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lang w:eastAsia="zh-CN"/>
        </w:rPr>
      </w:pPr>
      <w:r>
        <w:rPr>
          <w:rFonts w:hint="eastAsia" w:ascii="Times New Roman" w:hAnsi="Times New Roman" w:eastAsia="仿宋_GB2312"/>
          <w:color w:val="auto"/>
          <w:sz w:val="32"/>
          <w:szCs w:val="32"/>
          <w:u w:val="none"/>
          <w:lang w:val="en-US" w:eastAsia="zh-CN"/>
        </w:rPr>
        <w:t>根据区政府统筹部署，</w:t>
      </w:r>
      <w:r>
        <w:rPr>
          <w:rFonts w:hint="eastAsia" w:ascii="Times New Roman" w:hAnsi="Times New Roman" w:eastAsia="仿宋_GB2312"/>
          <w:color w:val="auto"/>
          <w:sz w:val="32"/>
          <w:szCs w:val="32"/>
          <w:u w:val="none"/>
          <w:lang w:eastAsia="zh-CN"/>
        </w:rPr>
        <w:t>由</w:t>
      </w:r>
      <w:r>
        <w:rPr>
          <w:rFonts w:hint="eastAsia" w:ascii="Times New Roman" w:hAnsi="Times New Roman" w:eastAsia="仿宋_GB2312"/>
          <w:color w:val="auto"/>
          <w:sz w:val="32"/>
          <w:szCs w:val="32"/>
          <w:u w:val="none"/>
          <w:lang w:val="en-US" w:eastAsia="zh-CN"/>
        </w:rPr>
        <w:t>区扶持企业发展联席会议</w:t>
      </w:r>
      <w:r>
        <w:rPr>
          <w:rFonts w:hint="eastAsia" w:ascii="Times New Roman" w:hAnsi="Times New Roman" w:eastAsia="仿宋_GB2312"/>
          <w:color w:val="auto"/>
          <w:sz w:val="32"/>
          <w:szCs w:val="32"/>
          <w:u w:val="none"/>
          <w:lang w:eastAsia="zh-CN"/>
        </w:rPr>
        <w:t>召集，建立专项工作推进机制，负责对全区资源利用效率评价</w:t>
      </w:r>
      <w:r>
        <w:rPr>
          <w:rFonts w:hint="eastAsia" w:ascii="Times New Roman" w:hAnsi="Times New Roman" w:eastAsia="仿宋_GB2312"/>
          <w:color w:val="auto"/>
          <w:sz w:val="32"/>
          <w:szCs w:val="32"/>
          <w:u w:val="none"/>
        </w:rPr>
        <w:t>工作进行统筹指导和协调落实</w:t>
      </w:r>
      <w:r>
        <w:rPr>
          <w:rFonts w:hint="eastAsia" w:ascii="Times New Roman" w:hAnsi="Times New Roman" w:eastAsia="仿宋_GB2312"/>
          <w:color w:val="auto"/>
          <w:sz w:val="32"/>
          <w:szCs w:val="32"/>
          <w:u w:val="none"/>
          <w:lang w:val="en-US" w:eastAsia="zh-CN"/>
        </w:rPr>
        <w:t>，</w:t>
      </w:r>
      <w:r>
        <w:rPr>
          <w:rFonts w:hint="eastAsia" w:ascii="Times New Roman" w:hAnsi="Times New Roman" w:eastAsia="仿宋_GB2312"/>
          <w:color w:val="auto"/>
          <w:sz w:val="32"/>
          <w:szCs w:val="32"/>
          <w:u w:val="none"/>
        </w:rPr>
        <w:t>制</w:t>
      </w:r>
      <w:r>
        <w:rPr>
          <w:rFonts w:hint="eastAsia" w:ascii="Times New Roman" w:hAnsi="Times New Roman" w:eastAsia="仿宋_GB2312"/>
          <w:color w:val="auto"/>
          <w:sz w:val="32"/>
          <w:szCs w:val="32"/>
          <w:u w:val="none"/>
          <w:lang w:val="en-US" w:eastAsia="zh-CN"/>
        </w:rPr>
        <w:t>订</w:t>
      </w:r>
      <w:r>
        <w:rPr>
          <w:rFonts w:hint="eastAsia" w:ascii="Times New Roman" w:hAnsi="Times New Roman" w:eastAsia="仿宋_GB2312"/>
          <w:color w:val="auto"/>
          <w:sz w:val="32"/>
          <w:szCs w:val="32"/>
          <w:u w:val="none"/>
        </w:rPr>
        <w:t>和落实差别化政策措施</w:t>
      </w:r>
      <w:r>
        <w:rPr>
          <w:rFonts w:hint="eastAsia" w:ascii="Times New Roman" w:hAnsi="Times New Roman" w:eastAsia="仿宋_GB2312"/>
          <w:color w:val="auto"/>
          <w:sz w:val="32"/>
          <w:szCs w:val="32"/>
          <w:u w:val="none"/>
          <w:lang w:eastAsia="zh-CN"/>
        </w:rPr>
        <w:t>。各相关职能部门及乡镇（园区）要高度重视工业企业资源利用效率评价工作，配强工作力量，增加工作主动性，根据职责分工密切协作配合，合力抓好落实，统筹推进资源利用效率评价工作。同时，依靠第三方专业机构，不断提升工业企业资源利用效率评价工作准确度与专业性。</w:t>
      </w:r>
    </w:p>
    <w:p>
      <w:pPr>
        <w:keepNext w:val="0"/>
        <w:keepLines w:val="0"/>
        <w:pageBreakBefore w:val="0"/>
        <w:widowControl w:val="0"/>
        <w:kinsoku/>
        <w:wordWrap/>
        <w:overflowPunct/>
        <w:topLinePunct w:val="0"/>
        <w:autoSpaceDE/>
        <w:autoSpaceDN/>
        <w:bidi w:val="0"/>
        <w:spacing w:line="552" w:lineRule="exact"/>
        <w:ind w:left="600"/>
        <w:textAlignment w:val="auto"/>
        <w:rPr>
          <w:rFonts w:ascii="楷体_GB2312" w:hAnsi="黑体" w:eastAsia="楷体_GB2312"/>
          <w:b/>
          <w:color w:val="auto"/>
          <w:sz w:val="32"/>
          <w:szCs w:val="32"/>
          <w:u w:val="none"/>
          <w:lang w:val="en-US"/>
        </w:rPr>
      </w:pPr>
      <w:r>
        <w:rPr>
          <w:rFonts w:hint="eastAsia" w:ascii="楷体_GB2312" w:hAnsi="黑体" w:eastAsia="楷体_GB2312"/>
          <w:b/>
          <w:color w:val="auto"/>
          <w:sz w:val="32"/>
          <w:szCs w:val="32"/>
          <w:u w:val="none"/>
          <w:lang w:eastAsia="zh-CN"/>
        </w:rPr>
        <w:t>（二）</w:t>
      </w:r>
      <w:r>
        <w:rPr>
          <w:rFonts w:hint="eastAsia" w:ascii="楷体_GB2312" w:hAnsi="黑体" w:eastAsia="楷体_GB2312"/>
          <w:b/>
          <w:color w:val="auto"/>
          <w:sz w:val="32"/>
          <w:szCs w:val="32"/>
          <w:u w:val="none"/>
          <w:lang w:val="en-US" w:eastAsia="zh-CN"/>
        </w:rPr>
        <w:t>实施动态管理</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lang w:val="en-US" w:eastAsia="zh-CN"/>
        </w:rPr>
      </w:pPr>
      <w:r>
        <w:rPr>
          <w:rFonts w:hint="eastAsia" w:ascii="Times New Roman" w:hAnsi="Times New Roman" w:eastAsia="仿宋_GB2312"/>
          <w:color w:val="auto"/>
          <w:sz w:val="32"/>
          <w:szCs w:val="32"/>
          <w:u w:val="none"/>
          <w:lang w:val="en-US" w:eastAsia="zh-CN"/>
        </w:rPr>
        <w:t>完善区资源利用效率评价数据库建设，</w:t>
      </w:r>
      <w:r>
        <w:rPr>
          <w:rFonts w:hint="eastAsia" w:ascii="仿宋_GB2312" w:hAnsi="黑体" w:eastAsia="仿宋_GB2312"/>
          <w:color w:val="auto"/>
          <w:sz w:val="32"/>
          <w:szCs w:val="32"/>
          <w:u w:val="none"/>
          <w:lang w:val="en-US" w:eastAsia="zh-CN"/>
        </w:rPr>
        <w:t>对</w:t>
      </w:r>
      <w:r>
        <w:rPr>
          <w:rFonts w:ascii="仿宋_GB2312" w:hAnsi="黑体" w:eastAsia="仿宋_GB2312"/>
          <w:color w:val="auto"/>
          <w:sz w:val="32"/>
          <w:szCs w:val="32"/>
          <w:u w:val="none"/>
        </w:rPr>
        <w:t>A</w:t>
      </w:r>
      <w:r>
        <w:rPr>
          <w:rFonts w:hint="eastAsia" w:ascii="仿宋_GB2312" w:hAnsi="黑体" w:eastAsia="仿宋_GB2312"/>
          <w:b w:val="0"/>
          <w:bCs/>
          <w:color w:val="auto"/>
          <w:sz w:val="32"/>
          <w:szCs w:val="32"/>
          <w:u w:val="none"/>
        </w:rPr>
        <w:t>、</w:t>
      </w:r>
      <w:r>
        <w:rPr>
          <w:rFonts w:ascii="仿宋_GB2312" w:hAnsi="黑体" w:eastAsia="仿宋_GB2312"/>
          <w:color w:val="auto"/>
          <w:sz w:val="32"/>
          <w:szCs w:val="32"/>
          <w:u w:val="none"/>
        </w:rPr>
        <w:t>B</w:t>
      </w:r>
      <w:r>
        <w:rPr>
          <w:rFonts w:hint="eastAsia" w:ascii="仿宋_GB2312" w:hAnsi="黑体" w:eastAsia="仿宋_GB2312"/>
          <w:b w:val="0"/>
          <w:bCs/>
          <w:color w:val="auto"/>
          <w:sz w:val="32"/>
          <w:szCs w:val="32"/>
          <w:u w:val="none"/>
        </w:rPr>
        <w:t>、</w:t>
      </w:r>
      <w:r>
        <w:rPr>
          <w:rFonts w:hint="eastAsia" w:ascii="仿宋_GB2312" w:hAnsi="黑体" w:eastAsia="仿宋_GB2312"/>
          <w:b w:val="0"/>
          <w:bCs/>
          <w:color w:val="auto"/>
          <w:sz w:val="32"/>
          <w:szCs w:val="32"/>
          <w:u w:val="none"/>
          <w:lang w:val="en-US" w:eastAsia="zh-CN"/>
        </w:rPr>
        <w:t>C</w:t>
      </w:r>
      <w:r>
        <w:rPr>
          <w:rFonts w:hint="eastAsia" w:ascii="仿宋_GB2312" w:hAnsi="黑体" w:eastAsia="仿宋_GB2312"/>
          <w:b w:val="0"/>
          <w:bCs/>
          <w:color w:val="auto"/>
          <w:sz w:val="32"/>
          <w:szCs w:val="32"/>
          <w:u w:val="none"/>
        </w:rPr>
        <w:t>、</w:t>
      </w:r>
      <w:r>
        <w:rPr>
          <w:rFonts w:hint="eastAsia" w:ascii="仿宋_GB2312" w:hAnsi="黑体" w:eastAsia="仿宋_GB2312"/>
          <w:color w:val="auto"/>
          <w:sz w:val="32"/>
          <w:szCs w:val="32"/>
          <w:u w:val="none"/>
          <w:lang w:val="en-US" w:eastAsia="zh-CN"/>
        </w:rPr>
        <w:t>D四类企业的分类实行动态管理。加快实现评价数据归集和评价应用，保障基础数据的准确</w:t>
      </w:r>
      <w:r>
        <w:rPr>
          <w:rFonts w:hint="eastAsia" w:ascii="仿宋_GB2312" w:hAnsi="黑体" w:eastAsia="仿宋_GB2312"/>
          <w:b w:val="0"/>
          <w:bCs/>
          <w:color w:val="auto"/>
          <w:sz w:val="32"/>
          <w:szCs w:val="32"/>
          <w:u w:val="none"/>
        </w:rPr>
        <w:t>、</w:t>
      </w:r>
      <w:r>
        <w:rPr>
          <w:rFonts w:hint="eastAsia" w:ascii="仿宋_GB2312" w:hAnsi="黑体" w:eastAsia="仿宋_GB2312"/>
          <w:color w:val="auto"/>
          <w:sz w:val="32"/>
          <w:szCs w:val="32"/>
          <w:u w:val="none"/>
          <w:lang w:val="en-US" w:eastAsia="zh-CN"/>
        </w:rPr>
        <w:t>完整</w:t>
      </w:r>
      <w:r>
        <w:rPr>
          <w:rFonts w:hint="eastAsia" w:ascii="仿宋_GB2312" w:hAnsi="黑体" w:eastAsia="仿宋_GB2312"/>
          <w:b w:val="0"/>
          <w:bCs/>
          <w:color w:val="auto"/>
          <w:sz w:val="32"/>
          <w:szCs w:val="32"/>
          <w:u w:val="none"/>
        </w:rPr>
        <w:t>、</w:t>
      </w:r>
      <w:r>
        <w:rPr>
          <w:rFonts w:hint="eastAsia" w:ascii="仿宋_GB2312" w:hAnsi="黑体" w:eastAsia="仿宋_GB2312"/>
          <w:b w:val="0"/>
          <w:bCs/>
          <w:color w:val="auto"/>
          <w:sz w:val="32"/>
          <w:szCs w:val="32"/>
          <w:u w:val="none"/>
          <w:lang w:val="en-US" w:eastAsia="zh-CN"/>
        </w:rPr>
        <w:t>及时更新和共享，实现对工业企业经济运行情况和资源评价情况的客观反映，助推施行差别化政策。每两年评价一次，并按新的评价得分调整评级，确定企业新的类别。</w:t>
      </w:r>
    </w:p>
    <w:p>
      <w:pPr>
        <w:keepNext w:val="0"/>
        <w:keepLines w:val="0"/>
        <w:pageBreakBefore w:val="0"/>
        <w:widowControl w:val="0"/>
        <w:kinsoku/>
        <w:wordWrap/>
        <w:overflowPunct/>
        <w:topLinePunct w:val="0"/>
        <w:autoSpaceDE/>
        <w:autoSpaceDN/>
        <w:bidi w:val="0"/>
        <w:spacing w:line="552" w:lineRule="exact"/>
        <w:ind w:left="600"/>
        <w:textAlignment w:val="auto"/>
        <w:rPr>
          <w:rFonts w:ascii="楷体_GB2312" w:hAnsi="黑体" w:eastAsia="楷体_GB2312"/>
          <w:b/>
          <w:color w:val="auto"/>
          <w:sz w:val="32"/>
          <w:szCs w:val="32"/>
          <w:u w:val="none"/>
        </w:rPr>
      </w:pPr>
      <w:r>
        <w:rPr>
          <w:rFonts w:hint="eastAsia" w:ascii="楷体_GB2312" w:hAnsi="黑体" w:eastAsia="楷体_GB2312"/>
          <w:b/>
          <w:color w:val="auto"/>
          <w:sz w:val="32"/>
          <w:szCs w:val="32"/>
          <w:u w:val="none"/>
          <w:lang w:eastAsia="zh-CN"/>
        </w:rPr>
        <w:t>（</w:t>
      </w:r>
      <w:r>
        <w:rPr>
          <w:rFonts w:hint="eastAsia" w:ascii="楷体_GB2312" w:hAnsi="黑体" w:eastAsia="楷体_GB2312"/>
          <w:b/>
          <w:color w:val="auto"/>
          <w:sz w:val="32"/>
          <w:szCs w:val="32"/>
          <w:u w:val="none"/>
          <w:lang w:val="en-US" w:eastAsia="zh-CN"/>
        </w:rPr>
        <w:t>三</w:t>
      </w:r>
      <w:r>
        <w:rPr>
          <w:rFonts w:hint="eastAsia" w:ascii="楷体_GB2312" w:hAnsi="黑体" w:eastAsia="楷体_GB2312"/>
          <w:b/>
          <w:color w:val="auto"/>
          <w:sz w:val="32"/>
          <w:szCs w:val="32"/>
          <w:u w:val="none"/>
          <w:lang w:eastAsia="zh-CN"/>
        </w:rPr>
        <w:t>）加强</w:t>
      </w:r>
      <w:r>
        <w:rPr>
          <w:rFonts w:hint="eastAsia" w:ascii="楷体_GB2312" w:hAnsi="黑体" w:eastAsia="楷体_GB2312"/>
          <w:b/>
          <w:color w:val="auto"/>
          <w:sz w:val="32"/>
          <w:szCs w:val="32"/>
          <w:u w:val="none"/>
        </w:rPr>
        <w:t>督查考核</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rPr>
          <w:rFonts w:hint="eastAsia" w:ascii="Times New Roman" w:hAnsi="Times New Roman" w:eastAsia="仿宋_GB2312"/>
          <w:color w:val="auto"/>
          <w:sz w:val="32"/>
          <w:szCs w:val="32"/>
          <w:u w:val="none"/>
          <w:lang w:eastAsia="zh-CN"/>
        </w:rPr>
      </w:pPr>
      <w:r>
        <w:rPr>
          <w:rFonts w:hint="eastAsia" w:ascii="Times New Roman" w:hAnsi="Times New Roman" w:eastAsia="仿宋_GB2312"/>
          <w:color w:val="auto"/>
          <w:sz w:val="32"/>
          <w:szCs w:val="32"/>
          <w:u w:val="none"/>
        </w:rPr>
        <w:t>加强对各</w:t>
      </w:r>
      <w:r>
        <w:rPr>
          <w:rFonts w:hint="eastAsia" w:ascii="Times New Roman" w:hAnsi="Times New Roman" w:eastAsia="仿宋_GB2312"/>
          <w:color w:val="auto"/>
          <w:sz w:val="32"/>
          <w:szCs w:val="32"/>
          <w:u w:val="none"/>
          <w:lang w:eastAsia="zh-CN"/>
        </w:rPr>
        <w:t>乡镇（园区）</w:t>
      </w:r>
      <w:r>
        <w:rPr>
          <w:rFonts w:hint="eastAsia" w:ascii="Times New Roman" w:hAnsi="Times New Roman" w:eastAsia="仿宋_GB2312"/>
          <w:color w:val="auto"/>
          <w:sz w:val="32"/>
          <w:szCs w:val="32"/>
          <w:u w:val="none"/>
        </w:rPr>
        <w:t>和各部门工作进展情况的跟踪督查，统筹协调解决困难和问题，确保评价工作扎实有序推进</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评价工作相关指标纳入</w:t>
      </w:r>
      <w:r>
        <w:rPr>
          <w:rFonts w:hint="eastAsia" w:ascii="Times New Roman" w:hAnsi="Times New Roman" w:eastAsia="仿宋_GB2312"/>
          <w:color w:val="auto"/>
          <w:sz w:val="32"/>
          <w:szCs w:val="32"/>
          <w:u w:val="none"/>
          <w:lang w:eastAsia="zh-CN"/>
        </w:rPr>
        <w:t>乡镇（园区）</w:t>
      </w:r>
      <w:r>
        <w:rPr>
          <w:rFonts w:hint="eastAsia" w:ascii="Times New Roman" w:hAnsi="Times New Roman" w:eastAsia="仿宋_GB2312"/>
          <w:color w:val="auto"/>
          <w:sz w:val="32"/>
          <w:szCs w:val="32"/>
          <w:u w:val="none"/>
          <w:lang w:val="en-US" w:eastAsia="zh-CN"/>
        </w:rPr>
        <w:t>年度</w:t>
      </w:r>
      <w:r>
        <w:rPr>
          <w:rFonts w:hint="eastAsia" w:ascii="Times New Roman" w:hAnsi="Times New Roman" w:eastAsia="仿宋_GB2312"/>
          <w:color w:val="auto"/>
          <w:sz w:val="32"/>
          <w:szCs w:val="32"/>
          <w:u w:val="none"/>
        </w:rPr>
        <w:t>绩效考核中</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lang w:val="en-US" w:eastAsia="zh-CN"/>
        </w:rPr>
        <w:t>对评价工作落实成效显著的乡镇、园区，区级有关部门在落实财政</w:t>
      </w:r>
      <w:r>
        <w:rPr>
          <w:rFonts w:hint="eastAsia" w:ascii="仿宋_GB2312" w:hAnsi="仿宋_GB2312" w:eastAsia="仿宋_GB2312" w:cs="仿宋_GB2312"/>
          <w:color w:val="auto"/>
          <w:sz w:val="32"/>
          <w:szCs w:val="32"/>
          <w:u w:val="none"/>
          <w:lang w:val="en-US" w:eastAsia="zh-CN"/>
        </w:rPr>
        <w:t>、规划、用地、用能及环境指标分配等方面予以优先考虑。</w:t>
      </w:r>
    </w:p>
    <w:p>
      <w:pPr>
        <w:keepNext w:val="0"/>
        <w:keepLines w:val="0"/>
        <w:pageBreakBefore w:val="0"/>
        <w:widowControl w:val="0"/>
        <w:kinsoku/>
        <w:wordWrap/>
        <w:overflowPunct/>
        <w:topLinePunct w:val="0"/>
        <w:autoSpaceDE/>
        <w:autoSpaceDN/>
        <w:bidi w:val="0"/>
        <w:spacing w:line="552" w:lineRule="exact"/>
        <w:ind w:left="600"/>
        <w:textAlignment w:val="auto"/>
        <w:rPr>
          <w:rFonts w:hint="eastAsia" w:ascii="楷体_GB2312" w:hAnsi="黑体" w:eastAsia="楷体_GB2312"/>
          <w:b/>
          <w:color w:val="auto"/>
          <w:sz w:val="32"/>
          <w:szCs w:val="32"/>
          <w:u w:val="none"/>
          <w:lang w:eastAsia="zh-CN"/>
        </w:rPr>
      </w:pPr>
      <w:r>
        <w:rPr>
          <w:rFonts w:hint="eastAsia" w:ascii="楷体_GB2312" w:hAnsi="黑体" w:eastAsia="楷体_GB2312"/>
          <w:b/>
          <w:color w:val="auto"/>
          <w:sz w:val="32"/>
          <w:szCs w:val="32"/>
          <w:u w:val="none"/>
          <w:lang w:eastAsia="zh-CN"/>
        </w:rPr>
        <w:t>（</w:t>
      </w:r>
      <w:r>
        <w:rPr>
          <w:rFonts w:hint="eastAsia" w:ascii="楷体_GB2312" w:hAnsi="黑体" w:eastAsia="楷体_GB2312"/>
          <w:b/>
          <w:color w:val="auto"/>
          <w:sz w:val="32"/>
          <w:szCs w:val="32"/>
          <w:u w:val="none"/>
          <w:lang w:val="en-US" w:eastAsia="zh-CN"/>
        </w:rPr>
        <w:t>四</w:t>
      </w:r>
      <w:r>
        <w:rPr>
          <w:rFonts w:hint="eastAsia" w:ascii="楷体_GB2312" w:hAnsi="黑体" w:eastAsia="楷体_GB2312"/>
          <w:b/>
          <w:color w:val="auto"/>
          <w:sz w:val="32"/>
          <w:szCs w:val="32"/>
          <w:u w:val="none"/>
          <w:lang w:eastAsia="zh-CN"/>
        </w:rPr>
        <w:t>）加大宣传引导</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outlineLvl w:val="1"/>
        <w:rPr>
          <w:rFonts w:hint="eastAsia" w:ascii="Times New Roman" w:hAnsi="Times New Roman" w:eastAsia="仿宋_GB2312"/>
          <w:color w:val="auto"/>
          <w:sz w:val="32"/>
          <w:szCs w:val="32"/>
          <w:u w:val="none"/>
          <w:lang w:eastAsia="zh-CN"/>
        </w:rPr>
      </w:pPr>
      <w:r>
        <w:rPr>
          <w:rFonts w:hint="eastAsia" w:ascii="Times New Roman" w:hAnsi="Times New Roman" w:eastAsia="仿宋_GB2312"/>
          <w:color w:val="auto"/>
          <w:sz w:val="32"/>
          <w:szCs w:val="32"/>
          <w:u w:val="none"/>
        </w:rPr>
        <w:t>充分发挥新闻媒体和行业协会的作用</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加大宣传力度</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做好有关评价办法和政策措施的解读说明</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强化质量意识</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优化营商环境</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激发市场活力</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引导企业积极主动参与。</w:t>
      </w:r>
      <w:r>
        <w:rPr>
          <w:rFonts w:hint="eastAsia" w:ascii="Times New Roman" w:hAnsi="Times New Roman" w:eastAsia="仿宋_GB2312"/>
          <w:color w:val="auto"/>
          <w:sz w:val="32"/>
          <w:szCs w:val="32"/>
          <w:u w:val="none"/>
          <w:lang w:eastAsia="zh-CN"/>
        </w:rPr>
        <w:t>加强信息主动公开，接受社会各界对资源利用效率评价工作的监督。</w:t>
      </w:r>
      <w:r>
        <w:rPr>
          <w:rFonts w:hint="eastAsia" w:ascii="Times New Roman" w:hAnsi="Times New Roman" w:eastAsia="仿宋_GB2312"/>
          <w:color w:val="auto"/>
          <w:sz w:val="32"/>
          <w:szCs w:val="32"/>
          <w:u w:val="none"/>
        </w:rPr>
        <w:t>对各</w:t>
      </w:r>
      <w:r>
        <w:rPr>
          <w:rFonts w:hint="eastAsia" w:ascii="Times New Roman" w:hAnsi="Times New Roman" w:eastAsia="仿宋_GB2312"/>
          <w:color w:val="auto"/>
          <w:sz w:val="32"/>
          <w:szCs w:val="32"/>
          <w:u w:val="none"/>
          <w:lang w:val="en-US" w:eastAsia="zh-CN"/>
        </w:rPr>
        <w:t>乡镇</w:t>
      </w:r>
      <w:r>
        <w:rPr>
          <w:rFonts w:hint="eastAsia" w:ascii="Times New Roman" w:hAnsi="Times New Roman" w:eastAsia="仿宋_GB2312"/>
          <w:color w:val="auto"/>
          <w:sz w:val="32"/>
          <w:szCs w:val="32"/>
          <w:u w:val="none"/>
        </w:rPr>
        <w:t>和园区在资源利用效率评价及差别化政策实施过程中的实践探索</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加以总结推广和提炼创新</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不</w:t>
      </w:r>
      <w:r>
        <w:rPr>
          <w:rFonts w:hint="eastAsia" w:ascii="Times New Roman" w:hAnsi="Times New Roman" w:eastAsia="仿宋_GB2312"/>
          <w:color w:val="auto"/>
          <w:sz w:val="32"/>
          <w:szCs w:val="32"/>
          <w:u w:val="none"/>
          <w:lang w:eastAsia="zh-CN"/>
        </w:rPr>
        <w:t>断</w:t>
      </w:r>
      <w:r>
        <w:rPr>
          <w:rFonts w:hint="eastAsia" w:ascii="Times New Roman" w:hAnsi="Times New Roman" w:eastAsia="仿宋_GB2312"/>
          <w:color w:val="auto"/>
          <w:sz w:val="32"/>
          <w:szCs w:val="32"/>
          <w:u w:val="none"/>
        </w:rPr>
        <w:t>完善相关工作。对资源利用效率评价位于前列</w:t>
      </w:r>
      <w:r>
        <w:rPr>
          <w:rFonts w:hint="eastAsia" w:ascii="Times New Roman" w:hAnsi="Times New Roman" w:eastAsia="仿宋_GB2312"/>
          <w:color w:val="auto"/>
          <w:sz w:val="32"/>
          <w:szCs w:val="32"/>
          <w:u w:val="none"/>
          <w:lang w:eastAsia="zh-CN"/>
        </w:rPr>
        <w:t>的</w:t>
      </w:r>
      <w:r>
        <w:rPr>
          <w:rFonts w:hint="eastAsia" w:ascii="Times New Roman" w:hAnsi="Times New Roman" w:eastAsia="仿宋_GB2312"/>
          <w:color w:val="auto"/>
          <w:sz w:val="32"/>
          <w:szCs w:val="32"/>
          <w:u w:val="none"/>
        </w:rPr>
        <w:t>企业</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加强宣传报道</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充分发挥其领跑带动作用</w:t>
      </w:r>
      <w:r>
        <w:rPr>
          <w:rFonts w:hint="eastAsia" w:ascii="Times New Roman" w:hAnsi="Times New Roman" w:eastAsia="仿宋_GB2312"/>
          <w:color w:val="auto"/>
          <w:sz w:val="32"/>
          <w:szCs w:val="32"/>
          <w:u w:val="none"/>
          <w:lang w:eastAsia="zh-CN"/>
        </w:rPr>
        <w:t>，</w:t>
      </w:r>
      <w:r>
        <w:rPr>
          <w:rFonts w:hint="eastAsia" w:ascii="Times New Roman" w:hAnsi="Times New Roman" w:eastAsia="仿宋_GB2312"/>
          <w:color w:val="auto"/>
          <w:sz w:val="32"/>
          <w:szCs w:val="32"/>
          <w:u w:val="none"/>
        </w:rPr>
        <w:t>激励企业创优争先提质增效</w:t>
      </w:r>
      <w:r>
        <w:rPr>
          <w:rFonts w:hint="eastAsia" w:ascii="Times New Roman" w:hAnsi="Times New Roman" w:eastAsia="仿宋_GB2312"/>
          <w:color w:val="auto"/>
          <w:sz w:val="32"/>
          <w:szCs w:val="32"/>
          <w:u w:val="none"/>
          <w:lang w:eastAsia="zh-CN"/>
        </w:rPr>
        <w:t>。</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outlineLvl w:val="1"/>
        <w:rPr>
          <w:rFonts w:hint="eastAsia" w:ascii="黑体" w:hAnsi="黑体" w:eastAsia="黑体"/>
          <w:color w:val="auto"/>
          <w:sz w:val="32"/>
          <w:szCs w:val="32"/>
          <w:u w:val="none"/>
          <w:lang w:val="en-US" w:eastAsia="zh-CN"/>
        </w:rPr>
      </w:pPr>
      <w:r>
        <w:rPr>
          <w:rFonts w:hint="eastAsia" w:ascii="黑体" w:hAnsi="黑体" w:eastAsia="黑体"/>
          <w:color w:val="auto"/>
          <w:sz w:val="32"/>
          <w:szCs w:val="32"/>
          <w:u w:val="none"/>
          <w:lang w:val="en-US" w:eastAsia="zh-CN"/>
        </w:rPr>
        <w:t>六、其他</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outlineLvl w:val="1"/>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本实施意见由区经委会同区相关部门负责解释。如遇市级政策文件调整，本意见将做相应调整。</w:t>
      </w:r>
    </w:p>
    <w:p>
      <w:pPr>
        <w:keepNext w:val="0"/>
        <w:keepLines w:val="0"/>
        <w:pageBreakBefore w:val="0"/>
        <w:widowControl w:val="0"/>
        <w:kinsoku/>
        <w:wordWrap/>
        <w:overflowPunct/>
        <w:topLinePunct w:val="0"/>
        <w:autoSpaceDE/>
        <w:autoSpaceDN/>
        <w:bidi w:val="0"/>
        <w:spacing w:line="552" w:lineRule="exact"/>
        <w:ind w:firstLine="640" w:firstLineChars="200"/>
        <w:textAlignment w:val="auto"/>
        <w:outlineLvl w:val="1"/>
        <w:rPr>
          <w:rFonts w:hint="eastAsia" w:ascii="仿宋_GB2312" w:hAnsi="黑体" w:eastAsia="仿宋_GB2312"/>
          <w:color w:val="auto"/>
          <w:sz w:val="32"/>
          <w:szCs w:val="32"/>
          <w:u w:val="none"/>
          <w:lang w:val="en-US" w:eastAsia="zh-CN"/>
        </w:rPr>
      </w:pPr>
    </w:p>
    <w:p>
      <w:pPr>
        <w:keepNext w:val="0"/>
        <w:keepLines w:val="0"/>
        <w:pageBreakBefore w:val="0"/>
        <w:widowControl w:val="0"/>
        <w:kinsoku/>
        <w:wordWrap/>
        <w:overflowPunct/>
        <w:topLinePunct w:val="0"/>
        <w:autoSpaceDE/>
        <w:autoSpaceDN/>
        <w:bidi w:val="0"/>
        <w:spacing w:line="552" w:lineRule="exact"/>
        <w:ind w:firstLine="640" w:firstLineChars="200"/>
        <w:textAlignment w:val="auto"/>
        <w:outlineLvl w:val="1"/>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附件：</w:t>
      </w:r>
      <w:r>
        <w:rPr>
          <w:rFonts w:hint="eastAsia" w:ascii="仿宋_GB2312" w:hAnsi="黑体" w:eastAsia="仿宋_GB2312"/>
          <w:color w:val="auto"/>
          <w:sz w:val="32"/>
          <w:szCs w:val="32"/>
          <w:u w:val="none"/>
        </w:rPr>
        <w:t>资源利用效率评价主要指标解释</w:t>
      </w:r>
    </w:p>
    <w:p>
      <w:pPr>
        <w:keepNext w:val="0"/>
        <w:keepLines w:val="0"/>
        <w:pageBreakBefore w:val="0"/>
        <w:widowControl w:val="0"/>
        <w:kinsoku/>
        <w:wordWrap/>
        <w:overflowPunct/>
        <w:topLinePunct w:val="0"/>
        <w:autoSpaceDE/>
        <w:autoSpaceDN/>
        <w:bidi w:val="0"/>
        <w:spacing w:line="552" w:lineRule="exact"/>
        <w:textAlignment w:val="auto"/>
        <w:outlineLvl w:val="1"/>
        <w:rPr>
          <w:rFonts w:ascii="仿宋_GB2312" w:hAnsi="黑体" w:eastAsia="仿宋_GB2312"/>
          <w:color w:val="auto"/>
          <w:sz w:val="32"/>
          <w:szCs w:val="32"/>
          <w:u w:val="none"/>
        </w:rPr>
      </w:pPr>
    </w:p>
    <w:p>
      <w:pPr>
        <w:keepNext w:val="0"/>
        <w:keepLines w:val="0"/>
        <w:pageBreakBefore w:val="0"/>
        <w:widowControl w:val="0"/>
        <w:kinsoku/>
        <w:wordWrap/>
        <w:overflowPunct/>
        <w:topLinePunct w:val="0"/>
        <w:autoSpaceDE/>
        <w:autoSpaceDN/>
        <w:bidi w:val="0"/>
        <w:spacing w:line="552" w:lineRule="exact"/>
        <w:textAlignment w:val="auto"/>
        <w:outlineLvl w:val="1"/>
        <w:rPr>
          <w:rFonts w:hint="eastAsia" w:ascii="仿宋_GB2312" w:hAnsi="黑体" w:eastAsia="仿宋_GB2312"/>
          <w:color w:val="auto"/>
          <w:sz w:val="32"/>
          <w:szCs w:val="32"/>
          <w:u w:val="none"/>
          <w:lang w:val="en-US" w:eastAsia="zh-CN"/>
        </w:rPr>
      </w:pPr>
      <w:r>
        <w:rPr>
          <w:rFonts w:hint="eastAsia" w:ascii="仿宋_GB2312" w:hAnsi="黑体" w:eastAsia="仿宋_GB2312"/>
          <w:color w:val="auto"/>
          <w:sz w:val="32"/>
          <w:szCs w:val="32"/>
          <w:u w:val="none"/>
          <w:lang w:val="en-US" w:eastAsia="zh-CN"/>
        </w:rPr>
        <w:t xml:space="preserve">                               崇明区经济委员会</w:t>
      </w:r>
    </w:p>
    <w:p>
      <w:pPr>
        <w:keepNext w:val="0"/>
        <w:keepLines w:val="0"/>
        <w:pageBreakBefore w:val="0"/>
        <w:widowControl w:val="0"/>
        <w:kinsoku/>
        <w:wordWrap/>
        <w:overflowPunct/>
        <w:topLinePunct w:val="0"/>
        <w:autoSpaceDE/>
        <w:autoSpaceDN/>
        <w:bidi w:val="0"/>
        <w:spacing w:line="552" w:lineRule="exact"/>
        <w:ind w:left="4200" w:leftChars="2000"/>
        <w:jc w:val="center"/>
        <w:textAlignment w:val="auto"/>
        <w:rPr>
          <w:rFonts w:ascii="仿宋_GB2312" w:hAnsi="黑体" w:eastAsia="仿宋_GB2312"/>
          <w:color w:val="auto"/>
          <w:sz w:val="32"/>
          <w:szCs w:val="32"/>
          <w:u w:val="none"/>
        </w:rPr>
      </w:pPr>
      <w:r>
        <w:rPr>
          <w:rFonts w:ascii="仿宋_GB2312" w:hAnsi="黑体" w:eastAsia="仿宋_GB2312"/>
          <w:color w:val="auto"/>
          <w:sz w:val="32"/>
          <w:szCs w:val="32"/>
          <w:u w:val="none"/>
        </w:rPr>
        <w:t>20</w:t>
      </w:r>
      <w:r>
        <w:rPr>
          <w:rFonts w:hint="eastAsia" w:ascii="仿宋_GB2312" w:hAnsi="黑体" w:eastAsia="仿宋_GB2312"/>
          <w:color w:val="auto"/>
          <w:sz w:val="32"/>
          <w:szCs w:val="32"/>
          <w:u w:val="none"/>
          <w:lang w:val="en-US" w:eastAsia="zh-CN"/>
        </w:rPr>
        <w:t>20</w:t>
      </w:r>
      <w:r>
        <w:rPr>
          <w:rFonts w:hint="eastAsia" w:ascii="仿宋_GB2312" w:hAnsi="黑体" w:eastAsia="仿宋_GB2312"/>
          <w:color w:val="auto"/>
          <w:sz w:val="32"/>
          <w:szCs w:val="32"/>
          <w:u w:val="none"/>
        </w:rPr>
        <w:t>年</w:t>
      </w:r>
      <w:r>
        <w:rPr>
          <w:rFonts w:hint="eastAsia" w:ascii="仿宋_GB2312" w:hAnsi="黑体" w:eastAsia="仿宋_GB2312"/>
          <w:color w:val="auto"/>
          <w:sz w:val="32"/>
          <w:szCs w:val="32"/>
          <w:u w:val="none"/>
          <w:lang w:val="en-US" w:eastAsia="zh-CN"/>
        </w:rPr>
        <w:t>4</w:t>
      </w:r>
      <w:r>
        <w:rPr>
          <w:rFonts w:hint="eastAsia" w:ascii="仿宋_GB2312" w:hAnsi="黑体" w:eastAsia="仿宋_GB2312"/>
          <w:color w:val="auto"/>
          <w:sz w:val="32"/>
          <w:szCs w:val="32"/>
          <w:u w:val="none"/>
        </w:rPr>
        <w:t>月</w:t>
      </w:r>
      <w:r>
        <w:rPr>
          <w:rFonts w:hint="eastAsia" w:ascii="仿宋_GB2312" w:hAnsi="黑体" w:eastAsia="仿宋_GB2312"/>
          <w:color w:val="auto"/>
          <w:sz w:val="32"/>
          <w:szCs w:val="32"/>
          <w:u w:val="none"/>
          <w:lang w:val="en-US" w:eastAsia="zh-CN"/>
        </w:rPr>
        <w:t>2</w:t>
      </w:r>
      <w:r>
        <w:rPr>
          <w:rFonts w:hint="eastAsia" w:ascii="仿宋_GB2312" w:hAnsi="黑体" w:eastAsia="仿宋_GB2312"/>
          <w:color w:val="auto"/>
          <w:sz w:val="32"/>
          <w:szCs w:val="32"/>
          <w:u w:val="none"/>
        </w:rPr>
        <w:t>日</w:t>
      </w:r>
    </w:p>
    <w:p>
      <w:pPr>
        <w:rPr>
          <w:rFonts w:ascii="仿宋_GB2312" w:eastAsia="仿宋_GB2312"/>
          <w:color w:val="auto"/>
          <w:sz w:val="30"/>
          <w:szCs w:val="30"/>
          <w:u w:val="none"/>
        </w:rPr>
      </w:pPr>
      <w:r>
        <w:rPr>
          <w:rFonts w:ascii="仿宋_GB2312" w:hAnsi="黑体" w:eastAsia="仿宋_GB2312"/>
          <w:color w:val="auto"/>
          <w:sz w:val="30"/>
          <w:szCs w:val="30"/>
          <w:u w:val="none"/>
        </w:rPr>
        <w:br w:type="page"/>
      </w:r>
      <w:r>
        <w:rPr>
          <w:rFonts w:hint="eastAsia" w:ascii="黑体" w:hAnsi="黑体" w:eastAsia="黑体" w:cs="黑体"/>
          <w:color w:val="auto"/>
          <w:sz w:val="32"/>
          <w:szCs w:val="32"/>
          <w:u w:val="none"/>
        </w:rPr>
        <w:t>附件</w:t>
      </w:r>
    </w:p>
    <w:p>
      <w:pPr>
        <w:jc w:val="center"/>
        <w:rPr>
          <w:rFonts w:ascii="黑体" w:hAnsi="黑体" w:eastAsia="黑体"/>
          <w:color w:val="auto"/>
          <w:kern w:val="0"/>
          <w:sz w:val="30"/>
          <w:szCs w:val="30"/>
          <w:u w:val="none"/>
        </w:rPr>
      </w:pPr>
      <w:r>
        <w:rPr>
          <w:rFonts w:hint="eastAsia" w:ascii="黑体" w:hAnsi="黑体" w:eastAsia="黑体"/>
          <w:color w:val="auto"/>
          <w:kern w:val="0"/>
          <w:sz w:val="36"/>
          <w:szCs w:val="36"/>
          <w:u w:val="none"/>
          <w:lang w:eastAsia="zh-CN"/>
        </w:rPr>
        <w:t>资源利用效率评价主要指标解释</w:t>
      </w:r>
    </w:p>
    <w:p>
      <w:pPr>
        <w:ind w:firstLine="640" w:firstLineChars="200"/>
        <w:rPr>
          <w:rFonts w:hint="eastAsia" w:ascii="仿宋_GB2312" w:eastAsia="仿宋_GB2312"/>
          <w:color w:val="auto"/>
          <w:sz w:val="32"/>
          <w:szCs w:val="32"/>
          <w:u w:val="none"/>
          <w:lang w:eastAsia="zh-CN"/>
        </w:rPr>
      </w:pPr>
      <w:r>
        <w:rPr>
          <w:rFonts w:hint="eastAsia" w:ascii="仿宋_GB2312" w:eastAsia="仿宋_GB2312"/>
          <w:color w:val="auto"/>
          <w:sz w:val="32"/>
          <w:szCs w:val="32"/>
          <w:u w:val="none"/>
        </w:rPr>
        <w:t>实缴税金</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指企业实际</w:t>
      </w:r>
      <w:r>
        <w:rPr>
          <w:rFonts w:hint="eastAsia" w:ascii="仿宋_GB2312" w:eastAsia="仿宋_GB2312"/>
          <w:color w:val="auto"/>
          <w:sz w:val="32"/>
          <w:szCs w:val="32"/>
          <w:u w:val="none"/>
          <w:lang w:eastAsia="zh-CN"/>
        </w:rPr>
        <w:t>缴</w:t>
      </w:r>
      <w:r>
        <w:rPr>
          <w:rFonts w:hint="eastAsia" w:ascii="仿宋_GB2312" w:eastAsia="仿宋_GB2312"/>
          <w:color w:val="auto"/>
          <w:sz w:val="32"/>
          <w:szCs w:val="32"/>
          <w:u w:val="none"/>
        </w:rPr>
        <w:t>纳入库且与持续</w:t>
      </w:r>
      <w:r>
        <w:rPr>
          <w:rFonts w:hint="eastAsia" w:ascii="仿宋_GB2312" w:eastAsia="仿宋_GB2312"/>
          <w:color w:val="auto"/>
          <w:sz w:val="32"/>
          <w:szCs w:val="32"/>
          <w:u w:val="none"/>
          <w:lang w:eastAsia="zh-CN"/>
        </w:rPr>
        <w:t>经营</w:t>
      </w:r>
      <w:r>
        <w:rPr>
          <w:rFonts w:hint="eastAsia" w:ascii="仿宋_GB2312" w:eastAsia="仿宋_GB2312"/>
          <w:color w:val="auto"/>
          <w:sz w:val="32"/>
          <w:szCs w:val="32"/>
          <w:u w:val="none"/>
        </w:rPr>
        <w:t>有关的增值税</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入退合计数</w:t>
      </w:r>
      <w:r>
        <w:rPr>
          <w:rFonts w:hint="eastAsia" w:ascii="仿宋_GB2312" w:eastAsia="仿宋_GB2312"/>
          <w:color w:val="auto"/>
          <w:sz w:val="32"/>
          <w:szCs w:val="32"/>
          <w:u w:val="none"/>
          <w:lang w:val="en-US" w:eastAsia="zh-CN"/>
        </w:rPr>
        <w:t>+</w:t>
      </w:r>
      <w:r>
        <w:rPr>
          <w:rFonts w:hint="eastAsia" w:ascii="仿宋_GB2312" w:eastAsia="仿宋_GB2312"/>
          <w:color w:val="auto"/>
          <w:sz w:val="32"/>
          <w:szCs w:val="32"/>
          <w:u w:val="none"/>
        </w:rPr>
        <w:t>免抵数</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、消费税</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企业所得税、个人所得税、城市维护建设税、房产税、城镇土地使用税、土地增值税、印花税</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车船税、资源税、环境保护税、教育费附加、地方教育附加等税费</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不包括契税、耕地占用税、车辆购置税、证券交易印花税、委托代征税款以及滞纳金和罚款等</w:t>
      </w:r>
      <w:r>
        <w:rPr>
          <w:rFonts w:hint="eastAsia" w:ascii="仿宋_GB2312" w:eastAsia="仿宋_GB2312"/>
          <w:color w:val="auto"/>
          <w:sz w:val="32"/>
          <w:szCs w:val="32"/>
          <w:u w:val="none"/>
          <w:lang w:eastAsia="zh-CN"/>
        </w:rPr>
        <w:t>。</w:t>
      </w:r>
    </w:p>
    <w:p>
      <w:pPr>
        <w:ind w:firstLine="640" w:firstLineChars="200"/>
        <w:rPr>
          <w:rFonts w:hint="eastAsia" w:ascii="仿宋_GB2312" w:eastAsia="仿宋_GB2312"/>
          <w:color w:val="auto"/>
          <w:sz w:val="32"/>
          <w:szCs w:val="32"/>
          <w:u w:val="none"/>
          <w:lang w:eastAsia="zh-CN"/>
        </w:rPr>
      </w:pPr>
      <w:r>
        <w:rPr>
          <w:rFonts w:hint="eastAsia" w:ascii="仿宋_GB2312" w:eastAsia="仿宋_GB2312"/>
          <w:color w:val="auto"/>
          <w:sz w:val="32"/>
          <w:szCs w:val="32"/>
          <w:u w:val="none"/>
        </w:rPr>
        <w:t>占地面积</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指企业实际占用的土地面积</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分国土部门已登记和未登记的用地面积</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已登记用地面积指企业经国土部门登记或批准的工业仓储用地面积</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未登记用地面积指企业以其他方式取得的用地面积</w:t>
      </w:r>
      <w:r>
        <w:rPr>
          <w:rFonts w:hint="eastAsia" w:ascii="仿宋_GB2312" w:eastAsia="仿宋_GB2312"/>
          <w:color w:val="auto"/>
          <w:sz w:val="32"/>
          <w:szCs w:val="32"/>
          <w:u w:val="none"/>
          <w:lang w:eastAsia="zh-CN"/>
        </w:rPr>
        <w:t>。</w:t>
      </w:r>
    </w:p>
    <w:p>
      <w:pPr>
        <w:ind w:firstLine="640" w:firstLineChars="200"/>
        <w:rPr>
          <w:rFonts w:hint="eastAsia" w:ascii="仿宋_GB2312" w:eastAsia="仿宋_GB2312"/>
          <w:color w:val="auto"/>
          <w:sz w:val="32"/>
          <w:szCs w:val="32"/>
          <w:u w:val="none"/>
          <w:lang w:eastAsia="zh-CN"/>
        </w:rPr>
      </w:pPr>
      <w:r>
        <w:rPr>
          <w:rFonts w:hint="eastAsia" w:ascii="仿宋_GB2312" w:eastAsia="仿宋_GB2312"/>
          <w:color w:val="auto"/>
          <w:sz w:val="32"/>
          <w:szCs w:val="32"/>
          <w:u w:val="none"/>
          <w:lang w:eastAsia="zh-CN"/>
        </w:rPr>
        <w:t>工</w:t>
      </w:r>
      <w:r>
        <w:rPr>
          <w:rFonts w:hint="eastAsia" w:ascii="仿宋_GB2312" w:eastAsia="仿宋_GB2312"/>
          <w:color w:val="auto"/>
          <w:sz w:val="32"/>
          <w:szCs w:val="32"/>
          <w:u w:val="none"/>
        </w:rPr>
        <w:t>业总产值</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指工业企业单年度内生产的工业最终产品或提供劳务性活动的总价值量</w:t>
      </w:r>
      <w:r>
        <w:rPr>
          <w:rFonts w:hint="eastAsia" w:ascii="仿宋_GB2312" w:eastAsia="仿宋_GB2312"/>
          <w:color w:val="auto"/>
          <w:sz w:val="32"/>
          <w:szCs w:val="32"/>
          <w:u w:val="none"/>
          <w:lang w:eastAsia="zh-CN"/>
        </w:rPr>
        <w:t>。</w:t>
      </w:r>
    </w:p>
    <w:p>
      <w:pPr>
        <w:ind w:firstLine="640" w:firstLineChars="200"/>
        <w:rPr>
          <w:rFonts w:hint="eastAsia" w:ascii="仿宋_GB2312" w:eastAsia="仿宋_GB2312"/>
          <w:color w:val="auto"/>
          <w:sz w:val="32"/>
          <w:szCs w:val="32"/>
          <w:u w:val="none"/>
          <w:lang w:eastAsia="zh-CN"/>
        </w:rPr>
      </w:pPr>
      <w:r>
        <w:rPr>
          <w:rFonts w:hint="eastAsia" w:ascii="仿宋_GB2312" w:eastAsia="仿宋_GB2312"/>
          <w:color w:val="auto"/>
          <w:sz w:val="32"/>
          <w:szCs w:val="32"/>
          <w:u w:val="none"/>
        </w:rPr>
        <w:t>综合能耗</w:t>
      </w:r>
      <w:r>
        <w:rPr>
          <w:rFonts w:hint="eastAsia" w:ascii="仿宋_GB2312" w:eastAsia="仿宋_GB2312"/>
          <w:color w:val="auto"/>
          <w:sz w:val="32"/>
          <w:szCs w:val="32"/>
          <w:u w:val="none"/>
          <w:lang w:val="en-US" w:eastAsia="zh-CN"/>
        </w:rPr>
        <w:t>:</w:t>
      </w:r>
      <w:r>
        <w:rPr>
          <w:rFonts w:hint="eastAsia" w:ascii="仿宋_GB2312" w:eastAsia="仿宋_GB2312"/>
          <w:color w:val="auto"/>
          <w:sz w:val="32"/>
          <w:szCs w:val="32"/>
          <w:u w:val="none"/>
        </w:rPr>
        <w:t>指企业在所有生产工序环节实际消耗的各种能源实物量</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包括一次能源和二次能源</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统一折算为标准煤单位</w:t>
      </w:r>
      <w:r>
        <w:rPr>
          <w:rFonts w:hint="eastAsia" w:ascii="仿宋_GB2312" w:eastAsia="仿宋_GB2312"/>
          <w:color w:val="auto"/>
          <w:sz w:val="32"/>
          <w:szCs w:val="32"/>
          <w:u w:val="none"/>
          <w:lang w:eastAsia="zh-CN"/>
        </w:rPr>
        <w:t>。</w:t>
      </w:r>
    </w:p>
    <w:p>
      <w:pPr>
        <w:ind w:firstLine="640" w:firstLineChars="200"/>
        <w:rPr>
          <w:rFonts w:hint="eastAsia" w:eastAsia="仿宋_GB2312"/>
          <w:color w:val="auto"/>
          <w:u w:val="none"/>
          <w:lang w:eastAsia="zh-CN"/>
        </w:rPr>
      </w:pPr>
      <w:r>
        <w:rPr>
          <w:rFonts w:hint="eastAsia" w:ascii="仿宋_GB2312" w:eastAsia="仿宋_GB2312"/>
          <w:color w:val="auto"/>
          <w:sz w:val="32"/>
          <w:szCs w:val="32"/>
          <w:u w:val="none"/>
        </w:rPr>
        <w:t>全部从业人员平均人数</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指年度平均拥有的从业人员数</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年度平均人数按单位实际月均人数计算得到</w:t>
      </w:r>
      <w:r>
        <w:rPr>
          <w:rFonts w:hint="eastAsia" w:ascii="仿宋_GB2312" w:eastAsia="仿宋_GB2312"/>
          <w:color w:val="auto"/>
          <w:sz w:val="32"/>
          <w:szCs w:val="32"/>
          <w:u w:val="none"/>
          <w:lang w:eastAsia="zh-CN"/>
        </w:rPr>
        <w:t>，</w:t>
      </w:r>
      <w:r>
        <w:rPr>
          <w:rFonts w:hint="eastAsia" w:ascii="仿宋_GB2312" w:eastAsia="仿宋_GB2312"/>
          <w:color w:val="auto"/>
          <w:sz w:val="32"/>
          <w:szCs w:val="32"/>
          <w:u w:val="none"/>
        </w:rPr>
        <w:t>不得用期末人数替代</w:t>
      </w:r>
      <w:r>
        <w:rPr>
          <w:rFonts w:hint="eastAsia" w:ascii="仿宋_GB2312" w:eastAsia="仿宋_GB2312"/>
          <w:color w:val="auto"/>
          <w:sz w:val="32"/>
          <w:szCs w:val="32"/>
          <w:u w:val="none"/>
          <w:lang w:eastAsia="zh-CN"/>
        </w:rPr>
        <w:t>。</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1</w: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80FCB63"/>
    <w:multiLevelType w:val="singleLevel"/>
    <w:tmpl w:val="D80FCB63"/>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830F6C"/>
    <w:rsid w:val="000A486A"/>
    <w:rsid w:val="008B0934"/>
    <w:rsid w:val="017B1CD4"/>
    <w:rsid w:val="032C78EB"/>
    <w:rsid w:val="03540143"/>
    <w:rsid w:val="038C45CF"/>
    <w:rsid w:val="03B85FF0"/>
    <w:rsid w:val="04623F89"/>
    <w:rsid w:val="04843005"/>
    <w:rsid w:val="052A5F70"/>
    <w:rsid w:val="05425813"/>
    <w:rsid w:val="057F2727"/>
    <w:rsid w:val="05F92358"/>
    <w:rsid w:val="06032F82"/>
    <w:rsid w:val="067F5DDE"/>
    <w:rsid w:val="07612895"/>
    <w:rsid w:val="078522F4"/>
    <w:rsid w:val="07C070B3"/>
    <w:rsid w:val="09394532"/>
    <w:rsid w:val="09CF3300"/>
    <w:rsid w:val="0A1C1FF7"/>
    <w:rsid w:val="0B17056E"/>
    <w:rsid w:val="0B245A2D"/>
    <w:rsid w:val="0B296168"/>
    <w:rsid w:val="0CB0080D"/>
    <w:rsid w:val="0E2F0D89"/>
    <w:rsid w:val="0ED4164F"/>
    <w:rsid w:val="0ED6068B"/>
    <w:rsid w:val="0F0A7E9A"/>
    <w:rsid w:val="0F343D3E"/>
    <w:rsid w:val="0F7D6E19"/>
    <w:rsid w:val="0F8B7C67"/>
    <w:rsid w:val="110B257D"/>
    <w:rsid w:val="112036C5"/>
    <w:rsid w:val="11686A4E"/>
    <w:rsid w:val="116B2D1D"/>
    <w:rsid w:val="11FB1591"/>
    <w:rsid w:val="126145EC"/>
    <w:rsid w:val="12715B51"/>
    <w:rsid w:val="128A0DFA"/>
    <w:rsid w:val="12FC1EF8"/>
    <w:rsid w:val="134A2976"/>
    <w:rsid w:val="136B6C1F"/>
    <w:rsid w:val="138234AF"/>
    <w:rsid w:val="16BE346D"/>
    <w:rsid w:val="17902E99"/>
    <w:rsid w:val="18FB0201"/>
    <w:rsid w:val="195E3A0D"/>
    <w:rsid w:val="19780B9B"/>
    <w:rsid w:val="19EA4FD2"/>
    <w:rsid w:val="1A117C5C"/>
    <w:rsid w:val="1A682B7F"/>
    <w:rsid w:val="1ADE394B"/>
    <w:rsid w:val="1AEB2731"/>
    <w:rsid w:val="1BDA7524"/>
    <w:rsid w:val="1C065B0F"/>
    <w:rsid w:val="1C282F62"/>
    <w:rsid w:val="1CF7542B"/>
    <w:rsid w:val="1D355BBD"/>
    <w:rsid w:val="21CE0DEB"/>
    <w:rsid w:val="238516CE"/>
    <w:rsid w:val="24636561"/>
    <w:rsid w:val="249012F1"/>
    <w:rsid w:val="24965D89"/>
    <w:rsid w:val="24B31EC3"/>
    <w:rsid w:val="24B471D1"/>
    <w:rsid w:val="24F51953"/>
    <w:rsid w:val="264311BF"/>
    <w:rsid w:val="269710F0"/>
    <w:rsid w:val="27D82DA1"/>
    <w:rsid w:val="27EF37C2"/>
    <w:rsid w:val="2875085C"/>
    <w:rsid w:val="28C135B0"/>
    <w:rsid w:val="28CB2546"/>
    <w:rsid w:val="29624986"/>
    <w:rsid w:val="29E84CE8"/>
    <w:rsid w:val="2A3E5E38"/>
    <w:rsid w:val="2C000F27"/>
    <w:rsid w:val="2CFB54D9"/>
    <w:rsid w:val="2ECD7EC0"/>
    <w:rsid w:val="2FCD3C97"/>
    <w:rsid w:val="2FFF5FD8"/>
    <w:rsid w:val="303B179E"/>
    <w:rsid w:val="303C5CA7"/>
    <w:rsid w:val="3066639F"/>
    <w:rsid w:val="30E37524"/>
    <w:rsid w:val="311B09F8"/>
    <w:rsid w:val="318F5C92"/>
    <w:rsid w:val="31F16D1F"/>
    <w:rsid w:val="31FA63A8"/>
    <w:rsid w:val="321414DB"/>
    <w:rsid w:val="32B71D4C"/>
    <w:rsid w:val="331E3CF9"/>
    <w:rsid w:val="335C0D86"/>
    <w:rsid w:val="34202257"/>
    <w:rsid w:val="356A347C"/>
    <w:rsid w:val="36393F7C"/>
    <w:rsid w:val="36D07DB7"/>
    <w:rsid w:val="36F613C9"/>
    <w:rsid w:val="373743C0"/>
    <w:rsid w:val="373F463A"/>
    <w:rsid w:val="37A80AAC"/>
    <w:rsid w:val="38302CD1"/>
    <w:rsid w:val="383D7C28"/>
    <w:rsid w:val="39CF4C0F"/>
    <w:rsid w:val="3A434DB0"/>
    <w:rsid w:val="3A4E553F"/>
    <w:rsid w:val="3A6855DB"/>
    <w:rsid w:val="3BF461DA"/>
    <w:rsid w:val="3C243AD4"/>
    <w:rsid w:val="3C70635C"/>
    <w:rsid w:val="3CA709F1"/>
    <w:rsid w:val="3CF40667"/>
    <w:rsid w:val="3D470150"/>
    <w:rsid w:val="3D611ED0"/>
    <w:rsid w:val="3DE1358E"/>
    <w:rsid w:val="3E3062BB"/>
    <w:rsid w:val="3EAB0011"/>
    <w:rsid w:val="3EAE51ED"/>
    <w:rsid w:val="3ED6503E"/>
    <w:rsid w:val="3FFE3E34"/>
    <w:rsid w:val="40074919"/>
    <w:rsid w:val="404D3D11"/>
    <w:rsid w:val="40F6062F"/>
    <w:rsid w:val="41BC53D0"/>
    <w:rsid w:val="41E53020"/>
    <w:rsid w:val="42721D54"/>
    <w:rsid w:val="42F11674"/>
    <w:rsid w:val="43331533"/>
    <w:rsid w:val="43427E91"/>
    <w:rsid w:val="447E54D6"/>
    <w:rsid w:val="451B36DB"/>
    <w:rsid w:val="451D3FA9"/>
    <w:rsid w:val="45B30149"/>
    <w:rsid w:val="46761DEC"/>
    <w:rsid w:val="46D66728"/>
    <w:rsid w:val="470D5A35"/>
    <w:rsid w:val="48812B68"/>
    <w:rsid w:val="48CD3525"/>
    <w:rsid w:val="48D6225A"/>
    <w:rsid w:val="48D81023"/>
    <w:rsid w:val="491574E7"/>
    <w:rsid w:val="496A0AF2"/>
    <w:rsid w:val="497E4E07"/>
    <w:rsid w:val="4A0801F7"/>
    <w:rsid w:val="4A086FE1"/>
    <w:rsid w:val="4AF43582"/>
    <w:rsid w:val="4AF82BB2"/>
    <w:rsid w:val="4B020E5D"/>
    <w:rsid w:val="4B2308D8"/>
    <w:rsid w:val="4B7C2198"/>
    <w:rsid w:val="4B8D1345"/>
    <w:rsid w:val="4C367513"/>
    <w:rsid w:val="4CC6118B"/>
    <w:rsid w:val="4D0B077E"/>
    <w:rsid w:val="4F043143"/>
    <w:rsid w:val="4F9A084E"/>
    <w:rsid w:val="4FB80190"/>
    <w:rsid w:val="4FE13964"/>
    <w:rsid w:val="500C48D6"/>
    <w:rsid w:val="5045048E"/>
    <w:rsid w:val="50464300"/>
    <w:rsid w:val="50737E2B"/>
    <w:rsid w:val="514137A8"/>
    <w:rsid w:val="51BA4603"/>
    <w:rsid w:val="52330DC9"/>
    <w:rsid w:val="525B118E"/>
    <w:rsid w:val="537121DB"/>
    <w:rsid w:val="537C66DF"/>
    <w:rsid w:val="538759CB"/>
    <w:rsid w:val="54A86EAE"/>
    <w:rsid w:val="54BA3288"/>
    <w:rsid w:val="55515979"/>
    <w:rsid w:val="55742EA8"/>
    <w:rsid w:val="55E57FA9"/>
    <w:rsid w:val="582C4FE6"/>
    <w:rsid w:val="58AD4CB7"/>
    <w:rsid w:val="58EF0B6E"/>
    <w:rsid w:val="591723DA"/>
    <w:rsid w:val="59900244"/>
    <w:rsid w:val="59920114"/>
    <w:rsid w:val="59F011B4"/>
    <w:rsid w:val="5A230F58"/>
    <w:rsid w:val="5A5A7BA0"/>
    <w:rsid w:val="5A9A3A05"/>
    <w:rsid w:val="5AB775B7"/>
    <w:rsid w:val="5B0932FC"/>
    <w:rsid w:val="5B2D209E"/>
    <w:rsid w:val="5BBC1526"/>
    <w:rsid w:val="5BFC62C3"/>
    <w:rsid w:val="5C052844"/>
    <w:rsid w:val="5CDB4565"/>
    <w:rsid w:val="5D53375C"/>
    <w:rsid w:val="5D654479"/>
    <w:rsid w:val="5E560EF2"/>
    <w:rsid w:val="5E705BEC"/>
    <w:rsid w:val="5E75018F"/>
    <w:rsid w:val="601D6753"/>
    <w:rsid w:val="60394C88"/>
    <w:rsid w:val="60FA531D"/>
    <w:rsid w:val="63E96B30"/>
    <w:rsid w:val="64180783"/>
    <w:rsid w:val="64FB47A6"/>
    <w:rsid w:val="652402F9"/>
    <w:rsid w:val="654F6E76"/>
    <w:rsid w:val="65B00E6B"/>
    <w:rsid w:val="662C544E"/>
    <w:rsid w:val="664C68DC"/>
    <w:rsid w:val="66D8402B"/>
    <w:rsid w:val="6725689A"/>
    <w:rsid w:val="675A6D38"/>
    <w:rsid w:val="67742BA0"/>
    <w:rsid w:val="68BE452A"/>
    <w:rsid w:val="6A730971"/>
    <w:rsid w:val="6A830F6C"/>
    <w:rsid w:val="6AF936FD"/>
    <w:rsid w:val="6BBA1AC7"/>
    <w:rsid w:val="6BFF4313"/>
    <w:rsid w:val="6D1B5D25"/>
    <w:rsid w:val="6D8B6563"/>
    <w:rsid w:val="6DAE356B"/>
    <w:rsid w:val="6DE5324E"/>
    <w:rsid w:val="6E226481"/>
    <w:rsid w:val="6E34710E"/>
    <w:rsid w:val="6F1077CD"/>
    <w:rsid w:val="6F42355C"/>
    <w:rsid w:val="6F465F3F"/>
    <w:rsid w:val="714432F8"/>
    <w:rsid w:val="71560FA1"/>
    <w:rsid w:val="71A7444C"/>
    <w:rsid w:val="724B67A6"/>
    <w:rsid w:val="73AA0263"/>
    <w:rsid w:val="73DF4637"/>
    <w:rsid w:val="74A04114"/>
    <w:rsid w:val="74C95DC5"/>
    <w:rsid w:val="74E068CC"/>
    <w:rsid w:val="75BF5FB3"/>
    <w:rsid w:val="75F549F0"/>
    <w:rsid w:val="775223CA"/>
    <w:rsid w:val="78D41A87"/>
    <w:rsid w:val="78F51672"/>
    <w:rsid w:val="7994028F"/>
    <w:rsid w:val="7A2C12B3"/>
    <w:rsid w:val="7A4A5BBF"/>
    <w:rsid w:val="7A900645"/>
    <w:rsid w:val="7ACA0608"/>
    <w:rsid w:val="7B321C95"/>
    <w:rsid w:val="7BAA0DE2"/>
    <w:rsid w:val="7C2212EB"/>
    <w:rsid w:val="7D444FA7"/>
    <w:rsid w:val="7DA82B3D"/>
    <w:rsid w:val="7DC02050"/>
    <w:rsid w:val="7E7B5DC2"/>
    <w:rsid w:val="7F0027C5"/>
    <w:rsid w:val="7F0718D2"/>
    <w:rsid w:val="7F1545CE"/>
    <w:rsid w:val="7F297A2A"/>
    <w:rsid w:val="7FA575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Normal (Web)"/>
    <w:basedOn w:val="1"/>
    <w:semiHidden/>
    <w:qFormat/>
    <w:uiPriority w:val="0"/>
    <w:pPr>
      <w:widowControl/>
      <w:spacing w:before="100" w:beforeAutospacing="1" w:after="100" w:afterAutospacing="1"/>
      <w:jc w:val="left"/>
    </w:pPr>
    <w:rPr>
      <w:rFonts w:ascii="宋体" w:hAnsi="宋体" w:cs="宋体"/>
      <w:kern w:val="0"/>
      <w:sz w:val="24"/>
      <w:szCs w:val="24"/>
    </w:rPr>
  </w:style>
  <w:style w:type="paragraph" w:customStyle="1" w:styleId="7">
    <w:name w:val="List Paragraph"/>
    <w:basedOn w:val="1"/>
    <w:qFormat/>
    <w:uiPriority w:val="0"/>
    <w:pPr>
      <w:ind w:firstLine="420" w:firstLineChars="200"/>
    </w:pPr>
  </w:style>
  <w:style w:type="paragraph" w:customStyle="1" w:styleId="8">
    <w:name w:val="列出段落1"/>
    <w:basedOn w:val="1"/>
    <w:qFormat/>
    <w:uiPriority w:val="99"/>
    <w:pPr>
      <w:ind w:firstLine="420" w:firstLineChars="200"/>
    </w:pPr>
    <w:rPr>
      <w:rFonts w:ascii="Times New Roman" w:hAnsi="Times New Roman" w:eastAsia="仿宋_GB2312" w:cs="Times New Roman"/>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2019-05-17T05:51:00Z</dcterms:created>
  <dc:creator>田野哥哥。</dc:creator>
  <cp:lastModifiedBy>放肆的灬猫咪</cp:lastModifiedBy>
  <cp:lastPrinted>2020-03-09T01:49:00Z</cp:lastPrinted>
  <dcterms:modified xsi:type="dcterms:W3CDTF">2020-04-07T08:01:52Z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