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竖新镇2023年财政预算执行情况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和2024年财政预算（草案）的报告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lang w:val="zh-CN"/>
        </w:rPr>
        <w:t>——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</w:rPr>
        <w:t>20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lang w:val="en-US" w:eastAsia="zh-CN"/>
        </w:rPr>
        <w:t>24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</w:rPr>
        <w:t>年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</w:rPr>
        <w:t>月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highlight w:val="none"/>
        </w:rPr>
        <w:t>日在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highlight w:val="none"/>
          <w:lang w:eastAsia="zh-CN"/>
        </w:rPr>
        <w:t>上海市崇明区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highlight w:val="none"/>
        </w:rPr>
        <w:t>竖新镇第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highlight w:val="none"/>
          <w:lang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highlight w:val="none"/>
        </w:rPr>
        <w:t>届人民代表大会第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highlight w:val="none"/>
          <w:lang w:eastAsia="zh-CN"/>
        </w:rPr>
        <w:t>五</w:t>
      </w:r>
      <w:r>
        <w:rPr>
          <w:rFonts w:hint="eastAsia" w:ascii="楷体_GB2312" w:hAnsi="楷体_GB2312" w:eastAsia="楷体_GB2312" w:cs="楷体_GB2312"/>
          <w:b w:val="0"/>
          <w:bCs w:val="0"/>
          <w:w w:val="85"/>
          <w:sz w:val="28"/>
          <w:szCs w:val="28"/>
          <w:highlight w:val="none"/>
        </w:rPr>
        <w:t>次会议上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highlight w:val="none"/>
        </w:rPr>
        <w:t>竖新镇</w:t>
      </w: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highlight w:val="none"/>
        </w:rPr>
        <w:t xml:space="preserve">人民政府副镇长 </w:t>
      </w: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highlight w:val="none"/>
        </w:rPr>
        <w:t xml:space="preserve"> 袁立峰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竖新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镇人民政府委托，向大会报告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竖新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年预算执行情况及202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年预算草案，请予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审议，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并请列席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提出意见。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一、202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年预算执行情况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在镇党委、政府和上级部门的正确领导下，在镇人大的监督支持下，在各部门的密切配合下，镇财政紧紧围绕镇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二届人大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次</w:t>
      </w:r>
      <w:r>
        <w:rPr>
          <w:rFonts w:hint="eastAsia" w:ascii="仿宋_GB2312" w:hAnsi="仿宋" w:eastAsia="仿宋_GB2312"/>
          <w:sz w:val="32"/>
          <w:szCs w:val="32"/>
        </w:rPr>
        <w:t>会议确定的全年总体目标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zh-CN" w:eastAsia="zh-CN" w:bidi="ar-SA"/>
        </w:rPr>
        <w:t>，以稳中求进为工作总基调，</w:t>
      </w:r>
      <w:r>
        <w:rPr>
          <w:rFonts w:hint="eastAsia" w:ascii="仿宋_GB2312" w:hAnsi="仿宋_GB2312" w:eastAsia="仿宋_GB2312" w:cs="仿宋_GB2312"/>
          <w:sz w:val="32"/>
          <w:szCs w:val="32"/>
        </w:rPr>
        <w:t>切实履行财政职责，强化财政收支管理，</w:t>
      </w:r>
      <w:r>
        <w:rPr>
          <w:rFonts w:hint="eastAsia" w:eastAsia="仿宋_GB2312"/>
          <w:sz w:val="32"/>
          <w:szCs w:val="32"/>
        </w:rPr>
        <w:t>筑牢“三保”底线，财政运行总体平稳，预算执行情况良好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2023年预算执行情况汇报如下：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（一）镇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本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级收入情况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年镇本级</w:t>
      </w:r>
      <w:r>
        <w:rPr>
          <w:rFonts w:hint="eastAsia" w:eastAsia="仿宋_GB2312"/>
          <w:sz w:val="32"/>
          <w:szCs w:val="32"/>
          <w:lang w:val="zh-CN"/>
        </w:rPr>
        <w:t>一般公共预算收入</w:t>
      </w:r>
      <w:r>
        <w:rPr>
          <w:rFonts w:hint="eastAsia" w:eastAsia="仿宋_GB2312"/>
          <w:sz w:val="32"/>
          <w:szCs w:val="32"/>
          <w:lang w:val="en-US" w:eastAsia="zh-CN"/>
        </w:rPr>
        <w:t>33000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完成调整预算的100%，其中：税收体制分成收入</w:t>
      </w:r>
      <w:r>
        <w:rPr>
          <w:rFonts w:hint="eastAsia" w:eastAsia="仿宋_GB2312"/>
          <w:sz w:val="32"/>
          <w:szCs w:val="32"/>
          <w:lang w:val="en-US" w:eastAsia="zh-CN"/>
        </w:rPr>
        <w:t>23399.07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val="zh-CN"/>
        </w:rPr>
        <w:t>一般性转移支付收入</w:t>
      </w:r>
      <w:r>
        <w:rPr>
          <w:rFonts w:hint="eastAsia" w:eastAsia="仿宋_GB2312"/>
          <w:sz w:val="32"/>
          <w:szCs w:val="32"/>
          <w:lang w:val="en-US" w:eastAsia="zh-CN"/>
        </w:rPr>
        <w:t>9600.93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（二）镇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本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级支出情况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年镇本级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一般公共预算支出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</w:rPr>
        <w:t>000万元，其中：执行金额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32403.15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万元，完成调整预算后的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98.19</w:t>
      </w:r>
      <w:r>
        <w:rPr>
          <w:rFonts w:hint="eastAsia" w:ascii="仿宋_GB2312" w:hAnsi="仿宋_GB2312" w:eastAsia="仿宋_GB2312" w:cs="仿宋_GB2312"/>
          <w:sz w:val="32"/>
          <w:szCs w:val="32"/>
        </w:rPr>
        <w:t>%；安排预算稳定调节基金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596.85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万元结转至202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具体支出项目执行情况如下：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一般公共服务支出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3734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占镇本级预算支出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11.53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人大事务支出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18.92</w:t>
      </w:r>
      <w:r>
        <w:rPr>
          <w:rFonts w:hint="eastAsia" w:ascii="仿宋_GB2312" w:hAnsi="仿宋" w:eastAsia="仿宋_GB2312"/>
          <w:sz w:val="32"/>
          <w:szCs w:val="32"/>
        </w:rPr>
        <w:t>万元。主要用于人大代表履职和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人大代表学习考察</w:t>
      </w:r>
      <w:r>
        <w:rPr>
          <w:rFonts w:hint="eastAsia" w:ascii="仿宋_GB2312" w:hAnsi="仿宋" w:eastAsia="仿宋_GB2312"/>
          <w:sz w:val="32"/>
          <w:szCs w:val="32"/>
        </w:rPr>
        <w:t>经费等支出。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（2）政府行政运行支出2419.96万元。主要用于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zh-CN" w:eastAsia="zh-CN" w:bidi="ar-SA"/>
        </w:rPr>
        <w:t>机关人员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及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zh-CN" w:eastAsia="zh-CN" w:bidi="ar-SA"/>
        </w:rPr>
        <w:t>公用经费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1814.05万元，机关大楼物业管理费175.17万元，综治外聘人员工资专项经费160万元，司法条线工作经费154.38万元等。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（3）财政事务支出216.52万元。主要用于财政所人员及公用经费135.52万元，绩效目标专项经费72万元，一体化平台维护费9万元。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（4）纪检监察事务支出2.83万元。主要用于纪委工作经费。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（5）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群众团体事务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支出56.34万元。主要用于妇联工作经费5万元，团委工作经费6万元，镇总工会工作经费14.89万元，村干部体检30.45万元。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（6）组织事务支出7.57万元。主要用于2023年村居事务工作者招录经费1.68万元，统战工作经费5.89万元。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（7）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党务支出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352.52万元。主要用于党群服务中心人员及公用经费323.58万元，4D建设专项经费4.69万元，“两新”组织党支部专项经费10.53万元等。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（8）其他一般公共服务支出659.34万元。主要用于经发中心人员及公用经费390.32万元，退职留用村干部经费224.55万元等。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2、教育支出56.11万元，占镇本级预算支出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0.17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乡村幼教等人员补贴27.48万元，五位教师补差工资14.17万元，暑期假日学校经费6万元等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3、科学技术支出1647.43万元，占镇本级预算支出的5.08%。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主要用于科技经费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3.61万元，企业扶持资金（乡镇科技创新资金）1643.82万元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4、文化体育与传媒支出201.60万元，占镇本级预算支出的0.62%。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主要用于文化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经费58.50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万元，体育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经费68.90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，社区文化活动中心经费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44.72万元，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精神文明建设经费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13.33万元等。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社会保障和就业支出16274.63万元，占镇本级预算支出的50.23%。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）民政管理事务支出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1508.39万元。主要用于社区事务受理中心人员及公用经费375.74万元，老年津贴431.20万元，残疾人补助149万元，小乡及老村干部补贴203.71万元，农村低保配套及支内回沪补贴80.55万元等。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（2）行政事业单位养老支出900.28万元。主要用于行政事业单位养老保险及职业年金缴费548.76万元，行政事业单位退休人员生活补贴351.52万元。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（3）就业补助支出7915.63万元。主要用于生态就业岗位配套资金3911.40万元，企业扶持（促进就业奖励资金）4000万元等。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（4）社会福利支出61.24万元。主要用于云南帮困扶贫专项资金46万元，长护险经费8.47万元，居家养老服务工作经费4.87万元等。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（5）临时救助及其他生活救助支出42.36万元。主要用于民政年终慰问专项经费28.36万元，帮扶救助专项经费10万元，村自来水补贴4万元。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（6）退役军人管理事务支出112.51万元。主要用于双拥优抚专项经费。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7）其他社会保障和就业支出5734.22万元。主要用于企业扶持（人才发展专项资金）4000万元，联扶平台乡镇负担专项经费281.09万元，社区老人助餐经费174.52万元，社会工作者专项经费912万元，竖新镇残疾人综合服务中心加固提升工程款及其他费用362.18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卫生健康支出435.08万元，占镇本级预算支出的1.34%。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主要用于机关事业单位医保缴费217.11万元，防疫经费131.94万元，食品安全经费13.12万元，爱卫会经费49.73万元等。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节能环保支出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3784.26万元，占镇本级预算支出的11.68%。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主要用于市容所人员及公用经费223.82万元，大新生态市集维修工程386.49万元，企业扶持（节能减排专项资金）2800.18万元，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农村建筑垃圾清运费66万元等。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8、城乡社区支出1843.97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万元，占镇本级预算支出的5.69%。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主要用于综合行政执法队人员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201.29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城建中心人员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323.41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城运中心人员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130.06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心花园建设项目专项经费145.59万元，临水临河整治专项经费117.01万元，生态养护社运行专项经费43.80万元，2022年度路灯养护费81.82万元，惠民村市级乡村振兴村庄规划设计费49万元，社会化保洁经费80万元，公路管理站经费65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9、农林水支出1431.87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万元，占镇本级预算支出的4.42%。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主要用于农技中心人员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364.74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水务所人员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225.28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2023春季在田绿肥、2022冬季深耕补贴镇配套资金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49.02万元，镇农田基础设施养护项目经费52.56万元，公益林及生态廊道市场化养护项目经费243.55万元，大新四号横河等水生态提升项目经费216.51万元，小横河河道整治工程镇配套资金180.10万元，草港公路中段打通断头河项目经费45.24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10、资源勘探工业信息等支出2360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万元，占镇本级预算支出的7.28%。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主要用于经济小区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经济小区招商窗口服务费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11、住房保障支出634.20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万元，占镇本级预算支出的1.96%。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主要用于行政事业单位人员的住房公积金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352.36万元，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281.84万元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（三）专项转移支付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预算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1、2023年区下达乡镇的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专项转移支付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收入（中央、市、区财政资金下沉）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22749.24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其中一般公共预算专项转移支付收入19877.01万元，政府性基金专项转移支付收入2872.23万元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2、2023年区下达乡镇的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专项转移支付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15165.02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疗救助专项补助经费975.34万元，东禾九谷烘干中心建设项目资金517万元，崇明区2023年都市现代农业发展专项资金1183.01万元，2023年春季在田绿肥种植及2022年冬季深耕补贴454.88万元，2023年崇明区耕地质量保护水稻生产补贴、水稻种植补贴283.76万元，土地流转费1884.12万元，2023年度中小河道长效管理专项资金332.24万元，2023年生态河道及镇级断头河整治项目经费2788.45万元，镇村级河道措施性养护（第三批）经费343.32万元，2023年度农村生活污水处理工程经费2986.56万元，残疾人专项补助经费317.32万元，美丽乡村示范村建设项目资金297.60万元，市级乡村振兴示范村项目资金508.29万元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2023年区下达乡镇的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专项转移支付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结余结转至2024年预算数为7584.22万元，其中：一般公共预算专项转移支付项目资金结余结转数为5485.76万元，政府性基金预算专项转移支付项目资金结余结转数为2098.46万元。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一般性转移支付补充资金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2023年一般性转移支付补充资金6393.16万元，上解支出6393.16万元。主要用于市场监管所经费291.27万元，计划生育经费608.91万元，城乡医疗救助经费208.73万元，城乡居民基本医疗保险1958.28万元，生态养老补贴328.85万元，城乡居民养老保险2621.03万元，体制结算收入计提202.71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各位代表，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2023年我镇预算执行情况良好，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这是镇党委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、政府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正确领导的结果，是镇人大及代表们监督的结果，是全镇各部门、各单位和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社会各界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齐心协力、共同努力的结果。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同时，我们也清醒地认识到，</w:t>
      </w:r>
      <w:r>
        <w:rPr>
          <w:rFonts w:hint="eastAsia" w:ascii="Times New Roman" w:hAnsi="Times New Roman" w:eastAsia="仿宋_GB2312"/>
          <w:bCs/>
          <w:sz w:val="32"/>
          <w:szCs w:val="32"/>
          <w:u w:val="none"/>
        </w:rPr>
        <w:t>随着国家减税降费政策</w:t>
      </w:r>
      <w:r>
        <w:rPr>
          <w:rFonts w:hint="eastAsia" w:ascii="Times New Roman" w:hAnsi="Times New Roman" w:eastAsia="仿宋_GB2312"/>
          <w:bCs/>
          <w:sz w:val="32"/>
          <w:szCs w:val="32"/>
          <w:u w:val="none"/>
          <w:lang w:eastAsia="zh-CN"/>
        </w:rPr>
        <w:t>效应持续显现</w:t>
      </w:r>
      <w:r>
        <w:rPr>
          <w:rFonts w:hint="eastAsia" w:ascii="Times New Roman" w:hAnsi="Times New Roman" w:eastAsia="仿宋_GB2312"/>
          <w:bCs/>
          <w:sz w:val="32"/>
          <w:szCs w:val="32"/>
          <w:u w:val="none"/>
        </w:rPr>
        <w:t>，</w:t>
      </w:r>
      <w:r>
        <w:rPr>
          <w:rFonts w:hint="eastAsia" w:ascii="Times New Roman" w:hAnsi="Times New Roman" w:eastAsia="仿宋_GB2312"/>
          <w:bCs/>
          <w:sz w:val="32"/>
          <w:szCs w:val="32"/>
          <w:u w:val="none"/>
          <w:lang w:eastAsia="zh-CN"/>
        </w:rPr>
        <w:t>一次性收入因素减少等影响，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财政收入增量空间有限，而乡村振兴、基础设施建设等城乡建设配套、民生保障、环境治理等刚性需求持续增长，收支平衡难度加大</w:t>
      </w:r>
      <w:r>
        <w:rPr>
          <w:rFonts w:hint="eastAsia" w:ascii="Times New Roman" w:hAnsi="Times New Roman" w:eastAsia="仿宋_GB2312"/>
          <w:bCs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财政发展面临着不少的挑战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对此，我们必须高度重视，切实采取有力措施予以应对和解决。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年预算草案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，我们将</w:t>
      </w:r>
      <w:r>
        <w:rPr>
          <w:rFonts w:hint="eastAsia" w:ascii="仿宋_GB2312" w:hAnsi="仿宋_GB2312" w:eastAsia="仿宋_GB2312" w:cs="仿宋_GB2312"/>
          <w:sz w:val="32"/>
          <w:szCs w:val="32"/>
        </w:rPr>
        <w:t>以习近平新时代中国特色社会主义思想为指导，全面贯彻落实党的二十大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、二十届一中、二中全会以及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中央经济工作会议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、全国财政工作会议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精神，坚决落实市委、市政府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区委、区政府的决策部署，紧紧围绕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镇党委、政府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工作要求，牢固树立过紧日子思想，全面推进预算管理一体化系统应用，完善预算安排约束机制，全力保障重点领域支出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，同时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加强成本效益分析，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提高经济效益，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为竖新都市农旅小镇的建设提供坚强保障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。</w:t>
      </w:r>
      <w:r>
        <w:rPr>
          <w:rFonts w:hint="eastAsia" w:ascii="仿宋_GB2312" w:eastAsia="仿宋_GB2312"/>
          <w:sz w:val="32"/>
          <w:szCs w:val="32"/>
        </w:rPr>
        <w:t>现将202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年财政预算草案</w:t>
      </w:r>
      <w:r>
        <w:rPr>
          <w:rFonts w:hint="eastAsia" w:ascii="仿宋_GB2312" w:eastAsia="仿宋_GB2312"/>
          <w:sz w:val="32"/>
          <w:szCs w:val="32"/>
          <w:lang w:eastAsia="zh-CN"/>
        </w:rPr>
        <w:t>安排</w:t>
      </w:r>
      <w:r>
        <w:rPr>
          <w:rFonts w:hint="eastAsia" w:ascii="仿宋_GB2312" w:eastAsia="仿宋_GB2312"/>
          <w:sz w:val="32"/>
          <w:szCs w:val="32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（一）镇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级财政预算收入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级财政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为30585.75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其中：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动用预算稳定调节基金收入596.85万元（2023年本级预算结余），统筹使用2021年专项转移支付结余资金988.90万元，镇本级一般公共预算收入29000万元（税收体制分成收入19399.07万元，一般性转移支付收入9600.93万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0"/>
        <w:rPr>
          <w:rFonts w:hint="eastAsia" w:ascii="楷体_GB2312" w:hAnsi="楷体_GB2312" w:eastAsia="楷体_GB2312" w:cs="楷体_GB2312"/>
          <w:b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highlight w:val="none"/>
        </w:rPr>
        <w:t>（二）镇</w:t>
      </w: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highlight w:val="none"/>
        </w:rPr>
        <w:t>级财政预算支出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级财政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为30585.75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其中：安排预算稳定调节基金支出596.85万元，统筹使用2021年专项转移支付结余资金支出988.90万元，镇本级一般公共预算支出29000万元。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镇本级一般公共预算支出明细如下：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6203.81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21.39%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人大事务支出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9.96万元。主要用于人大工作经费。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政府办公室及相关机构事务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2580.23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。主要用于机关人员及公用经费1814.83万元，机关大楼物业管理费180万元，联扶平台乡镇负担费用293万元等。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财政事务支出225.52万元。主要用于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财政所人员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及专项经费。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纪检监察事务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支出4万元。主要用于纪委工作经费。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商贸事务支出1824.54万元。主要用于经发中心人员及公用经费377.09万元，退职留用村干部工资420万元，土地补偿款188万元，财政下拨村补助资金735万元等。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群众团体事务支出22万元。主要用于妇联、团委及工会经费。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组织事务支出1026.63万元。主要用于驻村指导员工作经费4万元，社会工作者经费1011.63万元等。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党务支出510.93万元。主要用于党群服务中心人员及公用经费443.80万元，村居干部体检经费31.5万元等。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教育支出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59.90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0.21%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事业办工作经费。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文化体育与传媒支出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0.30%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文化活动中心运行经费15万元，文化专项经费23万元，体育专项经费20万元，文明办工作经费20万元等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7040.10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24.28%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（1）人力资源和社会保障管理事务支出1090.37万元。主要用于城乡低保及支内回沪经费75万元，小乡及老村干部工资190万元，重残无业人员经费140万元，老年津贴500万元，特困供养经费50万元等。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）民政管理事务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支出624.28万元。主要用于社区事务受理中心人员及公用经费425.50万元，社建办工作经费138.78万元等。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）行政事业单位养老支出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1161.25万元。主要用于行政事业单位职工养老保险及职业年金经费747.76万元，行政事业单位退休人员补贴413.49万元。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）就业补助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支出4000万元。主要用于生态就业岗位配套资金。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）社会福利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支出3万元。主要用于公益性墓地补贴。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）红十字事业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支出10.20万元。主要用于红十字会经费。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）临时救助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支出36万元。主要用于年终慰问贫困户20万元，临时帮扶10万元等。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）退役军人管理事务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支出115万元。主要用于双拥优抚工作经费。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卫生健康支出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370.06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1.28%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主要用于行政事业单位医疗保险缴费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274.66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爱卫会经费48.4万元，食品安全经费12万元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节能环保支出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464.65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1.60%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主要用于市容所人员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393.52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，南北镇区市政管网维护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经费53万元，水稻秸秆综合利用经费11.13万元等。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城乡社区支出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1083.83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3.74%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综合行政执法队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315.99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城建中心人员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329.35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城运中心人员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195.93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，公路管理站人员经费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68万元，农民集中居住土地流转费119.34万元等。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农林水支出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1017.35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3.51%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主要用于农技中心人员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323.11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水务所人员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236.68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，公益林及廊道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流转费、养护费253.85万元，本年度春季在田绿肥种植补贴、上年度冬季深耕作业补贴54万元等。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资源勘探工业信息等支出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11840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40.82%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主要用于经济小区工作经费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万元，经济小区招商窗口服务费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，企业扶持资金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8500万元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住房保障支出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834.30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，占预算支出的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2.87%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主要用于行政事业单位人员住房公积金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经费485.30万元，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住房补贴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349万元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（三）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安排预算稳定调节基金支出596.85万元、2021年专项转移支付结余资金支出988.90万元，主要用于企业扶持资金支出。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（四）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专项转移支付预算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eastAsia="zh-CN"/>
        </w:rPr>
        <w:t>收支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根据区财政局对专项转移支付项目结余结转的工作要求及已知的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预下达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专项转移支付项目资金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，可用于2024年专项转移支付预算的资金为18550.68万元，其中：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专项转移支付项目结转结余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10795.11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年度预下达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7755.57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，具体支出明细待年终预算执行时向人大报告。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（五）一般性转移支付补充资金收支情况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2024年一般性转移支付补充资金6608.13万元，上解支出6608.13万元。主要用于市场监管所经费269.08万元，计划生育经费631.24万元，城乡医疗救助经费184.51万元，城乡居民基本医疗保险1954.23万元，生态养老补贴332.04万元，城乡居民养老保险基金2787.06万元，体制结算收入计提218.95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财政重点工作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鉴于财政收支呈现出的严峻性，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年，镇财政将按照镇人代会确定的目标任务，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严格落实过“紧日子”要求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坚决兜牢“三保”底线，努力保障城乡基本运行，实现财政收支平衡，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重点做好以下三方面工作：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（一）优化财政支出结构，有保有压聚焦重点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楷体_GB2312" w:hAnsi="仿宋" w:eastAsia="楷体_GB2312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牢固树立艰苦奋斗，勤俭节约的思想，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坚持节俭</w:t>
      </w:r>
      <w:r>
        <w:rPr>
          <w:rFonts w:hint="eastAsia" w:ascii="仿宋_GB2312" w:hAnsi="仿宋_GB2312" w:eastAsia="仿宋_GB2312" w:cs="仿宋_GB2312"/>
          <w:sz w:val="32"/>
          <w:szCs w:val="32"/>
        </w:rPr>
        <w:t>办一切事业，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严控一般性支出和“三公”经费，对非刚性、非重点、非近期的项目支出做到可压尽压、应压尽压，并严格执行会议差旅等费用标准，保障重点领域支出需求，进一步提高资金使用效益。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（二）夯实预算管理基础，增强预算刚性约束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一是推进预算支出项目常态化储备，加强项目分类设置及排序管理，根据轻重缓急的基本原则，合理确定项目分年支出计划。二是强化预算对执行的控制，坚持先有预算、后有支出，严格按照项目开展情况编制预算，促进预算编制与实际需求的衔接匹配。三是规范使用一体化预算系统，加强预算资金运行检测，更好地统筹预算资源，提升预算管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（三）深化预算绩效管理，推动预算透明公开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Arial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Arial"/>
          <w:color w:val="000000"/>
          <w:kern w:val="0"/>
          <w:sz w:val="32"/>
          <w:szCs w:val="32"/>
          <w:lang w:val="en-US" w:eastAsia="zh-CN" w:bidi="ar-SA"/>
        </w:rPr>
        <w:t>一是严格落实绩效管理主体责任，认真落实各项专项资金、政府购买服务等重点领域预算绩效管理的相关要求，切实提高财政资金配置效率和使用效率。二是牢固树立成本效益理念，将成本效益分析方法运用到预算管理全过程，实现降本、增效、优化管理。三是深入贯彻财政信息公开工作的有关要求，确保信息公开的及时性、完整性和真实性，以公开促规范，不断提高预算透明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Arial"/>
          <w:color w:val="000000"/>
          <w:kern w:val="0"/>
          <w:sz w:val="32"/>
          <w:szCs w:val="32"/>
          <w:lang w:val="en-US" w:eastAsia="zh-CN" w:bidi="ar-SA"/>
        </w:rPr>
        <w:t>各位代表，202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仿宋_GB2312" w:hAnsi="Times New Roman" w:eastAsia="仿宋_GB2312" w:cs="Arial"/>
          <w:color w:val="000000"/>
          <w:kern w:val="0"/>
          <w:sz w:val="32"/>
          <w:szCs w:val="32"/>
          <w:lang w:val="en-US" w:eastAsia="zh-CN" w:bidi="ar-SA"/>
        </w:rPr>
        <w:t>年镇财政工作任务依然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  <w:lang w:val="en-US" w:eastAsia="zh-CN" w:bidi="ar-SA"/>
        </w:rPr>
        <w:t>艰巨繁重</w:t>
      </w:r>
      <w:r>
        <w:rPr>
          <w:rFonts w:hint="eastAsia" w:ascii="仿宋_GB2312" w:hAnsi="Times New Roman" w:eastAsia="仿宋_GB2312" w:cs="Arial"/>
          <w:color w:val="000000"/>
          <w:kern w:val="0"/>
          <w:sz w:val="32"/>
          <w:szCs w:val="32"/>
          <w:lang w:val="en-US" w:eastAsia="zh-CN" w:bidi="ar-SA"/>
        </w:rPr>
        <w:t>，我们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  <w:lang w:val="en-US" w:eastAsia="zh-CN" w:bidi="ar-SA"/>
        </w:rPr>
        <w:t>将坚持</w:t>
      </w:r>
      <w:r>
        <w:rPr>
          <w:rFonts w:hint="eastAsia" w:ascii="仿宋_GB2312" w:hAnsi="Times New Roman" w:eastAsia="仿宋_GB2312" w:cs="Arial"/>
          <w:color w:val="000000"/>
          <w:kern w:val="0"/>
          <w:sz w:val="32"/>
          <w:szCs w:val="32"/>
          <w:lang w:val="en-US" w:eastAsia="zh-CN" w:bidi="ar-SA"/>
        </w:rPr>
        <w:t>以习近平新时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</w:rPr>
        <w:t>代中国特色社会主义思想为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  <w:lang w:val="en-US" w:eastAsia="zh-CN"/>
        </w:rPr>
        <w:t>指导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</w:rPr>
        <w:t>，在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  <w:lang w:eastAsia="zh-CN"/>
        </w:rPr>
        <w:t>镇党委、政府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</w:rPr>
        <w:t>的坚强领导下，自觉接受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  <w:lang w:eastAsia="zh-CN"/>
        </w:rPr>
        <w:t>镇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</w:rPr>
        <w:t>人大监督，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认真听取社会各界的意见建议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开拓进取，扎实工作，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发挥好财政职能作用</w:t>
      </w:r>
      <w:r>
        <w:rPr>
          <w:rFonts w:ascii="仿宋_GB2312" w:eastAsia="仿宋_GB2312" w:cs="Arial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  <w:lang w:val="en-US" w:eastAsia="zh-CN"/>
        </w:rPr>
        <w:t>为推动竖新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</w:rPr>
        <w:t>镇经济社会高质量发展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  <w:lang w:val="en-US" w:eastAsia="zh-CN"/>
        </w:rPr>
        <w:t>作</w:t>
      </w:r>
      <w:r>
        <w:rPr>
          <w:rFonts w:hint="eastAsia" w:ascii="仿宋_GB2312" w:eastAsia="仿宋_GB2312" w:cs="Arial"/>
          <w:color w:val="000000"/>
          <w:kern w:val="0"/>
          <w:sz w:val="32"/>
          <w:szCs w:val="32"/>
        </w:rPr>
        <w:t>出积极贡献！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55A51D"/>
    <w:multiLevelType w:val="singleLevel"/>
    <w:tmpl w:val="6455A51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ZjhmMDc1NGQwZmFkYWQzYjk3ZTBlMjE3ZDY3NjcifQ=="/>
  </w:docVars>
  <w:rsids>
    <w:rsidRoot w:val="72663765"/>
    <w:rsid w:val="00F3699E"/>
    <w:rsid w:val="046D217B"/>
    <w:rsid w:val="05A9143A"/>
    <w:rsid w:val="0848001C"/>
    <w:rsid w:val="091A05A5"/>
    <w:rsid w:val="0BAA5FF7"/>
    <w:rsid w:val="0D65259B"/>
    <w:rsid w:val="0F407DEB"/>
    <w:rsid w:val="10335B3E"/>
    <w:rsid w:val="10D27EF4"/>
    <w:rsid w:val="11147A71"/>
    <w:rsid w:val="115365EA"/>
    <w:rsid w:val="13444754"/>
    <w:rsid w:val="13DA2490"/>
    <w:rsid w:val="15E759BF"/>
    <w:rsid w:val="16677A12"/>
    <w:rsid w:val="16D670DD"/>
    <w:rsid w:val="17CE3C36"/>
    <w:rsid w:val="17D23098"/>
    <w:rsid w:val="17D812DF"/>
    <w:rsid w:val="18980428"/>
    <w:rsid w:val="1B8B3014"/>
    <w:rsid w:val="1D784AC6"/>
    <w:rsid w:val="1E5F7F68"/>
    <w:rsid w:val="20396FDA"/>
    <w:rsid w:val="21F01D5B"/>
    <w:rsid w:val="22BF4277"/>
    <w:rsid w:val="25A666E8"/>
    <w:rsid w:val="25C91F42"/>
    <w:rsid w:val="26BA3183"/>
    <w:rsid w:val="26BA7962"/>
    <w:rsid w:val="2B351788"/>
    <w:rsid w:val="2F4A4F21"/>
    <w:rsid w:val="2FA13BF4"/>
    <w:rsid w:val="2FDE5EE8"/>
    <w:rsid w:val="306F6176"/>
    <w:rsid w:val="330A2DA0"/>
    <w:rsid w:val="33BF311E"/>
    <w:rsid w:val="345C1123"/>
    <w:rsid w:val="34F42BA5"/>
    <w:rsid w:val="36236485"/>
    <w:rsid w:val="36B36785"/>
    <w:rsid w:val="373D437E"/>
    <w:rsid w:val="3BE27A53"/>
    <w:rsid w:val="3CF6675A"/>
    <w:rsid w:val="3D1A7920"/>
    <w:rsid w:val="3D4D269F"/>
    <w:rsid w:val="3D635BC1"/>
    <w:rsid w:val="3DAE751A"/>
    <w:rsid w:val="3ED162F2"/>
    <w:rsid w:val="3ED44ED3"/>
    <w:rsid w:val="3EDF64EC"/>
    <w:rsid w:val="409265CB"/>
    <w:rsid w:val="42246410"/>
    <w:rsid w:val="43782DAB"/>
    <w:rsid w:val="449A1769"/>
    <w:rsid w:val="44AA74D3"/>
    <w:rsid w:val="44D229E7"/>
    <w:rsid w:val="44DB733E"/>
    <w:rsid w:val="45831ED4"/>
    <w:rsid w:val="467658F0"/>
    <w:rsid w:val="49DB7DB3"/>
    <w:rsid w:val="4A9F31D6"/>
    <w:rsid w:val="4B2F39DD"/>
    <w:rsid w:val="4B4033B0"/>
    <w:rsid w:val="4B4448DF"/>
    <w:rsid w:val="4BF53048"/>
    <w:rsid w:val="4C6E3BFA"/>
    <w:rsid w:val="4D9906BC"/>
    <w:rsid w:val="4FAB273D"/>
    <w:rsid w:val="4FEB633A"/>
    <w:rsid w:val="506B0962"/>
    <w:rsid w:val="52C75604"/>
    <w:rsid w:val="56254DE3"/>
    <w:rsid w:val="57EE4888"/>
    <w:rsid w:val="5881023A"/>
    <w:rsid w:val="59900B28"/>
    <w:rsid w:val="5B801983"/>
    <w:rsid w:val="5DB414E4"/>
    <w:rsid w:val="5DBB79BC"/>
    <w:rsid w:val="5F515776"/>
    <w:rsid w:val="5F5F48F1"/>
    <w:rsid w:val="5FD14BA8"/>
    <w:rsid w:val="60BC4A59"/>
    <w:rsid w:val="612D237A"/>
    <w:rsid w:val="63D1565F"/>
    <w:rsid w:val="64CF63C9"/>
    <w:rsid w:val="65636DDA"/>
    <w:rsid w:val="66F72211"/>
    <w:rsid w:val="67744B9B"/>
    <w:rsid w:val="6791519A"/>
    <w:rsid w:val="683E1244"/>
    <w:rsid w:val="6A073616"/>
    <w:rsid w:val="6B3B072F"/>
    <w:rsid w:val="6B496157"/>
    <w:rsid w:val="6CC0097D"/>
    <w:rsid w:val="6D464ED1"/>
    <w:rsid w:val="6D4E10F3"/>
    <w:rsid w:val="6D622B06"/>
    <w:rsid w:val="6D7C33D6"/>
    <w:rsid w:val="6F875178"/>
    <w:rsid w:val="6FBA5543"/>
    <w:rsid w:val="700D39A4"/>
    <w:rsid w:val="72663765"/>
    <w:rsid w:val="77370579"/>
    <w:rsid w:val="77487092"/>
    <w:rsid w:val="77897492"/>
    <w:rsid w:val="794D022F"/>
    <w:rsid w:val="799B745F"/>
    <w:rsid w:val="7CE15F3A"/>
    <w:rsid w:val="7D356BF5"/>
    <w:rsid w:val="7E4B5871"/>
    <w:rsid w:val="7E702A27"/>
    <w:rsid w:val="7E7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2021-12-06T12:07:00Z</dcterms:created>
  <dc:creator>CC</dc:creator>
  <cp:lastModifiedBy>user</cp:lastModifiedBy>
  <cp:lastPrinted>2024-01-08T01:07:00Z</cp:lastPrinted>
  <dcterms:modified xsi:type="dcterms:W3CDTF">2024-01-08T23:54:56Z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895620A2406247AAAD579080C3C1705D_13</vt:lpwstr>
  </property>
</Properties>
</file>