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</w:pPr>
      <w:r>
        <w:rPr>
          <w:rFonts w:hint="eastAsia" w:ascii="方正小标宋简体" w:hAnsi="宋体" w:eastAsia="方正小标宋简体" w:cs="宋体"/>
          <w:kern w:val="0"/>
          <w:sz w:val="44"/>
          <w:szCs w:val="44"/>
        </w:rPr>
        <w:t>崇明区公益林抚育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管理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</w:rPr>
        <w:t>意见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（试行）</w:t>
      </w:r>
    </w:p>
    <w:p>
      <w:pPr>
        <w:spacing w:line="560" w:lineRule="exact"/>
        <w:ind w:firstLine="640" w:firstLineChars="200"/>
        <w:jc w:val="center"/>
        <w:rPr>
          <w:rFonts w:hint="eastAsia" w:ascii="楷体_GB2312" w:hAnsi="仿宋" w:eastAsia="楷体_GB2312" w:cs="仿宋"/>
          <w:sz w:val="32"/>
          <w:szCs w:val="32"/>
        </w:rPr>
      </w:pPr>
    </w:p>
    <w:p>
      <w:pPr>
        <w:spacing w:line="560" w:lineRule="exact"/>
        <w:ind w:firstLine="640" w:firstLineChars="200"/>
        <w:jc w:val="both"/>
        <w:rPr>
          <w:rFonts w:hint="eastAsia" w:ascii="仿宋_GB2312" w:hAnsi="仿宋" w:eastAsia="仿宋_GB2312" w:cs="仿宋"/>
          <w:sz w:val="32"/>
          <w:szCs w:val="32"/>
          <w:lang w:eastAsia="zh-CN"/>
        </w:rPr>
      </w:pPr>
      <w:r>
        <w:rPr>
          <w:rFonts w:hint="eastAsia" w:ascii="仿宋_GB2312" w:hAnsi="仿宋" w:eastAsia="仿宋_GB2312" w:cs="仿宋"/>
          <w:sz w:val="32"/>
          <w:szCs w:val="32"/>
        </w:rPr>
        <w:t>为进一步加强本</w:t>
      </w:r>
      <w:r>
        <w:rPr>
          <w:rFonts w:hint="eastAsia" w:ascii="仿宋_GB2312" w:hAnsi="仿宋" w:eastAsia="仿宋_GB2312" w:cs="仿宋"/>
          <w:sz w:val="32"/>
          <w:szCs w:val="32"/>
          <w:lang w:eastAsia="zh-CN"/>
        </w:rPr>
        <w:t>区</w:t>
      </w:r>
      <w:r>
        <w:rPr>
          <w:rFonts w:hint="eastAsia" w:ascii="仿宋_GB2312" w:hAnsi="仿宋" w:eastAsia="仿宋_GB2312" w:cs="仿宋"/>
          <w:sz w:val="32"/>
          <w:szCs w:val="32"/>
        </w:rPr>
        <w:t>生态公益林抚育，规范生态公益林抚育实施与管理，提高生态公益林抚育质量与成效，根据《上海市生态公益林抚育管理意见（试行）》</w:t>
      </w:r>
      <w:r>
        <w:rPr>
          <w:rFonts w:hint="eastAsia" w:ascii="仿宋_GB2312" w:hAnsi="仿宋" w:eastAsia="仿宋_GB2312" w:cs="仿宋"/>
          <w:sz w:val="32"/>
          <w:szCs w:val="32"/>
          <w:lang w:eastAsia="zh-CN"/>
        </w:rPr>
        <w:t>、</w:t>
      </w:r>
      <w:r>
        <w:rPr>
          <w:rFonts w:hint="eastAsia" w:ascii="仿宋_GB2312" w:hAnsi="仿宋" w:eastAsia="仿宋_GB2312" w:cs="仿宋"/>
          <w:sz w:val="32"/>
          <w:szCs w:val="32"/>
        </w:rPr>
        <w:t>《生态公益林</w:t>
      </w:r>
      <w:r>
        <w:rPr>
          <w:rFonts w:hint="eastAsia" w:ascii="仿宋_GB2312" w:hAnsi="仿宋" w:eastAsia="仿宋_GB2312" w:cs="仿宋"/>
          <w:sz w:val="32"/>
          <w:szCs w:val="32"/>
          <w:lang w:eastAsia="zh-CN"/>
        </w:rPr>
        <w:t>养</w:t>
      </w:r>
      <w:r>
        <w:rPr>
          <w:rFonts w:hint="eastAsia" w:ascii="仿宋_GB2312" w:hAnsi="仿宋" w:eastAsia="仿宋_GB2312" w:cs="仿宋"/>
          <w:sz w:val="32"/>
          <w:szCs w:val="32"/>
        </w:rPr>
        <w:t>护</w:t>
      </w:r>
      <w:r>
        <w:rPr>
          <w:rFonts w:hint="eastAsia" w:ascii="仿宋_GB2312" w:hAnsi="仿宋" w:eastAsia="仿宋_GB2312" w:cs="仿宋"/>
          <w:sz w:val="32"/>
          <w:szCs w:val="32"/>
          <w:lang w:eastAsia="zh-CN"/>
        </w:rPr>
        <w:t>标准</w:t>
      </w:r>
      <w:r>
        <w:rPr>
          <w:rFonts w:hint="eastAsia" w:ascii="仿宋_GB2312" w:hAnsi="仿宋" w:eastAsia="仿宋_GB2312" w:cs="仿宋"/>
          <w:sz w:val="32"/>
          <w:szCs w:val="32"/>
        </w:rPr>
        <w:t>》( DG/TJ08-2096)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 xml:space="preserve"> 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和</w:t>
      </w:r>
      <w:r>
        <w:rPr>
          <w:rFonts w:hint="eastAsia" w:ascii="仿宋_GB2312" w:hAnsi="仿宋" w:eastAsia="仿宋_GB2312" w:cs="仿宋"/>
          <w:color w:val="auto"/>
          <w:sz w:val="32"/>
          <w:szCs w:val="32"/>
          <w:highlight w:val="none"/>
        </w:rPr>
        <w:t>《上海市生态公益林抚育产生的林木资产处置指导意见（试行）》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，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结合</w:t>
      </w:r>
      <w:r>
        <w:rPr>
          <w:rFonts w:hint="eastAsia" w:ascii="仿宋_GB2312" w:hAnsi="仿宋" w:eastAsia="仿宋_GB2312" w:cs="仿宋"/>
          <w:sz w:val="32"/>
          <w:szCs w:val="32"/>
          <w:lang w:eastAsia="zh-CN"/>
        </w:rPr>
        <w:t>近年来本区公益林抚育实际，</w:t>
      </w:r>
      <w:r>
        <w:rPr>
          <w:rFonts w:hint="eastAsia" w:ascii="仿宋_GB2312" w:hAnsi="仿宋" w:eastAsia="仿宋_GB2312" w:cs="仿宋"/>
          <w:sz w:val="32"/>
          <w:szCs w:val="32"/>
        </w:rPr>
        <w:t>特制定本指导意见</w:t>
      </w:r>
      <w:r>
        <w:rPr>
          <w:rFonts w:hint="eastAsia" w:ascii="仿宋_GB2312" w:hAnsi="仿宋" w:eastAsia="仿宋_GB2312" w:cs="仿宋"/>
          <w:sz w:val="32"/>
          <w:szCs w:val="32"/>
          <w:lang w:eastAsia="zh-CN"/>
        </w:rPr>
        <w:t>。</w:t>
      </w:r>
    </w:p>
    <w:p>
      <w:pPr>
        <w:tabs>
          <w:tab w:val="left" w:pos="720"/>
        </w:tabs>
        <w:spacing w:line="560" w:lineRule="exact"/>
        <w:ind w:firstLine="640" w:firstLineChars="200"/>
        <w:jc w:val="both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一、适用范围</w:t>
      </w:r>
    </w:p>
    <w:p>
      <w:pPr>
        <w:tabs>
          <w:tab w:val="left" w:pos="720"/>
        </w:tabs>
        <w:spacing w:line="560" w:lineRule="exact"/>
        <w:ind w:left="638" w:leftChars="304" w:firstLine="0" w:firstLineChars="0"/>
        <w:jc w:val="both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仿宋_GB2312" w:hAnsi="仿宋" w:eastAsia="仿宋_GB2312" w:cs="仿宋"/>
          <w:color w:val="auto"/>
          <w:sz w:val="32"/>
          <w:szCs w:val="32"/>
          <w:highlight w:val="none"/>
        </w:rPr>
        <w:t>适用于崇明区行政区域范围内纳入林地生态补偿的公益林。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二</w:t>
      </w:r>
      <w:r>
        <w:rPr>
          <w:rFonts w:hint="eastAsia" w:ascii="黑体" w:hAnsi="黑体" w:eastAsia="黑体" w:cs="黑体"/>
          <w:sz w:val="32"/>
          <w:szCs w:val="32"/>
        </w:rPr>
        <w:t>、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计划</w:t>
      </w:r>
      <w:r>
        <w:rPr>
          <w:rFonts w:hint="eastAsia" w:ascii="黑体" w:hAnsi="黑体" w:eastAsia="黑体" w:cs="黑体"/>
          <w:sz w:val="32"/>
          <w:szCs w:val="32"/>
        </w:rPr>
        <w:t>目标</w:t>
      </w:r>
    </w:p>
    <w:p>
      <w:pPr>
        <w:tabs>
          <w:tab w:val="left" w:pos="720"/>
        </w:tabs>
        <w:spacing w:line="560" w:lineRule="exact"/>
        <w:ind w:firstLine="640" w:firstLineChars="200"/>
        <w:rPr>
          <w:rFonts w:hint="eastAsia" w:ascii="仿宋_GB2312" w:hAnsi="仿宋" w:eastAsia="仿宋_GB2312" w:cs="仿宋"/>
          <w:color w:val="FF000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" w:eastAsia="仿宋_GB2312" w:cs="仿宋"/>
          <w:sz w:val="32"/>
          <w:szCs w:val="32"/>
        </w:rPr>
        <w:t>（一）全面提升我区生态公益林抚育经营管理水平，圆满完成市下达的</w:t>
      </w:r>
      <w:r>
        <w:rPr>
          <w:rFonts w:hint="eastAsia" w:ascii="仿宋_GB2312" w:hAnsi="仿宋" w:eastAsia="仿宋_GB2312" w:cs="仿宋"/>
          <w:sz w:val="32"/>
          <w:szCs w:val="32"/>
          <w:lang w:eastAsia="zh-CN"/>
        </w:rPr>
        <w:t>公益林</w:t>
      </w:r>
      <w:r>
        <w:rPr>
          <w:rFonts w:hint="eastAsia" w:ascii="仿宋_GB2312" w:hAnsi="仿宋" w:eastAsia="仿宋_GB2312" w:cs="仿宋"/>
          <w:sz w:val="32"/>
          <w:szCs w:val="32"/>
        </w:rPr>
        <w:t>抚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育任务</w:t>
      </w:r>
      <w:r>
        <w:rPr>
          <w:rFonts w:hint="eastAsia" w:ascii="仿宋_GB2312" w:hAnsi="仿宋" w:eastAsia="仿宋_GB2312" w:cs="仿宋"/>
          <w:color w:val="auto"/>
          <w:sz w:val="32"/>
          <w:szCs w:val="32"/>
          <w:lang w:eastAsia="zh-CN"/>
        </w:rPr>
        <w:t>的同时，</w:t>
      </w:r>
      <w:r>
        <w:rPr>
          <w:rFonts w:hint="eastAsia" w:ascii="仿宋_GB2312" w:hAnsi="仿宋" w:eastAsia="仿宋_GB2312" w:cs="仿宋"/>
          <w:color w:val="auto"/>
          <w:sz w:val="32"/>
          <w:szCs w:val="32"/>
          <w:highlight w:val="none"/>
        </w:rPr>
        <w:t>进一步规范项目实施流程</w:t>
      </w:r>
      <w:r>
        <w:rPr>
          <w:rFonts w:hint="eastAsia" w:ascii="仿宋_GB2312" w:hAnsi="仿宋" w:eastAsia="仿宋_GB2312" w:cs="仿宋"/>
          <w:color w:val="auto"/>
          <w:sz w:val="32"/>
          <w:szCs w:val="32"/>
          <w:highlight w:val="none"/>
          <w:lang w:eastAsia="zh-CN"/>
        </w:rPr>
        <w:t>。</w:t>
      </w:r>
    </w:p>
    <w:p>
      <w:pPr>
        <w:tabs>
          <w:tab w:val="left" w:pos="720"/>
        </w:tabs>
        <w:spacing w:line="560" w:lineRule="exact"/>
        <w:ind w:firstLine="640" w:firstLineChars="200"/>
        <w:jc w:val="both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（二）改善林分结构、提升林分质量，促进林木生长、增加林木蓄积</w:t>
      </w:r>
      <w:r>
        <w:rPr>
          <w:rFonts w:hint="eastAsia" w:ascii="仿宋_GB2312" w:hAnsi="仿宋" w:eastAsia="仿宋_GB2312" w:cs="仿宋"/>
          <w:sz w:val="32"/>
          <w:szCs w:val="32"/>
          <w:lang w:eastAsia="zh-CN"/>
        </w:rPr>
        <w:t>。通过合理经营和抚育，</w:t>
      </w:r>
      <w:r>
        <w:rPr>
          <w:rFonts w:hint="eastAsia" w:ascii="仿宋_GB2312" w:hAnsi="仿宋" w:eastAsia="仿宋_GB2312" w:cs="仿宋"/>
          <w:sz w:val="32"/>
          <w:szCs w:val="32"/>
        </w:rPr>
        <w:t>维持林分郁闭度不低于0.6，</w:t>
      </w:r>
      <w:r>
        <w:rPr>
          <w:rFonts w:hint="eastAsia" w:ascii="仿宋_GB2312" w:hAnsi="仿宋_GB2312" w:eastAsia="仿宋_GB2312" w:cs="仿宋_GB2312"/>
          <w:sz w:val="32"/>
          <w:szCs w:val="32"/>
        </w:rPr>
        <w:t>林木分布均匀，不造成林窗、林中空地等；抚育后林分平均胸径不低于伐前林分平均胸径；目的树种株数不少于最低保留数且比例不减少；没有受林业检疫性有害生物危害的林木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" w:eastAsia="仿宋_GB2312" w:cs="仿宋"/>
          <w:sz w:val="32"/>
          <w:szCs w:val="32"/>
        </w:rPr>
        <w:t>逐步培育健康稳定的森林生态系统，发挥林业生态、景观、经济和社会效益。</w:t>
      </w:r>
    </w:p>
    <w:p>
      <w:pPr>
        <w:tabs>
          <w:tab w:val="left" w:pos="720"/>
        </w:tabs>
        <w:spacing w:line="560" w:lineRule="exact"/>
        <w:ind w:firstLine="640" w:firstLineChars="200"/>
        <w:jc w:val="both"/>
        <w:rPr>
          <w:rFonts w:hint="eastAsia" w:ascii="黑体" w:hAnsi="黑体" w:eastAsia="黑体" w:cs="黑体"/>
          <w:bCs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Cs/>
          <w:sz w:val="32"/>
          <w:szCs w:val="32"/>
          <w:lang w:eastAsia="zh-CN"/>
        </w:rPr>
        <w:t>三</w:t>
      </w:r>
      <w:r>
        <w:rPr>
          <w:rFonts w:hint="eastAsia" w:ascii="黑体" w:hAnsi="黑体" w:eastAsia="黑体" w:cs="黑体"/>
          <w:bCs/>
          <w:sz w:val="32"/>
          <w:szCs w:val="32"/>
        </w:rPr>
        <w:t>、基本原则</w:t>
      </w:r>
    </w:p>
    <w:p>
      <w:pPr>
        <w:numPr>
          <w:ilvl w:val="0"/>
          <w:numId w:val="0"/>
        </w:numPr>
        <w:tabs>
          <w:tab w:val="left" w:pos="720"/>
        </w:tabs>
        <w:spacing w:line="560" w:lineRule="exact"/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" w:hAnsi="楷体" w:eastAsia="楷体" w:cs="楷体"/>
          <w:b w:val="0"/>
          <w:bCs w:val="0"/>
          <w:sz w:val="32"/>
          <w:szCs w:val="32"/>
          <w:lang w:eastAsia="zh-CN"/>
        </w:rPr>
        <w:t>（一）聚焦重点</w:t>
      </w:r>
      <w:r>
        <w:rPr>
          <w:rFonts w:hint="eastAsia" w:ascii="楷体" w:hAnsi="楷体" w:eastAsia="楷体" w:cs="楷体"/>
          <w:b w:val="0"/>
          <w:bCs w:val="0"/>
          <w:sz w:val="32"/>
          <w:szCs w:val="32"/>
        </w:rPr>
        <w:t>原则</w:t>
      </w:r>
      <w:r>
        <w:rPr>
          <w:rFonts w:hint="eastAsia" w:ascii="楷体" w:hAnsi="楷体" w:eastAsia="楷体" w:cs="楷体"/>
          <w:b w:val="0"/>
          <w:bCs w:val="0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严格遵循“留强去弱，留直去弯，留好去差”的原则，优先</w:t>
      </w:r>
      <w:r>
        <w:rPr>
          <w:rFonts w:hint="eastAsia" w:ascii="仿宋_GB2312" w:hAnsi="仿宋" w:eastAsia="仿宋_GB2312" w:cs="仿宋"/>
          <w:sz w:val="32"/>
          <w:szCs w:val="32"/>
          <w:lang w:eastAsia="zh-CN"/>
        </w:rPr>
        <w:t>抚育</w:t>
      </w:r>
      <w:r>
        <w:rPr>
          <w:rFonts w:hint="eastAsia" w:ascii="仿宋_GB2312" w:hAnsi="仿宋" w:eastAsia="仿宋_GB2312" w:cs="仿宋"/>
          <w:sz w:val="32"/>
          <w:szCs w:val="32"/>
        </w:rPr>
        <w:t>林木</w:t>
      </w:r>
      <w:r>
        <w:rPr>
          <w:rFonts w:hint="eastAsia" w:ascii="仿宋_GB2312" w:hAnsi="仿宋" w:eastAsia="仿宋_GB2312" w:cs="仿宋"/>
          <w:color w:val="auto"/>
          <w:sz w:val="32"/>
          <w:szCs w:val="32"/>
        </w:rPr>
        <w:t>过密、遭受自然灾害、严</w:t>
      </w:r>
      <w:r>
        <w:rPr>
          <w:rFonts w:hint="eastAsia" w:ascii="仿宋_GB2312" w:hAnsi="仿宋" w:eastAsia="仿宋_GB2312" w:cs="仿宋"/>
          <w:sz w:val="32"/>
          <w:szCs w:val="32"/>
        </w:rPr>
        <w:t>重退化，</w:t>
      </w:r>
      <w:r>
        <w:rPr>
          <w:rFonts w:hint="eastAsia" w:ascii="仿宋_GB2312" w:hAnsi="仿宋" w:eastAsia="仿宋_GB2312" w:cs="仿宋"/>
          <w:sz w:val="32"/>
          <w:szCs w:val="32"/>
          <w:lang w:eastAsia="zh-CN"/>
        </w:rPr>
        <w:t>重点区域或重要节点</w:t>
      </w:r>
      <w:r>
        <w:rPr>
          <w:rFonts w:hint="eastAsia" w:ascii="仿宋_GB2312" w:hAnsi="仿宋" w:eastAsia="仿宋_GB2312" w:cs="仿宋"/>
          <w:sz w:val="32"/>
          <w:szCs w:val="32"/>
        </w:rPr>
        <w:t>的公益林</w:t>
      </w:r>
      <w:r>
        <w:rPr>
          <w:rFonts w:hint="eastAsia" w:ascii="仿宋_GB2312" w:hAnsi="仿宋" w:eastAsia="仿宋_GB2312" w:cs="仿宋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促进林分持续健康发展。</w:t>
      </w:r>
    </w:p>
    <w:p>
      <w:pPr>
        <w:numPr>
          <w:ilvl w:val="0"/>
          <w:numId w:val="0"/>
        </w:numPr>
        <w:spacing w:line="560" w:lineRule="exact"/>
        <w:ind w:firstLine="640" w:firstLineChars="200"/>
        <w:jc w:val="both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楷体" w:hAnsi="楷体" w:eastAsia="楷体" w:cs="楷体"/>
          <w:b w:val="0"/>
          <w:bCs w:val="0"/>
          <w:sz w:val="32"/>
          <w:szCs w:val="32"/>
          <w:lang w:eastAsia="zh-CN"/>
        </w:rPr>
        <w:t>（二）</w:t>
      </w:r>
      <w:r>
        <w:rPr>
          <w:rFonts w:hint="eastAsia" w:ascii="楷体" w:hAnsi="楷体" w:eastAsia="楷体" w:cs="楷体"/>
          <w:b w:val="0"/>
          <w:bCs w:val="0"/>
          <w:sz w:val="32"/>
          <w:szCs w:val="32"/>
        </w:rPr>
        <w:t>因地制宜原则</w:t>
      </w:r>
      <w:r>
        <w:rPr>
          <w:rFonts w:hint="eastAsia" w:ascii="楷体" w:hAnsi="楷体" w:eastAsia="楷体" w:cs="楷体"/>
          <w:b w:val="0"/>
          <w:bCs w:val="0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根据立地条件、功能、区位不同，制定相应的抚育方案。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抚育</w:t>
      </w:r>
      <w:r>
        <w:rPr>
          <w:rFonts w:hint="eastAsia" w:ascii="仿宋_GB2312" w:hAnsi="仿宋_GB2312" w:eastAsia="仿宋_GB2312" w:cs="仿宋_GB2312"/>
          <w:sz w:val="32"/>
          <w:szCs w:val="32"/>
        </w:rPr>
        <w:t>间隔期在5年以上，郁闭度高于0.8的林地进行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采伐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低于0.2的林地进行补植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抚育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需采取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伐除方式，不得移栽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补植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苗木根据“适地适树”和“四化”原则，优先采用适合崇明生长的乡土树种，合理使用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优质外采</w:t>
      </w:r>
      <w:r>
        <w:rPr>
          <w:rFonts w:hint="eastAsia" w:ascii="仿宋_GB2312" w:hAnsi="仿宋_GB2312" w:eastAsia="仿宋_GB2312" w:cs="仿宋_GB2312"/>
          <w:sz w:val="32"/>
          <w:szCs w:val="32"/>
        </w:rPr>
        <w:t>苗木。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7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b w:val="0"/>
          <w:bCs w:val="0"/>
          <w:sz w:val="32"/>
          <w:szCs w:val="32"/>
          <w:lang w:eastAsia="zh-CN"/>
        </w:rPr>
        <w:t>（三）</w:t>
      </w:r>
      <w:r>
        <w:rPr>
          <w:rFonts w:hint="eastAsia" w:ascii="楷体" w:hAnsi="楷体" w:eastAsia="楷体" w:cs="楷体"/>
          <w:b w:val="0"/>
          <w:bCs w:val="0"/>
          <w:sz w:val="32"/>
          <w:szCs w:val="32"/>
        </w:rPr>
        <w:t>优化布局原则</w:t>
      </w:r>
      <w:r>
        <w:rPr>
          <w:rFonts w:hint="eastAsia" w:ascii="楷体" w:hAnsi="楷体" w:eastAsia="楷体" w:cs="楷体"/>
          <w:b w:val="0"/>
          <w:bCs w:val="0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采取一般抚育和重点抚育相结合的方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式，实施公益林抚育项目。重点抚育区域将作为小型开放休闲林地，列入区向市上报的乡村公园名录。</w:t>
      </w:r>
    </w:p>
    <w:p>
      <w:pPr>
        <w:keepNext w:val="0"/>
        <w:keepLines w:val="0"/>
        <w:pageBreakBefore w:val="0"/>
        <w:widowControl w:val="0"/>
        <w:tabs>
          <w:tab w:val="left" w:pos="7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</w:rPr>
        <w:t>（四）持续发展原则。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以生态保护为目标，保留林分内自然更新的林木，促进人工林向近自然林的演化。重点区域林地景观植物应选择低维护多年生耐荫观赏植物，减少后期林地养护成本。</w:t>
      </w:r>
    </w:p>
    <w:p>
      <w:pPr>
        <w:keepNext w:val="0"/>
        <w:keepLines w:val="0"/>
        <w:pageBreakBefore w:val="0"/>
        <w:widowControl w:val="0"/>
        <w:tabs>
          <w:tab w:val="left" w:pos="7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四、工作职责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shd w:val="clear" w:color="auto" w:fill="FFFFFF"/>
        </w:rPr>
        <w:t>（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shd w:val="clear" w:color="auto" w:fill="FFFFFF"/>
          <w:lang w:eastAsia="zh-CN"/>
        </w:rPr>
        <w:t>一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</w:rPr>
        <w:t>）区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  <w:lang w:eastAsia="zh-CN"/>
        </w:rPr>
        <w:t>绿化市容局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</w:rPr>
        <w:t>为崇明区公益林抚育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  <w:lang w:eastAsia="zh-CN"/>
        </w:rPr>
        <w:t>工作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</w:rPr>
        <w:t>的监督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  <w:lang w:eastAsia="zh-CN"/>
        </w:rPr>
        <w:t>和管理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</w:rPr>
        <w:t>主体。</w:t>
      </w:r>
    </w:p>
    <w:p>
      <w:pPr>
        <w:spacing w:line="560" w:lineRule="exact"/>
        <w:ind w:firstLine="600"/>
        <w:jc w:val="both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</w:rPr>
        <w:t>1.负责公益林抚育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  <w:lang w:eastAsia="zh-CN"/>
        </w:rPr>
        <w:t>计划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</w:rPr>
        <w:t>下达，组织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  <w:lang w:eastAsia="zh-CN"/>
        </w:rPr>
        <w:t>实施方案评审、审核和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</w:rPr>
        <w:t>作业设计批复。</w:t>
      </w:r>
    </w:p>
    <w:p>
      <w:pPr>
        <w:spacing w:line="560" w:lineRule="exact"/>
        <w:ind w:firstLine="600"/>
        <w:jc w:val="both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</w:rPr>
        <w:t>2.负责办理林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shd w:val="clear" w:color="auto" w:fill="FFFFFF"/>
        </w:rPr>
        <w:t>木采伐行政许可。</w:t>
      </w:r>
    </w:p>
    <w:p>
      <w:pPr>
        <w:spacing w:line="560" w:lineRule="exact"/>
        <w:ind w:firstLine="600"/>
        <w:jc w:val="both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shd w:val="clear" w:color="auto" w:fill="FFFFFF"/>
        </w:rPr>
        <w:t>3.负责公益林抚育项目的日常监管和验收工作。</w:t>
      </w:r>
    </w:p>
    <w:p>
      <w:pPr>
        <w:spacing w:line="560" w:lineRule="exact"/>
        <w:ind w:firstLine="600"/>
        <w:jc w:val="both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shd w:val="clear" w:color="auto" w:fill="FFFFFF"/>
        </w:rPr>
        <w:t>（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shd w:val="clear" w:color="auto" w:fill="FFFFFF"/>
          <w:lang w:eastAsia="zh-CN"/>
        </w:rPr>
        <w:t>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shd w:val="clear" w:color="auto" w:fill="FFFFFF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乡镇人民政府及相关单位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shd w:val="clear" w:color="auto" w:fill="FFFFFF"/>
          <w:lang w:eastAsia="zh-CN"/>
        </w:rPr>
        <w:t>为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shd w:val="clear" w:color="auto" w:fill="FFFFFF"/>
        </w:rPr>
        <w:t>公益林抚育实施管理主体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shd w:val="clear" w:color="auto" w:fill="FFFFFF"/>
          <w:lang w:eastAsia="zh-CN"/>
        </w:rPr>
        <w:t>（以下简称“建设单位”）。</w:t>
      </w:r>
    </w:p>
    <w:p>
      <w:pPr>
        <w:spacing w:line="560" w:lineRule="exact"/>
        <w:ind w:firstLine="600"/>
        <w:jc w:val="both"/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shd w:val="clear" w:color="auto" w:fill="FFFFFF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  <w:lang w:eastAsia="zh-CN"/>
        </w:rPr>
        <w:t>负责评估区域内公益林实际情况，上报抚育计划。</w:t>
      </w:r>
    </w:p>
    <w:p>
      <w:pPr>
        <w:spacing w:line="560" w:lineRule="exact"/>
        <w:ind w:firstLine="600"/>
        <w:jc w:val="both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</w:rPr>
        <w:t>.负责公益林抚育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  <w:lang w:eastAsia="zh-CN"/>
        </w:rPr>
        <w:t>计划的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</w:rPr>
        <w:t>落实。</w:t>
      </w:r>
    </w:p>
    <w:p>
      <w:pPr>
        <w:spacing w:line="560" w:lineRule="exact"/>
        <w:ind w:firstLine="600"/>
        <w:jc w:val="both"/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  <w:lang w:val="en-US" w:eastAsia="zh-CN"/>
        </w:rPr>
        <w:t>3.组织编制项目实施方案、可行性研究报告和作业设计。</w:t>
      </w:r>
    </w:p>
    <w:p>
      <w:pPr>
        <w:spacing w:line="560" w:lineRule="exact"/>
        <w:ind w:firstLine="600"/>
        <w:jc w:val="both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</w:rPr>
        <w:t>.组织项目实施，落实项目法人制、招投标制、工程监理制和合同管理制等管理制度，确保项目进度和质量。</w:t>
      </w:r>
    </w:p>
    <w:p>
      <w:pPr>
        <w:spacing w:line="560" w:lineRule="exact"/>
        <w:ind w:firstLine="600"/>
        <w:jc w:val="both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</w:rPr>
        <w:t>.负责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  <w:lang w:eastAsia="zh-CN"/>
        </w:rPr>
        <w:t>公益林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</w:rPr>
        <w:t>抚育项目的森林资源监管，禁止林木偷盗、滥砍乱伐等现象，确保抚育林地健康稳定。</w:t>
      </w:r>
    </w:p>
    <w:p>
      <w:pPr>
        <w:spacing w:line="560" w:lineRule="exact"/>
        <w:ind w:firstLine="600"/>
        <w:jc w:val="both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</w:rPr>
        <w:t>.负责项目自查验收，做好抚育性采伐申报、林木资产核销等工作。</w:t>
      </w:r>
    </w:p>
    <w:p>
      <w:pPr>
        <w:spacing w:line="560" w:lineRule="exact"/>
        <w:ind w:firstLine="600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</w:rPr>
        <w:t>7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</w:rPr>
        <w:t>负责项目配套资金的落实。</w:t>
      </w:r>
    </w:p>
    <w:p>
      <w:pPr>
        <w:spacing w:line="560" w:lineRule="exact"/>
        <w:ind w:firstLine="600"/>
        <w:jc w:val="both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  <w:lang w:eastAsia="zh-CN"/>
        </w:rPr>
        <w:t>（三）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</w:rPr>
        <w:t>区发展改革委参照《上海市崇明区政府投资项目管理办法》（沪崇发改〔2020〕478 号）实施审批工作。</w:t>
      </w:r>
    </w:p>
    <w:p>
      <w:pPr>
        <w:spacing w:line="560" w:lineRule="exact"/>
        <w:ind w:firstLine="600"/>
        <w:jc w:val="both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shd w:val="clear" w:color="auto" w:fill="FFFFFF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shd w:val="clear" w:color="auto" w:fill="FFFFFF"/>
          <w:lang w:eastAsia="zh-CN"/>
        </w:rPr>
        <w:t>（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四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shd w:val="clear" w:color="auto" w:fill="FFFFFF"/>
          <w:lang w:eastAsia="zh-CN"/>
        </w:rPr>
        <w:t>）区财政局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shd w:val="clear" w:color="auto" w:fill="FFFFFF"/>
        </w:rPr>
        <w:t>负责项目资金落实、拨付等工作。</w:t>
      </w:r>
    </w:p>
    <w:p>
      <w:pPr>
        <w:spacing w:line="560" w:lineRule="exact"/>
        <w:ind w:firstLine="600"/>
        <w:jc w:val="both"/>
        <w:rPr>
          <w:rFonts w:hint="eastAsia" w:ascii="黑体" w:hAnsi="黑体" w:eastAsia="黑体" w:cs="黑体"/>
          <w:color w:val="auto"/>
          <w:sz w:val="32"/>
          <w:szCs w:val="32"/>
        </w:rPr>
      </w:pPr>
      <w:r>
        <w:rPr>
          <w:rFonts w:hint="eastAsia" w:ascii="黑体" w:hAnsi="黑体" w:eastAsia="黑体" w:cs="黑体"/>
          <w:color w:val="auto"/>
          <w:sz w:val="32"/>
          <w:szCs w:val="32"/>
        </w:rPr>
        <w:t>五、抚育方式</w:t>
      </w:r>
    </w:p>
    <w:p>
      <w:pPr>
        <w:spacing w:line="560" w:lineRule="exact"/>
        <w:ind w:firstLine="600"/>
        <w:jc w:val="both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  <w:lang w:eastAsia="zh-CN"/>
        </w:rPr>
      </w:pPr>
      <w:r>
        <w:rPr>
          <w:rFonts w:hint="eastAsia" w:ascii="楷体" w:hAnsi="楷体" w:eastAsia="楷体" w:cs="楷体"/>
          <w:b w:val="0"/>
          <w:bCs w:val="0"/>
          <w:color w:val="auto"/>
          <w:sz w:val="32"/>
          <w:szCs w:val="32"/>
          <w:shd w:val="clear" w:color="auto" w:fill="FFFFFF"/>
        </w:rPr>
        <w:t>（</w:t>
      </w:r>
      <w:r>
        <w:rPr>
          <w:rFonts w:hint="eastAsia" w:ascii="楷体" w:hAnsi="楷体" w:eastAsia="楷体" w:cs="楷体"/>
          <w:b w:val="0"/>
          <w:bCs w:val="0"/>
          <w:color w:val="auto"/>
          <w:sz w:val="32"/>
          <w:szCs w:val="32"/>
          <w:shd w:val="clear" w:color="auto" w:fill="FFFFFF"/>
          <w:lang w:eastAsia="zh-CN"/>
        </w:rPr>
        <w:t>一）一般抚育。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  <w:lang w:eastAsia="zh-CN"/>
        </w:rPr>
        <w:t>以生态保育为经营目标，通过疏伐、卫生伐、补植、人工促进天然更新等抚育方法，调整林分郁闭度，改善林地立地条件，优化森林空间结构，提高林地生产力和林木生长量，培育健康稳定优质高效的近自然森林生态系统。</w:t>
      </w:r>
    </w:p>
    <w:p>
      <w:pPr>
        <w:spacing w:line="560" w:lineRule="exact"/>
        <w:ind w:firstLine="600"/>
        <w:jc w:val="both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shd w:val="clear" w:color="auto" w:fill="FFFFFF"/>
          <w:lang w:eastAsia="zh-CN"/>
        </w:rPr>
      </w:pPr>
      <w:r>
        <w:rPr>
          <w:rFonts w:hint="eastAsia" w:ascii="楷体" w:hAnsi="楷体" w:eastAsia="楷体" w:cs="楷体"/>
          <w:b w:val="0"/>
          <w:bCs w:val="0"/>
          <w:color w:val="auto"/>
          <w:sz w:val="32"/>
          <w:szCs w:val="32"/>
          <w:shd w:val="clear" w:color="auto" w:fill="FFFFFF"/>
        </w:rPr>
        <w:t>（</w:t>
      </w:r>
      <w:r>
        <w:rPr>
          <w:rFonts w:hint="eastAsia" w:ascii="楷体" w:hAnsi="楷体" w:eastAsia="楷体" w:cs="楷体"/>
          <w:b w:val="0"/>
          <w:bCs w:val="0"/>
          <w:color w:val="auto"/>
          <w:sz w:val="32"/>
          <w:szCs w:val="32"/>
          <w:shd w:val="clear" w:color="auto" w:fill="FFFFFF"/>
          <w:lang w:eastAsia="zh-CN"/>
        </w:rPr>
        <w:t>二）重点抚育。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  <w:lang w:eastAsia="zh-CN"/>
        </w:rPr>
        <w:t>以生态休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shd w:val="clear" w:color="auto" w:fill="FFFFFF"/>
          <w:lang w:eastAsia="zh-CN"/>
        </w:rPr>
        <w:t>憩为经营目标，参照开放休闲林地建设标准，单个地块连片面积原则上不低于30亩。通过透光伐、疏伐、生长伐、卫生伐和补植等抚育方法，以及景观改造和基础设施建设，优化乔灌草搭配，营造“四化”森林，提高森林质量，提升森林生态系统服务功能。</w:t>
      </w:r>
    </w:p>
    <w:p>
      <w:pPr>
        <w:spacing w:line="560" w:lineRule="exact"/>
        <w:ind w:firstLine="600"/>
        <w:jc w:val="both"/>
        <w:rPr>
          <w:rFonts w:hint="eastAsia" w:ascii="黑体" w:hAnsi="黑体" w:eastAsia="黑体" w:cs="黑体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  <w:t>六</w:t>
      </w:r>
      <w:r>
        <w:rPr>
          <w:rFonts w:hint="eastAsia" w:ascii="黑体" w:hAnsi="黑体" w:eastAsia="黑体" w:cs="黑体"/>
          <w:color w:val="auto"/>
          <w:sz w:val="32"/>
          <w:szCs w:val="32"/>
          <w:highlight w:val="none"/>
        </w:rPr>
        <w:t>、</w:t>
      </w:r>
      <w:r>
        <w:rPr>
          <w:rFonts w:hint="eastAsia" w:ascii="黑体" w:hAnsi="黑体" w:eastAsia="黑体" w:cs="黑体"/>
          <w:color w:val="auto"/>
          <w:sz w:val="32"/>
          <w:szCs w:val="32"/>
          <w:highlight w:val="none"/>
          <w:lang w:eastAsia="zh-CN"/>
        </w:rPr>
        <w:t>项目管理</w:t>
      </w:r>
    </w:p>
    <w:p>
      <w:pPr>
        <w:spacing w:line="560" w:lineRule="exact"/>
        <w:ind w:firstLine="600"/>
        <w:jc w:val="both"/>
        <w:rPr>
          <w:rFonts w:hint="eastAsia" w:ascii="楷体" w:hAnsi="楷体" w:eastAsia="楷体" w:cs="楷体"/>
          <w:b w:val="0"/>
          <w:bCs w:val="0"/>
          <w:color w:val="auto"/>
          <w:sz w:val="32"/>
          <w:szCs w:val="32"/>
          <w:highlight w:val="none"/>
          <w:shd w:val="clear" w:color="auto" w:fill="FFFFFF"/>
          <w:lang w:eastAsia="zh-CN"/>
        </w:rPr>
      </w:pPr>
      <w:r>
        <w:rPr>
          <w:rFonts w:hint="eastAsia" w:ascii="楷体" w:hAnsi="楷体" w:eastAsia="楷体" w:cs="楷体"/>
          <w:b w:val="0"/>
          <w:bCs w:val="0"/>
          <w:color w:val="auto"/>
          <w:sz w:val="32"/>
          <w:szCs w:val="32"/>
          <w:highlight w:val="none"/>
          <w:shd w:val="clear" w:color="auto" w:fill="FFFFFF"/>
          <w:lang w:eastAsia="zh-CN"/>
        </w:rPr>
        <w:t>（一）实施方案编制与审核</w:t>
      </w:r>
    </w:p>
    <w:p>
      <w:pPr>
        <w:spacing w:line="560" w:lineRule="exact"/>
        <w:ind w:firstLine="600"/>
        <w:jc w:val="both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建设单位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</w:rPr>
        <w:t>根据区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绿化市容局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</w:rPr>
        <w:t>下达的公益林抚育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计划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</w:rPr>
        <w:t>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组织编制项目实施方案，报送区绿化市容局审核。区绿化市容局组织专家对项目实施方案进行评估，并出具相关意见。</w:t>
      </w:r>
    </w:p>
    <w:p>
      <w:pPr>
        <w:spacing w:line="560" w:lineRule="exact"/>
        <w:ind w:firstLine="600"/>
        <w:jc w:val="both"/>
        <w:rPr>
          <w:rFonts w:hint="eastAsia" w:ascii="楷体" w:hAnsi="楷体" w:eastAsia="楷体" w:cs="楷体"/>
          <w:b w:val="0"/>
          <w:bCs w:val="0"/>
          <w:color w:val="auto"/>
          <w:sz w:val="32"/>
          <w:szCs w:val="32"/>
          <w:highlight w:val="none"/>
          <w:shd w:val="clear" w:color="auto" w:fill="FFFFFF"/>
          <w:lang w:eastAsia="zh-CN"/>
        </w:rPr>
      </w:pPr>
      <w:r>
        <w:rPr>
          <w:rFonts w:hint="eastAsia" w:ascii="楷体" w:hAnsi="楷体" w:eastAsia="楷体" w:cs="楷体"/>
          <w:b w:val="0"/>
          <w:bCs w:val="0"/>
          <w:color w:val="auto"/>
          <w:sz w:val="32"/>
          <w:szCs w:val="32"/>
          <w:highlight w:val="none"/>
          <w:shd w:val="clear" w:color="auto" w:fill="FFFFFF"/>
        </w:rPr>
        <w:t>（</w:t>
      </w:r>
      <w:r>
        <w:rPr>
          <w:rFonts w:hint="eastAsia" w:ascii="楷体" w:hAnsi="楷体" w:eastAsia="楷体" w:cs="楷体"/>
          <w:b w:val="0"/>
          <w:bCs w:val="0"/>
          <w:color w:val="auto"/>
          <w:sz w:val="32"/>
          <w:szCs w:val="32"/>
          <w:highlight w:val="none"/>
          <w:shd w:val="clear" w:color="auto" w:fill="FFFFFF"/>
          <w:lang w:eastAsia="zh-CN"/>
        </w:rPr>
        <w:t>二</w:t>
      </w:r>
      <w:r>
        <w:rPr>
          <w:rFonts w:hint="eastAsia" w:ascii="楷体" w:hAnsi="楷体" w:eastAsia="楷体" w:cs="楷体"/>
          <w:b w:val="0"/>
          <w:bCs w:val="0"/>
          <w:color w:val="auto"/>
          <w:sz w:val="32"/>
          <w:szCs w:val="32"/>
          <w:highlight w:val="none"/>
          <w:shd w:val="clear" w:color="auto" w:fill="FFFFFF"/>
        </w:rPr>
        <w:t>）立项审批</w:t>
      </w:r>
    </w:p>
    <w:p>
      <w:pPr>
        <w:spacing w:line="560" w:lineRule="exact"/>
        <w:ind w:firstLine="600"/>
        <w:jc w:val="both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建设单</w:t>
      </w:r>
      <w:r>
        <w:rPr>
          <w:rFonts w:hint="eastAsia" w:ascii="仿宋_GB2312" w:hAnsi="仿宋_GB2312" w:eastAsia="仿宋_GB2312" w:cs="仿宋_GB2312"/>
          <w:strike w:val="0"/>
          <w:dstrike w:val="0"/>
          <w:color w:val="auto"/>
          <w:sz w:val="32"/>
          <w:szCs w:val="32"/>
          <w:highlight w:val="none"/>
          <w:lang w:eastAsia="zh-CN"/>
        </w:rPr>
        <w:t>位</w:t>
      </w:r>
      <w:r>
        <w:rPr>
          <w:rFonts w:hint="eastAsia" w:ascii="仿宋_GB2312" w:hAnsi="仿宋_GB2312" w:eastAsia="仿宋_GB2312" w:cs="仿宋_GB2312"/>
          <w:strike w:val="0"/>
          <w:dstrike w:val="0"/>
          <w:color w:val="auto"/>
          <w:sz w:val="32"/>
          <w:szCs w:val="32"/>
          <w:highlight w:val="none"/>
          <w:shd w:val="clear" w:color="auto" w:fill="FFFFFF"/>
        </w:rPr>
        <w:t>根据区</w:t>
      </w:r>
      <w:r>
        <w:rPr>
          <w:rFonts w:hint="eastAsia" w:ascii="仿宋_GB2312" w:hAnsi="仿宋_GB2312" w:eastAsia="仿宋_GB2312" w:cs="仿宋_GB2312"/>
          <w:strike w:val="0"/>
          <w:dstrike w:val="0"/>
          <w:color w:val="auto"/>
          <w:sz w:val="32"/>
          <w:szCs w:val="32"/>
          <w:highlight w:val="none"/>
          <w:shd w:val="clear" w:color="auto" w:fill="FFFFFF"/>
          <w:lang w:eastAsia="zh-CN"/>
        </w:rPr>
        <w:t>绿化市容局实施方案的审核意见</w:t>
      </w:r>
      <w:r>
        <w:rPr>
          <w:rFonts w:hint="eastAsia" w:ascii="仿宋_GB2312" w:hAnsi="仿宋_GB2312" w:eastAsia="仿宋_GB2312" w:cs="仿宋_GB2312"/>
          <w:strike w:val="0"/>
          <w:dstrike w:val="0"/>
          <w:color w:val="auto"/>
          <w:sz w:val="32"/>
          <w:szCs w:val="32"/>
          <w:highlight w:val="none"/>
          <w:shd w:val="clear" w:color="auto" w:fill="FFFFFF"/>
        </w:rPr>
        <w:t>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</w:rPr>
        <w:t>组织编制项目可行性研究报告报区发改委立项批复。项目可行性研究报告应由具备相关工程咨询资质的单位编制。</w:t>
      </w:r>
    </w:p>
    <w:p>
      <w:pPr>
        <w:spacing w:line="560" w:lineRule="exact"/>
        <w:ind w:firstLine="600"/>
        <w:jc w:val="both"/>
        <w:rPr>
          <w:rFonts w:hint="eastAsia" w:ascii="楷体" w:hAnsi="楷体" w:eastAsia="楷体" w:cs="楷体"/>
          <w:color w:val="auto"/>
          <w:sz w:val="32"/>
          <w:szCs w:val="32"/>
          <w:highlight w:val="none"/>
          <w:shd w:val="clear" w:color="auto" w:fill="FFFFFF"/>
          <w:lang w:eastAsia="zh-CN"/>
        </w:rPr>
      </w:pPr>
      <w:r>
        <w:rPr>
          <w:rFonts w:hint="eastAsia" w:ascii="楷体" w:hAnsi="楷体" w:eastAsia="楷体" w:cs="楷体"/>
          <w:b w:val="0"/>
          <w:bCs w:val="0"/>
          <w:color w:val="auto"/>
          <w:sz w:val="32"/>
          <w:szCs w:val="32"/>
          <w:highlight w:val="none"/>
          <w:shd w:val="clear" w:color="auto" w:fill="FFFFFF"/>
        </w:rPr>
        <w:t>（</w:t>
      </w:r>
      <w:r>
        <w:rPr>
          <w:rFonts w:hint="eastAsia" w:ascii="楷体" w:hAnsi="楷体" w:eastAsia="楷体" w:cs="楷体"/>
          <w:b w:val="0"/>
          <w:bCs w:val="0"/>
          <w:color w:val="auto"/>
          <w:sz w:val="32"/>
          <w:szCs w:val="32"/>
          <w:highlight w:val="none"/>
          <w:shd w:val="clear" w:color="auto" w:fill="FFFFFF"/>
          <w:lang w:eastAsia="zh-CN"/>
        </w:rPr>
        <w:t>三）</w:t>
      </w:r>
      <w:r>
        <w:rPr>
          <w:rFonts w:hint="eastAsia" w:ascii="楷体" w:hAnsi="楷体" w:eastAsia="楷体" w:cs="楷体"/>
          <w:color w:val="auto"/>
          <w:sz w:val="32"/>
          <w:szCs w:val="32"/>
          <w:highlight w:val="none"/>
          <w:shd w:val="clear" w:color="auto" w:fill="FFFFFF"/>
          <w:lang w:eastAsia="zh-CN"/>
        </w:rPr>
        <w:t>作业设计编制与审批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</w:rPr>
        <w:t>建设单位根据项目立项批复，委托具有</w:t>
      </w:r>
      <w:r>
        <w:rPr>
          <w:rFonts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</w:rPr>
        <w:t>林业调查规划设计资格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</w:rPr>
        <w:t>的单位开展作业设计编制，受委托单位应充分开展外业调查，以最新森林资源小班分布图作为底图编制作业设计（应包括作业设计说明书、作业设计图、作业设计调查表、预算书），报送区绿化市容局审批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，同时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</w:rPr>
        <w:t>做好号木工作。号木验收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通过后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</w:rPr>
        <w:t>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区绿化市容局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</w:rPr>
        <w:t>对项目作业设计进行批复。作业设计一经审批，不得随意变更。因客观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shd w:val="clear" w:color="auto" w:fill="FFFFFF"/>
        </w:rPr>
        <w:t>原因确需变更的，须经原审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批部门同意后，方可实施。</w:t>
      </w:r>
    </w:p>
    <w:p>
      <w:pPr>
        <w:spacing w:line="560" w:lineRule="exact"/>
        <w:ind w:firstLine="600"/>
        <w:jc w:val="both"/>
        <w:rPr>
          <w:rFonts w:hint="eastAsia" w:ascii="楷体" w:hAnsi="楷体" w:eastAsia="楷体" w:cs="楷体"/>
          <w:b w:val="0"/>
          <w:bCs w:val="0"/>
          <w:sz w:val="32"/>
          <w:szCs w:val="32"/>
          <w:shd w:val="clear" w:color="auto" w:fill="FFFFFF"/>
          <w:lang w:eastAsia="zh-CN"/>
        </w:rPr>
      </w:pPr>
      <w:r>
        <w:rPr>
          <w:rFonts w:hint="eastAsia" w:ascii="楷体" w:hAnsi="楷体" w:eastAsia="楷体" w:cs="楷体"/>
          <w:b w:val="0"/>
          <w:bCs w:val="0"/>
          <w:sz w:val="32"/>
          <w:szCs w:val="32"/>
          <w:shd w:val="clear" w:color="auto" w:fill="FFFFFF"/>
          <w:lang w:eastAsia="zh-CN"/>
        </w:rPr>
        <w:t>(四) 项目实施</w:t>
      </w:r>
    </w:p>
    <w:p>
      <w:pPr>
        <w:spacing w:line="560" w:lineRule="exact"/>
        <w:ind w:firstLine="600"/>
        <w:jc w:val="both"/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eastAsia="zh-CN"/>
        </w:rPr>
        <w:t>由建设单位通过政府采购或招投标的相关规定，确定具有相应专业能力的企业实施，并定期召开例会，掌握抚育进度和质量; 施工单位必须按照作业设计图中标文件等组织施工。凡涉及项目重大调整应按照原审批程序办理相关手续。抚育过程中需要伐除的树木由施工单位负责处置，其残值由施工单位按实上缴建设单位。</w:t>
      </w:r>
    </w:p>
    <w:p>
      <w:pPr>
        <w:spacing w:line="560" w:lineRule="exact"/>
        <w:ind w:firstLine="600"/>
        <w:jc w:val="both"/>
        <w:rPr>
          <w:rFonts w:hint="eastAsia" w:ascii="楷体" w:hAnsi="楷体" w:eastAsia="楷体" w:cs="楷体"/>
          <w:b w:val="0"/>
          <w:bCs w:val="0"/>
          <w:sz w:val="32"/>
          <w:szCs w:val="32"/>
          <w:shd w:val="clear" w:color="auto" w:fill="FFFFFF"/>
          <w:lang w:eastAsia="zh-CN"/>
        </w:rPr>
      </w:pPr>
      <w:r>
        <w:rPr>
          <w:rFonts w:hint="eastAsia" w:ascii="楷体" w:hAnsi="楷体" w:eastAsia="楷体" w:cs="楷体"/>
          <w:b w:val="0"/>
          <w:bCs w:val="0"/>
          <w:sz w:val="32"/>
          <w:szCs w:val="32"/>
          <w:shd w:val="clear" w:color="auto" w:fill="FFFFFF"/>
          <w:lang w:eastAsia="zh-CN"/>
        </w:rPr>
        <w:t>（五）项目验收</w:t>
      </w:r>
    </w:p>
    <w:p>
      <w:pPr>
        <w:spacing w:line="560" w:lineRule="exact"/>
        <w:ind w:firstLine="600"/>
        <w:jc w:val="both"/>
        <w:rPr>
          <w:rFonts w:hint="eastAsia" w:ascii="仿宋_GB2312" w:eastAsia="仿宋_GB2312"/>
          <w:color w:val="auto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eastAsia="仿宋_GB2312"/>
          <w:color w:val="auto"/>
          <w:sz w:val="32"/>
          <w:szCs w:val="32"/>
          <w:shd w:val="clear" w:color="auto" w:fill="FFFFFF"/>
          <w:lang w:val="en-US" w:eastAsia="zh-CN"/>
        </w:rPr>
        <w:t>1.号木验收。建设单位完成号木工作后向区绿化市容局提出验收申请。区绿化市容局对号木准确率、采伐合理性等进行验收，形成号木验收报告。</w:t>
      </w:r>
    </w:p>
    <w:p>
      <w:pPr>
        <w:spacing w:line="560" w:lineRule="exact"/>
        <w:ind w:firstLine="600"/>
        <w:jc w:val="both"/>
        <w:rPr>
          <w:rFonts w:hint="eastAsia" w:ascii="仿宋_GB2312" w:eastAsia="仿宋_GB2312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eastAsia="仿宋_GB2312"/>
          <w:sz w:val="32"/>
          <w:szCs w:val="32"/>
          <w:shd w:val="clear" w:color="auto" w:fill="FFFFFF"/>
          <w:lang w:val="en-US" w:eastAsia="zh-CN"/>
        </w:rPr>
        <w:t>2</w:t>
      </w:r>
      <w:r>
        <w:rPr>
          <w:rFonts w:hint="eastAsia" w:ascii="仿宋_GB2312" w:eastAsia="仿宋_GB2312"/>
          <w:sz w:val="32"/>
          <w:szCs w:val="32"/>
          <w:shd w:val="clear" w:color="auto" w:fill="FFFFFF"/>
          <w:lang w:eastAsia="zh-CN"/>
        </w:rPr>
        <w:t>.自查验收。项目竣工后，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建设单位</w:t>
      </w:r>
      <w:r>
        <w:rPr>
          <w:rFonts w:hint="eastAsia" w:ascii="仿宋_GB2312" w:eastAsia="仿宋_GB2312"/>
          <w:sz w:val="32"/>
          <w:szCs w:val="32"/>
          <w:shd w:val="clear" w:color="auto" w:fill="FFFFFF"/>
          <w:lang w:eastAsia="zh-CN"/>
        </w:rPr>
        <w:t>组织对公益林抚育项目总体质量进行全面自查，形成自查报告。自查验收合格后向区绿化市容局提出验收申请。</w:t>
      </w:r>
    </w:p>
    <w:p>
      <w:pPr>
        <w:spacing w:line="560" w:lineRule="exact"/>
        <w:ind w:firstLine="600"/>
        <w:jc w:val="both"/>
        <w:rPr>
          <w:rFonts w:hint="eastAsia" w:ascii="仿宋_GB2312" w:eastAsia="仿宋_GB2312"/>
          <w:color w:val="auto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eastAsia="仿宋_GB2312"/>
          <w:sz w:val="32"/>
          <w:szCs w:val="32"/>
          <w:shd w:val="clear" w:color="auto" w:fill="FFFFFF"/>
          <w:lang w:val="en-US" w:eastAsia="zh-CN"/>
        </w:rPr>
        <w:t>3</w:t>
      </w:r>
      <w:r>
        <w:rPr>
          <w:rFonts w:hint="eastAsia" w:ascii="仿宋_GB2312" w:eastAsia="仿宋_GB2312"/>
          <w:sz w:val="32"/>
          <w:szCs w:val="32"/>
          <w:shd w:val="clear" w:color="auto" w:fill="FFFFFF"/>
          <w:lang w:eastAsia="zh-CN"/>
        </w:rPr>
        <w:t>.</w:t>
      </w:r>
      <w:r>
        <w:rPr>
          <w:rFonts w:hint="eastAsia" w:ascii="仿宋_GB2312" w:eastAsia="仿宋_GB2312"/>
          <w:strike w:val="0"/>
          <w:dstrike w:val="0"/>
          <w:color w:val="auto"/>
          <w:sz w:val="32"/>
          <w:szCs w:val="32"/>
          <w:shd w:val="clear" w:color="auto" w:fill="FFFFFF"/>
          <w:lang w:eastAsia="zh-CN"/>
        </w:rPr>
        <w:t>竣工</w:t>
      </w:r>
      <w:r>
        <w:rPr>
          <w:rFonts w:hint="eastAsia" w:ascii="仿宋_GB2312" w:eastAsia="仿宋_GB2312"/>
          <w:color w:val="auto"/>
          <w:sz w:val="32"/>
          <w:szCs w:val="32"/>
          <w:shd w:val="clear" w:color="auto" w:fill="FFFFFF"/>
          <w:lang w:eastAsia="zh-CN"/>
        </w:rPr>
        <w:t>验</w:t>
      </w:r>
      <w:r>
        <w:rPr>
          <w:rFonts w:hint="eastAsia" w:ascii="仿宋_GB2312" w:eastAsia="仿宋_GB2312"/>
          <w:sz w:val="32"/>
          <w:szCs w:val="32"/>
          <w:shd w:val="clear" w:color="auto" w:fill="FFFFFF"/>
          <w:lang w:eastAsia="zh-CN"/>
        </w:rPr>
        <w:t>收。区绿化市容局对项目总体完成情况、施工质量、资金使用、项目管理程序和档案资料等进行验收，形成项目验收报告，并</w:t>
      </w:r>
      <w:r>
        <w:rPr>
          <w:rFonts w:hint="eastAsia" w:ascii="仿宋_GB2312" w:eastAsia="仿宋_GB2312"/>
          <w:color w:val="auto"/>
          <w:sz w:val="32"/>
          <w:szCs w:val="32"/>
          <w:shd w:val="clear" w:color="auto" w:fill="FFFFFF"/>
          <w:lang w:eastAsia="zh-CN"/>
        </w:rPr>
        <w:t>报市绿化市容局备案。</w:t>
      </w:r>
    </w:p>
    <w:p>
      <w:pPr>
        <w:spacing w:line="560" w:lineRule="exact"/>
        <w:ind w:firstLine="600"/>
        <w:jc w:val="both"/>
        <w:rPr>
          <w:rFonts w:hint="eastAsia" w:ascii="仿宋_GB2312" w:eastAsia="仿宋_GB2312"/>
          <w:color w:val="auto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eastAsia="仿宋_GB2312"/>
          <w:color w:val="auto"/>
          <w:sz w:val="32"/>
          <w:szCs w:val="32"/>
          <w:shd w:val="clear" w:color="auto" w:fill="FFFFFF"/>
          <w:lang w:eastAsia="zh-CN"/>
        </w:rPr>
        <w:t>项目验收内容为抚育作业面积、号木、郁闭度、抚育后平均胸径、保留木（间伐木）的数量规格、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FFFFFF"/>
        </w:rPr>
        <w:t>补植苗木质量</w:t>
      </w:r>
      <w:r>
        <w:rPr>
          <w:rFonts w:hint="eastAsia" w:ascii="仿宋_GB2312" w:eastAsia="仿宋_GB2312"/>
          <w:color w:val="auto"/>
          <w:sz w:val="32"/>
          <w:szCs w:val="32"/>
          <w:shd w:val="clear" w:color="auto" w:fill="FFFFFF"/>
          <w:lang w:eastAsia="zh-CN"/>
        </w:rPr>
        <w:t>等抚育作业执行情况与效果，及森林采伐限额执行、信息档案管理等情况。具体验收材料见《崇明区公益林抚育项目验收办法》。</w:t>
      </w:r>
    </w:p>
    <w:p>
      <w:pPr>
        <w:spacing w:line="560" w:lineRule="exact"/>
        <w:ind w:firstLine="640" w:firstLineChars="200"/>
        <w:jc w:val="both"/>
        <w:rPr>
          <w:rFonts w:hint="eastAsia" w:ascii="黑体" w:hAnsi="黑体" w:eastAsia="黑体" w:cs="黑体"/>
          <w:bCs/>
          <w:color w:val="auto"/>
          <w:sz w:val="32"/>
          <w:szCs w:val="32"/>
        </w:rPr>
      </w:pPr>
      <w:r>
        <w:rPr>
          <w:rFonts w:hint="eastAsia" w:ascii="黑体" w:hAnsi="黑体" w:eastAsia="黑体" w:cs="黑体"/>
          <w:bCs/>
          <w:color w:val="auto"/>
          <w:sz w:val="32"/>
          <w:szCs w:val="32"/>
          <w:lang w:eastAsia="zh-CN"/>
        </w:rPr>
        <w:t>七</w:t>
      </w:r>
      <w:r>
        <w:rPr>
          <w:rFonts w:hint="eastAsia" w:ascii="黑体" w:hAnsi="黑体" w:eastAsia="黑体" w:cs="黑体"/>
          <w:bCs/>
          <w:color w:val="auto"/>
          <w:sz w:val="32"/>
          <w:szCs w:val="32"/>
        </w:rPr>
        <w:t>、项目资金</w:t>
      </w:r>
    </w:p>
    <w:p>
      <w:pPr>
        <w:spacing w:line="560" w:lineRule="exact"/>
        <w:ind w:firstLine="600"/>
        <w:jc w:val="both"/>
        <w:rPr>
          <w:rFonts w:hint="default" w:ascii="仿宋_GB2312" w:eastAsia="仿宋_GB2312"/>
          <w:color w:val="auto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楷体" w:hAnsi="楷体" w:eastAsia="楷体" w:cs="楷体"/>
          <w:b w:val="0"/>
          <w:bCs w:val="0"/>
          <w:color w:val="auto"/>
          <w:sz w:val="32"/>
          <w:szCs w:val="32"/>
          <w:shd w:val="clear" w:color="auto" w:fill="FFFFFF"/>
          <w:lang w:eastAsia="zh-CN"/>
        </w:rPr>
        <w:t>（一）</w:t>
      </w:r>
      <w:r>
        <w:rPr>
          <w:rFonts w:hint="eastAsia" w:ascii="楷体" w:hAnsi="楷体" w:eastAsia="楷体" w:cs="楷体"/>
          <w:b w:val="0"/>
          <w:bCs w:val="0"/>
          <w:color w:val="auto"/>
          <w:sz w:val="32"/>
          <w:szCs w:val="32"/>
          <w:shd w:val="clear" w:color="auto" w:fill="FFFFFF"/>
        </w:rPr>
        <w:t>建设标准。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一般抚育建设单价不超过1900元/亩,全区抚育项目均价不超过5000元/亩，其中区级承担90%，最高不超过4500万，其余由</w:t>
      </w:r>
      <w:bookmarkStart w:id="0" w:name="_GoBack"/>
      <w:bookmarkEnd w:id="0"/>
      <w:r>
        <w:rPr>
          <w:rFonts w:hint="eastAsia" w:ascii="仿宋_GB2312" w:eastAsia="仿宋_GB2312"/>
          <w:color w:val="auto"/>
          <w:sz w:val="32"/>
          <w:szCs w:val="32"/>
          <w:highlight w:val="none"/>
          <w:shd w:val="clear" w:color="auto" w:fill="FFFFFF"/>
          <w:lang w:eastAsia="zh-CN"/>
        </w:rPr>
        <w:t>乡镇及相关单位自筹。</w:t>
      </w:r>
    </w:p>
    <w:p>
      <w:pPr>
        <w:spacing w:line="560" w:lineRule="exact"/>
        <w:ind w:firstLine="600"/>
        <w:jc w:val="both"/>
        <w:rPr>
          <w:rFonts w:hint="eastAsia" w:ascii="仿宋_GB2312" w:eastAsia="仿宋_GB2312"/>
          <w:color w:val="auto"/>
          <w:sz w:val="32"/>
          <w:szCs w:val="32"/>
          <w:shd w:val="clear" w:color="auto" w:fill="FFFFFF"/>
          <w:lang w:eastAsia="zh-CN"/>
        </w:rPr>
      </w:pPr>
      <w:r>
        <w:rPr>
          <w:rFonts w:hint="eastAsia" w:ascii="楷体" w:hAnsi="楷体" w:eastAsia="楷体" w:cs="楷体"/>
          <w:b w:val="0"/>
          <w:bCs w:val="0"/>
          <w:sz w:val="32"/>
          <w:szCs w:val="32"/>
          <w:shd w:val="clear" w:color="auto" w:fill="FFFFFF"/>
          <w:lang w:eastAsia="zh-CN"/>
        </w:rPr>
        <w:t>（二）资金申</w:t>
      </w:r>
      <w:r>
        <w:rPr>
          <w:rFonts w:hint="eastAsia" w:ascii="楷体" w:hAnsi="楷体" w:eastAsia="楷体" w:cs="楷体"/>
          <w:b w:val="0"/>
          <w:bCs w:val="0"/>
          <w:color w:val="auto"/>
          <w:sz w:val="32"/>
          <w:szCs w:val="32"/>
          <w:shd w:val="clear" w:color="auto" w:fill="FFFFFF"/>
          <w:lang w:eastAsia="zh-CN"/>
        </w:rPr>
        <w:t>请及拨付。</w:t>
      </w:r>
      <w:r>
        <w:rPr>
          <w:rFonts w:hint="eastAsia" w:ascii="仿宋_GB2312" w:eastAsia="仿宋_GB2312"/>
          <w:color w:val="auto"/>
          <w:sz w:val="32"/>
          <w:szCs w:val="32"/>
          <w:shd w:val="clear" w:color="auto" w:fill="FFFFFF"/>
          <w:lang w:eastAsia="zh-CN"/>
        </w:rPr>
        <w:t>项目建设单位凭开工报告等向区绿化市容局申请</w:t>
      </w:r>
      <w:r>
        <w:rPr>
          <w:rFonts w:hint="eastAsia" w:ascii="仿宋_GB2312" w:eastAsia="仿宋_GB2312"/>
          <w:color w:val="auto"/>
          <w:sz w:val="32"/>
          <w:szCs w:val="32"/>
          <w:shd w:val="clear" w:color="auto" w:fill="FFFFFF"/>
          <w:lang w:val="en-US" w:eastAsia="zh-CN"/>
        </w:rPr>
        <w:t>30</w:t>
      </w:r>
      <w:r>
        <w:rPr>
          <w:rFonts w:hint="eastAsia" w:ascii="仿宋_GB2312" w:eastAsia="仿宋_GB2312"/>
          <w:color w:val="auto"/>
          <w:sz w:val="32"/>
          <w:szCs w:val="32"/>
          <w:shd w:val="clear" w:color="auto" w:fill="FFFFFF"/>
          <w:lang w:eastAsia="zh-CN"/>
        </w:rPr>
        <w:t>%项目资金。项目竣工验收后，建设单位凭项目验收报告向区绿化市容局申请至</w:t>
      </w:r>
      <w:r>
        <w:rPr>
          <w:rFonts w:hint="eastAsia" w:ascii="仿宋_GB2312" w:eastAsia="仿宋_GB2312"/>
          <w:color w:val="auto"/>
          <w:sz w:val="32"/>
          <w:szCs w:val="32"/>
          <w:shd w:val="clear" w:color="auto" w:fill="FFFFFF"/>
          <w:lang w:val="en-US" w:eastAsia="zh-CN"/>
        </w:rPr>
        <w:t>80％</w:t>
      </w:r>
      <w:r>
        <w:rPr>
          <w:rFonts w:hint="eastAsia" w:ascii="仿宋_GB2312" w:eastAsia="仿宋_GB2312"/>
          <w:color w:val="auto"/>
          <w:sz w:val="32"/>
          <w:szCs w:val="32"/>
          <w:shd w:val="clear" w:color="auto" w:fill="FFFFFF"/>
          <w:lang w:eastAsia="zh-CN"/>
        </w:rPr>
        <w:t>项目资金。项目竣工验收通过后一年，属地乡镇及相关单位对项目进行验收，认定合格后，向区绿化市容局申请清算资金。项目按有关规定，实行审计（或审价）制度。</w:t>
      </w:r>
    </w:p>
    <w:p>
      <w:pPr>
        <w:spacing w:line="560" w:lineRule="exact"/>
        <w:ind w:firstLine="600"/>
        <w:jc w:val="both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b w:val="0"/>
          <w:bCs w:val="0"/>
          <w:color w:val="auto"/>
          <w:sz w:val="32"/>
          <w:szCs w:val="32"/>
          <w:shd w:val="clear" w:color="auto" w:fill="FFFFFF"/>
          <w:lang w:eastAsia="zh-CN"/>
        </w:rPr>
        <w:t>（三）资金监管。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结合本区财政资金要求，加强专项资金管理，规范资金使用程序，强化资金内控制度，严禁挤占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挪用专项资金，确保专帐核算和专款专用。</w:t>
      </w:r>
    </w:p>
    <w:p>
      <w:pPr>
        <w:spacing w:line="560" w:lineRule="exact"/>
        <w:ind w:firstLine="640" w:firstLineChars="200"/>
        <w:jc w:val="both"/>
        <w:rPr>
          <w:rFonts w:hint="eastAsia"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  <w:lang w:eastAsia="zh-CN"/>
        </w:rPr>
        <w:t>八</w:t>
      </w:r>
      <w:r>
        <w:rPr>
          <w:rFonts w:hint="eastAsia" w:ascii="黑体" w:hAnsi="黑体" w:eastAsia="黑体" w:cs="黑体"/>
          <w:bCs/>
          <w:sz w:val="32"/>
          <w:szCs w:val="32"/>
        </w:rPr>
        <w:t>、档案管理</w:t>
      </w:r>
    </w:p>
    <w:p>
      <w:pPr>
        <w:spacing w:line="560" w:lineRule="exact"/>
        <w:ind w:firstLine="600"/>
        <w:jc w:val="both"/>
        <w:rPr>
          <w:rFonts w:hint="eastAsia" w:ascii="仿宋_GB2312" w:eastAsia="仿宋_GB2312"/>
          <w:sz w:val="32"/>
          <w:szCs w:val="32"/>
          <w:shd w:val="clear" w:color="auto" w:fill="FFFFFF"/>
        </w:rPr>
      </w:pPr>
      <w:r>
        <w:rPr>
          <w:rFonts w:hint="eastAsia" w:ascii="仿宋_GB2312" w:eastAsia="仿宋_GB2312"/>
          <w:sz w:val="32"/>
          <w:szCs w:val="32"/>
          <w:shd w:val="clear" w:color="auto" w:fill="FFFFFF"/>
        </w:rPr>
        <w:t>公益林抚育项目必须建立完整的工程档案，档案保存在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建设单位</w:t>
      </w:r>
      <w:r>
        <w:rPr>
          <w:rFonts w:hint="eastAsia" w:ascii="仿宋_GB2312" w:eastAsia="仿宋_GB2312"/>
          <w:sz w:val="32"/>
          <w:szCs w:val="32"/>
          <w:shd w:val="clear" w:color="auto" w:fill="FFFFFF"/>
        </w:rPr>
        <w:t>。</w:t>
      </w:r>
    </w:p>
    <w:p>
      <w:pPr>
        <w:spacing w:line="560" w:lineRule="exact"/>
        <w:ind w:firstLine="640" w:firstLineChars="200"/>
        <w:jc w:val="both"/>
        <w:rPr>
          <w:rFonts w:hint="eastAsia"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  <w:lang w:eastAsia="zh-CN"/>
        </w:rPr>
        <w:t>九</w:t>
      </w:r>
      <w:r>
        <w:rPr>
          <w:rFonts w:hint="eastAsia" w:ascii="黑体" w:hAnsi="黑体" w:eastAsia="黑体" w:cs="黑体"/>
          <w:bCs/>
          <w:sz w:val="32"/>
          <w:szCs w:val="32"/>
        </w:rPr>
        <w:t>、考核管理</w:t>
      </w:r>
    </w:p>
    <w:p>
      <w:pPr>
        <w:spacing w:line="560" w:lineRule="exact"/>
        <w:ind w:firstLine="600"/>
        <w:jc w:val="both"/>
        <w:rPr>
          <w:rFonts w:hint="eastAsia" w:ascii="仿宋_GB2312" w:eastAsia="仿宋_GB2312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eastAsia="仿宋_GB2312"/>
          <w:sz w:val="32"/>
          <w:szCs w:val="32"/>
          <w:shd w:val="clear" w:color="auto" w:fill="FFFFFF"/>
        </w:rPr>
        <w:t>在公益林抚育建设中因工作不力、管理不严，导致工程质量、进度及投资控制等方面出现问题或擅自调整建设地点、规划、投资及作业设计，区</w:t>
      </w:r>
      <w:r>
        <w:rPr>
          <w:rFonts w:hint="eastAsia" w:ascii="仿宋_GB2312" w:eastAsia="仿宋_GB2312"/>
          <w:sz w:val="32"/>
          <w:szCs w:val="32"/>
          <w:shd w:val="clear" w:color="auto" w:fill="FFFFFF"/>
          <w:lang w:eastAsia="zh-CN"/>
        </w:rPr>
        <w:t>绿化市容局</w:t>
      </w:r>
      <w:r>
        <w:rPr>
          <w:rFonts w:hint="eastAsia" w:ascii="仿宋_GB2312" w:eastAsia="仿宋_GB2312"/>
          <w:sz w:val="32"/>
          <w:szCs w:val="32"/>
          <w:shd w:val="clear" w:color="auto" w:fill="FFFFFF"/>
        </w:rPr>
        <w:t>将根据情节轻重采取责令限期整改、通报批评、暂缓拨付资金、撤销项目收回补贴资金等措施，并追究有关人员的责任。对严重破坏森林资源、未履行职责、玩忽职守的参建企业列入林业建设黑名单，今后不得参与本区相关林业建设项目。</w:t>
      </w:r>
      <w:r>
        <w:rPr>
          <w:rFonts w:hint="eastAsia" w:ascii="仿宋_GB2312" w:eastAsia="仿宋_GB2312"/>
          <w:sz w:val="32"/>
          <w:szCs w:val="32"/>
          <w:shd w:val="clear" w:color="auto" w:fill="FFFFFF"/>
          <w:lang w:eastAsia="zh-CN"/>
        </w:rPr>
        <w:t>公益林抚育项目实施情况将纳入区对乡镇党政班子绩效考核。</w:t>
      </w:r>
    </w:p>
    <w:p>
      <w:pPr>
        <w:spacing w:line="560" w:lineRule="exact"/>
        <w:ind w:firstLine="640" w:firstLineChars="200"/>
        <w:jc w:val="both"/>
        <w:rPr>
          <w:rFonts w:hint="eastAsia" w:ascii="黑体" w:hAnsi="黑体" w:eastAsia="黑体"/>
          <w:bCs/>
          <w:sz w:val="32"/>
          <w:szCs w:val="30"/>
          <w:lang w:eastAsia="zh-CN"/>
        </w:rPr>
      </w:pPr>
      <w:r>
        <w:rPr>
          <w:rFonts w:hint="eastAsia" w:ascii="黑体" w:hAnsi="黑体" w:eastAsia="黑体" w:cs="黑体"/>
          <w:bCs/>
          <w:sz w:val="32"/>
          <w:szCs w:val="32"/>
          <w:lang w:eastAsia="zh-CN"/>
        </w:rPr>
        <w:t>十</w:t>
      </w:r>
      <w:r>
        <w:rPr>
          <w:rFonts w:hint="eastAsia" w:ascii="黑体" w:hAnsi="黑体" w:eastAsia="黑体" w:cs="黑体"/>
          <w:bCs/>
          <w:sz w:val="32"/>
          <w:szCs w:val="32"/>
        </w:rPr>
        <w:t>、</w:t>
      </w:r>
      <w:r>
        <w:rPr>
          <w:rFonts w:hint="eastAsia" w:ascii="黑体" w:hAnsi="黑体" w:eastAsia="黑体" w:cs="黑体"/>
          <w:bCs/>
          <w:sz w:val="32"/>
          <w:szCs w:val="32"/>
          <w:lang w:eastAsia="zh-CN"/>
        </w:rPr>
        <w:t>其他</w:t>
      </w: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shd w:val="clear" w:color="auto" w:fill="FFFFFF"/>
          <w:lang w:val="en-US" w:eastAsia="zh-CN"/>
        </w:rPr>
        <w:t>各乡镇自行实施的公益林抚育，应将实施方案报区绿化市容局审核；乡村振兴示范村林地改造等，需在项目工可阶段征询区绿化市容局意见，区绿化市容局同意后才可实施。本意见自公布之日起执行。</w:t>
      </w: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  <w:shd w:val="clear" w:color="auto" w:fill="FFFFFF"/>
          <w:lang w:val="en-US" w:eastAsia="zh-CN"/>
        </w:rPr>
      </w:pPr>
    </w:p>
    <w:p>
      <w:pPr>
        <w:spacing w:line="560" w:lineRule="exact"/>
        <w:ind w:right="26"/>
        <w:rPr>
          <w:rFonts w:ascii="仿宋_GB2312" w:eastAsia="仿宋_GB2312"/>
          <w:sz w:val="32"/>
          <w:szCs w:val="32"/>
          <w:u w:val="thick"/>
        </w:rPr>
      </w:pPr>
    </w:p>
    <w:p>
      <w:pPr>
        <w:spacing w:line="14" w:lineRule="exact"/>
        <w:rPr>
          <w:rFonts w:ascii="仿宋_GB2312" w:eastAsia="仿宋_GB2312"/>
          <w:sz w:val="32"/>
          <w:szCs w:val="32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2098" w:right="1474" w:bottom="1985" w:left="1588" w:header="851" w:footer="1247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6639633"/>
      <w:docPartObj>
        <w:docPartGallery w:val="autotext"/>
      </w:docPartObj>
    </w:sdtPr>
    <w:sdtContent>
      <w:p>
        <w:pPr>
          <w:pStyle w:val="3"/>
          <w:ind w:right="360"/>
          <w:jc w:val="right"/>
        </w:pPr>
        <w:r>
          <w:rPr>
            <w:rFonts w:asciiTheme="minorEastAsia" w:hAnsiTheme="minorEastAsia" w:eastAsiaTheme="minorEastAsia"/>
            <w:sz w:val="28"/>
            <w:szCs w:val="28"/>
          </w:rPr>
          <w:fldChar w:fldCharType="begin"/>
        </w:r>
        <w:r>
          <w:rPr>
            <w:rFonts w:asciiTheme="minorEastAsia" w:hAnsiTheme="minorEastAsia" w:eastAsiaTheme="minorEastAsia"/>
            <w:sz w:val="28"/>
            <w:szCs w:val="28"/>
          </w:rPr>
          <w:instrText xml:space="preserve"> PAGE   \* MERGEFORMAT </w:instrText>
        </w:r>
        <w:r>
          <w:rPr>
            <w:rFonts w:asciiTheme="minorEastAsia" w:hAnsiTheme="minorEastAsia" w:eastAsiaTheme="minorEastAsia"/>
            <w:sz w:val="28"/>
            <w:szCs w:val="28"/>
          </w:rPr>
          <w:fldChar w:fldCharType="separate"/>
        </w:r>
        <w:r>
          <w:rPr>
            <w:rFonts w:asciiTheme="minorEastAsia" w:hAnsiTheme="minorEastAsia" w:eastAsiaTheme="minorEastAsia"/>
            <w:sz w:val="28"/>
            <w:szCs w:val="28"/>
            <w:lang w:val="zh-CN"/>
          </w:rPr>
          <w:t>-</w:t>
        </w:r>
        <w:r>
          <w:rPr>
            <w:rFonts w:asciiTheme="minorEastAsia" w:hAnsiTheme="minorEastAsia" w:eastAsiaTheme="minorEastAsia"/>
            <w:sz w:val="28"/>
            <w:szCs w:val="28"/>
          </w:rPr>
          <w:t xml:space="preserve"> 1 -</w:t>
        </w:r>
        <w:r>
          <w:rPr>
            <w:rFonts w:asciiTheme="minorEastAsia" w:hAnsiTheme="minorEastAsia" w:eastAsiaTheme="minorEastAsia"/>
            <w:sz w:val="28"/>
            <w:szCs w:val="28"/>
          </w:rPr>
          <w:fldChar w:fldCharType="end"/>
        </w:r>
      </w:p>
    </w:sdtContent>
  </w:sdt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6639632"/>
      <w:docPartObj>
        <w:docPartGallery w:val="autotext"/>
      </w:docPartObj>
    </w:sdtPr>
    <w:sdtContent>
      <w:p>
        <w:pPr>
          <w:pStyle w:val="3"/>
          <w:ind w:firstLine="180" w:firstLineChars="100"/>
        </w:pPr>
        <w:r>
          <w:rPr>
            <w:rFonts w:asciiTheme="minorEastAsia" w:hAnsiTheme="minorEastAsia" w:eastAsiaTheme="minorEastAsia"/>
            <w:sz w:val="28"/>
            <w:szCs w:val="28"/>
          </w:rPr>
          <w:fldChar w:fldCharType="begin"/>
        </w:r>
        <w:r>
          <w:rPr>
            <w:rFonts w:asciiTheme="minorEastAsia" w:hAnsiTheme="minorEastAsia" w:eastAsiaTheme="minorEastAsia"/>
            <w:sz w:val="28"/>
            <w:szCs w:val="28"/>
          </w:rPr>
          <w:instrText xml:space="preserve"> PAGE   \* MERGEFORMAT </w:instrText>
        </w:r>
        <w:r>
          <w:rPr>
            <w:rFonts w:asciiTheme="minorEastAsia" w:hAnsiTheme="minorEastAsia" w:eastAsiaTheme="minorEastAsia"/>
            <w:sz w:val="28"/>
            <w:szCs w:val="28"/>
          </w:rPr>
          <w:fldChar w:fldCharType="separate"/>
        </w:r>
        <w:r>
          <w:rPr>
            <w:rFonts w:asciiTheme="minorEastAsia" w:hAnsiTheme="minorEastAsia" w:eastAsiaTheme="minorEastAsia"/>
            <w:sz w:val="28"/>
            <w:szCs w:val="28"/>
            <w:lang w:val="zh-CN"/>
          </w:rPr>
          <w:t>-</w:t>
        </w:r>
        <w:r>
          <w:rPr>
            <w:rFonts w:asciiTheme="minorEastAsia" w:hAnsiTheme="minorEastAsia" w:eastAsiaTheme="minorEastAsia"/>
            <w:sz w:val="28"/>
            <w:szCs w:val="28"/>
          </w:rPr>
          <w:t xml:space="preserve"> 2 -</w:t>
        </w:r>
        <w:r>
          <w:rPr>
            <w:rFonts w:asciiTheme="minorEastAsia" w:hAnsiTheme="minorEastAsia" w:eastAsiaTheme="minorEastAsia"/>
            <w:sz w:val="28"/>
            <w:szCs w:val="28"/>
          </w:rPr>
          <w:fldChar w:fldCharType="end"/>
        </w:r>
      </w:p>
    </w:sdtContent>
  </w:sdt>
  <w:p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evenAndOddHeaders w:val="1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5045"/>
    <w:rsid w:val="00002667"/>
    <w:rsid w:val="0004504A"/>
    <w:rsid w:val="00052038"/>
    <w:rsid w:val="000A30C9"/>
    <w:rsid w:val="0013714C"/>
    <w:rsid w:val="001562E9"/>
    <w:rsid w:val="00180A71"/>
    <w:rsid w:val="001E1D35"/>
    <w:rsid w:val="001F39D8"/>
    <w:rsid w:val="0022312E"/>
    <w:rsid w:val="00232F36"/>
    <w:rsid w:val="0026506F"/>
    <w:rsid w:val="00270770"/>
    <w:rsid w:val="0029326C"/>
    <w:rsid w:val="002A1834"/>
    <w:rsid w:val="00364AFB"/>
    <w:rsid w:val="00395936"/>
    <w:rsid w:val="00466422"/>
    <w:rsid w:val="004A652C"/>
    <w:rsid w:val="00512A54"/>
    <w:rsid w:val="00545AC5"/>
    <w:rsid w:val="005463E7"/>
    <w:rsid w:val="005670B4"/>
    <w:rsid w:val="005E13CB"/>
    <w:rsid w:val="005E2E11"/>
    <w:rsid w:val="0061682D"/>
    <w:rsid w:val="00641D88"/>
    <w:rsid w:val="006A4FFB"/>
    <w:rsid w:val="00717904"/>
    <w:rsid w:val="00721C46"/>
    <w:rsid w:val="00763E67"/>
    <w:rsid w:val="00775EF0"/>
    <w:rsid w:val="00785641"/>
    <w:rsid w:val="00796975"/>
    <w:rsid w:val="007F599C"/>
    <w:rsid w:val="008C460E"/>
    <w:rsid w:val="008C5D06"/>
    <w:rsid w:val="009133B7"/>
    <w:rsid w:val="009421D7"/>
    <w:rsid w:val="00981EDE"/>
    <w:rsid w:val="00986EBD"/>
    <w:rsid w:val="009A38E0"/>
    <w:rsid w:val="009B0560"/>
    <w:rsid w:val="00AF7AE8"/>
    <w:rsid w:val="00BA4B06"/>
    <w:rsid w:val="00BA5C14"/>
    <w:rsid w:val="00BD591D"/>
    <w:rsid w:val="00BF1105"/>
    <w:rsid w:val="00BF2852"/>
    <w:rsid w:val="00C11B56"/>
    <w:rsid w:val="00C219BD"/>
    <w:rsid w:val="00C85251"/>
    <w:rsid w:val="00C945AA"/>
    <w:rsid w:val="00CB6736"/>
    <w:rsid w:val="00CF5BCC"/>
    <w:rsid w:val="00D57723"/>
    <w:rsid w:val="00D93834"/>
    <w:rsid w:val="00DE20FD"/>
    <w:rsid w:val="00E13CAF"/>
    <w:rsid w:val="00E2189D"/>
    <w:rsid w:val="00E30AC2"/>
    <w:rsid w:val="00E748FD"/>
    <w:rsid w:val="00E76BAF"/>
    <w:rsid w:val="00ED5A2E"/>
    <w:rsid w:val="00EF3F90"/>
    <w:rsid w:val="00F207B9"/>
    <w:rsid w:val="00F25488"/>
    <w:rsid w:val="00FB10D2"/>
    <w:rsid w:val="00FC5045"/>
    <w:rsid w:val="039568BC"/>
    <w:rsid w:val="05A24DD3"/>
    <w:rsid w:val="06B86EAB"/>
    <w:rsid w:val="06D70887"/>
    <w:rsid w:val="06E8000D"/>
    <w:rsid w:val="071133C2"/>
    <w:rsid w:val="0AF5714A"/>
    <w:rsid w:val="0BF013B3"/>
    <w:rsid w:val="11617855"/>
    <w:rsid w:val="19B8423B"/>
    <w:rsid w:val="1BA477F7"/>
    <w:rsid w:val="1BF56FD8"/>
    <w:rsid w:val="1D8A2FB1"/>
    <w:rsid w:val="1DE75128"/>
    <w:rsid w:val="1E7976F3"/>
    <w:rsid w:val="1F663F8F"/>
    <w:rsid w:val="22E1589E"/>
    <w:rsid w:val="24970AAD"/>
    <w:rsid w:val="25F70217"/>
    <w:rsid w:val="26D90290"/>
    <w:rsid w:val="28E05FEF"/>
    <w:rsid w:val="2B303AE7"/>
    <w:rsid w:val="2B5B08B5"/>
    <w:rsid w:val="2D532A5F"/>
    <w:rsid w:val="2E045FF5"/>
    <w:rsid w:val="2E591D4D"/>
    <w:rsid w:val="2EDF7450"/>
    <w:rsid w:val="2F6624E9"/>
    <w:rsid w:val="2FA36413"/>
    <w:rsid w:val="312E3041"/>
    <w:rsid w:val="34C547E6"/>
    <w:rsid w:val="36EF7205"/>
    <w:rsid w:val="38BF442F"/>
    <w:rsid w:val="3A4118A4"/>
    <w:rsid w:val="3F7A68C6"/>
    <w:rsid w:val="45A525FA"/>
    <w:rsid w:val="460071A5"/>
    <w:rsid w:val="46B54C78"/>
    <w:rsid w:val="49FB1003"/>
    <w:rsid w:val="4B0F45C2"/>
    <w:rsid w:val="4B8B655D"/>
    <w:rsid w:val="4C0B504F"/>
    <w:rsid w:val="4C6A4C3B"/>
    <w:rsid w:val="52B05ADB"/>
    <w:rsid w:val="54F81A00"/>
    <w:rsid w:val="57EC37A5"/>
    <w:rsid w:val="5AAA0B43"/>
    <w:rsid w:val="5DF25978"/>
    <w:rsid w:val="5E313927"/>
    <w:rsid w:val="5ED5135F"/>
    <w:rsid w:val="5EF578F1"/>
    <w:rsid w:val="600D696B"/>
    <w:rsid w:val="61A90933"/>
    <w:rsid w:val="61F552E7"/>
    <w:rsid w:val="65023498"/>
    <w:rsid w:val="6543297C"/>
    <w:rsid w:val="6750726C"/>
    <w:rsid w:val="6A0B3A5A"/>
    <w:rsid w:val="6BA03D71"/>
    <w:rsid w:val="74287A75"/>
    <w:rsid w:val="761873C3"/>
    <w:rsid w:val="76762F90"/>
    <w:rsid w:val="79D84F1D"/>
    <w:rsid w:val="7A1C6FDB"/>
    <w:rsid w:val="7A230AE7"/>
    <w:rsid w:val="7B3822C5"/>
    <w:rsid w:val="7D236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before="0" w:line="240" w:lineRule="auto"/>
      <w:ind w:firstLine="0" w:firstLineChars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8">
    <w:name w:val="页眉 Char"/>
    <w:basedOn w:val="6"/>
    <w:link w:val="4"/>
    <w:qFormat/>
    <w:uiPriority w:val="99"/>
    <w:rPr>
      <w:kern w:val="2"/>
      <w:sz w:val="18"/>
      <w:szCs w:val="18"/>
    </w:rPr>
  </w:style>
  <w:style w:type="character" w:customStyle="1" w:styleId="9">
    <w:name w:val="页脚 Char"/>
    <w:basedOn w:val="6"/>
    <w:link w:val="3"/>
    <w:qFormat/>
    <w:uiPriority w:val="99"/>
    <w:rPr>
      <w:kern w:val="2"/>
      <w:sz w:val="18"/>
      <w:szCs w:val="18"/>
    </w:rPr>
  </w:style>
  <w:style w:type="character" w:customStyle="1" w:styleId="10">
    <w:name w:val="批注框文本 Char"/>
    <w:basedOn w:val="6"/>
    <w:link w:val="2"/>
    <w:semiHidden/>
    <w:qFormat/>
    <w:uiPriority w:val="99"/>
    <w:rPr>
      <w:kern w:val="2"/>
      <w:sz w:val="18"/>
      <w:szCs w:val="18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C.Y.H(201411)</Company>
  <Pages>11</Pages>
  <Words>694</Words>
  <Characters>3960</Characters>
  <Lines>33</Lines>
  <Paragraphs>9</Paragraphs>
  <TotalTime>224</TotalTime>
  <ScaleCrop>false</ScaleCrop>
  <LinksUpToDate>false</LinksUpToDate>
  <CharactersWithSpaces>4645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2018-02-05T01:21:00Z</dcterms:created>
  <dc:creator>cm</dc:creator>
  <cp:lastModifiedBy>三九</cp:lastModifiedBy>
  <cp:lastPrinted>2023-12-21T02:49:00Z</cp:lastPrinted>
  <dcterms:modified xsi:type="dcterms:W3CDTF">2024-01-19T02:14:39Z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