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pacing w:val="-11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-11"/>
          <w:sz w:val="36"/>
          <w:szCs w:val="36"/>
          <w:lang w:val="en-US" w:eastAsia="zh-CN"/>
        </w:rPr>
        <w:t>绿华镇2022年财政决算（草案）和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pacing w:val="-11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-11"/>
          <w:sz w:val="36"/>
          <w:szCs w:val="36"/>
          <w:lang w:val="en-US" w:eastAsia="zh-CN"/>
        </w:rPr>
        <w:t>2023年上半年财政预算执行情况的报告</w:t>
      </w:r>
    </w:p>
    <w:p>
      <w:pPr>
        <w:spacing w:line="560" w:lineRule="exact"/>
        <w:jc w:val="center"/>
        <w:rPr>
          <w:rFonts w:hint="eastAsia" w:ascii="楷体_GB2312" w:hAnsi="仿宋" w:eastAsia="楷体_GB2312" w:cs="楷体_GB2312"/>
          <w:spacing w:val="-28"/>
          <w:sz w:val="32"/>
          <w:szCs w:val="32"/>
        </w:rPr>
      </w:pPr>
      <w:r>
        <w:rPr>
          <w:rFonts w:hint="eastAsia" w:ascii="楷体_GB2312" w:hAnsi="仿宋" w:eastAsia="楷体_GB2312"/>
          <w:spacing w:val="-28"/>
          <w:sz w:val="32"/>
        </w:rPr>
        <w:t>——</w:t>
      </w:r>
      <w:r>
        <w:rPr>
          <w:rFonts w:hint="eastAsia" w:ascii="楷体_GB2312" w:hAnsi="仿宋" w:eastAsia="楷体_GB2312" w:cs="楷体_GB2312"/>
          <w:spacing w:val="-28"/>
          <w:sz w:val="32"/>
          <w:szCs w:val="32"/>
        </w:rPr>
        <w:t>在2023年</w:t>
      </w:r>
      <w:r>
        <w:rPr>
          <w:rFonts w:hint="eastAsia" w:ascii="楷体_GB2312" w:hAnsi="仿宋" w:eastAsia="楷体_GB2312" w:cs="楷体_GB2312"/>
          <w:spacing w:val="-28"/>
          <w:sz w:val="32"/>
          <w:szCs w:val="32"/>
          <w:lang w:val="en-US" w:eastAsia="zh-CN"/>
        </w:rPr>
        <w:t>8</w:t>
      </w:r>
      <w:r>
        <w:rPr>
          <w:rFonts w:hint="eastAsia" w:ascii="楷体_GB2312" w:hAnsi="仿宋" w:eastAsia="楷体_GB2312" w:cs="楷体_GB2312"/>
          <w:spacing w:val="-28"/>
          <w:sz w:val="32"/>
          <w:szCs w:val="32"/>
        </w:rPr>
        <w:t>月</w:t>
      </w:r>
      <w:r>
        <w:rPr>
          <w:rFonts w:hint="eastAsia" w:ascii="楷体_GB2312" w:hAnsi="仿宋" w:eastAsia="楷体_GB2312" w:cs="楷体_GB2312"/>
          <w:spacing w:val="-28"/>
          <w:sz w:val="32"/>
          <w:szCs w:val="32"/>
          <w:lang w:val="en-US" w:eastAsia="zh-CN"/>
        </w:rPr>
        <w:t>16</w:t>
      </w:r>
      <w:r>
        <w:rPr>
          <w:rFonts w:hint="eastAsia" w:ascii="楷体_GB2312" w:hAnsi="仿宋" w:eastAsia="楷体_GB2312" w:cs="楷体_GB2312"/>
          <w:spacing w:val="-28"/>
          <w:sz w:val="32"/>
          <w:szCs w:val="32"/>
        </w:rPr>
        <w:t>日崇明区绿华镇第二届人民代表大会第六次会议上</w:t>
      </w:r>
    </w:p>
    <w:p>
      <w:pPr>
        <w:spacing w:line="560" w:lineRule="exact"/>
        <w:jc w:val="center"/>
        <w:rPr>
          <w:rFonts w:hint="eastAsia" w:ascii="楷体" w:hAnsi="楷体" w:eastAsia="楷体" w:cs="楷体"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Cs/>
          <w:sz w:val="32"/>
          <w:szCs w:val="32"/>
          <w:lang w:val="en-US" w:eastAsia="zh-CN"/>
        </w:rPr>
        <w:t>施  浩</w:t>
      </w:r>
    </w:p>
    <w:p>
      <w:pPr>
        <w:spacing w:line="560" w:lineRule="exact"/>
        <w:jc w:val="center"/>
        <w:rPr>
          <w:rFonts w:hint="eastAsia" w:ascii="楷体" w:hAnsi="楷体" w:eastAsia="楷体" w:cs="楷体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各位代表、同志们：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楷体_GB2312" w:hAnsi="仿宋" w:eastAsia="楷体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受绿华镇人民政府委托，向大会报告</w:t>
      </w:r>
      <w:r>
        <w:rPr>
          <w:rFonts w:hint="eastAsia" w:ascii="仿宋_GB2312" w:hAnsi="仿宋_GB2312" w:eastAsia="仿宋_GB2312" w:cs="仿宋_GB2312"/>
          <w:color w:val="000000"/>
          <w:sz w:val="32"/>
          <w:szCs w:val="28"/>
        </w:rPr>
        <w:t>2022年财政决算和</w:t>
      </w:r>
      <w:r>
        <w:rPr>
          <w:rFonts w:hint="eastAsia" w:ascii="仿宋_GB2312" w:hAnsi="仿宋_GB2312" w:eastAsia="仿宋_GB2312" w:cs="仿宋_GB2312"/>
          <w:sz w:val="32"/>
          <w:szCs w:val="28"/>
        </w:rPr>
        <w:t>2023年上半年财政预算执行情况，请各位代表予以审议，并请列席人员提出宝贵意见和建议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jc w:val="left"/>
        <w:textAlignment w:val="auto"/>
        <w:rPr>
          <w:rFonts w:hint="eastAsia" w:ascii="黑体" w:hAnsi="仿宋" w:eastAsia="黑体" w:cs="黑体"/>
          <w:bCs/>
          <w:sz w:val="32"/>
          <w:szCs w:val="28"/>
        </w:rPr>
      </w:pPr>
      <w:r>
        <w:rPr>
          <w:rFonts w:hint="eastAsia" w:ascii="黑体" w:hAnsi="仿宋" w:eastAsia="黑体" w:cs="黑体"/>
          <w:bCs/>
          <w:sz w:val="32"/>
          <w:szCs w:val="28"/>
        </w:rPr>
        <w:t>一、2022年一般公共预算收支决算情况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jc w:val="left"/>
        <w:textAlignment w:val="auto"/>
        <w:rPr>
          <w:rFonts w:hint="eastAsia" w:ascii="楷体_GB2312" w:hAnsi="仿宋" w:eastAsia="楷体_GB2312" w:cs="楷体_GB2312"/>
          <w:spacing w:val="-28"/>
          <w:sz w:val="32"/>
          <w:szCs w:val="28"/>
        </w:rPr>
      </w:pPr>
      <w:r>
        <w:rPr>
          <w:rFonts w:hint="eastAsia" w:ascii="楷体_GB2312" w:hAnsi="仿宋" w:eastAsia="楷体_GB2312" w:cs="楷体_GB2312"/>
          <w:sz w:val="32"/>
          <w:szCs w:val="28"/>
        </w:rPr>
        <w:t>（一）收入情况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楷体_GB2312" w:hAnsi="仿宋" w:eastAsia="楷体_GB2312" w:cs="仿宋_GB2312"/>
          <w:bCs/>
          <w:sz w:val="32"/>
          <w:szCs w:val="28"/>
        </w:rPr>
      </w:pPr>
      <w:r>
        <w:rPr>
          <w:rFonts w:hint="eastAsia" w:ascii="仿宋_GB2312" w:hAnsi="仿宋_GB2312" w:eastAsia="仿宋_GB2312" w:cs="仿宋_GB2312"/>
          <w:bCs/>
          <w:sz w:val="32"/>
          <w:szCs w:val="28"/>
        </w:rPr>
        <w:t>2022年本镇实现一般公共预算收入29457.70万元，为年初预算的105.26%。其中体制分成收入22000万元，上级补助收入7457.70万元。上年结余1211.08万元。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楷体_GB2312" w:hAnsi="仿宋" w:eastAsia="楷体_GB2312" w:cs="楷体_GB2312"/>
          <w:sz w:val="32"/>
          <w:szCs w:val="28"/>
        </w:rPr>
      </w:pPr>
      <w:r>
        <w:rPr>
          <w:rFonts w:hint="eastAsia" w:ascii="楷体_GB2312" w:hAnsi="仿宋" w:eastAsia="楷体_GB2312" w:cs="楷体_GB2312"/>
          <w:sz w:val="32"/>
          <w:szCs w:val="28"/>
        </w:rPr>
        <w:t>（二）支出情况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Cs/>
          <w:sz w:val="32"/>
          <w:szCs w:val="28"/>
        </w:rPr>
      </w:pPr>
      <w:r>
        <w:rPr>
          <w:rFonts w:hint="eastAsia" w:ascii="仿宋_GB2312" w:hAnsi="仿宋_GB2312" w:eastAsia="仿宋_GB2312" w:cs="仿宋_GB2312"/>
          <w:bCs/>
          <w:sz w:val="32"/>
          <w:szCs w:val="28"/>
        </w:rPr>
        <w:t>2022年本镇完成一般公共预算支出27981.82万元，为年初预算的100%。其中体制分成支出22000万元，上级补助支出5981.82万元。滚存结余2686.96万元。各项具体支出如下：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一般公共服务支出2327.08万元，占预算支出的8.32%。主要用于政府各部门人员经费、公用经费以及履行公共管理服务职能必要的专项经费支出。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教育支出20.14万元，占预算支出的0.07%。主要用于早教、幼教、成教以及暑期假日等教育经费支出。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科学技术支出2013.60万元，占预算支出的7.20%。</w:t>
      </w:r>
      <w:r>
        <w:rPr>
          <w:rFonts w:hint="eastAsia" w:ascii="仿宋_GB2312" w:hAnsi="仿宋_GB2312" w:eastAsia="仿宋_GB2312" w:cs="仿宋_GB2312"/>
          <w:sz w:val="32"/>
          <w:szCs w:val="32"/>
        </w:rPr>
        <w:t>主要是科技创新引导资金，用于科技创新政策扶持支出。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文化旅游体育与传媒支出711.68万元，占预算支出的2.54%。主要用于文化、体育、图书、文化活动中心、旅游事业等经费支出。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社会保障和就业支出6069.8万元，占预算支出的21.69%。主要用于救助优抚、社建办、居家养老服务补助、残联经费及各类专项补助等经费支出。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卫生健康支出927.34万元，占预算支出的3.31%。主要用于计生奖励、医疗补助、红十字会和卫生健康等经费支出。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节能环保支出2791.48万元，占预算支出的9.98%。主要用于人居环境等经费支出。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城乡社区支出5339.27万元，占预算支出的19.08%。主要用于平安建设、综治维稳、信访维稳、司法、派出所、规划编制、社区配套设施建设、环卫等经费支出。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农林水支出5380.68万元，占预算支出的19.23%。主要用于农产品质量安全、农业生产支持补贴、中小河道设施维修养护、公共绿地养护等经费支出。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资源勘探工业信息等支出1969.26万元，占预算支出的7.04%。主要用于企业扶持和高新技术奖励等补贴支出。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住房保障支出431.49万元，占预算支出的1.54%。主要用于机关、事业单位人员公积金补贴以及住房解困补贴支出。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lang w:val="zh-CN"/>
        </w:rPr>
        <w:t>2022年财政拨款开支的“三公”经费支出合计14.98万元，同比下降9.6%，其中：因公出国（境）费支出0万元，与去年持平；公务用车购置及运行维护费支出5.61万元，同比下降20.2%；公务接待费支出9.37万元，同比下降1.78%。本镇严格执行中央八项规定，切实落实厉行节约有关要求，压缩“三公”经费，减少相关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28"/>
        </w:rPr>
        <w:t>2022年全镇一般公共预算收支决算结余2686.96万元，</w:t>
      </w:r>
      <w:r>
        <w:rPr>
          <w:rFonts w:hint="eastAsia" w:ascii="仿宋_GB2312" w:hAnsi="仿宋_GB2312" w:eastAsia="仿宋_GB2312" w:cs="仿宋_GB2312"/>
          <w:sz w:val="32"/>
          <w:szCs w:val="32"/>
        </w:rPr>
        <w:t>其中：本级一般公共预算收支平衡，结余数为上级补助收支结余。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lang w:val="zh-CN"/>
        </w:rPr>
        <w:t>各位代表，2022年我镇财政运行总体平稳有序，这是镇党委、政府正确领导的结果，是区级各部门关心支持和镇人大监督指导的结果，是全镇各部门和全体人民团结奋斗的结果。在肯定成绩的同时，我们还必须清醒的看到，在全面落实各项减税降费政策和疫情带来的不利因素的情况下，我镇实际可支配财政收入增长趋缓。在民生保障、基本建设和乡村振兴等方面，需要持续保持财政投入强度，收支矛盾凸显。因此，我们将紧紧依靠全镇人民，积极有为、主动作为，发扬比学赶超精神，加快经济发展，提升发展能级，推动绿华经济高质量发展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黑体" w:hAnsi="仿宋" w:eastAsia="黑体" w:cs="黑体"/>
          <w:bCs/>
          <w:sz w:val="32"/>
          <w:szCs w:val="28"/>
        </w:rPr>
      </w:pPr>
      <w:r>
        <w:rPr>
          <w:rFonts w:hint="eastAsia" w:ascii="黑体" w:hAnsi="仿宋" w:eastAsia="黑体" w:cs="黑体"/>
          <w:bCs/>
          <w:sz w:val="32"/>
          <w:szCs w:val="28"/>
        </w:rPr>
        <w:t>二、2023年上半年财政预算执行情况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楷体_GB2312" w:hAnsi="仿宋" w:eastAsia="楷体_GB2312" w:cs="楷体_GB2312"/>
          <w:bCs/>
          <w:sz w:val="32"/>
          <w:szCs w:val="28"/>
        </w:rPr>
      </w:pPr>
      <w:r>
        <w:rPr>
          <w:rFonts w:hint="eastAsia" w:ascii="楷体_GB2312" w:hAnsi="仿宋" w:eastAsia="楷体_GB2312" w:cs="楷体_GB2312"/>
          <w:bCs/>
          <w:sz w:val="32"/>
          <w:szCs w:val="28"/>
        </w:rPr>
        <w:t>（一）镇级财政一般公共预算执行情况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今年上半年，本镇一般公共预算收入9955.5万元，完成年初预算的47.88%。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Cs/>
          <w:sz w:val="32"/>
          <w:szCs w:val="28"/>
        </w:rPr>
      </w:pPr>
      <w:r>
        <w:rPr>
          <w:rFonts w:hint="eastAsia" w:ascii="仿宋_GB2312" w:hAnsi="仿宋_GB2312" w:eastAsia="仿宋_GB2312" w:cs="仿宋_GB2312"/>
          <w:bCs/>
          <w:sz w:val="32"/>
          <w:szCs w:val="28"/>
        </w:rPr>
        <w:t>本镇一般公共预算支出9626.94万元，执行率为43.76%。其中体制分成支出6818.69万元，执行率为38.96%，上级补助支出2808.25万元，执行率为62.41%。具体一般公共预算支出功能类明细如下：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一般公共服务支出1104.97万元，执行率为43.19%。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教育支出5.91万元，执行率为24.1%。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科学技术支出1000.5万元，执行率为99.75%。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文化旅游体育与传媒支出2.89万元，执行率为1.42%。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社会保障和就业支出2474.30万元，执行率为54.05%。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卫生健康支出214.32万元，执行率为26.79%。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节能环保支出277.66万元，执行率为10.2%。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城乡社区支出800.93万元，执行率为38.71%。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农林水支出2766.38万元，执行率为52.3%。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8"/>
        </w:rPr>
      </w:pPr>
      <w:r>
        <w:rPr>
          <w:rFonts w:hint="eastAsia" w:ascii="仿宋_GB2312" w:hAnsi="仿宋_GB2312" w:eastAsia="仿宋_GB2312" w:cs="仿宋_GB2312"/>
          <w:sz w:val="32"/>
          <w:szCs w:val="28"/>
        </w:rPr>
        <w:t>资源勘探工业信息等支出755万元，执行率41.94%。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住房保障支出224.08万元，执行率44.17%。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楷体_GB2312" w:hAnsi="仿宋" w:eastAsia="楷体_GB2312" w:cs="楷体_GB2312"/>
          <w:sz w:val="32"/>
        </w:rPr>
      </w:pPr>
      <w:r>
        <w:rPr>
          <w:rFonts w:hint="eastAsia" w:ascii="楷体_GB2312" w:hAnsi="仿宋" w:eastAsia="楷体_GB2312" w:cs="楷体_GB2312"/>
          <w:sz w:val="32"/>
        </w:rPr>
        <w:t>（二）2023年上半年主要工作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上半年，我镇进一步在“提质增效”“更可持续”上下功夫提高财政资金配置效率和使用效率。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</w:rPr>
        <w:t>一是坚持“三保”支出在财政支出中的优先顺序，保障各项民生资金及时到位；二是进一步加强和规范本镇资金管理和使用，完善内部控制制度，做到资金决策规范、手续齐全、资料完整、合理恰当；三是加</w:t>
      </w:r>
      <w:r>
        <w:rPr>
          <w:rFonts w:hint="eastAsia" w:ascii="仿宋_GB2312" w:hAnsi="仿宋_GB2312" w:eastAsia="仿宋_GB2312" w:cs="仿宋_GB2312"/>
          <w:sz w:val="32"/>
        </w:rPr>
        <w:t>强市、区对镇专项转移支付资金和中央直达资金的管理力度，全部纳入本镇预算管理，规范拨付流程，合理安排预算执行进度</w:t>
      </w:r>
      <w:r>
        <w:rPr>
          <w:rFonts w:hint="eastAsia" w:ascii="仿宋_GB2312" w:hAnsi="仿宋_GB2312" w:eastAsia="仿宋_GB2312" w:cs="仿宋_GB2312"/>
          <w:b w:val="0"/>
          <w:bCs w:val="0"/>
          <w:sz w:val="32"/>
        </w:rPr>
        <w:t>；四是完</w:t>
      </w:r>
      <w:r>
        <w:rPr>
          <w:rFonts w:hint="eastAsia" w:ascii="仿宋_GB2312" w:hAnsi="仿宋_GB2312" w:eastAsia="仿宋_GB2312" w:cs="仿宋_GB2312"/>
          <w:sz w:val="32"/>
        </w:rPr>
        <w:t>善各类监督与预算安排挂钩机制，推进绩效与预算管理的深度融合，提高绩效评审质量。</w:t>
      </w:r>
    </w:p>
    <w:p>
      <w:pPr>
        <w:pStyle w:val="4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3D3D3D"/>
          <w:sz w:val="32"/>
          <w:szCs w:val="32"/>
        </w:rPr>
      </w:pPr>
      <w:r>
        <w:rPr>
          <w:rFonts w:hint="eastAsia" w:ascii="黑体" w:hAnsi="黑体" w:eastAsia="黑体" w:cs="黑体"/>
          <w:color w:val="3D3D3D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color w:val="3D3D3D"/>
          <w:sz w:val="32"/>
          <w:szCs w:val="32"/>
        </w:rPr>
        <w:t>2023年下半年财政预算收支完成的主要措施</w:t>
      </w:r>
    </w:p>
    <w:p>
      <w:pPr>
        <w:pStyle w:val="4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</w:rPr>
      </w:pPr>
      <w:r>
        <w:rPr>
          <w:rFonts w:hint="eastAsia" w:ascii="仿宋_GB2312" w:hAnsi="仿宋_GB2312" w:eastAsia="仿宋_GB2312" w:cs="仿宋_GB2312"/>
          <w:kern w:val="2"/>
          <w:sz w:val="32"/>
        </w:rPr>
        <w:t>为了顺利完成今年财政预算收支任务，下半年重点做到以下几点：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lang w:val="zh-CN"/>
        </w:rPr>
      </w:pPr>
      <w:r>
        <w:rPr>
          <w:rFonts w:hint="eastAsia" w:ascii="楷体" w:hAnsi="楷体" w:eastAsia="楷体" w:cs="楷体"/>
          <w:b w:val="0"/>
          <w:bCs w:val="0"/>
          <w:sz w:val="32"/>
          <w:lang w:val="zh-CN"/>
        </w:rPr>
        <w:t>（</w:t>
      </w:r>
      <w:r>
        <w:rPr>
          <w:rFonts w:hint="eastAsia" w:ascii="楷体" w:hAnsi="楷体" w:eastAsia="楷体" w:cs="楷体"/>
          <w:b w:val="0"/>
          <w:bCs w:val="0"/>
          <w:sz w:val="32"/>
          <w:lang w:val="en-US" w:eastAsia="zh-CN"/>
        </w:rPr>
        <w:t>一</w:t>
      </w:r>
      <w:r>
        <w:rPr>
          <w:rFonts w:hint="eastAsia" w:ascii="楷体" w:hAnsi="楷体" w:eastAsia="楷体" w:cs="楷体"/>
          <w:b w:val="0"/>
          <w:bCs w:val="0"/>
          <w:sz w:val="32"/>
          <w:lang w:val="zh-CN"/>
        </w:rPr>
        <w:t>）积极组收，夯实财政财源基础。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</w:rPr>
        <w:t>落实好中央、市、区减税降费和留商扶商政策，帮助企业减压降负，促进企业稳步发展壮大；关注好重大建设项目和房地产企业税收落地，全面做好新增属地企业的户管工作，防止税源流失；拓展招商渠道，引进优质税源，增加新的收入增长点；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lang w:val="zh-CN"/>
        </w:rPr>
        <w:t>合理分析税收、财收的预期和实际状况，确保应收尽收。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</w:rPr>
        <w:t>充分发挥主观能动性，积极对上争取资金，多渠道组织收入。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</w:rPr>
      </w:pPr>
      <w:r>
        <w:rPr>
          <w:rFonts w:hint="eastAsia" w:ascii="楷体" w:hAnsi="楷体" w:eastAsia="楷体" w:cs="楷体"/>
          <w:b w:val="0"/>
          <w:bCs w:val="0"/>
          <w:sz w:val="32"/>
          <w:lang w:val="zh-CN" w:eastAsia="zh-CN"/>
        </w:rPr>
        <w:t>（</w:t>
      </w:r>
      <w:r>
        <w:rPr>
          <w:rFonts w:hint="eastAsia" w:ascii="楷体" w:hAnsi="楷体" w:eastAsia="楷体" w:cs="楷体"/>
          <w:b w:val="0"/>
          <w:bCs w:val="0"/>
          <w:sz w:val="32"/>
          <w:lang w:val="en-US" w:eastAsia="zh-CN"/>
        </w:rPr>
        <w:t>二</w:t>
      </w:r>
      <w:r>
        <w:rPr>
          <w:rFonts w:hint="eastAsia" w:ascii="楷体" w:hAnsi="楷体" w:eastAsia="楷体" w:cs="楷体"/>
          <w:b w:val="0"/>
          <w:bCs w:val="0"/>
          <w:sz w:val="32"/>
          <w:lang w:val="zh-CN" w:eastAsia="zh-CN"/>
        </w:rPr>
        <w:t>）</w:t>
      </w:r>
      <w:r>
        <w:rPr>
          <w:rFonts w:hint="eastAsia" w:ascii="楷体" w:hAnsi="楷体" w:eastAsia="楷体" w:cs="楷体"/>
          <w:b w:val="0"/>
          <w:bCs w:val="0"/>
          <w:sz w:val="32"/>
          <w:lang w:val="zh-CN"/>
        </w:rPr>
        <w:t>盘活存量资金资产，加大统筹力度。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</w:rPr>
        <w:t>积极采取措施，收回各类结余和沉淀闲置结转资金，为保障重点支出创造条件，把盘活财政存量资金作为化解支出压力、增强财政保障能力的重要举措，对财政存量资金进行定期清理。加强新增资产配置审核，严格落实管理制度，加大存量资产的盘活和合理消化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3D3D3D"/>
          <w:kern w:val="0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2"/>
          <w:lang w:val="zh-CN" w:eastAsia="zh-CN"/>
        </w:rPr>
        <w:t>（</w:t>
      </w:r>
      <w:r>
        <w:rPr>
          <w:rFonts w:hint="eastAsia" w:ascii="楷体" w:hAnsi="楷体" w:eastAsia="楷体" w:cs="楷体"/>
          <w:b w:val="0"/>
          <w:bCs w:val="0"/>
          <w:sz w:val="32"/>
          <w:lang w:val="en-US" w:eastAsia="zh-CN"/>
        </w:rPr>
        <w:t>三</w:t>
      </w:r>
      <w:r>
        <w:rPr>
          <w:rFonts w:hint="eastAsia" w:ascii="楷体" w:hAnsi="楷体" w:eastAsia="楷体" w:cs="楷体"/>
          <w:b w:val="0"/>
          <w:bCs w:val="0"/>
          <w:sz w:val="32"/>
          <w:lang w:val="zh-CN" w:eastAsia="zh-CN"/>
        </w:rPr>
        <w:t>）加强支出管理，优化财政支出结构。</w:t>
      </w:r>
      <w:r>
        <w:rPr>
          <w:rFonts w:hint="eastAsia" w:ascii="仿宋_GB2312" w:hAnsi="仿宋_GB2312" w:eastAsia="仿宋_GB2312" w:cs="仿宋_GB2312"/>
          <w:b w:val="0"/>
          <w:bCs w:val="0"/>
          <w:color w:val="3D3D3D"/>
          <w:kern w:val="0"/>
          <w:sz w:val="32"/>
          <w:szCs w:val="32"/>
        </w:rPr>
        <w:t>严格按年初预算编制的范围和内容执行支出。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</w:rPr>
        <w:t>一是</w:t>
      </w:r>
      <w:r>
        <w:rPr>
          <w:rFonts w:hint="eastAsia" w:ascii="仿宋_GB2312" w:hAnsi="仿宋_GB2312" w:eastAsia="仿宋_GB2312" w:cs="仿宋_GB2312"/>
          <w:b w:val="0"/>
          <w:bCs w:val="0"/>
          <w:color w:val="3D3D3D"/>
          <w:sz w:val="32"/>
          <w:szCs w:val="32"/>
        </w:rPr>
        <w:t>完善项目支出监督管理，加强长期支出项目的监督，坚持先有项目，后有预算。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</w:rPr>
        <w:t>二是</w:t>
      </w:r>
      <w:r>
        <w:rPr>
          <w:rFonts w:hint="eastAsia" w:ascii="仿宋_GB2312" w:hAnsi="仿宋_GB2312" w:eastAsia="仿宋_GB2312" w:cs="仿宋_GB2312"/>
          <w:b w:val="0"/>
          <w:bCs w:val="0"/>
          <w:color w:val="3D3D3D"/>
          <w:sz w:val="32"/>
          <w:szCs w:val="32"/>
        </w:rPr>
        <w:t>加强专项转移支付监督管理，结合区与乡镇财政事权和支出责任，加强预算执行的精准度。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color w:val="3D3D3D"/>
          <w:sz w:val="32"/>
          <w:szCs w:val="32"/>
        </w:rPr>
        <w:t>政府采购及政府购买服务监督管理，落实采购主体责任，进一步梳理政府购买服务的项目。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</w:rPr>
        <w:t>四是</w:t>
      </w:r>
      <w:r>
        <w:rPr>
          <w:rFonts w:hint="eastAsia" w:ascii="仿宋_GB2312" w:hAnsi="仿宋_GB2312" w:eastAsia="仿宋_GB2312" w:cs="仿宋_GB2312"/>
          <w:b w:val="0"/>
          <w:bCs w:val="0"/>
          <w:color w:val="3D3D3D"/>
          <w:kern w:val="0"/>
          <w:sz w:val="32"/>
          <w:szCs w:val="32"/>
        </w:rPr>
        <w:t>认真落实中央八项规定，严控严管“三公”经费支出。确保财政年度收支平衡。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zh-CN"/>
        </w:rPr>
      </w:pPr>
      <w:r>
        <w:rPr>
          <w:rFonts w:hint="eastAsia" w:ascii="楷体" w:hAnsi="楷体" w:eastAsia="楷体" w:cs="楷体"/>
          <w:b w:val="0"/>
          <w:bCs w:val="0"/>
          <w:sz w:val="32"/>
          <w:lang w:val="zh-CN" w:eastAsia="zh-CN"/>
        </w:rPr>
        <w:t>（</w:t>
      </w:r>
      <w:r>
        <w:rPr>
          <w:rFonts w:hint="eastAsia" w:ascii="楷体" w:hAnsi="楷体" w:eastAsia="楷体" w:cs="楷体"/>
          <w:b w:val="0"/>
          <w:bCs w:val="0"/>
          <w:sz w:val="32"/>
          <w:lang w:val="en-US" w:eastAsia="zh-CN"/>
        </w:rPr>
        <w:t>四）</w:t>
      </w:r>
      <w:r>
        <w:rPr>
          <w:rFonts w:hint="eastAsia" w:ascii="楷体" w:hAnsi="楷体" w:eastAsia="楷体" w:cs="楷体"/>
          <w:b w:val="0"/>
          <w:bCs w:val="0"/>
          <w:sz w:val="32"/>
          <w:lang w:val="zh-CN" w:eastAsia="zh-CN"/>
        </w:rPr>
        <w:t>完善财政监督和防风险意识。</w:t>
      </w:r>
      <w:r>
        <w:rPr>
          <w:rFonts w:hint="eastAsia" w:ascii="仿宋_GB2312" w:hAnsi="仿宋_GB2312" w:eastAsia="仿宋_GB2312" w:cs="仿宋_GB2312"/>
          <w:b w:val="0"/>
          <w:bCs w:val="0"/>
          <w:color w:val="3D3D3D"/>
          <w:sz w:val="32"/>
          <w:szCs w:val="32"/>
        </w:rPr>
        <w:t>抓好抓实财政监督管理，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zh-CN"/>
        </w:rPr>
        <w:t>促进财政资金绩效提升。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lang w:val="zh-CN"/>
        </w:rPr>
        <w:t>一是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zh-CN"/>
        </w:rPr>
        <w:t>为进一步深化财政监督，实行动态跟踪，确保各项财政政策落到实处。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lang w:val="zh-CN"/>
        </w:rPr>
        <w:t>二是</w:t>
      </w:r>
      <w:r>
        <w:rPr>
          <w:rFonts w:hint="eastAsia" w:ascii="仿宋_GB2312" w:hAnsi="仿宋_GB2312" w:eastAsia="仿宋_GB2312" w:cs="仿宋_GB2312"/>
          <w:b w:val="0"/>
          <w:bCs w:val="0"/>
          <w:color w:val="3D3D3D"/>
          <w:sz w:val="32"/>
          <w:szCs w:val="32"/>
        </w:rPr>
        <w:t>完善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zh-CN"/>
        </w:rPr>
        <w:t>财政预算绩效管理的制度和机制，质量和效率要进一步提高。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lang w:val="zh-CN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zh-CN"/>
        </w:rPr>
        <w:t>依法行政、依法理财的意识、能力和水平要进一步提升</w:t>
      </w:r>
      <w:r>
        <w:rPr>
          <w:rFonts w:hint="eastAsia" w:ascii="仿宋_GB2312" w:hAnsi="仿宋_GB2312" w:eastAsia="仿宋_GB2312" w:cs="仿宋_GB2312"/>
          <w:b w:val="0"/>
          <w:bCs w:val="0"/>
          <w:color w:val="3D3D3D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各位代表，我们将在镇党委的坚强领导下，在镇人大的监督指导下，开拓进取，扎实工作，确保圆满完成全年财政工作任务。</w:t>
      </w:r>
    </w:p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C44FC9F-1CE4-42BE-9BDB-1FCE6E5F7EAB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3DB30249-B217-4494-88D4-766C3BB14418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8F2F971E-70F5-47BD-AE58-246A8BB0CFBB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40D0C808-98B3-4196-B1D2-2D047995C975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8BEB73A0-7BFB-425A-803A-DF09858349D6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6" w:fontKey="{D43975CC-2ABB-4F32-82F3-ED6F653BD32A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7" w:fontKey="{D32C3BBE-A09E-43C6-BED9-8875CEC7413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JiNjc3YzViNDM1NzA4ZmJhMWM5OTE1MDkwNWRhYWEifQ=="/>
  </w:docVars>
  <w:rsids>
    <w:rsidRoot w:val="19CE0D70"/>
    <w:rsid w:val="19CE0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text-tag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2023-08-21T07:10:00Z</dcterms:created>
  <dc:creator>暖色系</dc:creator>
  <cp:lastModifiedBy>暖色系</cp:lastModifiedBy>
  <dcterms:modified xsi:type="dcterms:W3CDTF">2023-08-21T07:10:49Z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657438A4532F45239455ADB5EAFE36BF_11</vt:lpwstr>
  </property>
</Properties>
</file>