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/>
          <w:spacing w:val="-17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/>
          <w:spacing w:val="-17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pacing w:val="-17"/>
          <w:sz w:val="44"/>
          <w:szCs w:val="44"/>
        </w:rPr>
        <w:t>《</w:t>
      </w:r>
      <w:r>
        <w:rPr>
          <w:rFonts w:hint="eastAsia" w:ascii="方正大标宋简体" w:hAnsi="方正大标宋简体" w:eastAsia="方正大标宋简体" w:cs="方正大标宋简体"/>
          <w:spacing w:val="-17"/>
          <w:sz w:val="44"/>
          <w:szCs w:val="44"/>
          <w:lang w:val="en-US" w:eastAsia="zh-CN"/>
        </w:rPr>
        <w:t>上海市崇明区地下空间突发事件应急预案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17"/>
          <w:sz w:val="44"/>
          <w:szCs w:val="44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/>
          <w:spacing w:val="-17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pacing w:val="-17"/>
          <w:sz w:val="44"/>
          <w:szCs w:val="44"/>
          <w:lang w:eastAsia="zh-CN"/>
        </w:rPr>
        <w:t>的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17"/>
          <w:sz w:val="44"/>
          <w:szCs w:val="44"/>
          <w:lang w:val="en-US" w:eastAsia="zh-CN"/>
        </w:rPr>
        <w:t>编制</w:t>
      </w:r>
      <w:bookmarkStart w:id="1" w:name="_GoBack"/>
      <w:bookmarkEnd w:id="1"/>
      <w:r>
        <w:rPr>
          <w:rFonts w:hint="eastAsia" w:ascii="方正大标宋简体" w:hAnsi="方正大标宋简体" w:eastAsia="方正大标宋简体" w:cs="方正大标宋简体"/>
          <w:b w:val="0"/>
          <w:bCs/>
          <w:spacing w:val="-17"/>
          <w:sz w:val="44"/>
          <w:szCs w:val="4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/>
          <w:spacing w:val="-17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一、修订背景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《上海市住房和城乡建设管理委员会〈关于进一步加强突发事件应急预案管理的通知〉》要求，为更好地发挥应急预案在处理突发事件中的制度性作用，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我委对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《上海市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崇明区地下空间突发事件应急预案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》（崇府办发〔2019〕9号）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进行了修订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二、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修订</w:t>
      </w:r>
      <w:r>
        <w:rPr>
          <w:rFonts w:hint="eastAsia" w:ascii="黑体" w:hAnsi="黑体" w:eastAsia="黑体"/>
          <w:b w:val="0"/>
          <w:bCs/>
          <w:sz w:val="32"/>
          <w:szCs w:val="32"/>
        </w:rPr>
        <w:t>过程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3月初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，我委牵头成立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工作组，启动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工作。期间，工作组对本区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地下空间突发事故处置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情况开展了专题调研，充分听取和吸纳专业部门、行业专家、相关企业等各方意见。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修订主要参考了《上海市地下空间突发事件应急预案》（2023版），与其保持架构、标准一致。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2024年4月，我委完成了《上海市崇明区地下空间突发事件应急预案》（征求意见稿）并书面征询了20个相关部门及18个乡镇的意见。期间，共收到修改意见4个，我委已根据意见进行修改完善。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2024年5月，将修改完善后的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《上海市崇明区地下空间突发事件应急预案》（征求意见稿）进行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第二次意见征询。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2024年6月，邀请</w:t>
      </w:r>
      <w:r>
        <w:rPr>
          <w:rFonts w:hint="eastAsia" w:ascii="仿宋_GB2312" w:hAnsi="仿宋_GB2312" w:eastAsia="仿宋_GB2312" w:cs="仿宋_GB2312"/>
          <w:sz w:val="32"/>
          <w:szCs w:val="32"/>
        </w:rPr>
        <w:t>5位行业专家召开征询会。会上，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各位专家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对应急预案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的整体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内容表示认可，并对相关部门职责等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提出了修改意见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，经过完善，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最终形成《上海市崇明区地下空间突发事件应急预案》送审稿。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三、主要调整内容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1.增加风险评估内容。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根据我区地下空间的实际特点，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地下空间面临的主要风险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，主要为</w:t>
      </w:r>
      <w:r>
        <w:rPr>
          <w:rFonts w:hint="eastAsia" w:ascii="仿宋_GB2312" w:hAnsi="仿宋_GB2312" w:eastAsia="仿宋_GB2312" w:cs="仿宋_GB2312"/>
          <w:sz w:val="32"/>
          <w:szCs w:val="32"/>
        </w:rPr>
        <w:t>潜在结构病害风险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暴雨洪涝风险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火灾风险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三方面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bookmarkStart w:id="0" w:name="_Toc30488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信息更新。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一是更新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我区地下空间相关数据；二是根据议事协调机构调整以及我区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相关部门“三定职责”进行单位名称修订和调整，如原地空燃安联办机制取消，牵头工作由我委代替，原区科委的职能调整至区数据局。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3.架构进行调整。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一是将原《预案》内</w:t>
      </w:r>
      <w:r>
        <w:rPr>
          <w:rFonts w:hint="eastAsia" w:ascii="仿宋_GB2312" w:hAnsi="仿宋_GB2312" w:eastAsia="仿宋_GB2312" w:cs="仿宋_GB2312"/>
          <w:sz w:val="32"/>
          <w:szCs w:val="32"/>
        </w:rPr>
        <w:t>预警与行动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两部分内容调整为监测预警、应急响应，重点体现要依托“一网统管”平台，多部门建立健全</w:t>
      </w:r>
      <w:r>
        <w:rPr>
          <w:rFonts w:hint="eastAsia" w:ascii="仿宋_GB2312" w:hAnsi="仿宋_GB2312" w:eastAsia="仿宋_GB2312" w:cs="仿宋_GB2312"/>
          <w:sz w:val="32"/>
          <w:szCs w:val="32"/>
        </w:rPr>
        <w:t>地下空间安全使用隐患排查、监测预警机制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，根据不同预警级别分别进行应急响应；二是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删除原《预案》内监督管理部分，包含宣传、培训、演练及监督检查等方面，内容缩减调整至第三部分组织体系内，不再单独体现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《预案》共分为八部分。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第一部分为总则。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介绍了编制目的、编制依据、适用范围、事件分级以及工作原则。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第二部分为风险评估。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主要内容为：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截至目前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最新地下空间数量信息。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t>已建成地下工程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，总建筑面积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179万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</w:rPr>
        <w:t>方米。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其中生活服务设施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607个，建筑面积173.7万平方米，公共基础设施21个，建筑面积5.3万平方米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地下空间面临的主要风险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。主要为因年久失修</w:t>
      </w:r>
      <w:r>
        <w:rPr>
          <w:rFonts w:hint="eastAsia" w:ascii="仿宋_GB2312" w:hAnsi="仿宋_GB2312" w:eastAsia="仿宋_GB2312" w:cs="仿宋_GB2312"/>
          <w:sz w:val="32"/>
          <w:szCs w:val="32"/>
        </w:rPr>
        <w:t>、结构老化、维护不力，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多数粮仓及闲置车库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存在潜在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结构</w:t>
      </w:r>
      <w:r>
        <w:rPr>
          <w:rFonts w:hint="eastAsia" w:ascii="仿宋_GB2312" w:hAnsi="仿宋_GB2312" w:eastAsia="仿宋_GB2312" w:cs="仿宋_GB2312"/>
          <w:sz w:val="32"/>
          <w:szCs w:val="32"/>
        </w:rPr>
        <w:t>病害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风险，因</w:t>
      </w:r>
      <w:r>
        <w:rPr>
          <w:rFonts w:hint="eastAsia" w:ascii="仿宋_GB2312" w:hAnsi="仿宋_GB2312" w:eastAsia="仿宋_GB2312" w:cs="仿宋_GB2312"/>
          <w:sz w:val="32"/>
          <w:szCs w:val="32"/>
        </w:rPr>
        <w:t>地下空间特殊的工程位置与结构形式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暴雨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涝风险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</w:rPr>
        <w:t>地下空间相对封闭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火灾风险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第三部分为组织体系。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明确了领导机构、应急联动机构、工作机构以及专家机构。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第四部分为监测与预警。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明确依托城市运行“一网统管”平台，各相关单位要建立健全监测预警机制，加强风险预警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确定本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区地下空间突发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事故预警级别分为四级：I级（特别严重）、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Ⅱ级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（严重）、III级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（较重）和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Ⅳ级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（一般），依次用红色、橙色、黄色和蓝色表示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。具体预警级别标准的设定以及预警的发布、调整和解除等，按照相关市级专项应急预案执行。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第五部分：应急响应。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明确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一旦发生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地下空间突发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事故，事发单位是先期处置第一责任人，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各联动单位在各自职责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对突发事件进行先期处置。</w:t>
      </w:r>
      <w:r>
        <w:rPr>
          <w:rFonts w:hint="eastAsia" w:ascii="仿宋_GB2312" w:hAnsi="仿宋_GB2312" w:eastAsia="仿宋_GB2312" w:cs="仿宋_GB2312"/>
          <w:sz w:val="32"/>
          <w:szCs w:val="32"/>
        </w:rPr>
        <w:t>地下空间突发事件应急处置应遵循分级负责、属地为主的原则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。一般和较大事故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发生后，由区政府视情会同应急、消防、公安等相关单位启动相应等级的响应措施，组织、指挥、协调、调度相关应急力量和资源实施应急处置。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重大和特别重大事故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发生后，由市政府视情成立市级应急处置指挥部统一指挥、协调、调度全市相关力量和资源实施应急处置。当突发事件的危险状态得到有效控制，应急联动处置工作即告终止。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由对应事故级别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的组织指挥机构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决定终止和信息发布工作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第六、七部分主要内容为地下空间突发应急事故发生后的保障工作。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包括善后处置、调查评估、保险、队伍保障、交通运输保障、通讯保障、装备物质保障、经费保障、科技保障等内容。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第八部分为预案管理。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包括解释、修订、体系、实施等内容。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待区政府审议通过后，建议由区建设管理委正式发文。我委将及时上报市住建委、区应急局备案，并定期组织开展相关应急演练，进一步提高我区地下空间突发事件应急处置能力。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986039"/>
    <w:multiLevelType w:val="singleLevel"/>
    <w:tmpl w:val="B698603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NzE2NjVmMDk3NDFmYzQ0ZjcyOTViOWZiYWY2ODAifQ=="/>
  </w:docVars>
  <w:rsids>
    <w:rsidRoot w:val="17AE3522"/>
    <w:rsid w:val="064515D9"/>
    <w:rsid w:val="09552EFE"/>
    <w:rsid w:val="0BDB3CBE"/>
    <w:rsid w:val="0EEC2C42"/>
    <w:rsid w:val="17AE3522"/>
    <w:rsid w:val="1BDE79CD"/>
    <w:rsid w:val="1E552BE2"/>
    <w:rsid w:val="1E587AAD"/>
    <w:rsid w:val="2037329A"/>
    <w:rsid w:val="2E201085"/>
    <w:rsid w:val="35DF54C6"/>
    <w:rsid w:val="3617133F"/>
    <w:rsid w:val="3944736E"/>
    <w:rsid w:val="3E460778"/>
    <w:rsid w:val="415C28A1"/>
    <w:rsid w:val="425B0ADD"/>
    <w:rsid w:val="45196794"/>
    <w:rsid w:val="4CF1298F"/>
    <w:rsid w:val="559F2404"/>
    <w:rsid w:val="55F24864"/>
    <w:rsid w:val="59A4743C"/>
    <w:rsid w:val="64F141A7"/>
    <w:rsid w:val="69047C52"/>
    <w:rsid w:val="6B2419AE"/>
    <w:rsid w:val="6DB30B14"/>
    <w:rsid w:val="71892E35"/>
    <w:rsid w:val="72A7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line="360" w:lineRule="auto"/>
      <w:outlineLvl w:val="2"/>
    </w:pPr>
    <w:rPr>
      <w:rFonts w:ascii="Times New Roman" w:hAnsi="Times New Roman" w:eastAsia="仿宋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上海市崇明区建设和管理委员会</Company>
  <Pages>4</Pages>
  <Words>1999</Words>
  <Characters>2048</Characters>
  <Lines>0</Lines>
  <Paragraphs>0</Paragraphs>
  <TotalTime>93</TotalTime>
  <ScaleCrop>false</ScaleCrop>
  <LinksUpToDate>false</LinksUpToDate>
  <CharactersWithSpaces>2048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2024-05-07T01:35:00Z</dcterms:created>
  <dc:creator>芃苒</dc:creator>
  <cp:lastModifiedBy>Administrator</cp:lastModifiedBy>
  <cp:lastPrinted>2024-11-20T02:34:00Z</cp:lastPrinted>
  <dcterms:modified xsi:type="dcterms:W3CDTF">2024-11-20T06:49:36Z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AD68B98D0A7847C69364A0544A6FC038_11</vt:lpwstr>
  </property>
</Properties>
</file>