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DD0" w:rsidRDefault="00365DD0" w:rsidP="00AC2466">
      <w:pPr>
        <w:spacing w:line="560" w:lineRule="exact"/>
        <w:jc w:val="center"/>
        <w:rPr>
          <w:rFonts w:ascii="黑体" w:eastAsia="黑体" w:hAnsi="黑体" w:cs="Times New Roman"/>
          <w:sz w:val="44"/>
          <w:szCs w:val="44"/>
        </w:rPr>
      </w:pPr>
      <w:r>
        <w:rPr>
          <w:rFonts w:ascii="黑体" w:eastAsia="黑体" w:hAnsi="黑体" w:cs="黑体"/>
          <w:sz w:val="44"/>
          <w:szCs w:val="44"/>
        </w:rPr>
        <w:t>2018</w:t>
      </w:r>
      <w:r>
        <w:rPr>
          <w:rFonts w:ascii="黑体" w:eastAsia="黑体" w:hAnsi="黑体" w:cs="黑体" w:hint="eastAsia"/>
          <w:sz w:val="44"/>
          <w:szCs w:val="44"/>
        </w:rPr>
        <w:t>年崇明区司法行政工作要点</w:t>
      </w:r>
    </w:p>
    <w:p w:rsidR="00365DD0" w:rsidRDefault="00365DD0" w:rsidP="00AC2466">
      <w:pPr>
        <w:spacing w:line="560" w:lineRule="exact"/>
        <w:jc w:val="center"/>
        <w:rPr>
          <w:rFonts w:ascii="仿宋_GB2312" w:eastAsia="仿宋_GB2312" w:cs="Times New Roman"/>
          <w:sz w:val="32"/>
          <w:szCs w:val="32"/>
        </w:rPr>
      </w:pPr>
    </w:p>
    <w:p w:rsidR="00365DD0" w:rsidRDefault="00365DD0" w:rsidP="0086071C">
      <w:pPr>
        <w:spacing w:line="560" w:lineRule="exact"/>
        <w:ind w:firstLineChars="200" w:firstLine="31680"/>
        <w:rPr>
          <w:rFonts w:ascii="仿宋_GB2312" w:eastAsia="仿宋_GB2312" w:cs="Times New Roman"/>
          <w:sz w:val="32"/>
          <w:szCs w:val="32"/>
        </w:rPr>
      </w:pPr>
      <w:r>
        <w:rPr>
          <w:rFonts w:ascii="仿宋_GB2312" w:eastAsia="仿宋_GB2312" w:cs="仿宋_GB2312"/>
          <w:sz w:val="32"/>
          <w:szCs w:val="32"/>
        </w:rPr>
        <w:t>2018</w:t>
      </w:r>
      <w:r>
        <w:rPr>
          <w:rFonts w:ascii="仿宋_GB2312" w:eastAsia="仿宋_GB2312" w:cs="仿宋_GB2312" w:hint="eastAsia"/>
          <w:sz w:val="32"/>
          <w:szCs w:val="32"/>
        </w:rPr>
        <w:t>年是贯彻落实崇明世界级生态岛发展“十三五”规划承上启下的关键一年。崇明区司法行政工作要以党的十九大精神为指引，深入贯彻习近平新时代中国特色社会主义思想理论，深刻学习领会习近平总书记对政法工作的重要指示，坚持党对司法行政工作的绝对领导，坚持以人民为中心的发展思想，认真落实区委、区政府、市司法局及区政法委的决策部署，围绕世界级生态岛建设，以司法行政改革为牵引，以公共法律服务体系建设为纲，统筹推进人民调解、社区矫正、法治宣传、依法治理、法律服务等各项司法行政工作，锐意创新、真抓实干，勇担当、敢作为、善突破，以更高标准、更开阔视野、更优质量为世界级生态岛建设提供优质高效的法律服务和坚实有力的法治保障。</w:t>
      </w:r>
    </w:p>
    <w:p w:rsidR="00365DD0" w:rsidRPr="00AC2466" w:rsidRDefault="00365DD0" w:rsidP="0086071C">
      <w:pPr>
        <w:spacing w:line="560" w:lineRule="exact"/>
        <w:ind w:firstLineChars="200" w:firstLine="31680"/>
        <w:rPr>
          <w:rFonts w:ascii="黑体" w:eastAsia="黑体" w:cs="Times New Roman"/>
          <w:sz w:val="32"/>
          <w:szCs w:val="32"/>
        </w:rPr>
      </w:pPr>
      <w:r w:rsidRPr="00AC2466">
        <w:rPr>
          <w:rFonts w:ascii="黑体" w:eastAsia="黑体" w:cs="黑体" w:hint="eastAsia"/>
          <w:sz w:val="32"/>
          <w:szCs w:val="32"/>
        </w:rPr>
        <w:t>一、聚焦创新社会治理新理念，全力维护社会安全稳定</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（一）构建共建共治共享矫正安帮治理格局。</w:t>
      </w:r>
      <w:r>
        <w:rPr>
          <w:rFonts w:ascii="仿宋_GB2312" w:eastAsia="仿宋_GB2312" w:cs="仿宋_GB2312" w:hint="eastAsia"/>
          <w:sz w:val="32"/>
          <w:szCs w:val="32"/>
        </w:rPr>
        <w:t>建立健全区、镇两级矫正安帮工作领导小组，推动建立协商解决矫正安帮工作重大事项的长效机制。充分发挥公检法、工青妇的作用，根据矫正对象特点合理配备矫正小组人员并开展日常监管工作，切实发挥矫正小组运作效果。充分利用社会资源，联建社区服务场所，加强社区服务现场管理，制定社区服务管理机制。鼓励社会组织参与志愿帮教工作，形成志愿者工作效果评估机制，加强对志愿者的奖励表彰和宣传，全面提高志愿帮教水平。</w:t>
      </w:r>
    </w:p>
    <w:p w:rsidR="00365DD0" w:rsidRDefault="00365DD0" w:rsidP="0086071C">
      <w:pPr>
        <w:spacing w:line="560" w:lineRule="exact"/>
        <w:ind w:firstLineChars="200" w:firstLine="31680"/>
        <w:rPr>
          <w:rFonts w:ascii="仿宋_GB2312" w:eastAsia="仿宋_GB2312" w:hAnsi="黑体" w:cs="Times New Roman"/>
          <w:sz w:val="32"/>
          <w:szCs w:val="32"/>
        </w:rPr>
      </w:pPr>
      <w:r>
        <w:rPr>
          <w:rFonts w:ascii="楷体_GB2312" w:eastAsia="楷体_GB2312" w:cs="楷体_GB2312" w:hint="eastAsia"/>
          <w:sz w:val="32"/>
          <w:szCs w:val="32"/>
        </w:rPr>
        <w:t>（二）探索实施矫正安帮工作项目。</w:t>
      </w:r>
      <w:r>
        <w:rPr>
          <w:rFonts w:ascii="仿宋_GB2312" w:eastAsia="仿宋_GB2312" w:cs="仿宋_GB2312" w:hint="eastAsia"/>
          <w:sz w:val="32"/>
          <w:szCs w:val="32"/>
        </w:rPr>
        <w:t>以体制机制、思想理念、方法手段为创新实践路径，以社会化、法治化、智能化、专业化为基本要求，以日常监管、公正执法、教育矫正、帮扶帮教、专业保障为主要内容，有效开展社区矫正、安置帮教项目征集、管理工作。</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（三）深入推进社区矫正标准体系建设。</w:t>
      </w:r>
      <w:r>
        <w:rPr>
          <w:rFonts w:ascii="仿宋_GB2312" w:eastAsia="仿宋_GB2312" w:cs="仿宋_GB2312" w:hint="eastAsia"/>
          <w:sz w:val="32"/>
          <w:szCs w:val="32"/>
        </w:rPr>
        <w:t>继续推进市级“社区矫正综合标准化试点”项目，进一步健全完善《社区矫正综合管理标准》，大力优化社区矫正标准体系，采取扎实措施开展宣标、贯标，完成项目终期评估，有力提升社区矫正执法规范化标准化水平。</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（四）加强安全风险管控。</w:t>
      </w:r>
      <w:r>
        <w:rPr>
          <w:rFonts w:ascii="仿宋_GB2312" w:eastAsia="仿宋_GB2312" w:cs="仿宋_GB2312" w:hint="eastAsia"/>
          <w:sz w:val="32"/>
          <w:szCs w:val="32"/>
        </w:rPr>
        <w:t>以“三最”为原则，进一步提升动态分析质量。进一步加强外出审批管理及出入境证件管理工作。积极参与扫黑除恶专项斗争，在社区服刑人员中深入开展专项排摸，深挖犯罪线索。强化应急处置能力，完善应急预案，加强应急处置演练，切实提升实战能力。深入推进日常管理考核工作，以计分考评为手段，及时分类分级处遇，落实奖惩措施。精准列、撤管重点重要对象，强化监督管理。以“规范执法年”活动为载体，实施常态化安保检查机制，对发现的问题及时指导处置，并反馈工作提示单或工作整改单。不断提升电子监管能级。加强电子监管设备保障，加强配套规范建设。强化不可脱卸式电子监管设备、社区矫正手机</w:t>
      </w:r>
      <w:r>
        <w:rPr>
          <w:rFonts w:ascii="仿宋_GB2312" w:eastAsia="仿宋_GB2312" w:cs="仿宋_GB2312"/>
          <w:sz w:val="32"/>
          <w:szCs w:val="32"/>
        </w:rPr>
        <w:t>app</w:t>
      </w:r>
      <w:r>
        <w:rPr>
          <w:rFonts w:ascii="仿宋_GB2312" w:eastAsia="仿宋_GB2312" w:cs="仿宋_GB2312" w:hint="eastAsia"/>
          <w:sz w:val="32"/>
          <w:szCs w:val="32"/>
        </w:rPr>
        <w:t>使用效能，及时处理移动监管平台报警信息，通过点名管理、基站定位、查看轨迹等手段，不断提升电子监管水平，努力实现电子监管全覆盖。</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（五）深入落实精准帮扶。</w:t>
      </w:r>
      <w:r>
        <w:rPr>
          <w:rFonts w:ascii="仿宋_GB2312" w:eastAsia="仿宋_GB2312" w:cs="仿宋_GB2312" w:hint="eastAsia"/>
          <w:sz w:val="32"/>
          <w:szCs w:val="32"/>
        </w:rPr>
        <w:t>重视使用《刑释人员重新犯罪影响因素平衡表》、《刑释人员需求情况分析》，增强刑释人员个体需求与风险评估科学性。把握好上一年度刑满释放对象重犯人数与当年重点帮教对象之间的人数比例，规范列、撤管重点帮教对象。与五角场监狱探索共建“监地联动帮教”机制，做好进监所帮教、临释衔接工作。加强乡镇安置帮教工作站规范化运作，加强运用政策和社会资源开展帮困救助，努力推进过渡性安置就业基地建设，促进</w:t>
      </w:r>
      <w:r>
        <w:rPr>
          <w:rFonts w:ascii="仿宋_GB2312" w:eastAsia="仿宋_GB2312" w:cs="仿宋_GB2312"/>
          <w:sz w:val="32"/>
          <w:szCs w:val="32"/>
        </w:rPr>
        <w:t xml:space="preserve"> </w:t>
      </w:r>
      <w:r>
        <w:rPr>
          <w:rFonts w:ascii="仿宋_GB2312" w:eastAsia="仿宋_GB2312" w:cs="仿宋_GB2312" w:hint="eastAsia"/>
          <w:sz w:val="32"/>
          <w:szCs w:val="32"/>
        </w:rPr>
        <w:t>“两类人员”实现就业。</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（六）全面提升执法能力。</w:t>
      </w:r>
      <w:r>
        <w:rPr>
          <w:rFonts w:ascii="仿宋_GB2312" w:eastAsia="仿宋_GB2312" w:cs="仿宋_GB2312" w:hint="eastAsia"/>
          <w:sz w:val="32"/>
          <w:szCs w:val="32"/>
        </w:rPr>
        <w:t>加强岗位责任制建设，明确区社区矫正中心、乡镇司法所社区矫正、安置帮教工作职责以及相关工作人员工作内容和职责体系，做到责任到岗、到人。加强选派民警队伍管理，深入推进集中执法模式，严格落实各项考核措施。深入研究分析工作需求和能力短板，积极谋划落实各类培训练兵，注重分层分类差异化培训，注重以比促训实战化培训。继续开展矫正安帮工作者风采展示活动，大力宣传先进人物和先进事迹。</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（七）夯实人民调解基层基础。</w:t>
      </w:r>
      <w:r>
        <w:rPr>
          <w:rFonts w:ascii="仿宋_GB2312" w:eastAsia="仿宋_GB2312" w:cs="仿宋_GB2312" w:hint="eastAsia"/>
          <w:sz w:val="32"/>
          <w:szCs w:val="32"/>
        </w:rPr>
        <w:t>加强人民调解组织和队伍建设，完善人民调解组织网络，优化队伍结构。系统管理人民调解工作，探索建立职业化人民调解员队伍，提升人民调解工作质量和水平。加大对人民调解工作的保障和指导力度，确保内部管理有序、业务流程规范。</w:t>
      </w:r>
    </w:p>
    <w:p w:rsidR="00365DD0" w:rsidRDefault="00365DD0" w:rsidP="0086071C">
      <w:pPr>
        <w:spacing w:line="560" w:lineRule="exact"/>
        <w:ind w:firstLineChars="202" w:firstLine="31680"/>
        <w:rPr>
          <w:rFonts w:ascii="仿宋_GB2312" w:eastAsia="仿宋_GB2312" w:cs="Times New Roman"/>
          <w:sz w:val="32"/>
          <w:szCs w:val="32"/>
        </w:rPr>
      </w:pPr>
      <w:r>
        <w:rPr>
          <w:rFonts w:ascii="楷体_GB2312" w:eastAsia="楷体_GB2312" w:cs="楷体_GB2312" w:hint="eastAsia"/>
          <w:sz w:val="32"/>
          <w:szCs w:val="32"/>
        </w:rPr>
        <w:t>（八）加强矛盾纠纷排查化解分析研判。</w:t>
      </w:r>
      <w:r>
        <w:rPr>
          <w:rFonts w:ascii="仿宋_GB2312" w:eastAsia="仿宋_GB2312" w:cs="仿宋_GB2312" w:hint="eastAsia"/>
          <w:sz w:val="32"/>
          <w:szCs w:val="32"/>
        </w:rPr>
        <w:t>落实好“枫桥经验”本地化，扎实开展矛盾纠纷排摸工作，坚持抓早抓小，结合重要时间节点，协调各方积极开展矛盾纠纷专项排摸化解。善于运用法治思维和法治方式开展人民调解工作，通过对矛盾纠纷分析研判，促进早、快、准地将矛盾化解在基层，将纠纷消灭在萌芽。</w:t>
      </w:r>
    </w:p>
    <w:p w:rsidR="00365DD0" w:rsidRDefault="00365DD0" w:rsidP="0086071C">
      <w:pPr>
        <w:spacing w:line="560" w:lineRule="exact"/>
        <w:ind w:firstLineChars="202" w:firstLine="31680"/>
        <w:rPr>
          <w:rFonts w:ascii="仿宋_GB2312" w:eastAsia="仿宋_GB2312" w:cs="Times New Roman"/>
          <w:sz w:val="32"/>
          <w:szCs w:val="32"/>
        </w:rPr>
      </w:pPr>
      <w:r>
        <w:rPr>
          <w:rFonts w:ascii="楷体_GB2312" w:eastAsia="楷体_GB2312" w:cs="楷体_GB2312" w:hint="eastAsia"/>
          <w:sz w:val="32"/>
          <w:szCs w:val="32"/>
        </w:rPr>
        <w:t>（九）完善矛盾纠纷多元化解机制。</w:t>
      </w:r>
      <w:r>
        <w:rPr>
          <w:rFonts w:ascii="仿宋_GB2312" w:eastAsia="仿宋_GB2312" w:cs="仿宋_GB2312" w:hint="eastAsia"/>
          <w:sz w:val="32"/>
          <w:szCs w:val="32"/>
        </w:rPr>
        <w:t>依托区专业人民调解中心，加强与矛盾纠纷多发领域的相关部门沟通联系，共同培育建立行业性、专业性人民调解组织，为群众提供多元、便捷的矛盾纠纷解决方式。利用人民调解专业人员咨询库，为疑难复杂纠纷化解提供专业支撑。</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（十）深入推动三调联动工作。</w:t>
      </w:r>
      <w:r>
        <w:rPr>
          <w:rFonts w:ascii="仿宋_GB2312" w:eastAsia="仿宋_GB2312" w:cs="仿宋_GB2312" w:hint="eastAsia"/>
          <w:sz w:val="32"/>
          <w:szCs w:val="32"/>
        </w:rPr>
        <w:t>加强“所所联动”，建立相关联动机制，畅通沟通渠道，提高调解作用和调解效率。推进驻公安派出所人民调解工作室、驻</w:t>
      </w:r>
      <w:bookmarkStart w:id="0" w:name="_GoBack"/>
      <w:bookmarkEnd w:id="0"/>
      <w:r>
        <w:rPr>
          <w:rFonts w:ascii="仿宋_GB2312" w:eastAsia="仿宋_GB2312" w:cs="仿宋_GB2312" w:hint="eastAsia"/>
          <w:sz w:val="32"/>
          <w:szCs w:val="32"/>
        </w:rPr>
        <w:t>市场监管所人民调解工作室设立，及时受理、化解可调解的刑事和解、治安案件、</w:t>
      </w:r>
      <w:r>
        <w:rPr>
          <w:rFonts w:ascii="仿宋_GB2312" w:eastAsia="仿宋_GB2312" w:cs="仿宋_GB2312"/>
          <w:sz w:val="32"/>
          <w:szCs w:val="32"/>
        </w:rPr>
        <w:t>110</w:t>
      </w:r>
      <w:r>
        <w:rPr>
          <w:rFonts w:ascii="仿宋_GB2312" w:eastAsia="仿宋_GB2312" w:cs="仿宋_GB2312" w:hint="eastAsia"/>
          <w:sz w:val="32"/>
          <w:szCs w:val="32"/>
        </w:rPr>
        <w:t>民间纠纷以及消费纠纷。乡镇司法所履行对本辖区调委会的指导职能，加强与信访、综治、村建等乡镇职能部门沟通联系，助力化解本地区疑难复杂纠纷。乡镇调委会加强与基层法庭协调配合，积极开展民事案件委托人民调解工作。</w:t>
      </w:r>
    </w:p>
    <w:p w:rsidR="00365DD0" w:rsidRPr="00AC2466" w:rsidRDefault="00365DD0" w:rsidP="0086071C">
      <w:pPr>
        <w:spacing w:line="560" w:lineRule="exact"/>
        <w:ind w:firstLineChars="200" w:firstLine="31680"/>
        <w:rPr>
          <w:rFonts w:ascii="黑体" w:eastAsia="黑体" w:hAnsi="黑体" w:cs="Times New Roman"/>
          <w:sz w:val="32"/>
          <w:szCs w:val="32"/>
        </w:rPr>
      </w:pPr>
      <w:r w:rsidRPr="00AC2466">
        <w:rPr>
          <w:rFonts w:ascii="黑体" w:eastAsia="黑体" w:cs="黑体" w:hint="eastAsia"/>
          <w:sz w:val="32"/>
          <w:szCs w:val="32"/>
        </w:rPr>
        <w:t>二、</w:t>
      </w:r>
      <w:r w:rsidRPr="00AC2466">
        <w:rPr>
          <w:rFonts w:ascii="黑体" w:eastAsia="黑体" w:hAnsi="黑体" w:cs="黑体" w:hint="eastAsia"/>
          <w:sz w:val="32"/>
          <w:szCs w:val="32"/>
        </w:rPr>
        <w:t>聚焦人民群众新期待，加快建设更高水平的公共法律服务体系</w:t>
      </w:r>
    </w:p>
    <w:p w:rsidR="00365DD0" w:rsidRDefault="00365DD0" w:rsidP="0086071C">
      <w:pPr>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（十一）提升公共法律服务平台服务质量。</w:t>
      </w:r>
      <w:r>
        <w:rPr>
          <w:rFonts w:ascii="仿宋_GB2312" w:eastAsia="仿宋_GB2312" w:hAnsi="仿宋_GB2312" w:cs="仿宋_GB2312" w:hint="eastAsia"/>
          <w:sz w:val="32"/>
          <w:szCs w:val="32"/>
        </w:rPr>
        <w:t>以全面建成覆盖城乡、功能完备、便捷高效的公共法律服务网络体系为目标，推进“三纵三横”公共法律服务体系框架，加强镇乡和村居实体平台建设，实现三纵实体平台全覆盖；探索以网络服务为主、电话服务为辅、窗口服务为支撑的三横网络。引导、鼓励律师、公证员、人民调解员等专业力量参与</w:t>
      </w:r>
      <w:r>
        <w:rPr>
          <w:rFonts w:ascii="仿宋_GB2312" w:eastAsia="仿宋_GB2312" w:hAnsi="仿宋_GB2312" w:cs="仿宋_GB2312"/>
          <w:sz w:val="32"/>
          <w:szCs w:val="32"/>
        </w:rPr>
        <w:t>12348</w:t>
      </w:r>
      <w:r>
        <w:rPr>
          <w:rFonts w:ascii="仿宋_GB2312" w:eastAsia="仿宋_GB2312" w:hAnsi="仿宋_GB2312" w:cs="仿宋_GB2312" w:hint="eastAsia"/>
          <w:sz w:val="32"/>
          <w:szCs w:val="32"/>
        </w:rPr>
        <w:t>在线咨询，有效提高解答率，切实提升群众满意度。</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（十二）提高法律援助供给能力和服务水平。</w:t>
      </w:r>
      <w:r>
        <w:rPr>
          <w:rFonts w:ascii="仿宋_GB2312" w:eastAsia="仿宋_GB2312" w:cs="仿宋_GB2312" w:hint="eastAsia"/>
          <w:sz w:val="32"/>
          <w:szCs w:val="32"/>
        </w:rPr>
        <w:t>开展刑事案件律师辩护全覆盖试点工作，提高刑事案件通知辩护率，促进控辩平衡。加强法律援助值班律师队伍建设，健全完善法律援助值班律师工作机制。加强与工、青、妇、残、老等人民团体和社会组织的沟通协调，延伸法律援助服务网络，壮大法律援助服务队伍，提升法律援助供给能力。探索建立费用分担机制，满足中低收入群体和特殊案件当事人的法律援助需求。继续推进法律援助服务标准化建设，强化机构和人员教育培训管理，加强案件质量监控，开展案件质量评估，不断提升法律援助工作质量和水平。</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（十三）健全完善法律顾问制度。</w:t>
      </w:r>
      <w:r>
        <w:rPr>
          <w:rFonts w:ascii="仿宋_GB2312" w:eastAsia="仿宋_GB2312" w:cs="仿宋_GB2312" w:hint="eastAsia"/>
          <w:sz w:val="32"/>
          <w:szCs w:val="32"/>
        </w:rPr>
        <w:t>进一步提高法律顾问团在社会治理中的参与度。运用团队化运作模式，着力提升顾问律师为崇明区域经济运行、重大项目推进、重点领域发展、社会管理创新、深化社会建设等方面提供法律服务的能力。进一步延伸法律工作在基层服务中的接触面。全面落实一村（居）一顾问制度，规范和完善服务标准、服务方式和评估考核方法，推动村（居）法律顾问从有形全覆盖向有效全覆盖提升。积极探索创新公益法律服务和便民利民新举措，引导律师在涉法涉诉信访等法律事务中发挥更大作用，让基层群众真实感受到法律温度。</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（十四）拓展服务范围，提高办证便利性。</w:t>
      </w:r>
      <w:r>
        <w:rPr>
          <w:rFonts w:ascii="仿宋_GB2312" w:eastAsia="仿宋_GB2312" w:cs="仿宋_GB2312" w:hint="eastAsia"/>
          <w:sz w:val="32"/>
          <w:szCs w:val="32"/>
        </w:rPr>
        <w:t>进一步拓展公证业务范围，通过为新兴产业、电子商务、创业孵化机构等提供公证服务对接农村振兴战略、世界级生态岛建设。实现公证为民，继续扩大公证上门服务范围，对于老年人、残疾人、有病不便行走的人，提供上门服务，实现公证便民化，减少群众后顾之忧。</w:t>
      </w:r>
    </w:p>
    <w:p w:rsidR="00365DD0" w:rsidRDefault="00365DD0" w:rsidP="0086071C">
      <w:pPr>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（十五）进一步规范法律服务市场秩序。</w:t>
      </w:r>
      <w:r>
        <w:rPr>
          <w:rFonts w:ascii="仿宋_GB2312" w:eastAsia="仿宋_GB2312" w:hAnsi="仿宋_GB2312" w:cs="仿宋_GB2312" w:hint="eastAsia"/>
          <w:sz w:val="32"/>
          <w:szCs w:val="32"/>
        </w:rPr>
        <w:t>加大对法律服务市场的监管力度，健全跨部门监管协调机制，完善监管对象不良执业（从业）信息记录披露和查询制度，加强跨部门信用数据归集，让“黑律师”在信息共享的阳光下无处遁形，切实保障当事人合法权益。建立公民代理承诺书制度、违法执业黑名单制度，健全公民代理相关审核机制，严防彻查“职业公民代理人”。加强行业监管，推动律所完善内部管理规范，进一步完善委托代理制度，规范收案流程，进一步规范律师事务所批案手续，强化律师规范执业意识。</w:t>
      </w:r>
    </w:p>
    <w:p w:rsidR="00365DD0" w:rsidRDefault="00365DD0" w:rsidP="0086071C">
      <w:pPr>
        <w:pStyle w:val="ListParagraph"/>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（十六）助力打造一流营商环境。</w:t>
      </w:r>
      <w:r>
        <w:rPr>
          <w:rFonts w:ascii="仿宋_GB2312" w:eastAsia="仿宋_GB2312" w:hAnsi="仿宋_GB2312" w:cs="仿宋_GB2312" w:hint="eastAsia"/>
          <w:sz w:val="32"/>
          <w:szCs w:val="32"/>
        </w:rPr>
        <w:t>按照行政审批办事指南和业务手册，进一步梳理当场办结、提前服务、告知承诺等事项，着力推进行政审批“最多跑一次”，提升行政审批效率。拓宽商事案件纠纷解决渠道，筹建律师调解中心，推动风险防控，制定律师参与商事纠纷化解实施方案及配套规则，服务保障本地区经济发展。</w:t>
      </w:r>
    </w:p>
    <w:p w:rsidR="00365DD0" w:rsidRDefault="00365DD0" w:rsidP="0086071C">
      <w:pPr>
        <w:spacing w:line="560" w:lineRule="exact"/>
        <w:ind w:firstLineChars="200" w:firstLine="31680"/>
        <w:rPr>
          <w:rFonts w:ascii="黑体" w:eastAsia="黑体" w:hAnsi="黑体" w:cs="Times New Roman"/>
          <w:sz w:val="32"/>
          <w:szCs w:val="32"/>
        </w:rPr>
      </w:pPr>
      <w:r>
        <w:rPr>
          <w:rFonts w:ascii="黑体" w:eastAsia="黑体" w:hAnsi="黑体" w:cs="黑体" w:hint="eastAsia"/>
          <w:sz w:val="32"/>
          <w:szCs w:val="32"/>
        </w:rPr>
        <w:t>三、聚焦深化依法治国实践新要求，更好服务保障崇明法治环境建设</w:t>
      </w:r>
    </w:p>
    <w:p w:rsidR="00365DD0" w:rsidRDefault="00365DD0" w:rsidP="0086071C">
      <w:pPr>
        <w:widowControl/>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（十七）完善法治建设工作机制。</w:t>
      </w:r>
      <w:r>
        <w:rPr>
          <w:rFonts w:ascii="仿宋_GB2312" w:eastAsia="仿宋_GB2312" w:hAnsi="仿宋_GB2312" w:cs="仿宋_GB2312" w:hint="eastAsia"/>
          <w:sz w:val="32"/>
          <w:szCs w:val="32"/>
        </w:rPr>
        <w:t>结合不同阶段法治建设的主要任务和热点难点，及时完善依法治区（镇）工作的领导体制和组织架构。积极履行依法治区（镇）办工作职责，切实发挥好组织、协调、指导、督促、检查的作用。以进一步健全项目化运作机制、目标管理考核机制和二级工作机制为抓手，着力优化法治建设协调推进机制，</w:t>
      </w:r>
      <w:r>
        <w:rPr>
          <w:rFonts w:ascii="仿宋_GB2312" w:eastAsia="仿宋_GB2312" w:cs="仿宋_GB2312" w:hint="eastAsia"/>
          <w:sz w:val="32"/>
          <w:szCs w:val="32"/>
        </w:rPr>
        <w:t>凸显法治在崇明世界级生态岛建设中的引领、调节、规制和保障作用。</w:t>
      </w:r>
    </w:p>
    <w:p w:rsidR="00365DD0" w:rsidRDefault="00365DD0" w:rsidP="0086071C">
      <w:pPr>
        <w:widowControl/>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（十八）深化法治建设工作实践。</w:t>
      </w:r>
      <w:r>
        <w:rPr>
          <w:rFonts w:ascii="仿宋_GB2312" w:eastAsia="仿宋_GB2312" w:hAnsi="仿宋_GB2312" w:cs="仿宋_GB2312" w:hint="eastAsia"/>
          <w:sz w:val="32"/>
          <w:szCs w:val="32"/>
        </w:rPr>
        <w:t>巩固并拓展“全国法治城区先进单位”创建成果，深入开展多层次多领域依法治理。结合全国文明城区创建和农村“五美社区”试点建设，大力开展依法行政示范项目评选和民主法治示范居村创建，推出一批法治实践先进典型，形成依法治理“崇明样本”。广泛开展“</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16</w:t>
      </w:r>
      <w:r>
        <w:rPr>
          <w:rFonts w:ascii="仿宋_GB2312" w:eastAsia="仿宋_GB2312" w:hAnsi="仿宋_GB2312" w:cs="仿宋_GB2312" w:hint="eastAsia"/>
          <w:sz w:val="32"/>
          <w:szCs w:val="32"/>
        </w:rPr>
        <w:t>”依法治市日宣传活动，引领全区法治建设水平不断提升。</w:t>
      </w:r>
    </w:p>
    <w:p w:rsidR="00365DD0" w:rsidRDefault="00365DD0" w:rsidP="0086071C">
      <w:pPr>
        <w:widowControl/>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（十九）加强法治建设理论研究。</w:t>
      </w:r>
      <w:r>
        <w:rPr>
          <w:rFonts w:ascii="仿宋_GB2312" w:eastAsia="仿宋_GB2312" w:hAnsi="仿宋_GB2312" w:cs="仿宋_GB2312" w:hint="eastAsia"/>
          <w:sz w:val="32"/>
          <w:szCs w:val="32"/>
        </w:rPr>
        <w:t>坚持问题和需求导向，深入开展依法治理优秀案例征评、民主法治建设课题研究等工作，并通过宣传报道、交流探讨、总结表彰等手段，传播经验，为加强城市精细化管理、服务保障民生提供智力支撑。</w:t>
      </w:r>
    </w:p>
    <w:p w:rsidR="00365DD0" w:rsidRDefault="00365DD0" w:rsidP="0086071C">
      <w:pPr>
        <w:widowControl/>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（二十）切实加大全民普法力度。</w:t>
      </w:r>
      <w:r>
        <w:rPr>
          <w:rFonts w:ascii="仿宋_GB2312" w:eastAsia="仿宋_GB2312" w:hAnsi="仿宋_GB2312" w:cs="仿宋_GB2312" w:hint="eastAsia"/>
          <w:sz w:val="32"/>
          <w:szCs w:val="32"/>
        </w:rPr>
        <w:t>围绕宪法修改、扫黑除恶专项斗争、世界级生态岛建设、全国文明城区创建、加强城市精细化管理等重大任务，组织开展“尊崇宪法、学习宪法、遵守宪法、维护宪法、运用宪法”、“尊法学法守法用法、加强法治崇明建设”等主题法治宣传实践活动。组织开展“七五”普法中期督查，以普法考评指标体系为抓手，进一步落实“谁执法谁普法”普法责任制，推动执法与普法深度融合。实施重大法宣举措项目化，推进法治文化阵地、活动、作品和媒体一体化建设。深化分业、分类、分众法治宣传教育，加强领导干部和青少年等重点对象学法用法工作。</w:t>
      </w:r>
    </w:p>
    <w:p w:rsidR="00365DD0" w:rsidRDefault="00365DD0" w:rsidP="0086071C">
      <w:pPr>
        <w:spacing w:line="560" w:lineRule="exact"/>
        <w:ind w:firstLineChars="200" w:firstLine="31680"/>
        <w:rPr>
          <w:rFonts w:ascii="黑体" w:eastAsia="黑体" w:hAnsi="黑体" w:cs="Times New Roman"/>
          <w:sz w:val="32"/>
          <w:szCs w:val="32"/>
        </w:rPr>
      </w:pPr>
      <w:r>
        <w:rPr>
          <w:rFonts w:ascii="黑体" w:eastAsia="黑体" w:hAnsi="黑体" w:cs="黑体" w:hint="eastAsia"/>
          <w:sz w:val="32"/>
          <w:szCs w:val="32"/>
        </w:rPr>
        <w:t>四、聚焦世界级生态岛建设新形势，全面提供高效法律服务和有力法治保障</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（二十一）深化“三分教育”，融入“生态</w:t>
      </w:r>
      <w:r>
        <w:rPr>
          <w:rFonts w:ascii="楷体_GB2312" w:eastAsia="楷体_GB2312" w:cs="楷体_GB2312"/>
          <w:sz w:val="32"/>
          <w:szCs w:val="32"/>
        </w:rPr>
        <w:t>+</w:t>
      </w:r>
      <w:r>
        <w:rPr>
          <w:rFonts w:ascii="楷体_GB2312" w:eastAsia="楷体_GB2312" w:cs="楷体_GB2312" w:hint="eastAsia"/>
          <w:sz w:val="32"/>
          <w:szCs w:val="32"/>
        </w:rPr>
        <w:t>”教育。</w:t>
      </w:r>
      <w:r>
        <w:rPr>
          <w:rFonts w:ascii="仿宋_GB2312" w:eastAsia="仿宋_GB2312" w:cs="仿宋_GB2312" w:hint="eastAsia"/>
          <w:sz w:val="32"/>
          <w:szCs w:val="32"/>
        </w:rPr>
        <w:t>以治本安全观为新理念，创新教育矫正方式方法，围绕入矫后、解矫前两个时期深化分段教育，围绕社区服刑人员案由、恶习等类型深化分类教育，围绕社区服刑人员日常表现深化分级教育，持续深化“三分教育”。不断丰富教育矫正师资库、资料库、案例库，不断丰富教育矫正新内涵。深刻把握“生态</w:t>
      </w:r>
      <w:r>
        <w:rPr>
          <w:rFonts w:ascii="仿宋_GB2312" w:eastAsia="仿宋_GB2312" w:cs="仿宋_GB2312"/>
          <w:sz w:val="32"/>
          <w:szCs w:val="32"/>
        </w:rPr>
        <w:t>+</w:t>
      </w:r>
      <w:r>
        <w:rPr>
          <w:rFonts w:ascii="仿宋_GB2312" w:eastAsia="仿宋_GB2312" w:cs="仿宋_GB2312" w:hint="eastAsia"/>
          <w:sz w:val="32"/>
          <w:szCs w:val="32"/>
        </w:rPr>
        <w:t>”和中国传统文化的丰富内涵，开展“生态</w:t>
      </w:r>
      <w:r>
        <w:rPr>
          <w:rFonts w:ascii="仿宋_GB2312" w:eastAsia="仿宋_GB2312" w:cs="仿宋_GB2312"/>
          <w:sz w:val="32"/>
          <w:szCs w:val="32"/>
        </w:rPr>
        <w:t>+</w:t>
      </w:r>
      <w:r>
        <w:rPr>
          <w:rFonts w:ascii="仿宋_GB2312" w:eastAsia="仿宋_GB2312" w:cs="仿宋_GB2312" w:hint="eastAsia"/>
          <w:sz w:val="32"/>
          <w:szCs w:val="32"/>
        </w:rPr>
        <w:t>传统”教育矫正主题活动。充分挖掘崇明特色，把世界级生态岛建设、创建全国文明城区等与教育矫正相结合，加强生态文明教育、社会主义核心价值观教育、优秀传统文化教育、法治教育，注重宣传新时代发展成就和精神文化正能量。</w:t>
      </w:r>
    </w:p>
    <w:p w:rsidR="00365DD0" w:rsidRDefault="00365DD0" w:rsidP="0086071C">
      <w:pPr>
        <w:spacing w:line="560" w:lineRule="exact"/>
        <w:ind w:firstLineChars="202" w:firstLine="31680"/>
        <w:rPr>
          <w:rFonts w:ascii="仿宋_GB2312" w:eastAsia="仿宋_GB2312" w:cs="Times New Roman"/>
          <w:sz w:val="32"/>
          <w:szCs w:val="32"/>
        </w:rPr>
      </w:pPr>
      <w:r>
        <w:rPr>
          <w:rFonts w:ascii="楷体_GB2312" w:eastAsia="楷体_GB2312" w:cs="楷体_GB2312" w:hint="eastAsia"/>
          <w:sz w:val="32"/>
          <w:szCs w:val="32"/>
        </w:rPr>
        <w:t>（二十二）着力推进“法治崇明”建设项目。</w:t>
      </w:r>
      <w:r>
        <w:rPr>
          <w:rFonts w:ascii="仿宋_GB2312" w:eastAsia="仿宋_GB2312" w:hAnsi="仿宋_GB2312" w:cs="仿宋_GB2312" w:hint="eastAsia"/>
          <w:sz w:val="32"/>
          <w:szCs w:val="32"/>
        </w:rPr>
        <w:t>着力推动“法治崇明”建设项目与党委政府中心工作相结合、与依法行政和社会治理中的短板问题相结合。进一步健全“项目立项规范化、项目管理动态化、项目运作实效化、项目推广平台化”的法治建设项目全流程运作体系，以“形成可复制、可借鉴的经验”为目标，推动优秀项目向案例、课题转化，积极探索依法治理工作服务和保障世界级生态岛建设的现实路径。</w:t>
      </w:r>
    </w:p>
    <w:p w:rsidR="00365DD0" w:rsidRDefault="00365DD0" w:rsidP="0086071C">
      <w:pPr>
        <w:widowControl/>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（二十三）深入推进“生态</w:t>
      </w:r>
      <w:r>
        <w:rPr>
          <w:rFonts w:ascii="楷体_GB2312" w:eastAsia="楷体_GB2312" w:cs="楷体_GB2312"/>
          <w:sz w:val="32"/>
          <w:szCs w:val="32"/>
        </w:rPr>
        <w:t>+</w:t>
      </w:r>
      <w:r>
        <w:rPr>
          <w:rFonts w:ascii="楷体_GB2312" w:eastAsia="楷体_GB2312" w:cs="楷体_GB2312" w:hint="eastAsia"/>
          <w:sz w:val="32"/>
          <w:szCs w:val="32"/>
        </w:rPr>
        <w:t>法治宣传”。</w:t>
      </w:r>
      <w:r>
        <w:rPr>
          <w:rFonts w:ascii="仿宋_GB2312" w:eastAsia="仿宋_GB2312" w:hAnsi="仿宋_GB2312" w:cs="仿宋_GB2312" w:hint="eastAsia"/>
          <w:sz w:val="32"/>
          <w:szCs w:val="32"/>
        </w:rPr>
        <w:t>将法治文化阵地、活动、作品、传媒建设与生态有机结合，把法治元素融入广场、长廊、公园等各类公共空间，鼓励有条件的乡镇打造具有崇明生态特色的法治文化阵地，广泛开展法治文艺、法治故事、法治电影等群众喜闻乐见的法治文化活动，征创生态法治文化作品，提升“生态</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法治宣传”影响力。</w:t>
      </w:r>
    </w:p>
    <w:p w:rsidR="00365DD0" w:rsidRDefault="00365DD0" w:rsidP="0086071C">
      <w:pPr>
        <w:spacing w:line="560" w:lineRule="exact"/>
        <w:ind w:firstLineChars="200" w:firstLine="31680"/>
        <w:rPr>
          <w:rFonts w:ascii="仿宋_GB2312" w:eastAsia="仿宋_GB2312" w:cs="Times New Roman"/>
          <w:sz w:val="32"/>
          <w:szCs w:val="32"/>
        </w:rPr>
      </w:pPr>
      <w:r>
        <w:rPr>
          <w:rFonts w:ascii="楷体_GB2312" w:eastAsia="楷体_GB2312" w:cs="楷体_GB2312" w:hint="eastAsia"/>
          <w:sz w:val="32"/>
          <w:szCs w:val="32"/>
        </w:rPr>
        <w:t>（二十四）牵头推动本区政府与华政实务协议。</w:t>
      </w:r>
      <w:r>
        <w:rPr>
          <w:rFonts w:ascii="仿宋_GB2312" w:eastAsia="仿宋_GB2312" w:cs="仿宋_GB2312" w:hint="eastAsia"/>
          <w:sz w:val="32"/>
          <w:szCs w:val="32"/>
        </w:rPr>
        <w:t>作为牵头单位，积极推动区政府与华东政法大学关于“生态</w:t>
      </w:r>
      <w:r>
        <w:rPr>
          <w:rFonts w:ascii="仿宋_GB2312" w:eastAsia="仿宋_GB2312" w:cs="仿宋_GB2312"/>
          <w:sz w:val="32"/>
          <w:szCs w:val="32"/>
        </w:rPr>
        <w:t>+</w:t>
      </w:r>
      <w:r>
        <w:rPr>
          <w:rFonts w:ascii="仿宋_GB2312" w:eastAsia="仿宋_GB2312" w:cs="仿宋_GB2312" w:hint="eastAsia"/>
          <w:sz w:val="32"/>
          <w:szCs w:val="32"/>
        </w:rPr>
        <w:t>法治”高峰论坛、毕业季崇明招聘专场、优秀干部锻炼深造计划、卓越法律人才培养计划、法治实践基地、法学资源共享计划等</w:t>
      </w:r>
      <w:r>
        <w:rPr>
          <w:rFonts w:ascii="仿宋_GB2312" w:eastAsia="仿宋_GB2312" w:cs="仿宋_GB2312"/>
          <w:sz w:val="32"/>
          <w:szCs w:val="32"/>
        </w:rPr>
        <w:t>6</w:t>
      </w:r>
      <w:r>
        <w:rPr>
          <w:rFonts w:ascii="仿宋_GB2312" w:eastAsia="仿宋_GB2312" w:cs="仿宋_GB2312" w:hint="eastAsia"/>
          <w:sz w:val="32"/>
          <w:szCs w:val="32"/>
        </w:rPr>
        <w:t>个务实合作项目的落地实施，为世界级生态岛建设贡献法治力量。</w:t>
      </w:r>
    </w:p>
    <w:p w:rsidR="00365DD0" w:rsidRPr="00AC2466" w:rsidRDefault="00365DD0" w:rsidP="0086071C">
      <w:pPr>
        <w:spacing w:line="560" w:lineRule="exact"/>
        <w:ind w:firstLineChars="200" w:firstLine="31680"/>
        <w:rPr>
          <w:rFonts w:ascii="黑体" w:eastAsia="黑体" w:hAnsi="黑体" w:cs="Times New Roman"/>
          <w:sz w:val="32"/>
          <w:szCs w:val="32"/>
        </w:rPr>
      </w:pPr>
      <w:r w:rsidRPr="00AC2466">
        <w:rPr>
          <w:rFonts w:ascii="黑体" w:eastAsia="黑体" w:cs="黑体" w:hint="eastAsia"/>
          <w:sz w:val="32"/>
          <w:szCs w:val="32"/>
        </w:rPr>
        <w:t>五、</w:t>
      </w:r>
      <w:r w:rsidRPr="00AC2466">
        <w:rPr>
          <w:rFonts w:ascii="黑体" w:eastAsia="黑体" w:hAnsi="黑体" w:cs="黑体" w:hint="eastAsia"/>
          <w:sz w:val="32"/>
          <w:szCs w:val="32"/>
        </w:rPr>
        <w:t>聚焦提升管理能级新需要，不断夯实司法行政改革发展基础</w:t>
      </w:r>
    </w:p>
    <w:p w:rsidR="00365DD0" w:rsidRDefault="00365DD0" w:rsidP="0086071C">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（二十五）纵深推进司法行政改革。</w:t>
      </w:r>
      <w:r>
        <w:rPr>
          <w:rFonts w:ascii="仿宋_GB2312" w:eastAsia="仿宋_GB2312" w:hAnsi="仿宋_GB2312" w:cs="仿宋_GB2312" w:hint="eastAsia"/>
          <w:sz w:val="32"/>
          <w:szCs w:val="32"/>
        </w:rPr>
        <w:t>落实上级司法行政改革任务，制定适合本区的改革方案，推进律师制度、公证制度、社区矫正等改革，严格落实责任，牢抓改革进度，确保各项改革任务落地生效。加强改革项目成效评估、经验总结和宣传推广，形成“崇明经验”。</w:t>
      </w:r>
    </w:p>
    <w:p w:rsidR="00365DD0" w:rsidRDefault="00365DD0" w:rsidP="0086071C">
      <w:pPr>
        <w:spacing w:line="560" w:lineRule="exact"/>
        <w:ind w:firstLineChars="200" w:firstLine="31680"/>
        <w:rPr>
          <w:rFonts w:ascii="仿宋_GB2312" w:eastAsia="仿宋_GB2312" w:hAnsi="仿宋_GB2312" w:cs="Times New Roman"/>
          <w:sz w:val="32"/>
          <w:szCs w:val="32"/>
        </w:rPr>
      </w:pPr>
      <w:r>
        <w:rPr>
          <w:rFonts w:ascii="楷体_GB2312" w:eastAsia="楷体_GB2312" w:cs="楷体_GB2312" w:hint="eastAsia"/>
          <w:sz w:val="32"/>
          <w:szCs w:val="32"/>
        </w:rPr>
        <w:t>（二十六）深入开展大调研工作。</w:t>
      </w:r>
      <w:r>
        <w:rPr>
          <w:rFonts w:ascii="仿宋_GB2312" w:eastAsia="仿宋_GB2312" w:hAnsi="仿宋_GB2312" w:cs="仿宋_GB2312" w:hint="eastAsia"/>
          <w:sz w:val="32"/>
          <w:szCs w:val="32"/>
        </w:rPr>
        <w:t>全面推进大调研工作，坚持需求导向、问题导向、效果导向，聚焦司法行政改革发展中遇到的难点、痛点、堵点，针对群众最盼、最急、最忧、最怨的问题，建立问题清单、措施清单、解决清单、制度清单，确保决策更加科学、工作更有实效。充分发挥专职联络员作用，及时宣传反映大调研工作动态、重要情况信息、调研发现的问题和典型案例、经验做法等。</w:t>
      </w:r>
    </w:p>
    <w:p w:rsidR="00365DD0" w:rsidRDefault="00365DD0" w:rsidP="0086071C">
      <w:pPr>
        <w:pStyle w:val="ListParagraph"/>
        <w:autoSpaceDE w:val="0"/>
        <w:autoSpaceDN w:val="0"/>
        <w:adjustRightInd w:val="0"/>
        <w:spacing w:line="560" w:lineRule="exact"/>
        <w:ind w:firstLine="31680"/>
        <w:rPr>
          <w:rFonts w:ascii="楷体_GB2312" w:eastAsia="楷体_GB2312" w:cs="Times New Roman"/>
          <w:sz w:val="32"/>
          <w:szCs w:val="32"/>
        </w:rPr>
      </w:pPr>
      <w:r>
        <w:rPr>
          <w:rFonts w:ascii="楷体_GB2312" w:eastAsia="楷体_GB2312" w:cs="楷体_GB2312" w:hint="eastAsia"/>
          <w:sz w:val="32"/>
          <w:szCs w:val="32"/>
        </w:rPr>
        <w:t>（二十七）进一步加快信息化项目建设。</w:t>
      </w:r>
      <w:r>
        <w:rPr>
          <w:rFonts w:ascii="仿宋_GB2312" w:eastAsia="仿宋_GB2312" w:hAnsi="仿宋_GB2312" w:cs="仿宋_GB2312" w:hint="eastAsia"/>
          <w:sz w:val="32"/>
          <w:szCs w:val="32"/>
        </w:rPr>
        <w:t>健全完善信息化项目工作机制，加强信息化项目建设过程管理。以市司法行政大数据平台建设为牵引，统筹推进公共法律服务体系建设信息化工作，视频及业务网二期，推动崇明区司法局指挥中心建设，提升信息化建设质效。</w:t>
      </w:r>
    </w:p>
    <w:p w:rsidR="00365DD0" w:rsidRDefault="00365DD0" w:rsidP="0086071C">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（二十八）严格落实年度考核工作。</w:t>
      </w:r>
      <w:r>
        <w:rPr>
          <w:rFonts w:ascii="仿宋_GB2312" w:eastAsia="仿宋_GB2312" w:hAnsi="仿宋_GB2312" w:cs="仿宋_GB2312" w:hint="eastAsia"/>
          <w:sz w:val="32"/>
          <w:szCs w:val="32"/>
        </w:rPr>
        <w:t>贯彻落实市局效能评估指标体系，完善本区司法行政年度考核体系。不断梳理问题、总结经验，科学制定本区司法行政工作效能评估手册，围绕党委政府满意、人民群众满意两个最重要的工作落脚点，充分发挥考核牵引的功能。</w:t>
      </w:r>
    </w:p>
    <w:p w:rsidR="00365DD0" w:rsidRDefault="00365DD0" w:rsidP="0086071C">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（二十九）新闻宣传工作。</w:t>
      </w:r>
      <w:r>
        <w:rPr>
          <w:rFonts w:ascii="仿宋_GB2312" w:eastAsia="仿宋_GB2312" w:hAnsi="仿宋_GB2312" w:cs="仿宋_GB2312" w:hint="eastAsia"/>
          <w:sz w:val="32"/>
          <w:szCs w:val="32"/>
        </w:rPr>
        <w:t>不断创新工作方式，有效借助媒体平台，正确把握宣传内容，通过“讲故事”、“典型案例”等方式，以点带面，全方位、多层次、立体式的新闻宣传工作，讲好崇明司法行政故事，发出崇明司法行政声音。</w:t>
      </w:r>
    </w:p>
    <w:p w:rsidR="00365DD0" w:rsidRDefault="00365DD0" w:rsidP="0086071C">
      <w:pPr>
        <w:spacing w:line="560" w:lineRule="exact"/>
        <w:ind w:firstLineChars="200" w:firstLine="31680"/>
        <w:rPr>
          <w:rFonts w:ascii="黑体" w:eastAsia="黑体" w:hAnsi="黑体" w:cs="Times New Roman"/>
          <w:sz w:val="32"/>
          <w:szCs w:val="32"/>
        </w:rPr>
      </w:pPr>
      <w:r>
        <w:rPr>
          <w:rFonts w:ascii="黑体" w:eastAsia="黑体" w:hAnsi="黑体" w:cs="黑体" w:hint="eastAsia"/>
          <w:sz w:val="32"/>
          <w:szCs w:val="32"/>
        </w:rPr>
        <w:t>六、聚焦全面从严治党新部署，全面加强司法行政党的建设和队伍建设</w:t>
      </w:r>
    </w:p>
    <w:p w:rsidR="00365DD0" w:rsidRDefault="00365DD0" w:rsidP="0086071C">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（三十）把政治建设摆在首位。</w:t>
      </w:r>
      <w:r>
        <w:rPr>
          <w:rFonts w:ascii="仿宋_GB2312" w:eastAsia="仿宋_GB2312" w:hAnsi="仿宋_GB2312" w:cs="仿宋_GB2312" w:hint="eastAsia"/>
          <w:sz w:val="32"/>
          <w:szCs w:val="32"/>
        </w:rPr>
        <w:t>学习贯彻党的十九大精神和习近平新时代中国特色社会主义思想，深入推进“两学一做”学习教育常态化制度化，与党组中心组学习、政治学习、“三会一课”以及干部在线学习相结合。以党的组织生活为基本形式，认真组织开展“不忘初心、牢记使命”主题教育，教育引导广大党员干部提高政治站位，强化“四个意识”，坚定理想信念。结合司法行政队伍实际和改革发展的迫切需要，着力培育和塑造新时代司法行政精神，努力在全系统树立起“想干事、能干事、会干事、干成事”的新风尚。</w:t>
      </w:r>
    </w:p>
    <w:p w:rsidR="00365DD0" w:rsidRDefault="00365DD0" w:rsidP="0086071C">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（三十一）做实党建工作。</w:t>
      </w:r>
      <w:r>
        <w:rPr>
          <w:rFonts w:ascii="仿宋_GB2312" w:eastAsia="仿宋_GB2312" w:hAnsi="仿宋_GB2312" w:cs="仿宋_GB2312" w:hint="eastAsia"/>
          <w:sz w:val="32"/>
          <w:szCs w:val="32"/>
        </w:rPr>
        <w:t>严格落实《关于进一步严格和规范党的组织生活的实施意见》、《进一步严格落实党建工作责任制的实施意见》等制度，推动全面从严治党，强化党内组织生活，定期开展“三会一课”、谈心谈话等工作，不断加强基层党组织功能建设。</w:t>
      </w:r>
    </w:p>
    <w:p w:rsidR="00365DD0" w:rsidRDefault="00365DD0" w:rsidP="0086071C">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（三十二）建设过硬干部队伍。</w:t>
      </w:r>
      <w:r>
        <w:rPr>
          <w:rFonts w:ascii="仿宋_GB2312" w:eastAsia="仿宋_GB2312" w:hAnsi="仿宋_GB2312" w:cs="仿宋_GB2312" w:hint="eastAsia"/>
          <w:sz w:val="32"/>
          <w:szCs w:val="32"/>
        </w:rPr>
        <w:t>提高青年干部综合业务素质和岗位履职能力，引导广大党员干部始终保持爱岗敬业、无私奉献的工作态度和激情</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对所承担的工作用真心、使真劲、有实绩、出实效。加强后备干部队伍建设，努力构建上下联动的梯次化培养大格局。建立科学的容错纠错机制，切实把优者上、平者让、庸者下、劣者汰的用人激励机制落实到位。</w:t>
      </w:r>
    </w:p>
    <w:p w:rsidR="00365DD0" w:rsidRDefault="00365DD0" w:rsidP="0086071C">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（三十三）实施人才战略。</w:t>
      </w:r>
      <w:r>
        <w:rPr>
          <w:rFonts w:ascii="仿宋_GB2312" w:eastAsia="仿宋_GB2312" w:hAnsi="仿宋_GB2312" w:cs="仿宋_GB2312" w:hint="eastAsia"/>
          <w:sz w:val="32"/>
          <w:szCs w:val="32"/>
        </w:rPr>
        <w:t>将数据化、信息化等手段贯穿青年干部培养全过程，继续强化司法行政青年干部三维立体培养机制。组织开展“无悔青春崇司</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筑梦生态崇明”青年干部主题教育活动，加强青年干部队伍文化建设；建立青年人才动态信息管理库，精准掌握青年干部动态需求，着力加强高层次法律服务人才的有效供给，努力培育一支专业化、精细化、品牌化的具有国际一流水准的法律服务队伍。</w:t>
      </w:r>
    </w:p>
    <w:p w:rsidR="00365DD0" w:rsidRDefault="00365DD0" w:rsidP="00BF1D3B">
      <w:pPr>
        <w:pStyle w:val="ListParagraph"/>
        <w:autoSpaceDE w:val="0"/>
        <w:autoSpaceDN w:val="0"/>
        <w:adjustRightInd w:val="0"/>
        <w:spacing w:line="560" w:lineRule="exact"/>
        <w:ind w:firstLine="31680"/>
        <w:rPr>
          <w:rFonts w:ascii="仿宋_GB2312" w:eastAsia="仿宋_GB2312" w:hAnsi="仿宋_GB2312" w:cs="Times New Roman"/>
          <w:sz w:val="32"/>
          <w:szCs w:val="32"/>
        </w:rPr>
      </w:pPr>
      <w:r>
        <w:rPr>
          <w:rFonts w:ascii="楷体_GB2312" w:eastAsia="楷体_GB2312" w:cs="楷体_GB2312" w:hint="eastAsia"/>
          <w:sz w:val="32"/>
          <w:szCs w:val="32"/>
        </w:rPr>
        <w:t>（三十四）持之以恒正风肃纪。</w:t>
      </w:r>
      <w:r>
        <w:rPr>
          <w:rFonts w:ascii="仿宋_GB2312" w:eastAsia="仿宋_GB2312" w:hAnsi="仿宋_GB2312" w:cs="仿宋_GB2312" w:hint="eastAsia"/>
          <w:sz w:val="32"/>
          <w:szCs w:val="32"/>
        </w:rPr>
        <w:t>对标中央、市委和区委有关全面从严治党的要求部署，强化落实党风廉政建设</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两个责任”，召开党风廉政建设大会，明确工作计划、厘清各级岗位责任，实现压力自上而下传导。加强重要岗位和关键环节的风险防控，不断健全纪检监察等全方位监督体系。持之以恒贯彻执行中央八项规定及其实施细则精神，严格执行各项纪律，努力营造风清气正的良好氛围。</w:t>
      </w:r>
    </w:p>
    <w:sectPr w:rsidR="00365DD0" w:rsidSect="00AC2466">
      <w:footerReference w:type="default" r:id="rId7"/>
      <w:pgSz w:w="11906" w:h="16838"/>
      <w:pgMar w:top="1440" w:right="1531"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DD0" w:rsidRDefault="00365DD0" w:rsidP="008B7C3A">
      <w:pPr>
        <w:rPr>
          <w:rFonts w:cs="Times New Roman"/>
        </w:rPr>
      </w:pPr>
      <w:r>
        <w:rPr>
          <w:rFonts w:cs="Times New Roman"/>
        </w:rPr>
        <w:separator/>
      </w:r>
    </w:p>
  </w:endnote>
  <w:endnote w:type="continuationSeparator" w:id="0">
    <w:p w:rsidR="00365DD0" w:rsidRDefault="00365DD0" w:rsidP="008B7C3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DD0" w:rsidRDefault="00365DD0">
    <w:pPr>
      <w:pStyle w:val="Footer"/>
      <w:jc w:val="center"/>
      <w:rPr>
        <w:rFonts w:cs="Times New Roman"/>
      </w:rPr>
    </w:pPr>
    <w:fldSimple w:instr=" PAGE   \* MERGEFORMAT ">
      <w:r w:rsidRPr="00DC4DF1">
        <w:rPr>
          <w:noProof/>
          <w:lang w:val="zh-CN"/>
        </w:rPr>
        <w:t>2</w:t>
      </w:r>
    </w:fldSimple>
  </w:p>
  <w:p w:rsidR="00365DD0" w:rsidRDefault="00365DD0">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DD0" w:rsidRDefault="00365DD0" w:rsidP="008B7C3A">
      <w:pPr>
        <w:rPr>
          <w:rFonts w:cs="Times New Roman"/>
        </w:rPr>
      </w:pPr>
      <w:r>
        <w:rPr>
          <w:rFonts w:cs="Times New Roman"/>
        </w:rPr>
        <w:separator/>
      </w:r>
    </w:p>
  </w:footnote>
  <w:footnote w:type="continuationSeparator" w:id="0">
    <w:p w:rsidR="00365DD0" w:rsidRDefault="00365DD0" w:rsidP="008B7C3A">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7599B"/>
    <w:multiLevelType w:val="multilevel"/>
    <w:tmpl w:val="51D7599B"/>
    <w:lvl w:ilvl="0">
      <w:start w:val="1"/>
      <w:numFmt w:val="japaneseCounting"/>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
    <w:nsid w:val="5A8F787E"/>
    <w:multiLevelType w:val="singleLevel"/>
    <w:tmpl w:val="5A8F787E"/>
    <w:lvl w:ilvl="0">
      <w:start w:val="2"/>
      <w:numFmt w:val="chineseCounting"/>
      <w:suff w:val="nothing"/>
      <w:lvlText w:val="%1、"/>
      <w:lvlJc w:val="left"/>
    </w:lvl>
  </w:abstractNum>
  <w:abstractNum w:abstractNumId="2">
    <w:nsid w:val="5A8F7A2A"/>
    <w:multiLevelType w:val="singleLevel"/>
    <w:tmpl w:val="5A8F7A2A"/>
    <w:lvl w:ilvl="0">
      <w:start w:val="5"/>
      <w:numFmt w:val="chineseCounting"/>
      <w:suff w:val="nothing"/>
      <w:lvlText w:val="%1、"/>
      <w:lvlJc w:val="left"/>
    </w:lvl>
  </w:abstractNum>
  <w:num w:numId="1">
    <w:abstractNumId w:val="0"/>
  </w:num>
  <w:num w:numId="2">
    <w:abstractNumId w:val="1"/>
    <w:lvlOverride w:ilvl="0">
      <w:startOverride w:val="2"/>
    </w:lvlOverride>
  </w:num>
  <w:num w:numId="3">
    <w:abstractNumId w:val="2"/>
    <w:lvlOverride w:ilvl="0">
      <w:startOverride w:val="5"/>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5E9E"/>
    <w:rsid w:val="00026457"/>
    <w:rsid w:val="00035E9E"/>
    <w:rsid w:val="00061FEB"/>
    <w:rsid w:val="00093330"/>
    <w:rsid w:val="000A0593"/>
    <w:rsid w:val="000A2E6A"/>
    <w:rsid w:val="000A76FF"/>
    <w:rsid w:val="000D16B9"/>
    <w:rsid w:val="000E1592"/>
    <w:rsid w:val="001040A2"/>
    <w:rsid w:val="00154FAB"/>
    <w:rsid w:val="00183221"/>
    <w:rsid w:val="00184834"/>
    <w:rsid w:val="00184A89"/>
    <w:rsid w:val="001B151E"/>
    <w:rsid w:val="001C1258"/>
    <w:rsid w:val="001C49DC"/>
    <w:rsid w:val="001D1AF4"/>
    <w:rsid w:val="001F28ED"/>
    <w:rsid w:val="001F42D4"/>
    <w:rsid w:val="0021285E"/>
    <w:rsid w:val="00215012"/>
    <w:rsid w:val="0023515B"/>
    <w:rsid w:val="00236D87"/>
    <w:rsid w:val="00265A9D"/>
    <w:rsid w:val="00287DD4"/>
    <w:rsid w:val="002B3724"/>
    <w:rsid w:val="002D03F0"/>
    <w:rsid w:val="002D3CB6"/>
    <w:rsid w:val="003306D4"/>
    <w:rsid w:val="00362C5C"/>
    <w:rsid w:val="00365DD0"/>
    <w:rsid w:val="00384461"/>
    <w:rsid w:val="003B45AB"/>
    <w:rsid w:val="003C4087"/>
    <w:rsid w:val="003D1C87"/>
    <w:rsid w:val="003E1AEC"/>
    <w:rsid w:val="003F4188"/>
    <w:rsid w:val="0040562E"/>
    <w:rsid w:val="0046707B"/>
    <w:rsid w:val="00470F93"/>
    <w:rsid w:val="00487C71"/>
    <w:rsid w:val="004C0683"/>
    <w:rsid w:val="004C6FF8"/>
    <w:rsid w:val="004D3761"/>
    <w:rsid w:val="004F7988"/>
    <w:rsid w:val="00500808"/>
    <w:rsid w:val="00507D9B"/>
    <w:rsid w:val="005307E2"/>
    <w:rsid w:val="00531E7D"/>
    <w:rsid w:val="00535996"/>
    <w:rsid w:val="00542A29"/>
    <w:rsid w:val="005973A1"/>
    <w:rsid w:val="005A5F19"/>
    <w:rsid w:val="005B3DC8"/>
    <w:rsid w:val="005E09AF"/>
    <w:rsid w:val="00620665"/>
    <w:rsid w:val="00623369"/>
    <w:rsid w:val="00632412"/>
    <w:rsid w:val="006343DB"/>
    <w:rsid w:val="00637BCB"/>
    <w:rsid w:val="006401CE"/>
    <w:rsid w:val="00673C9D"/>
    <w:rsid w:val="006747B7"/>
    <w:rsid w:val="00682CFD"/>
    <w:rsid w:val="0069750E"/>
    <w:rsid w:val="006C14A9"/>
    <w:rsid w:val="006E18D4"/>
    <w:rsid w:val="006E55CD"/>
    <w:rsid w:val="007219E4"/>
    <w:rsid w:val="00736179"/>
    <w:rsid w:val="00755148"/>
    <w:rsid w:val="007660A2"/>
    <w:rsid w:val="00786556"/>
    <w:rsid w:val="007A4B7C"/>
    <w:rsid w:val="007B5D27"/>
    <w:rsid w:val="007D12CF"/>
    <w:rsid w:val="007D5639"/>
    <w:rsid w:val="007D5EA9"/>
    <w:rsid w:val="008015A0"/>
    <w:rsid w:val="00805C3C"/>
    <w:rsid w:val="0080641B"/>
    <w:rsid w:val="008108BF"/>
    <w:rsid w:val="00822CB4"/>
    <w:rsid w:val="008350B8"/>
    <w:rsid w:val="008563C4"/>
    <w:rsid w:val="0085693A"/>
    <w:rsid w:val="0086071C"/>
    <w:rsid w:val="00875293"/>
    <w:rsid w:val="008845D1"/>
    <w:rsid w:val="00894387"/>
    <w:rsid w:val="008962AC"/>
    <w:rsid w:val="008B7C3A"/>
    <w:rsid w:val="008E0916"/>
    <w:rsid w:val="008E3851"/>
    <w:rsid w:val="008E7EF5"/>
    <w:rsid w:val="009074B7"/>
    <w:rsid w:val="00912015"/>
    <w:rsid w:val="00933DA8"/>
    <w:rsid w:val="00935546"/>
    <w:rsid w:val="00947771"/>
    <w:rsid w:val="009554E6"/>
    <w:rsid w:val="00992DC7"/>
    <w:rsid w:val="009B6EE2"/>
    <w:rsid w:val="009C3D20"/>
    <w:rsid w:val="009C5126"/>
    <w:rsid w:val="009D31E9"/>
    <w:rsid w:val="00A42340"/>
    <w:rsid w:val="00A76CD5"/>
    <w:rsid w:val="00AA0C69"/>
    <w:rsid w:val="00AB406A"/>
    <w:rsid w:val="00AB579D"/>
    <w:rsid w:val="00AC0519"/>
    <w:rsid w:val="00AC2466"/>
    <w:rsid w:val="00AD21AB"/>
    <w:rsid w:val="00B311F8"/>
    <w:rsid w:val="00B540DD"/>
    <w:rsid w:val="00B84F59"/>
    <w:rsid w:val="00B966A7"/>
    <w:rsid w:val="00BC45EF"/>
    <w:rsid w:val="00BC67E1"/>
    <w:rsid w:val="00BF1D3B"/>
    <w:rsid w:val="00C25AEF"/>
    <w:rsid w:val="00C34595"/>
    <w:rsid w:val="00C40F8B"/>
    <w:rsid w:val="00C52F42"/>
    <w:rsid w:val="00C97916"/>
    <w:rsid w:val="00CB5FBE"/>
    <w:rsid w:val="00D52DD0"/>
    <w:rsid w:val="00D55D2C"/>
    <w:rsid w:val="00D83E1E"/>
    <w:rsid w:val="00D86818"/>
    <w:rsid w:val="00DA27B0"/>
    <w:rsid w:val="00DC4DF1"/>
    <w:rsid w:val="00DD0E42"/>
    <w:rsid w:val="00DE233D"/>
    <w:rsid w:val="00DF5742"/>
    <w:rsid w:val="00E36821"/>
    <w:rsid w:val="00EA6731"/>
    <w:rsid w:val="00ED013A"/>
    <w:rsid w:val="00ED2F02"/>
    <w:rsid w:val="00ED5875"/>
    <w:rsid w:val="00F05F6C"/>
    <w:rsid w:val="00F24D80"/>
    <w:rsid w:val="00F30FEE"/>
    <w:rsid w:val="00F355FD"/>
    <w:rsid w:val="00F43E11"/>
    <w:rsid w:val="00F504DA"/>
    <w:rsid w:val="00F5295E"/>
    <w:rsid w:val="00F55E27"/>
    <w:rsid w:val="00F65711"/>
    <w:rsid w:val="00F76513"/>
    <w:rsid w:val="00F85D40"/>
    <w:rsid w:val="00F92A12"/>
    <w:rsid w:val="00F938D6"/>
    <w:rsid w:val="00FA277C"/>
    <w:rsid w:val="00FA75E2"/>
    <w:rsid w:val="00FE0513"/>
    <w:rsid w:val="32A11C27"/>
    <w:rsid w:val="45B00AC6"/>
    <w:rsid w:val="4ECE78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513"/>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E051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E0513"/>
    <w:rPr>
      <w:sz w:val="18"/>
      <w:szCs w:val="18"/>
    </w:rPr>
  </w:style>
  <w:style w:type="paragraph" w:styleId="Header">
    <w:name w:val="header"/>
    <w:basedOn w:val="Normal"/>
    <w:link w:val="HeaderChar"/>
    <w:uiPriority w:val="99"/>
    <w:rsid w:val="00FE051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E0513"/>
    <w:rPr>
      <w:sz w:val="18"/>
      <w:szCs w:val="18"/>
    </w:rPr>
  </w:style>
  <w:style w:type="paragraph" w:styleId="ListParagraph">
    <w:name w:val="List Paragraph"/>
    <w:basedOn w:val="Normal"/>
    <w:uiPriority w:val="99"/>
    <w:qFormat/>
    <w:rsid w:val="00FE051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11</Pages>
  <Words>964</Words>
  <Characters>5501</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2018年崇明区司法行政工作要点</dc:title>
  <dc:subject/>
  <dc:creator>管理员</dc:creator>
  <cp:keywords/>
  <dc:description/>
  <cp:lastModifiedBy>Lenovo User</cp:lastModifiedBy>
  <cp:revision>3</cp:revision>
  <cp:lastPrinted>2018-03-16T08:11:00Z</cp:lastPrinted>
  <dcterms:created xsi:type="dcterms:W3CDTF">2018-03-16T01:38:00Z</dcterms:created>
  <dcterms:modified xsi:type="dcterms:W3CDTF">2018-03-16T09:30:00Z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