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 w:bidi="ar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  <w:t>2022年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崇明区绿色防控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eastAsia="zh-CN"/>
        </w:rPr>
        <w:t>工作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随着农业</w:t>
      </w:r>
      <w:r>
        <w:rPr>
          <w:rFonts w:hint="eastAsia" w:ascii="仿宋_GB2312" w:hAnsi="仿宋_GB2312" w:eastAsia="仿宋_GB2312" w:cs="仿宋_GB2312"/>
          <w:sz w:val="32"/>
          <w:szCs w:val="32"/>
        </w:rPr>
        <w:t>现代化快速发展，上海设施菜田建设稳步推进，生产水平不断提升，蔬菜质量要求不断提高。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根据市乡村振兴任务要求、市农业农村委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每年下达任务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要求，</w:t>
      </w:r>
      <w:r>
        <w:rPr>
          <w:rFonts w:hint="eastAsia" w:ascii="仿宋_GB2312" w:hAnsi="仿宋_GB2312" w:eastAsia="仿宋_GB2312" w:cs="仿宋_GB2312"/>
          <w:sz w:val="32"/>
          <w:szCs w:val="32"/>
        </w:rPr>
        <w:t>为推广蔬菜生产绿色防控技术，持续有效预防控制病虫危害和减少化学农药的使用，提升农产品质量安全，特制定本实施方案。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一、指导思想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以保障蔬菜安全和有效供给为目标，以农业绿色发展为主线，以现代生态农业产业化为总抓手，依靠科技手段，推进蔬菜绿色防控技术体系，实现蔬菜产业的提质增效、绿色增收，促进可持续发展。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二、目标任务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构建以物理防治、理化诱控为主的绿色防控技术体系，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建设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2.6万亩</w:t>
      </w:r>
      <w:r>
        <w:rPr>
          <w:rFonts w:hint="eastAsia" w:ascii="仿宋_GB2312" w:hAnsi="仿宋_GB2312" w:eastAsia="仿宋_GB2312" w:cs="仿宋_GB2312"/>
          <w:sz w:val="32"/>
          <w:szCs w:val="32"/>
        </w:rPr>
        <w:t>蔬菜绿色防控集成示范基地，实现化学农药减量，确保地产蔬菜质量安全和生态环境安全。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三、实施范围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Times New Roman"/>
          <w:sz w:val="32"/>
          <w:szCs w:val="32"/>
        </w:rPr>
      </w:pPr>
      <w:r>
        <w:rPr>
          <w:rFonts w:ascii="仿宋_GB2312" w:hAnsi="仿宋_GB2312" w:eastAsia="仿宋_GB2312" w:cs="Times New Roman"/>
          <w:sz w:val="32"/>
          <w:szCs w:val="32"/>
        </w:rPr>
        <w:t>在</w:t>
      </w:r>
      <w:r>
        <w:rPr>
          <w:rFonts w:hint="eastAsia" w:ascii="仿宋_GB2312" w:hAnsi="仿宋_GB2312" w:eastAsia="仿宋_GB2312" w:cs="Times New Roman"/>
          <w:sz w:val="32"/>
          <w:szCs w:val="32"/>
          <w:lang w:eastAsia="zh-CN"/>
        </w:rPr>
        <w:t>生产良好</w:t>
      </w:r>
      <w:r>
        <w:rPr>
          <w:rFonts w:hint="eastAsia" w:ascii="仿宋_GB2312" w:hAnsi="仿宋_GB2312" w:eastAsia="仿宋_GB2312" w:cs="Times New Roman"/>
          <w:sz w:val="32"/>
          <w:szCs w:val="32"/>
        </w:rPr>
        <w:t>的蔬菜绿色生产基地</w:t>
      </w:r>
      <w:r>
        <w:rPr>
          <w:rFonts w:ascii="仿宋_GB2312" w:hAnsi="仿宋_GB2312" w:eastAsia="仿宋_GB2312" w:cs="Times New Roman"/>
          <w:sz w:val="32"/>
          <w:szCs w:val="32"/>
        </w:rPr>
        <w:t>中遴选</w:t>
      </w:r>
      <w:r>
        <w:rPr>
          <w:rFonts w:hint="eastAsia" w:ascii="仿宋_GB2312" w:hAnsi="仿宋_GB2312" w:eastAsia="仿宋_GB2312" w:cs="Times New Roman"/>
          <w:sz w:val="32"/>
          <w:szCs w:val="32"/>
        </w:rPr>
        <w:t>，</w:t>
      </w:r>
      <w:r>
        <w:rPr>
          <w:rFonts w:ascii="仿宋_GB2312" w:hAnsi="仿宋_GB2312" w:eastAsia="仿宋_GB2312" w:cs="Times New Roman"/>
          <w:sz w:val="32"/>
          <w:szCs w:val="32"/>
        </w:rPr>
        <w:t>上海市崇明蔬菜协会会员基地优先</w:t>
      </w:r>
      <w:r>
        <w:rPr>
          <w:rFonts w:hint="eastAsia" w:ascii="仿宋_GB2312" w:hAnsi="仿宋_GB2312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四、实施内容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333333"/>
          <w:spacing w:val="8"/>
          <w:sz w:val="32"/>
          <w:szCs w:val="32"/>
          <w:shd w:val="clear" w:color="auto" w:fill="FFFFFF"/>
          <w:lang w:eastAsia="zh-CN"/>
        </w:rPr>
        <w:t>（一）</w:t>
      </w:r>
      <w:r>
        <w:rPr>
          <w:rFonts w:hint="eastAsia" w:ascii="楷体_GB2312" w:hAnsi="楷体_GB2312" w:eastAsia="楷体_GB2312" w:cs="楷体_GB2312"/>
          <w:b w:val="0"/>
          <w:bCs w:val="0"/>
          <w:color w:val="333333"/>
          <w:spacing w:val="8"/>
          <w:sz w:val="32"/>
          <w:szCs w:val="32"/>
          <w:shd w:val="clear" w:color="auto" w:fill="FFFFFF"/>
        </w:rPr>
        <w:t>杀虫灯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利用害虫的趋光性，推广应用露地杀虫和大棚专用杀虫灯，诱杀甜菜夜蛾、斜纹夜蛾</w:t>
      </w:r>
      <w:r>
        <w:rPr>
          <w:rFonts w:hint="eastAsia" w:ascii="仿宋_GB2312" w:hAnsi="仿宋_GB2312" w:eastAsia="仿宋_GB2312" w:cs="仿宋_GB2312"/>
          <w:sz w:val="32"/>
          <w:szCs w:val="32"/>
        </w:rPr>
        <w:t>、小菜蛾、螟虫、金龟子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等趋光性害虫。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333333"/>
          <w:spacing w:val="8"/>
          <w:sz w:val="32"/>
          <w:szCs w:val="32"/>
          <w:shd w:val="clear" w:color="auto" w:fill="FFFFFF"/>
          <w:lang w:eastAsia="zh-CN"/>
        </w:rPr>
        <w:t>（二）</w:t>
      </w:r>
      <w:r>
        <w:rPr>
          <w:rFonts w:hint="eastAsia" w:ascii="楷体_GB2312" w:hAnsi="楷体_GB2312" w:eastAsia="楷体_GB2312" w:cs="楷体_GB2312"/>
          <w:b w:val="0"/>
          <w:bCs w:val="0"/>
          <w:color w:val="333333"/>
          <w:spacing w:val="8"/>
          <w:sz w:val="32"/>
          <w:szCs w:val="32"/>
          <w:shd w:val="clear" w:color="auto" w:fill="FFFFFF"/>
        </w:rPr>
        <w:t>色板诱杀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利用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害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虫的趋色性，采用全降解黄板和信息素全降解黄板，诱杀蚜虫、烟粉虱、蓟马、</w:t>
      </w:r>
      <w:r>
        <w:rPr>
          <w:rFonts w:hint="eastAsia" w:ascii="仿宋_GB2312" w:hAnsi="仿宋_GB2312" w:eastAsia="仿宋_GB2312" w:cs="仿宋_GB2312"/>
          <w:sz w:val="32"/>
          <w:szCs w:val="32"/>
        </w:rPr>
        <w:t>斑潜蝇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等小型蔬菜害虫。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333333"/>
          <w:spacing w:val="8"/>
          <w:sz w:val="32"/>
          <w:szCs w:val="32"/>
          <w:shd w:val="clear" w:color="auto" w:fill="FFFFFF"/>
          <w:lang w:eastAsia="zh-CN"/>
        </w:rPr>
        <w:t>（三）</w:t>
      </w:r>
      <w:r>
        <w:rPr>
          <w:rFonts w:hint="eastAsia" w:ascii="楷体_GB2312" w:hAnsi="楷体_GB2312" w:eastAsia="楷体_GB2312" w:cs="楷体_GB2312"/>
          <w:b w:val="0"/>
          <w:bCs w:val="0"/>
          <w:color w:val="333333"/>
          <w:spacing w:val="8"/>
          <w:sz w:val="32"/>
          <w:szCs w:val="32"/>
          <w:shd w:val="clear" w:color="auto" w:fill="FFFFFF"/>
        </w:rPr>
        <w:t>性息素诱集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利用昆虫对特殊气味（性息素）的趋性，采用夜蛾诱芯、黄曲条跳甲诱芯等诱杀甜菜夜蛾、斜纹夜蛾、黄曲条跳甲等害虫。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五、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eastAsia="zh-CN"/>
        </w:rPr>
        <w:t>采购方式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区农业农村委与区供销社签订委托合同，由区供销社组织采购。</w:t>
      </w:r>
      <w:r>
        <w:rPr>
          <w:rFonts w:hint="eastAsia" w:ascii="仿宋_GB2312" w:hAnsi="仿宋_GB2312" w:eastAsia="仿宋_GB2312" w:cs="仿宋_GB2312"/>
          <w:sz w:val="32"/>
          <w:szCs w:val="32"/>
        </w:rPr>
        <w:t>实施面积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2.6万亩</w:t>
      </w:r>
      <w:r>
        <w:rPr>
          <w:rFonts w:hint="eastAsia" w:ascii="仿宋_GB2312" w:hAnsi="仿宋_GB2312" w:eastAsia="仿宋_GB2312" w:cs="仿宋_GB2312"/>
          <w:sz w:val="32"/>
          <w:szCs w:val="32"/>
        </w:rPr>
        <w:t>，补贴标准300元/亩，补贴资金780万元。其中，区级以上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财政</w:t>
      </w:r>
      <w:r>
        <w:rPr>
          <w:rFonts w:hint="eastAsia" w:ascii="仿宋_GB2312" w:hAnsi="仿宋_GB2312" w:eastAsia="仿宋_GB2312" w:cs="仿宋_GB2312"/>
          <w:sz w:val="32"/>
          <w:szCs w:val="32"/>
        </w:rPr>
        <w:t>80%，镇级（园区）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财政</w:t>
      </w:r>
      <w:r>
        <w:rPr>
          <w:rFonts w:hint="eastAsia" w:ascii="仿宋_GB2312" w:hAnsi="仿宋_GB2312" w:eastAsia="仿宋_GB2312" w:cs="仿宋_GB2312"/>
          <w:sz w:val="32"/>
          <w:szCs w:val="32"/>
        </w:rPr>
        <w:t>20%。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区农业农村委按照“预拨+清算”的方式进行资金拨付，合同签订后按合同约定将合同资金的30%拨付至区供销社，采购事项完成后拨付至合同金额的70%，剩余30%部分按审计结果清算拨付。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ascii="黑体" w:hAnsi="黑体" w:eastAsia="黑体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333333"/>
          <w:spacing w:val="8"/>
          <w:sz w:val="32"/>
          <w:szCs w:val="32"/>
          <w:shd w:val="clear" w:color="auto" w:fill="FFFFFF"/>
        </w:rPr>
        <w:t>六、保障措施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hint="eastAsia"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（一）加强组织领导，落实资金保障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区农业农村委负责统筹协调工作，区农业技术部门提前做好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强化技术指导服务，把绿色防控技术各项工作落到实处。各乡镇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（园区）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及时掌握种植主体的生产需求，加强与区农业技术部门、区供销社沟通协作，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积极落实配套资金，确保各项工作有效落实。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区供销社切实发挥好供销系统资源优势，提升农资供应的管控和服务能力，确保供应及时、有效。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（二）完善技术指导，确保推广效果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成立由区技术部门、乡镇（园区）、生产企业等单位参加的工作组和技术专家组，加强技术指导和服务，结合当地实际，针对各项绿色防控技术，开展技术应用、示范、培训、指导、绩效评价等工作，提高绿色防控应用的效果、效率和效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  <w:lang w:eastAsia="zh-CN"/>
        </w:rPr>
        <w:t>（三）</w:t>
      </w: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做好现场抽查，加强验收考核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区农业农村委和区技术部门对乡镇（园区）开展验收工作， 并抽取一定比例进行现场核查，确保绿色防控技术推广工作有效落实。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（四）严格档案记录，加强档案管理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各实施基地在推广应用过程中及时、精准做好绿色防控专用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台账的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数据录入，并加强原始数据档案记录，特别是记录台账要做到基地全覆盖，所有档案确保真实、完整。</w:t>
      </w:r>
      <w:r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  <w:t>要建立严格的项目资金管理制度，严格执行相关财政纪律，确保专款专用。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Times New Roman"/>
          <w:color w:val="000000"/>
          <w:sz w:val="32"/>
          <w:szCs w:val="32"/>
        </w:rPr>
        <w:t>附</w:t>
      </w:r>
      <w:r>
        <w:rPr>
          <w:rFonts w:hint="eastAsia" w:ascii="仿宋_GB2312" w:hAnsi="仿宋_GB2312" w:eastAsia="仿宋_GB2312" w:cs="Times New Roman"/>
          <w:color w:val="000000"/>
          <w:sz w:val="32"/>
          <w:szCs w:val="32"/>
          <w:lang w:eastAsia="zh-CN"/>
        </w:rPr>
        <w:t>件</w:t>
      </w:r>
      <w:r>
        <w:rPr>
          <w:rFonts w:hint="eastAsia" w:ascii="仿宋_GB2312" w:hAnsi="仿宋_GB2312" w:eastAsia="仿宋_GB2312" w:cs="Times New Roman"/>
          <w:color w:val="000000"/>
          <w:sz w:val="32"/>
          <w:szCs w:val="32"/>
        </w:rPr>
        <w:t>：2022年绿色防控技术推广应用明细表</w:t>
      </w:r>
    </w:p>
    <w:p>
      <w:pPr>
        <w:pStyle w:val="2"/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</w:p>
    <w:p>
      <w:pPr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</w:p>
    <w:p>
      <w:pPr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Times New Roman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pgSz w:w="11906" w:h="16838"/>
          <w:pgMar w:top="2098" w:right="1474" w:bottom="1984" w:left="1588" w:header="851" w:footer="124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</w:p>
    <w:p>
      <w:pPr>
        <w:pStyle w:val="2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outlineLvl w:val="9"/>
        <w:rPr>
          <w:rFonts w:hint="eastAsia" w:ascii="方正大标宋简体" w:hAnsi="方正大标宋简体" w:eastAsia="方正大标宋简体" w:cs="方正大标宋简体"/>
          <w:color w:val="000000"/>
          <w:sz w:val="32"/>
          <w:szCs w:val="32"/>
        </w:rPr>
      </w:pPr>
      <w:r>
        <w:rPr>
          <w:rFonts w:hint="eastAsia" w:ascii="方正大标宋简体" w:hAnsi="方正大标宋简体" w:eastAsia="方正大标宋简体" w:cs="方正大标宋简体"/>
          <w:color w:val="000000"/>
          <w:sz w:val="32"/>
          <w:szCs w:val="32"/>
        </w:rPr>
        <w:t>附件</w:t>
      </w:r>
    </w:p>
    <w:p>
      <w:pPr>
        <w:jc w:val="center"/>
        <w:rPr>
          <w:rFonts w:hint="eastAsia" w:ascii="黑体" w:hAnsi="黑体" w:eastAsia="黑体" w:cs="黑体"/>
          <w:color w:val="00000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2022年绿色防控技术推广应用明细表</w:t>
      </w:r>
    </w:p>
    <w:tbl>
      <w:tblPr>
        <w:tblStyle w:val="4"/>
        <w:tblW w:w="1427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771"/>
        <w:gridCol w:w="848"/>
        <w:gridCol w:w="712"/>
        <w:gridCol w:w="675"/>
        <w:gridCol w:w="695"/>
        <w:gridCol w:w="723"/>
        <w:gridCol w:w="714"/>
        <w:gridCol w:w="706"/>
        <w:gridCol w:w="735"/>
        <w:gridCol w:w="747"/>
        <w:gridCol w:w="669"/>
        <w:gridCol w:w="669"/>
        <w:gridCol w:w="669"/>
        <w:gridCol w:w="669"/>
        <w:gridCol w:w="658"/>
        <w:gridCol w:w="706"/>
        <w:gridCol w:w="712"/>
        <w:gridCol w:w="765"/>
        <w:gridCol w:w="78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4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771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2"/>
              </w:rPr>
              <w:t>乡镇</w:t>
            </w:r>
          </w:p>
        </w:tc>
        <w:tc>
          <w:tcPr>
            <w:tcW w:w="848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资金小计（元）</w:t>
            </w:r>
          </w:p>
        </w:tc>
        <w:tc>
          <w:tcPr>
            <w:tcW w:w="3519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灯诱</w:t>
            </w:r>
          </w:p>
        </w:tc>
        <w:tc>
          <w:tcPr>
            <w:tcW w:w="4195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性诱</w:t>
            </w:r>
          </w:p>
        </w:tc>
        <w:tc>
          <w:tcPr>
            <w:tcW w:w="4296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色诱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64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77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48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87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露天杀虫灯</w:t>
            </w:r>
          </w:p>
        </w:tc>
        <w:tc>
          <w:tcPr>
            <w:tcW w:w="141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大棚杀虫灯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灯管</w:t>
            </w:r>
          </w:p>
        </w:tc>
        <w:tc>
          <w:tcPr>
            <w:tcW w:w="144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夜蛾诱芯</w:t>
            </w:r>
          </w:p>
        </w:tc>
        <w:tc>
          <w:tcPr>
            <w:tcW w:w="14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跳甲诱芯</w:t>
            </w:r>
          </w:p>
        </w:tc>
        <w:tc>
          <w:tcPr>
            <w:tcW w:w="133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夜蛾诱捕器</w:t>
            </w:r>
          </w:p>
        </w:tc>
        <w:tc>
          <w:tcPr>
            <w:tcW w:w="1327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色板支架</w:t>
            </w:r>
          </w:p>
        </w:tc>
        <w:tc>
          <w:tcPr>
            <w:tcW w:w="141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全降解诱虫板</w:t>
            </w:r>
          </w:p>
        </w:tc>
        <w:tc>
          <w:tcPr>
            <w:tcW w:w="155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6"/>
                <w:szCs w:val="16"/>
              </w:rPr>
              <w:t>信息素覆膜诱虫板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4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77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48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6"/>
                <w:szCs w:val="16"/>
              </w:rPr>
              <w:t>数量</w:t>
            </w: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（套）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资金(元)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数量</w:t>
            </w: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（套）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资金(元)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资金</w:t>
            </w: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(元)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数量</w:t>
            </w: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（套）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资金(元)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数量</w:t>
            </w: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（套）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资金(元)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数量</w:t>
            </w: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（套）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资金(元)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数量</w:t>
            </w: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（套）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资金(元)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数量</w:t>
            </w: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（套）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资金(元)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数量</w:t>
            </w: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18"/>
                <w:szCs w:val="18"/>
              </w:rPr>
              <w:t>（套）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000000"/>
                <w:kern w:val="0"/>
                <w:sz w:val="20"/>
                <w:szCs w:val="20"/>
              </w:rPr>
              <w:t>资金(元)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1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长兴镇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744333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110000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206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350200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17333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54000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44000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16800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12000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70000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2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新村乡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71419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2849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450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8100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17600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90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2520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1200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3600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4500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15750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21000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3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绿华镇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69580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55000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1680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10500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4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三星镇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530116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12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66000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203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345100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8096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1200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21600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17600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6720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9000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28000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28000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5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庙  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334794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55000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65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110500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7434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1350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24300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44000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270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7560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9000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35000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12000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42000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6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港西镇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691109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12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66000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180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306000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18469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43200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66000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480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13440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70000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84000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7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城桥镇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119434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44000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3444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900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16200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11000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5040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4500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15750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21000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8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建设镇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577368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150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255000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15358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3600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64800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52800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720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20160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13500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47250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28000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98000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9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新河镇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593298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38500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150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255000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8968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3300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59400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16000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35200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660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18480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21500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75250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25000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87500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10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竖新镇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666722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55000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170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289000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15342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3300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59400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25000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55000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660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18480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17000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59500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26000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91000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11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堡  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544554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110000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132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224400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12554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27000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16000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35200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8400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14000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49000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63000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12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港沿镇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1045214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50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275000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230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391000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22754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3600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64800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66000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720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20160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9000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27000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23000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80500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28000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98000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13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向化镇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876694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78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429000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85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144500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23314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3300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59400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44000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660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18480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63000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22000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77000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14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中兴镇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720446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82500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110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187000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55536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3600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64800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40000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88000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720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20160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24000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28700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100450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28000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98000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15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陈家镇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158884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55000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51000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4954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5400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8800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60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1680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3300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11550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5000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17500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16*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东平镇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4032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4032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17*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5"/>
                <w:szCs w:val="15"/>
              </w:rPr>
              <w:t>园  区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31964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29084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160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2880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　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15"/>
                <w:szCs w:val="15"/>
              </w:rPr>
            </w:pPr>
            <w:r>
              <w:rPr>
                <w:rFonts w:hint="eastAsia" w:ascii="仿宋_GB2312" w:eastAsia="仿宋_GB2312"/>
                <w:color w:val="000000"/>
                <w:sz w:val="15"/>
                <w:szCs w:val="15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  <w:jc w:val="center"/>
        </w:trPr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</w:rPr>
              <w:t>小 计</w:t>
            </w:r>
          </w:p>
        </w:tc>
        <w:tc>
          <w:tcPr>
            <w:tcW w:w="8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7779961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262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1441000</w:t>
            </w:r>
          </w:p>
        </w:tc>
        <w:tc>
          <w:tcPr>
            <w:tcW w:w="6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1711</w:t>
            </w:r>
          </w:p>
        </w:tc>
        <w:tc>
          <w:tcPr>
            <w:tcW w:w="7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2908700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251201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31960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575280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266000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585200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6360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178080</w:t>
            </w:r>
          </w:p>
        </w:tc>
        <w:tc>
          <w:tcPr>
            <w:tcW w:w="66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71000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213000</w:t>
            </w:r>
          </w:p>
        </w:tc>
        <w:tc>
          <w:tcPr>
            <w:tcW w:w="7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209000</w:t>
            </w:r>
          </w:p>
        </w:tc>
        <w:tc>
          <w:tcPr>
            <w:tcW w:w="7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731500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256000</w:t>
            </w:r>
          </w:p>
        </w:tc>
        <w:tc>
          <w:tcPr>
            <w:tcW w:w="7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sz w:val="13"/>
                <w:szCs w:val="13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13"/>
                <w:szCs w:val="13"/>
              </w:rPr>
              <w:t>896000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</w:rPr>
        <w:sectPr>
          <w:pgSz w:w="16838" w:h="11906" w:orient="landscape"/>
          <w:pgMar w:top="1587" w:right="2098" w:bottom="1474" w:left="1984" w:header="851" w:footer="124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0" w:num="1"/>
          <w:rtlGutter w:val="0"/>
          <w:docGrid w:type="lines" w:linePitch="315" w:charSpace="0"/>
        </w:sectPr>
      </w:pPr>
    </w:p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639632"/>
    </w:sdtPr>
    <w:sdtContent>
      <w:p>
        <w:pPr>
          <w:pStyle w:val="2"/>
          <w:ind w:firstLine="180" w:firstLineChars="100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rPr>
        <w:rFonts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BjNmE5YjU5ZDU0OTE5YTU5OGJiNzg3ZWY0NzcifQ=="/>
  </w:docVars>
  <w:rsids>
    <w:rsidRoot w:val="4688288C"/>
    <w:rsid w:val="4688288C"/>
    <w:rsid w:val="7C6A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2022-10-26T09:29:00Z</dcterms:created>
  <dc:creator>Adobe.Lu</dc:creator>
  <cp:lastModifiedBy>Adobe.Lu</cp:lastModifiedBy>
  <dcterms:modified xsi:type="dcterms:W3CDTF">2022-10-26T09:29:44Z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FF8EB3D578934DE1832A28C0B508AEFB</vt:lpwstr>
  </property>
</Properties>
</file>