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</w:rPr>
        <w:t>新村乡20</w:t>
      </w:r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t>21</w:t>
      </w:r>
      <w:r>
        <w:rPr>
          <w:rFonts w:hint="eastAsia" w:ascii="黑体" w:hAnsi="黑体" w:eastAsia="黑体" w:cs="黑体"/>
          <w:b w:val="0"/>
          <w:bCs/>
          <w:sz w:val="36"/>
          <w:szCs w:val="36"/>
        </w:rPr>
        <w:t>年度财政收支决算报告（草案）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</w:rPr>
        <w:t>及202</w:t>
      </w:r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t>2</w:t>
      </w:r>
      <w:r>
        <w:rPr>
          <w:rFonts w:hint="eastAsia" w:ascii="黑体" w:hAnsi="黑体" w:eastAsia="黑体" w:cs="黑体"/>
          <w:b w:val="0"/>
          <w:bCs/>
          <w:sz w:val="36"/>
          <w:szCs w:val="36"/>
        </w:rPr>
        <w:t>年上半年财政预算执行情况的报告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ascii="黑体" w:hAnsi="黑体" w:eastAsia="黑体" w:cs="黑体"/>
          <w:bCs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</w:rPr>
        <w:t>一、</w:t>
      </w: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2021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年财政决算情况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2021年，全乡上下在区委、区政府和乡党委、政府的坚强领导下，紧紧围绕“美丽新村，幸福小镇”建设目标，认准建设稻米文化小镇的工作思路，牢牢把握稳中求进的工作原则，坚持创新驱动，切实履行财政保障和服务职能，顺利完成年度财政收支任务，为全乡经济和社会事业的持续健康发展提供了坚实保障。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年财政决算情况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2021年，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新村乡本级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财政一般公共预算收入29400万元，完成预算的100%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；本级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财政一般公共预算支出29400万元，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完成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预算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30" w:firstLineChars="196"/>
        <w:jc w:val="both"/>
        <w:textAlignment w:val="auto"/>
        <w:rPr>
          <w:rFonts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（一）本级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财政一般公共预算收入执行情况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2021年，乡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级财政一般公共预算收入29400万元，主要完成情况如下：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（1）区拨托底保障资金1550万元；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（2）乡镇体制分成收入27850万元。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30" w:firstLineChars="196"/>
        <w:jc w:val="both"/>
        <w:textAlignment w:val="auto"/>
        <w:rPr>
          <w:rFonts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（二）本级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财政一般公共预算支出执行情况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级财政一般公共预算支出29400万元，主要执行情况如下：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一般公共服务支出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3061.64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万元，完成预算的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教育支出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26.2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万元，完成预算的100%。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科学技术支出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3002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万元，完成预算的100%。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文化与传媒支出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141.66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万元，完成预算的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</w:t>
      </w:r>
      <w:bookmarkStart w:id="0" w:name="OLE_LINK1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社会保障和就业支出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8381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万元，完成预算的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医疗卫生支出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230.47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万元，完成预算的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环境保护支出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3825.40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万元，完成预算的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城乡社区事务支出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2480.45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完成预算的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农林水事务支出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539.24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万元，完成预算的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交通运输业支出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1600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万元，完成预算的100%。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资源勘探电力信息等事务支出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3600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万元，完成预算的100%。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商业服务等支出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万元，完成预算的100%。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13、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住房保障支出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511.94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万元，完成预算的100%。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Cs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</w:rPr>
        <w:t>二、2022年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上半年财政预算执行情况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上半年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，我乡的财政工作在乡党委的正确领导下，紧紧围绕年初人代会确定的全乡经济社会发展目标，统筹推进稳增长、促改革、调结构、惠民生、防风险，经济社会持续稳步发展，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现将202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上半年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财政预算执行情况汇报如下：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（一）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202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年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上半年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财政预算收入执行情况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新村乡本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级财政一般公共预算收入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43500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，上半年实现预算收入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19258.21万元，完成预算的44.27%。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30" w:firstLineChars="196"/>
        <w:jc w:val="both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（二）新村乡本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级财政一般公共预算支出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43500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，上半年支出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25707.70万元，完成预算的59.10%。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一般公共服务支出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8457.87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万元，占财政支出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19.44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上半年支出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6043.25万元，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完成预算的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71.45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主要用于安排行政机关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日常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运转经费支出，党代会、人代会、组织、纪检、宣传、武装、工会、团委、妇联、统战、档案、机要保密、国家安全、党员教育、平安维稳、禁毒、法制宣讲、人民调解、安全生产、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安全消防、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质量技术管理、财政、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农经事务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服务等事务支出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商会及结对帮扶、精神文明建设、四级文明同创、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社会治理、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预算项目绩效评估及跟踪、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一体化系统运行维护、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占用集体土地补偿、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对村级组织的补助、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三峡移民安置、农用地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土地流转、各类统计调查经费、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特种设备工作经费、志愿者活动经费、乡村两级党群服务中心和三益邻党群服务点日常维护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经费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教育支出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32.3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万元，占财政支出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0.07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上半年支出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17.69万元，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完成预算的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54.77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主要用于安排教育青保工作经费、幼教等代课老师社保、假日学校、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庭院学堂、社区教育活动经费、普通话推广、少年宫活动、幼儿园及小学师生的日常关爱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等工作经费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科学技术支出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3173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万元，占财政支出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7.29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。上半年支出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3001.5万元，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完成预算的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94.6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主要用于安排科技创新引导资金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（注册企业扶持款）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、科普、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乡区域内实体企业服务质量管理与扶持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经费支出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文化与传媒支出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万元，占财政支出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0.47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上半年支出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58.33万元，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完成预算的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28.45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主要用于安排文化团队建设和巡演、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开展各类的文体活动、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社区文化活动中心日常运行、村级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有线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广播维修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、传媒设备材料等的购置、组织开展稻米文化小镇系列活动及稻米文化小镇推进工作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经费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社会保障和就业支出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8568.3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万元，占财政支出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19.70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上半年支出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5633.20万元，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完成预算的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65.74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主要用于安排社区事务受理中心事业经费、行政事业退休人员活动经费、机关事业单位人员养老金及职业年金、生态养护社协管经费、双拥专项经费、烈军属、复员、退伍人员等补助、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退役军人服务站、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农村养老保险补贴、敬老院人员补差、残疾人事业、农村低保、60岁以上老年农民养老金生活补助、老村干部补贴、稳定就业岗位社保补贴及其他社会临时救济补助、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宜居社区建设（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为老助餐点、为老综合服务中心、长者之家、老龄工作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、睦邻点）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、村监委工作经费、癌症康复协会经费、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三阳机构建设、三车置换、精神病医疗救助、慈善项目、粮油帮困、红十字会日常工作经费、博爱家园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、促进就业奖励资金等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经费支出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shd w:val="clear" w:color="FFFFFF" w:fill="D9D9D9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（6）医疗卫生支出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290.18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万元，占财政支出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0.67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上半年支出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149.53万元，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完成预算的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51.53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主要用于安排机关事业单位在职人员缴纳医疗保险、人口和计划生育（计生政策宣传培训、对村独生子女奖励、0-3岁早教、免费孕检、关爱失独家庭、流动人口和外来人口综合服务等）、乡村医生人员经费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及村卫生室改造、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食品安全（家庭办酒保险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、餐饮服务食品安全责任险、食品药品安全宣传培训及科普站建设、食安综合整治等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）、爱国卫生、巩卫、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病媒体生物防治、智慧健康小屋日常运行维护等经费支出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（7）环境保护支出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5710.89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元，占财政支出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13.13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上半年支出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4702.70万元，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完成预算的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82.35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用于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安排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生态保护和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市容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环境事务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事业支出、乡级区域内绿化养护、集镇菜场等公共设施的维护维修、垃圾分类工作经费、环卫车辆和巡逻车辆的日常运行维护、乡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区域的环境整治、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镇区保洁、公益林养护及土地流转费、廊道土地流转、新卫村步道建设、再生资源站修缮及装修、新洲村美丽街区建设、界河白港等街心花园改造、森林消防、木质桥廊维护保养、一枝黄花整治、正大畜禽规划整治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节能减排专项资金等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经费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（8）城乡社区事务支出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2978.02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万元，占财政支出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6.85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上半年支出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600.73万元，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完成预算的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19.90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主要用于安排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城建中心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城运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中心、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综合行政执法队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的事业支出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道路桥梁综合维护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和大中修项目乡镇配套资金、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集中居住工作经费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及农民相对集中居住规划设计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、镇区公房管理、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农村公路管理站日常运行、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联合整治工作经费、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城运中心房屋装修及搬迁工程、网格管理平台应用程序开发、一网统管电费、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城管执法车辆的日常运行维护费、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执法、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城管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拆违、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市政道路和管道维修维护、星村公路两侧太阳能路灯养护、白新公路太阳能路灯安装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家庭农场、新村优质稻米生产加工标准化项目、外圩土地整治、片区规划、高标准农田建设（综开项目）、市级美丽乡村创建、稻米文化中心建设、新洲村商业街改造工程、新卫村村委会屋顶修缮及外围配套建设、乡村设计师房屋安全监管、稻米三期室内外装饰工程、新村西部片区风貌提升、崇明区乡镇国土空间规划编制、各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工程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审价等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经费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（9）农林水事务支出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1500.59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万元，占财政支出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3.45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上半年支出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413.04万元，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完成预算的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27.53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主要用于安排农业技术服务中心、水务所等事业支出、市区镇村河道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市场化养护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、河长制办公经费、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河道专项整治、防汛防台、防灾减灾、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2009-2012年污水站点运行维护、2017-2018年农村生活污水工程、中心横河支河口防护工程、横三河开挖工程、乡域内河道绿化提升、新中村新国村清洁小流域前期清障、污水检测、尾水治理、新村乡田园综合体水系整治项目、新卫村23号24号泯沟抢修、农产品网格化监管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农产品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食品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安全管理、动物防疫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检疫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、农药种子运输、二麦水稻保险、病虫害监测、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水稻缓释肥、农林废弃物、蔬菜绿色防控、麋鹿苑日常运行、中心道路机耕路与渠道之间缝隙填土、乡域内渠道维修维护、样板稻田放水口改造、五彩稻田机耕下坡路建造及周边绿化美化提升、田园水系整治项目前期费用、土壤检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经费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/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（10）交通运输业支出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万元，占财政支出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4.60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。上半年支出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1582.60万元，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完成预算的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79.13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用于安排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现代服务业引导资金支出。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（11）资源勘探电力信息等事务支出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8100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万元，占财政支出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18.62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。上半年支出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3311.97万元，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完成预算的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40.89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用于安排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招商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小区、区级平台的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工作经费和自主品牌建设奖励资金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（12）商业服务等支出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万元，占财政支出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4.60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。上半年支出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完成预算的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用于安排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现代服务业引导奖励资金支出。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）援助其他地区支出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70万元，占财政支出的0.16%。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上半年支出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完成预算的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2.86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主要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用于安排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云南结对帮扶支出。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）住房保障支出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413.85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万元，占财政支出的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0.95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%。上半年支出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191.16万元，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完成预算的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46.19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%。主要用于安排机关事业单位人员（单位负担部分）的住房公积金，公务员的单位负担部分的补充公积金、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房改补贴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、月度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住房补贴等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年上半年财政预算执行，收支相抵结余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-6449.49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年下半年，我们将在乡党委领导下、在乡人大监督下，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大力加强和区财政局的业务沟通，力争项目资金及时到位，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确保乡镇财政资金的正常运行。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坚持依法理财、统筹兼顾和增收节支的原则，加大财政科学化、精细化管理，提高财政资金使用效益，着力保障和改善民生，为推动我乡经济社会发展作出新的贡献。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outlineLvl w:val="9"/>
        <w:rPr>
          <w:rFonts w:hint="eastAsia" w:ascii="宋体" w:hAnsi="宋体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以上报告，请予审议。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20" w:firstLineChars="200"/>
        <w:jc w:val="both"/>
        <w:textAlignment w:val="auto"/>
        <w:rPr>
          <w:color w:val="auto"/>
        </w:rPr>
      </w:pPr>
      <w:bookmarkStart w:id="1" w:name="_GoBack"/>
      <w:bookmarkEnd w:id="1"/>
    </w:p>
    <w:sectPr>
      <w:footerReference r:id="rId3" w:type="default"/>
      <w:pgSz w:w="11906" w:h="16838"/>
      <w:pgMar w:top="2098" w:right="1474" w:bottom="1984" w:left="1587" w:header="851" w:footer="141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Ps5vj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9196F"/>
    <w:multiLevelType w:val="singleLevel"/>
    <w:tmpl w:val="3A09196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7B5"/>
    <w:rsid w:val="000E4E1B"/>
    <w:rsid w:val="00184B39"/>
    <w:rsid w:val="00196846"/>
    <w:rsid w:val="001A124D"/>
    <w:rsid w:val="001D4005"/>
    <w:rsid w:val="00223D6E"/>
    <w:rsid w:val="0024185F"/>
    <w:rsid w:val="00255E96"/>
    <w:rsid w:val="0026357E"/>
    <w:rsid w:val="0027487F"/>
    <w:rsid w:val="002C6F42"/>
    <w:rsid w:val="002D2FE1"/>
    <w:rsid w:val="00322FD5"/>
    <w:rsid w:val="003342C2"/>
    <w:rsid w:val="003511AA"/>
    <w:rsid w:val="00352B8A"/>
    <w:rsid w:val="00382AF4"/>
    <w:rsid w:val="003C0FD2"/>
    <w:rsid w:val="00447EF8"/>
    <w:rsid w:val="004507B5"/>
    <w:rsid w:val="00487F50"/>
    <w:rsid w:val="00507480"/>
    <w:rsid w:val="00523DB6"/>
    <w:rsid w:val="0052689C"/>
    <w:rsid w:val="00555B7B"/>
    <w:rsid w:val="00557EAA"/>
    <w:rsid w:val="00571F80"/>
    <w:rsid w:val="00582129"/>
    <w:rsid w:val="00587E5C"/>
    <w:rsid w:val="005A425E"/>
    <w:rsid w:val="005E3C37"/>
    <w:rsid w:val="00606854"/>
    <w:rsid w:val="00624750"/>
    <w:rsid w:val="00651DB8"/>
    <w:rsid w:val="0065287D"/>
    <w:rsid w:val="006572AB"/>
    <w:rsid w:val="00665549"/>
    <w:rsid w:val="006766A0"/>
    <w:rsid w:val="00692B7F"/>
    <w:rsid w:val="006C4898"/>
    <w:rsid w:val="007968FE"/>
    <w:rsid w:val="007A37B9"/>
    <w:rsid w:val="007D4D16"/>
    <w:rsid w:val="007F50A3"/>
    <w:rsid w:val="00835617"/>
    <w:rsid w:val="00836CC4"/>
    <w:rsid w:val="00842AC0"/>
    <w:rsid w:val="008638DC"/>
    <w:rsid w:val="00876A7F"/>
    <w:rsid w:val="008F0572"/>
    <w:rsid w:val="00912C94"/>
    <w:rsid w:val="009B2324"/>
    <w:rsid w:val="009F7DD7"/>
    <w:rsid w:val="00A01A6F"/>
    <w:rsid w:val="00A85E1C"/>
    <w:rsid w:val="00A93DBE"/>
    <w:rsid w:val="00AA65AE"/>
    <w:rsid w:val="00B22CCD"/>
    <w:rsid w:val="00B33339"/>
    <w:rsid w:val="00B65922"/>
    <w:rsid w:val="00BF43C3"/>
    <w:rsid w:val="00C172A9"/>
    <w:rsid w:val="00C3600A"/>
    <w:rsid w:val="00CC6896"/>
    <w:rsid w:val="00CE0531"/>
    <w:rsid w:val="00D41641"/>
    <w:rsid w:val="00D76913"/>
    <w:rsid w:val="00DC55FA"/>
    <w:rsid w:val="00DD7535"/>
    <w:rsid w:val="00E37A8E"/>
    <w:rsid w:val="00E4583B"/>
    <w:rsid w:val="00E56906"/>
    <w:rsid w:val="00E62A61"/>
    <w:rsid w:val="00E875BD"/>
    <w:rsid w:val="00E955CE"/>
    <w:rsid w:val="00ED1F91"/>
    <w:rsid w:val="00F20DB0"/>
    <w:rsid w:val="00F608F7"/>
    <w:rsid w:val="00F7116A"/>
    <w:rsid w:val="00F76170"/>
    <w:rsid w:val="00F814F7"/>
    <w:rsid w:val="01302DAB"/>
    <w:rsid w:val="02492CC1"/>
    <w:rsid w:val="027B1B39"/>
    <w:rsid w:val="03037215"/>
    <w:rsid w:val="035907AE"/>
    <w:rsid w:val="03CE07A3"/>
    <w:rsid w:val="03FE2D8D"/>
    <w:rsid w:val="0459115E"/>
    <w:rsid w:val="05157864"/>
    <w:rsid w:val="05E03D2C"/>
    <w:rsid w:val="05F95678"/>
    <w:rsid w:val="06C71A61"/>
    <w:rsid w:val="06F9763C"/>
    <w:rsid w:val="0767252D"/>
    <w:rsid w:val="077121C0"/>
    <w:rsid w:val="07B53FAB"/>
    <w:rsid w:val="080E6346"/>
    <w:rsid w:val="08232893"/>
    <w:rsid w:val="0843493C"/>
    <w:rsid w:val="08F41E07"/>
    <w:rsid w:val="08FB3342"/>
    <w:rsid w:val="094B55FE"/>
    <w:rsid w:val="096E7B5A"/>
    <w:rsid w:val="09C90DC4"/>
    <w:rsid w:val="09F158B0"/>
    <w:rsid w:val="0A4270EC"/>
    <w:rsid w:val="0A656809"/>
    <w:rsid w:val="0B6E79D6"/>
    <w:rsid w:val="0BF66AD9"/>
    <w:rsid w:val="0BF75680"/>
    <w:rsid w:val="0C966F4C"/>
    <w:rsid w:val="0CA405F8"/>
    <w:rsid w:val="0D7839D7"/>
    <w:rsid w:val="0D9440D5"/>
    <w:rsid w:val="0DBD7266"/>
    <w:rsid w:val="0E804C64"/>
    <w:rsid w:val="0E935D19"/>
    <w:rsid w:val="0EC96F11"/>
    <w:rsid w:val="0F160083"/>
    <w:rsid w:val="0FA42A81"/>
    <w:rsid w:val="0FD57FC1"/>
    <w:rsid w:val="1015261B"/>
    <w:rsid w:val="10D5138A"/>
    <w:rsid w:val="11C176E6"/>
    <w:rsid w:val="12414B43"/>
    <w:rsid w:val="129F62A8"/>
    <w:rsid w:val="12B0237A"/>
    <w:rsid w:val="12C84BA6"/>
    <w:rsid w:val="136B68CE"/>
    <w:rsid w:val="137C09C7"/>
    <w:rsid w:val="13836CDF"/>
    <w:rsid w:val="13923266"/>
    <w:rsid w:val="13FF107E"/>
    <w:rsid w:val="14A0572C"/>
    <w:rsid w:val="14F847B5"/>
    <w:rsid w:val="14FB39F1"/>
    <w:rsid w:val="156A221D"/>
    <w:rsid w:val="157B5770"/>
    <w:rsid w:val="15AA27BE"/>
    <w:rsid w:val="15C216FD"/>
    <w:rsid w:val="15D7201A"/>
    <w:rsid w:val="168B24EF"/>
    <w:rsid w:val="169A3257"/>
    <w:rsid w:val="16A1785F"/>
    <w:rsid w:val="17B675FF"/>
    <w:rsid w:val="17BA4E05"/>
    <w:rsid w:val="17BF1746"/>
    <w:rsid w:val="180179CB"/>
    <w:rsid w:val="182C3DF4"/>
    <w:rsid w:val="184B4BC0"/>
    <w:rsid w:val="19BB2EAA"/>
    <w:rsid w:val="19D9607D"/>
    <w:rsid w:val="1A2B1B11"/>
    <w:rsid w:val="1A5225E4"/>
    <w:rsid w:val="1B192BD8"/>
    <w:rsid w:val="1B27176F"/>
    <w:rsid w:val="1B426CE7"/>
    <w:rsid w:val="1B5032E4"/>
    <w:rsid w:val="1B6B5F6A"/>
    <w:rsid w:val="1B8F437C"/>
    <w:rsid w:val="1BEF2555"/>
    <w:rsid w:val="1C080868"/>
    <w:rsid w:val="1D503BE7"/>
    <w:rsid w:val="1D6B4EC1"/>
    <w:rsid w:val="1DD41690"/>
    <w:rsid w:val="1DE30E8E"/>
    <w:rsid w:val="1E760202"/>
    <w:rsid w:val="1E834F7A"/>
    <w:rsid w:val="1EF60B60"/>
    <w:rsid w:val="1F835A24"/>
    <w:rsid w:val="1F97117F"/>
    <w:rsid w:val="2022468C"/>
    <w:rsid w:val="202A3381"/>
    <w:rsid w:val="203829CE"/>
    <w:rsid w:val="204F5659"/>
    <w:rsid w:val="20780E13"/>
    <w:rsid w:val="208A2E40"/>
    <w:rsid w:val="2141308C"/>
    <w:rsid w:val="216A0937"/>
    <w:rsid w:val="21DB6CF3"/>
    <w:rsid w:val="21EB3762"/>
    <w:rsid w:val="222E72EA"/>
    <w:rsid w:val="226A0219"/>
    <w:rsid w:val="229102B2"/>
    <w:rsid w:val="2369033C"/>
    <w:rsid w:val="2375083A"/>
    <w:rsid w:val="24242BC3"/>
    <w:rsid w:val="244725BC"/>
    <w:rsid w:val="24C5018C"/>
    <w:rsid w:val="257D6F98"/>
    <w:rsid w:val="258D45BB"/>
    <w:rsid w:val="259B2878"/>
    <w:rsid w:val="25B52667"/>
    <w:rsid w:val="25D75F9C"/>
    <w:rsid w:val="26092630"/>
    <w:rsid w:val="261C6B36"/>
    <w:rsid w:val="26207C71"/>
    <w:rsid w:val="268A21E5"/>
    <w:rsid w:val="269127C8"/>
    <w:rsid w:val="26B875EF"/>
    <w:rsid w:val="27371963"/>
    <w:rsid w:val="273D3971"/>
    <w:rsid w:val="277F5320"/>
    <w:rsid w:val="278D6769"/>
    <w:rsid w:val="28027CCC"/>
    <w:rsid w:val="28032F9F"/>
    <w:rsid w:val="283C6CFB"/>
    <w:rsid w:val="286963A6"/>
    <w:rsid w:val="2876065C"/>
    <w:rsid w:val="288E0EB6"/>
    <w:rsid w:val="28A0498C"/>
    <w:rsid w:val="29032C91"/>
    <w:rsid w:val="291C3754"/>
    <w:rsid w:val="294E10BF"/>
    <w:rsid w:val="2A5535F3"/>
    <w:rsid w:val="2A864AF3"/>
    <w:rsid w:val="2AEC4B43"/>
    <w:rsid w:val="2AFD4677"/>
    <w:rsid w:val="2B001DB5"/>
    <w:rsid w:val="2B0C16D1"/>
    <w:rsid w:val="2BAD6293"/>
    <w:rsid w:val="2C135BAC"/>
    <w:rsid w:val="2D761283"/>
    <w:rsid w:val="2DBF6064"/>
    <w:rsid w:val="2E0A23AD"/>
    <w:rsid w:val="2E510F50"/>
    <w:rsid w:val="2E78509E"/>
    <w:rsid w:val="2FCC0562"/>
    <w:rsid w:val="308C7E75"/>
    <w:rsid w:val="30927DEF"/>
    <w:rsid w:val="312B44D0"/>
    <w:rsid w:val="31A3048D"/>
    <w:rsid w:val="31E13D9D"/>
    <w:rsid w:val="320078FE"/>
    <w:rsid w:val="33B52739"/>
    <w:rsid w:val="33C416FB"/>
    <w:rsid w:val="34073B0F"/>
    <w:rsid w:val="34137F40"/>
    <w:rsid w:val="343E4A47"/>
    <w:rsid w:val="34511AED"/>
    <w:rsid w:val="34CA39C2"/>
    <w:rsid w:val="35AB5E3B"/>
    <w:rsid w:val="36016929"/>
    <w:rsid w:val="36057CA7"/>
    <w:rsid w:val="36BA02F8"/>
    <w:rsid w:val="36FC3C27"/>
    <w:rsid w:val="371B3CB1"/>
    <w:rsid w:val="3770410A"/>
    <w:rsid w:val="379724F0"/>
    <w:rsid w:val="37AD609B"/>
    <w:rsid w:val="37CD227A"/>
    <w:rsid w:val="38242D72"/>
    <w:rsid w:val="388E7816"/>
    <w:rsid w:val="38B76F7A"/>
    <w:rsid w:val="393E5E40"/>
    <w:rsid w:val="39A17EBE"/>
    <w:rsid w:val="39FA325E"/>
    <w:rsid w:val="3A130013"/>
    <w:rsid w:val="3A754955"/>
    <w:rsid w:val="3B0A6A70"/>
    <w:rsid w:val="3B3B5443"/>
    <w:rsid w:val="3B905F0D"/>
    <w:rsid w:val="3C1E5CA8"/>
    <w:rsid w:val="3C9373F6"/>
    <w:rsid w:val="3D4151D2"/>
    <w:rsid w:val="3D4549CF"/>
    <w:rsid w:val="3D9A4471"/>
    <w:rsid w:val="3DC345F1"/>
    <w:rsid w:val="3E1A6181"/>
    <w:rsid w:val="3EF47501"/>
    <w:rsid w:val="3F5269BE"/>
    <w:rsid w:val="3FAA656D"/>
    <w:rsid w:val="3FF52FC5"/>
    <w:rsid w:val="40960C88"/>
    <w:rsid w:val="413C3441"/>
    <w:rsid w:val="42174044"/>
    <w:rsid w:val="426531A0"/>
    <w:rsid w:val="42B21ADE"/>
    <w:rsid w:val="42E008CC"/>
    <w:rsid w:val="44EF3D31"/>
    <w:rsid w:val="462C129C"/>
    <w:rsid w:val="46F51667"/>
    <w:rsid w:val="47517245"/>
    <w:rsid w:val="47AD67CC"/>
    <w:rsid w:val="47DB2E29"/>
    <w:rsid w:val="482E6ADB"/>
    <w:rsid w:val="48F174BB"/>
    <w:rsid w:val="49D669FC"/>
    <w:rsid w:val="4A2E59E7"/>
    <w:rsid w:val="4B2246C0"/>
    <w:rsid w:val="4B4B6B1A"/>
    <w:rsid w:val="4B9516CC"/>
    <w:rsid w:val="4C175EFB"/>
    <w:rsid w:val="4C1D006A"/>
    <w:rsid w:val="4CEB6E4E"/>
    <w:rsid w:val="4D5E4518"/>
    <w:rsid w:val="4D8A4135"/>
    <w:rsid w:val="4DA92C9B"/>
    <w:rsid w:val="4DD848C6"/>
    <w:rsid w:val="4E5A3583"/>
    <w:rsid w:val="4F52465E"/>
    <w:rsid w:val="500A1B19"/>
    <w:rsid w:val="50C97267"/>
    <w:rsid w:val="5115620F"/>
    <w:rsid w:val="511B08AB"/>
    <w:rsid w:val="513A5F88"/>
    <w:rsid w:val="519105A7"/>
    <w:rsid w:val="51A62081"/>
    <w:rsid w:val="51EC1607"/>
    <w:rsid w:val="52040F83"/>
    <w:rsid w:val="523B2FF5"/>
    <w:rsid w:val="52BF49DA"/>
    <w:rsid w:val="52C107AA"/>
    <w:rsid w:val="52F53296"/>
    <w:rsid w:val="538E3341"/>
    <w:rsid w:val="53CC61EE"/>
    <w:rsid w:val="53D65E96"/>
    <w:rsid w:val="544A38C5"/>
    <w:rsid w:val="55185B23"/>
    <w:rsid w:val="552223AB"/>
    <w:rsid w:val="5545279A"/>
    <w:rsid w:val="55676FAE"/>
    <w:rsid w:val="55C4064C"/>
    <w:rsid w:val="561D080A"/>
    <w:rsid w:val="56605814"/>
    <w:rsid w:val="56A83FC8"/>
    <w:rsid w:val="56D3797F"/>
    <w:rsid w:val="56E64ADC"/>
    <w:rsid w:val="571B4987"/>
    <w:rsid w:val="57C53D4A"/>
    <w:rsid w:val="57CD5FEA"/>
    <w:rsid w:val="58380E66"/>
    <w:rsid w:val="585D7A19"/>
    <w:rsid w:val="58F85307"/>
    <w:rsid w:val="5A761983"/>
    <w:rsid w:val="5AA113F4"/>
    <w:rsid w:val="5B1E54BB"/>
    <w:rsid w:val="5B276E80"/>
    <w:rsid w:val="5C832697"/>
    <w:rsid w:val="5D245EC1"/>
    <w:rsid w:val="5E474917"/>
    <w:rsid w:val="5E520C8C"/>
    <w:rsid w:val="5E566108"/>
    <w:rsid w:val="5E8B58C4"/>
    <w:rsid w:val="5FB8535F"/>
    <w:rsid w:val="5FCD7954"/>
    <w:rsid w:val="5FDD1BE0"/>
    <w:rsid w:val="5FE8116C"/>
    <w:rsid w:val="6047646F"/>
    <w:rsid w:val="604A16B8"/>
    <w:rsid w:val="60504BB0"/>
    <w:rsid w:val="608502AA"/>
    <w:rsid w:val="60A2657F"/>
    <w:rsid w:val="61480098"/>
    <w:rsid w:val="61870E39"/>
    <w:rsid w:val="61F55056"/>
    <w:rsid w:val="62990407"/>
    <w:rsid w:val="62F21D7D"/>
    <w:rsid w:val="6355051C"/>
    <w:rsid w:val="636D4D0A"/>
    <w:rsid w:val="63ED5D40"/>
    <w:rsid w:val="64587195"/>
    <w:rsid w:val="64854E90"/>
    <w:rsid w:val="64B0371F"/>
    <w:rsid w:val="64E110D9"/>
    <w:rsid w:val="64F867FC"/>
    <w:rsid w:val="650C66EB"/>
    <w:rsid w:val="6543285D"/>
    <w:rsid w:val="65F25146"/>
    <w:rsid w:val="67315945"/>
    <w:rsid w:val="6781502A"/>
    <w:rsid w:val="684347A4"/>
    <w:rsid w:val="699E10DD"/>
    <w:rsid w:val="69C037EA"/>
    <w:rsid w:val="69FE067A"/>
    <w:rsid w:val="6A0A529C"/>
    <w:rsid w:val="6B1E362D"/>
    <w:rsid w:val="6B292355"/>
    <w:rsid w:val="6B2F2CC0"/>
    <w:rsid w:val="6B3E33F0"/>
    <w:rsid w:val="6B9F60D1"/>
    <w:rsid w:val="6C70445F"/>
    <w:rsid w:val="6C886790"/>
    <w:rsid w:val="6CC44DD5"/>
    <w:rsid w:val="6CD037CA"/>
    <w:rsid w:val="6D9B188B"/>
    <w:rsid w:val="6E0F6FA7"/>
    <w:rsid w:val="6EBA2284"/>
    <w:rsid w:val="6F0007F8"/>
    <w:rsid w:val="6F1C0459"/>
    <w:rsid w:val="6FB91C61"/>
    <w:rsid w:val="6FCC3D0B"/>
    <w:rsid w:val="6FFDC434"/>
    <w:rsid w:val="70265FEF"/>
    <w:rsid w:val="70715716"/>
    <w:rsid w:val="71AF2408"/>
    <w:rsid w:val="72272F2D"/>
    <w:rsid w:val="72557338"/>
    <w:rsid w:val="72740C5F"/>
    <w:rsid w:val="7309612E"/>
    <w:rsid w:val="73173044"/>
    <w:rsid w:val="73BE7AD4"/>
    <w:rsid w:val="73C766EE"/>
    <w:rsid w:val="74120AF5"/>
    <w:rsid w:val="746D6160"/>
    <w:rsid w:val="7480643E"/>
    <w:rsid w:val="74F300A8"/>
    <w:rsid w:val="753C4AC3"/>
    <w:rsid w:val="759D26DB"/>
    <w:rsid w:val="77A947D0"/>
    <w:rsid w:val="77B64023"/>
    <w:rsid w:val="77CD2C5B"/>
    <w:rsid w:val="78243F9C"/>
    <w:rsid w:val="787C479A"/>
    <w:rsid w:val="79AB2200"/>
    <w:rsid w:val="7A6E1FBD"/>
    <w:rsid w:val="7ADB4854"/>
    <w:rsid w:val="7B01235D"/>
    <w:rsid w:val="7B1D3601"/>
    <w:rsid w:val="7C2B7147"/>
    <w:rsid w:val="7D1E7CFA"/>
    <w:rsid w:val="7D5778C2"/>
    <w:rsid w:val="7DA80C2A"/>
    <w:rsid w:val="7DF25EA4"/>
    <w:rsid w:val="7DF64728"/>
    <w:rsid w:val="7E320E15"/>
    <w:rsid w:val="7EE51986"/>
    <w:rsid w:val="7F756D71"/>
    <w:rsid w:val="7FD816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1051</Words>
  <Characters>5994</Characters>
  <Lines>49</Lines>
  <Paragraphs>14</Paragraphs>
  <TotalTime>58</TotalTime>
  <ScaleCrop>false</ScaleCrop>
  <LinksUpToDate>false</LinksUpToDate>
  <CharactersWithSpaces>7031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2019-12-08T12:39:00Z</dcterms:created>
  <dc:creator>AutoBVT</dc:creator>
  <cp:lastModifiedBy>Administrator</cp:lastModifiedBy>
  <cp:lastPrinted>2021-12-07T07:58:00Z</cp:lastPrinted>
  <dcterms:modified xsi:type="dcterms:W3CDTF">2022-08-24T06:00:09Z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ICV">
    <vt:lpwstr>42B29317D1FE4D29803AD25688B23925</vt:lpwstr>
  </property>
</Properties>
</file>