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548E" w:rsidRDefault="0080548E" w:rsidP="0080548E">
      <w:pPr>
        <w:spacing w:line="560" w:lineRule="exact"/>
        <w:jc w:val="center"/>
        <w:rPr>
          <w:rFonts w:ascii="方正小标宋简体" w:eastAsia="方正小标宋简体"/>
          <w:sz w:val="44"/>
          <w:szCs w:val="44"/>
        </w:rPr>
      </w:pPr>
      <w:r>
        <w:rPr>
          <w:rFonts w:ascii="方正小标宋简体" w:eastAsia="方正小标宋简体" w:hint="eastAsia"/>
          <w:sz w:val="44"/>
          <w:szCs w:val="44"/>
        </w:rPr>
        <w:t>关于2021年</w:t>
      </w:r>
      <w:proofErr w:type="gramStart"/>
      <w:r>
        <w:rPr>
          <w:rFonts w:ascii="方正小标宋简体" w:eastAsia="方正小标宋简体" w:hint="eastAsia"/>
          <w:sz w:val="44"/>
          <w:szCs w:val="44"/>
        </w:rPr>
        <w:t>崇明区</w:t>
      </w:r>
      <w:proofErr w:type="gramEnd"/>
      <w:r>
        <w:rPr>
          <w:rFonts w:ascii="方正小标宋简体" w:eastAsia="方正小标宋简体" w:hint="eastAsia"/>
          <w:sz w:val="44"/>
          <w:szCs w:val="44"/>
        </w:rPr>
        <w:t>本级预算执行</w:t>
      </w:r>
    </w:p>
    <w:p w:rsidR="0080548E" w:rsidRDefault="0080548E" w:rsidP="0080548E">
      <w:pPr>
        <w:spacing w:line="560" w:lineRule="exact"/>
        <w:jc w:val="center"/>
        <w:rPr>
          <w:rFonts w:ascii="方正小标宋简体" w:eastAsia="方正小标宋简体"/>
          <w:sz w:val="44"/>
          <w:szCs w:val="44"/>
        </w:rPr>
      </w:pPr>
      <w:r>
        <w:rPr>
          <w:rFonts w:ascii="方正小标宋简体" w:eastAsia="方正小标宋简体" w:hint="eastAsia"/>
          <w:sz w:val="44"/>
          <w:szCs w:val="44"/>
        </w:rPr>
        <w:t>和其他财政收支的审计工作报告</w:t>
      </w:r>
    </w:p>
    <w:p w:rsidR="0080548E" w:rsidRDefault="0080548E" w:rsidP="0080548E">
      <w:pPr>
        <w:spacing w:line="560" w:lineRule="exact"/>
        <w:jc w:val="center"/>
        <w:rPr>
          <w:rFonts w:ascii="楷体_GB2312" w:eastAsia="楷体_GB2312" w:hAnsi="楷体" w:cs="Courier New"/>
          <w:bCs/>
          <w:kern w:val="0"/>
          <w:sz w:val="32"/>
          <w:szCs w:val="32"/>
        </w:rPr>
      </w:pPr>
      <w:r>
        <w:rPr>
          <w:rFonts w:ascii="楷体_GB2312" w:eastAsia="楷体_GB2312" w:hAnsi="楷体" w:cs="Courier New"/>
          <w:b/>
          <w:bCs/>
          <w:kern w:val="0"/>
          <w:sz w:val="32"/>
          <w:szCs w:val="32"/>
        </w:rPr>
        <w:t>—</w:t>
      </w:r>
      <w:r>
        <w:rPr>
          <w:rFonts w:ascii="楷体_GB2312" w:eastAsia="楷体_GB2312" w:hAnsi="华文中宋" w:cs="Courier New"/>
          <w:spacing w:val="-30"/>
          <w:sz w:val="32"/>
          <w:szCs w:val="32"/>
        </w:rPr>
        <w:t>20</w:t>
      </w:r>
      <w:r>
        <w:rPr>
          <w:rFonts w:ascii="楷体_GB2312" w:eastAsia="楷体_GB2312" w:hAnsi="华文中宋" w:cs="Courier New" w:hint="eastAsia"/>
          <w:spacing w:val="-30"/>
          <w:sz w:val="32"/>
          <w:szCs w:val="32"/>
        </w:rPr>
        <w:t>22年7月</w:t>
      </w:r>
      <w:r w:rsidR="003B3956">
        <w:rPr>
          <w:rFonts w:ascii="楷体_GB2312" w:eastAsia="楷体_GB2312" w:hAnsi="华文中宋" w:cs="Courier New" w:hint="eastAsia"/>
          <w:spacing w:val="-30"/>
          <w:sz w:val="32"/>
          <w:szCs w:val="32"/>
        </w:rPr>
        <w:t>26</w:t>
      </w:r>
      <w:bookmarkStart w:id="0" w:name="_GoBack"/>
      <w:bookmarkEnd w:id="0"/>
      <w:r>
        <w:rPr>
          <w:rFonts w:ascii="楷体_GB2312" w:eastAsia="楷体_GB2312" w:hAnsi="华文中宋" w:cs="Courier New" w:hint="eastAsia"/>
          <w:spacing w:val="-30"/>
          <w:sz w:val="32"/>
          <w:szCs w:val="32"/>
        </w:rPr>
        <w:t>日在崇明区二届人民代表大会常务委员会第四会议上</w:t>
      </w:r>
    </w:p>
    <w:p w:rsidR="0080548E" w:rsidRDefault="0080548E" w:rsidP="0080548E">
      <w:pPr>
        <w:spacing w:line="560" w:lineRule="exact"/>
        <w:ind w:firstLineChars="62" w:firstLine="198"/>
        <w:jc w:val="center"/>
        <w:rPr>
          <w:rFonts w:ascii="楷体_GB2312" w:eastAsia="楷体_GB2312" w:hAnsi="楷体"/>
          <w:sz w:val="32"/>
          <w:szCs w:val="32"/>
        </w:rPr>
      </w:pPr>
      <w:r>
        <w:rPr>
          <w:rFonts w:ascii="楷体_GB2312" w:eastAsia="楷体_GB2312" w:hAnsi="楷体" w:hint="eastAsia"/>
          <w:sz w:val="32"/>
          <w:szCs w:val="32"/>
        </w:rPr>
        <w:t>上海市</w:t>
      </w:r>
      <w:proofErr w:type="gramStart"/>
      <w:r>
        <w:rPr>
          <w:rFonts w:ascii="楷体_GB2312" w:eastAsia="楷体_GB2312" w:hAnsi="楷体" w:hint="eastAsia"/>
          <w:sz w:val="32"/>
          <w:szCs w:val="32"/>
        </w:rPr>
        <w:t>崇明区</w:t>
      </w:r>
      <w:proofErr w:type="gramEnd"/>
      <w:r>
        <w:rPr>
          <w:rFonts w:ascii="楷体_GB2312" w:eastAsia="楷体_GB2312" w:hAnsi="楷体" w:hint="eastAsia"/>
          <w:sz w:val="32"/>
          <w:szCs w:val="32"/>
        </w:rPr>
        <w:t>审计局局长   瞿英</w:t>
      </w:r>
    </w:p>
    <w:p w:rsidR="0080548E" w:rsidRDefault="0080548E" w:rsidP="0080548E">
      <w:pPr>
        <w:spacing w:line="560" w:lineRule="exact"/>
      </w:pPr>
    </w:p>
    <w:p w:rsidR="0080548E" w:rsidRDefault="0080548E" w:rsidP="0080548E">
      <w:pPr>
        <w:spacing w:line="560" w:lineRule="exact"/>
        <w:rPr>
          <w:rFonts w:ascii="仿宋_GB2312" w:eastAsia="仿宋_GB2312" w:hAnsi="仿宋"/>
          <w:sz w:val="32"/>
          <w:szCs w:val="32"/>
        </w:rPr>
      </w:pPr>
      <w:r>
        <w:rPr>
          <w:rFonts w:ascii="仿宋_GB2312" w:eastAsia="仿宋_GB2312" w:hAnsi="仿宋" w:hint="eastAsia"/>
          <w:sz w:val="32"/>
          <w:szCs w:val="32"/>
        </w:rPr>
        <w:t>主任、各位副主任、各位委员：</w:t>
      </w:r>
    </w:p>
    <w:p w:rsidR="0080548E" w:rsidRDefault="0080548E" w:rsidP="0080548E">
      <w:pPr>
        <w:spacing w:line="560" w:lineRule="exact"/>
        <w:ind w:firstLineChars="200" w:firstLine="640"/>
        <w:rPr>
          <w:rFonts w:ascii="仿宋_GB2312" w:eastAsia="仿宋_GB2312" w:hAnsi="仿宋"/>
          <w:sz w:val="32"/>
          <w:szCs w:val="32"/>
        </w:rPr>
      </w:pPr>
      <w:r>
        <w:rPr>
          <w:rFonts w:ascii="仿宋_GB2312" w:eastAsia="仿宋_GB2312" w:hAnsi="仿宋" w:hint="eastAsia"/>
          <w:sz w:val="32"/>
          <w:szCs w:val="32"/>
        </w:rPr>
        <w:t>我受区人民政府委托，向区人大常委会报告2021年区本级预算执行和其他财政收支的审计情况。</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Ansi="仿宋" w:hint="eastAsia"/>
          <w:sz w:val="32"/>
          <w:szCs w:val="32"/>
        </w:rPr>
        <w:t>根据有关审计法律法规要求，</w:t>
      </w:r>
      <w:r>
        <w:rPr>
          <w:rFonts w:ascii="仿宋_GB2312" w:eastAsia="仿宋_GB2312" w:hint="eastAsia"/>
          <w:sz w:val="32"/>
          <w:szCs w:val="32"/>
        </w:rPr>
        <w:t>区审计局对2021年区本级预算执行和其他财政收支情况进行了审计。审计工作以习近平新时代中国特色社会主义思想为指导，深入贯彻习近平总书记关于审计工作的重要指示批示精神，认真落实市委审计委员会和区委审计委员会会议要求，围绕区人大常委会提出的提高财政保障水平、提升资金使用效能和推进预算绩效管理的工作要点，立足“审计监督首先是经济监督”定位，做好常态化“经济体检”工作。</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2021年，在区委、区政府的坚强领导下，本区贯彻落实减税降费和各</w:t>
      </w:r>
      <w:proofErr w:type="gramStart"/>
      <w:r>
        <w:rPr>
          <w:rFonts w:ascii="仿宋_GB2312" w:eastAsia="仿宋_GB2312" w:hint="eastAsia"/>
          <w:sz w:val="32"/>
          <w:szCs w:val="32"/>
        </w:rPr>
        <w:t>类惠企</w:t>
      </w:r>
      <w:proofErr w:type="gramEnd"/>
      <w:r>
        <w:rPr>
          <w:rFonts w:ascii="仿宋_GB2312" w:eastAsia="仿宋_GB2312" w:hint="eastAsia"/>
          <w:sz w:val="32"/>
          <w:szCs w:val="32"/>
        </w:rPr>
        <w:t>政策，完善生态新兴企业高质量发展政策，制定</w:t>
      </w:r>
      <w:r w:rsidR="00032515">
        <w:rPr>
          <w:rFonts w:ascii="仿宋_GB2312" w:eastAsia="仿宋_GB2312" w:hint="eastAsia"/>
          <w:sz w:val="32"/>
          <w:szCs w:val="32"/>
        </w:rPr>
        <w:t>系列</w:t>
      </w:r>
      <w:r>
        <w:rPr>
          <w:rFonts w:ascii="仿宋_GB2312" w:eastAsia="仿宋_GB2312" w:hint="eastAsia"/>
          <w:sz w:val="32"/>
          <w:szCs w:val="32"/>
        </w:rPr>
        <w:t>产业扶持政策，不断夯实税源基础；把牢预算支出关口，建立重大活动资金、资产全过程保障机制，加大重要领域和关键环节的资金保障力度，不断提高资金配置效率；完善区与乡镇财政管理体制，加强专项资金管理，推进“公务之家”改革，不断提升财政管理水平。从审计情况来看，本区预算执行情况总体较</w:t>
      </w:r>
      <w:r>
        <w:rPr>
          <w:rFonts w:ascii="仿宋_GB2312" w:eastAsia="仿宋_GB2312" w:hint="eastAsia"/>
          <w:sz w:val="32"/>
          <w:szCs w:val="32"/>
        </w:rPr>
        <w:lastRenderedPageBreak/>
        <w:t>好，财政保障能力进一步增强。</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2021年，本区财政收入总量为</w:t>
      </w:r>
      <w:r>
        <w:rPr>
          <w:rFonts w:ascii="仿宋_GB2312" w:eastAsia="仿宋_GB2312" w:hAnsi="仿宋_GB2312" w:cs="仿宋_GB2312" w:hint="eastAsia"/>
          <w:sz w:val="32"/>
          <w:szCs w:val="32"/>
        </w:rPr>
        <w:t>4647363.07</w:t>
      </w:r>
      <w:r>
        <w:rPr>
          <w:rFonts w:ascii="仿宋_GB2312" w:eastAsia="仿宋_GB2312" w:hint="eastAsia"/>
          <w:sz w:val="32"/>
          <w:szCs w:val="32"/>
        </w:rPr>
        <w:t>万元，支出总量为4320465.27万元，其中：</w:t>
      </w:r>
    </w:p>
    <w:p w:rsidR="0080548E" w:rsidRDefault="0080548E" w:rsidP="0080548E">
      <w:pPr>
        <w:spacing w:line="560" w:lineRule="exact"/>
        <w:ind w:firstLineChars="200" w:firstLine="640"/>
        <w:rPr>
          <w:rFonts w:ascii="仿宋_GB2312" w:eastAsia="仿宋_GB2312"/>
          <w:sz w:val="32"/>
          <w:szCs w:val="32"/>
        </w:rPr>
      </w:pPr>
      <w:r w:rsidRPr="00D313D0">
        <w:rPr>
          <w:rFonts w:ascii="仿宋_GB2312" w:eastAsia="仿宋_GB2312" w:hAnsi="仿宋_GB2312" w:cs="仿宋_GB2312" w:hint="eastAsia"/>
          <w:sz w:val="32"/>
          <w:szCs w:val="32"/>
        </w:rPr>
        <w:t>区级地方一般公共预算收入1460488万元</w:t>
      </w:r>
      <w:r w:rsidRPr="00D313D0">
        <w:rPr>
          <w:rFonts w:ascii="仿宋_GB2312" w:eastAsia="仿宋_GB2312" w:hint="eastAsia"/>
          <w:sz w:val="32"/>
          <w:szCs w:val="32"/>
        </w:rPr>
        <w:t>，加上上级补助收入</w:t>
      </w:r>
      <w:r w:rsidRPr="00D313D0">
        <w:rPr>
          <w:rFonts w:ascii="仿宋_GB2312" w:eastAsia="仿宋_GB2312" w:hAnsi="仿宋_GB2312" w:cs="仿宋_GB2312" w:hint="eastAsia"/>
          <w:sz w:val="32"/>
          <w:szCs w:val="32"/>
        </w:rPr>
        <w:t>2074041.19</w:t>
      </w:r>
      <w:r w:rsidRPr="00D313D0">
        <w:rPr>
          <w:rFonts w:ascii="仿宋_GB2312" w:eastAsia="仿宋_GB2312" w:hint="eastAsia"/>
          <w:sz w:val="32"/>
          <w:szCs w:val="32"/>
        </w:rPr>
        <w:t>万元、地方政府一般债券转贷收入250000万元、</w:t>
      </w:r>
      <w:r>
        <w:rPr>
          <w:rFonts w:ascii="仿宋_GB2312" w:eastAsia="仿宋_GB2312" w:hAnsi="仿宋_GB2312" w:cs="仿宋_GB2312" w:hint="eastAsia"/>
          <w:sz w:val="32"/>
          <w:szCs w:val="32"/>
        </w:rPr>
        <w:t>动用预算稳定调节基金700万元、调入资金801万元和</w:t>
      </w:r>
      <w:r>
        <w:rPr>
          <w:rFonts w:ascii="仿宋_GB2312" w:eastAsia="仿宋_GB2312" w:hint="eastAsia"/>
          <w:sz w:val="32"/>
          <w:szCs w:val="32"/>
        </w:rPr>
        <w:t>上年结转收入</w:t>
      </w:r>
      <w:r>
        <w:rPr>
          <w:rFonts w:ascii="仿宋_GB2312" w:eastAsia="仿宋_GB2312" w:hAnsi="仿宋_GB2312" w:cs="仿宋_GB2312" w:hint="eastAsia"/>
          <w:sz w:val="32"/>
          <w:szCs w:val="32"/>
        </w:rPr>
        <w:t>213731.68</w:t>
      </w:r>
      <w:r>
        <w:rPr>
          <w:rFonts w:ascii="仿宋_GB2312" w:eastAsia="仿宋_GB2312" w:hint="eastAsia"/>
          <w:sz w:val="32"/>
          <w:szCs w:val="32"/>
        </w:rPr>
        <w:t>万元,全区一般公共预算收入总量</w:t>
      </w:r>
      <w:r>
        <w:rPr>
          <w:rFonts w:ascii="仿宋_GB2312" w:eastAsia="仿宋_GB2312" w:hAnsi="仿宋_GB2312" w:cs="仿宋_GB2312" w:hint="eastAsia"/>
          <w:sz w:val="32"/>
          <w:szCs w:val="32"/>
        </w:rPr>
        <w:t>3999761.87</w:t>
      </w:r>
      <w:r>
        <w:rPr>
          <w:rFonts w:ascii="仿宋_GB2312" w:eastAsia="仿宋_GB2312" w:hint="eastAsia"/>
          <w:sz w:val="32"/>
          <w:szCs w:val="32"/>
        </w:rPr>
        <w:t>万元,完成预算的103.88%;全区一般公共预算支出总量</w:t>
      </w:r>
      <w:r>
        <w:rPr>
          <w:rFonts w:ascii="仿宋_GB2312" w:eastAsia="仿宋_GB2312" w:hAnsi="仿宋_GB2312" w:cs="仿宋_GB2312" w:hint="eastAsia"/>
          <w:sz w:val="32"/>
          <w:szCs w:val="32"/>
        </w:rPr>
        <w:t>3811802.47</w:t>
      </w:r>
      <w:r>
        <w:rPr>
          <w:rFonts w:ascii="仿宋_GB2312" w:eastAsia="仿宋_GB2312" w:hint="eastAsia"/>
          <w:sz w:val="32"/>
          <w:szCs w:val="32"/>
        </w:rPr>
        <w:t>万元,完成预算的98.99%；年末结转下年支出</w:t>
      </w:r>
      <w:r>
        <w:rPr>
          <w:rFonts w:ascii="仿宋_GB2312" w:eastAsia="仿宋_GB2312" w:hAnsi="仿宋_GB2312" w:cs="仿宋_GB2312" w:hint="eastAsia"/>
          <w:sz w:val="32"/>
          <w:szCs w:val="32"/>
        </w:rPr>
        <w:t>187959.40</w:t>
      </w:r>
      <w:r>
        <w:rPr>
          <w:rFonts w:ascii="仿宋_GB2312" w:eastAsia="仿宋_GB2312" w:hint="eastAsia"/>
          <w:sz w:val="32"/>
          <w:szCs w:val="32"/>
        </w:rPr>
        <w:t>万元。</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全区政府性基金预算收入</w:t>
      </w:r>
      <w:r>
        <w:rPr>
          <w:rFonts w:ascii="仿宋_GB2312" w:eastAsia="仿宋_GB2312" w:hAnsi="仿宋_GB2312" w:cs="仿宋_GB2312" w:hint="eastAsia"/>
          <w:sz w:val="32"/>
          <w:szCs w:val="32"/>
        </w:rPr>
        <w:t>577557.82万元，完成预算的127.27%，其中</w:t>
      </w:r>
      <w:r>
        <w:rPr>
          <w:rFonts w:ascii="仿宋_GB2312" w:eastAsia="仿宋_GB2312" w:hint="eastAsia"/>
          <w:sz w:val="32"/>
          <w:szCs w:val="32"/>
        </w:rPr>
        <w:t>区级政府性基金收入</w:t>
      </w:r>
      <w:r>
        <w:rPr>
          <w:rFonts w:ascii="仿宋_GB2312" w:eastAsia="仿宋_GB2312" w:hAnsi="仿宋_GB2312" w:cs="仿宋_GB2312" w:hint="eastAsia"/>
          <w:sz w:val="32"/>
          <w:szCs w:val="32"/>
        </w:rPr>
        <w:t>408056.80</w:t>
      </w:r>
      <w:r>
        <w:rPr>
          <w:rFonts w:ascii="仿宋_GB2312" w:eastAsia="仿宋_GB2312" w:hint="eastAsia"/>
          <w:sz w:val="32"/>
          <w:szCs w:val="32"/>
        </w:rPr>
        <w:t>万元，上级补助收入</w:t>
      </w:r>
      <w:r>
        <w:rPr>
          <w:rFonts w:ascii="仿宋_GB2312" w:eastAsia="仿宋_GB2312" w:hAnsi="仿宋_GB2312" w:cs="仿宋_GB2312" w:hint="eastAsia"/>
          <w:sz w:val="32"/>
          <w:szCs w:val="32"/>
        </w:rPr>
        <w:t>112501.02万元、地方政府专项债券转贷收入57000万元。加上上年结转收入68483.88万元</w:t>
      </w:r>
      <w:r>
        <w:rPr>
          <w:rFonts w:ascii="仿宋_GB2312" w:eastAsia="仿宋_GB2312" w:hint="eastAsia"/>
          <w:sz w:val="32"/>
          <w:szCs w:val="32"/>
        </w:rPr>
        <w:t>，政府性基金可用收入总计</w:t>
      </w:r>
      <w:r>
        <w:rPr>
          <w:rFonts w:ascii="仿宋_GB2312" w:eastAsia="仿宋_GB2312" w:hAnsi="仿宋_GB2312" w:cs="仿宋_GB2312" w:hint="eastAsia"/>
          <w:sz w:val="32"/>
          <w:szCs w:val="32"/>
        </w:rPr>
        <w:t>646041.70</w:t>
      </w:r>
      <w:r>
        <w:rPr>
          <w:rFonts w:ascii="仿宋_GB2312" w:eastAsia="仿宋_GB2312" w:hint="eastAsia"/>
          <w:sz w:val="32"/>
          <w:szCs w:val="32"/>
        </w:rPr>
        <w:t>万元</w:t>
      </w:r>
      <w:r>
        <w:rPr>
          <w:rFonts w:ascii="仿宋_GB2312" w:eastAsia="仿宋_GB2312" w:hAnsi="仿宋_GB2312" w:cs="仿宋_GB2312" w:hint="eastAsia"/>
          <w:sz w:val="32"/>
          <w:szCs w:val="32"/>
        </w:rPr>
        <w:t>；政府性基金</w:t>
      </w:r>
      <w:r>
        <w:rPr>
          <w:rFonts w:ascii="仿宋_GB2312" w:eastAsia="仿宋_GB2312" w:hint="eastAsia"/>
          <w:sz w:val="32"/>
          <w:szCs w:val="32"/>
        </w:rPr>
        <w:t>支出</w:t>
      </w:r>
      <w:r>
        <w:rPr>
          <w:rFonts w:ascii="仿宋_GB2312" w:eastAsia="仿宋_GB2312" w:hAnsi="仿宋_GB2312" w:cs="仿宋_GB2312" w:hint="eastAsia"/>
          <w:sz w:val="32"/>
          <w:szCs w:val="32"/>
        </w:rPr>
        <w:t>507492.24</w:t>
      </w:r>
      <w:r>
        <w:rPr>
          <w:rFonts w:ascii="仿宋_GB2312" w:eastAsia="仿宋_GB2312" w:hint="eastAsia"/>
          <w:sz w:val="32"/>
          <w:szCs w:val="32"/>
        </w:rPr>
        <w:t>万元，</w:t>
      </w:r>
      <w:r>
        <w:rPr>
          <w:rFonts w:ascii="仿宋_GB2312" w:eastAsia="仿宋_GB2312" w:hAnsi="仿宋_GB2312" w:cs="仿宋_GB2312" w:hint="eastAsia"/>
          <w:sz w:val="32"/>
          <w:szCs w:val="32"/>
        </w:rPr>
        <w:t>完成预算的98.53%，加上调出资金700万元，全区政府性基金支出总计508192.24万元。</w:t>
      </w:r>
      <w:r>
        <w:rPr>
          <w:rFonts w:ascii="仿宋_GB2312" w:eastAsia="仿宋_GB2312" w:hint="eastAsia"/>
          <w:sz w:val="32"/>
          <w:szCs w:val="32"/>
        </w:rPr>
        <w:t>年末结转下年支出</w:t>
      </w:r>
      <w:r>
        <w:rPr>
          <w:rFonts w:ascii="仿宋_GB2312" w:eastAsia="仿宋_GB2312" w:hAnsi="仿宋_GB2312" w:cs="仿宋_GB2312" w:hint="eastAsia"/>
          <w:sz w:val="32"/>
          <w:szCs w:val="32"/>
        </w:rPr>
        <w:t>137849.46</w:t>
      </w:r>
      <w:r>
        <w:rPr>
          <w:rFonts w:ascii="仿宋_GB2312" w:eastAsia="仿宋_GB2312" w:hint="eastAsia"/>
          <w:sz w:val="32"/>
          <w:szCs w:val="32"/>
        </w:rPr>
        <w:t>万元，</w:t>
      </w:r>
      <w:r>
        <w:rPr>
          <w:rFonts w:ascii="仿宋_GB2312" w:eastAsia="仿宋_GB2312" w:hAnsi="仿宋_GB2312" w:cs="仿宋_GB2312" w:hint="eastAsia"/>
          <w:sz w:val="32"/>
          <w:szCs w:val="32"/>
        </w:rPr>
        <w:t>并按照国家规定实行专款专用，滚动使用。</w:t>
      </w:r>
    </w:p>
    <w:p w:rsidR="0080548E" w:rsidRDefault="0080548E" w:rsidP="0080548E">
      <w:pPr>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国有资本经营预算收入总计1559.50万元，完成预算的100%</w:t>
      </w:r>
      <w:r>
        <w:rPr>
          <w:rFonts w:ascii="仿宋_GB2312" w:eastAsia="仿宋_GB2312" w:hint="eastAsia"/>
          <w:sz w:val="32"/>
          <w:szCs w:val="32"/>
        </w:rPr>
        <w:t>，</w:t>
      </w:r>
      <w:r>
        <w:rPr>
          <w:rFonts w:ascii="仿宋_GB2312" w:eastAsia="仿宋_GB2312" w:hAnsi="仿宋_GB2312" w:cs="仿宋_GB2312" w:hint="eastAsia"/>
          <w:sz w:val="32"/>
          <w:szCs w:val="32"/>
        </w:rPr>
        <w:t>支出总计470.56万元，完成预算的74.75%。年末结转下年支出1088.94万元。</w:t>
      </w:r>
    </w:p>
    <w:p w:rsidR="0080548E" w:rsidRDefault="0080548E" w:rsidP="0080548E">
      <w:pPr>
        <w:spacing w:line="560" w:lineRule="exact"/>
        <w:ind w:firstLineChars="200" w:firstLine="640"/>
        <w:rPr>
          <w:rFonts w:ascii="仿宋_GB2312" w:eastAsia="仿宋_GB2312" w:hAnsi="仿宋"/>
          <w:sz w:val="32"/>
          <w:szCs w:val="32"/>
        </w:rPr>
      </w:pPr>
      <w:r>
        <w:rPr>
          <w:rFonts w:ascii="仿宋_GB2312" w:eastAsia="仿宋_GB2312" w:hAnsi="仿宋_GB2312" w:cs="仿宋_GB2312" w:hint="eastAsia"/>
          <w:sz w:val="32"/>
          <w:szCs w:val="32"/>
        </w:rPr>
        <w:t>2021年度，本区地方政府债务限额4209000万元。截至2021</w:t>
      </w:r>
      <w:r>
        <w:rPr>
          <w:rFonts w:ascii="仿宋_GB2312" w:eastAsia="仿宋_GB2312" w:hAnsi="仿宋_GB2312" w:cs="仿宋_GB2312" w:hint="eastAsia"/>
          <w:sz w:val="32"/>
          <w:szCs w:val="32"/>
        </w:rPr>
        <w:lastRenderedPageBreak/>
        <w:t>年末，本区地方政府债务余额2398898万元。</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区审计局统筹各类项目资源，制定五年轮</w:t>
      </w:r>
      <w:proofErr w:type="gramStart"/>
      <w:r>
        <w:rPr>
          <w:rFonts w:ascii="仿宋_GB2312" w:eastAsia="仿宋_GB2312" w:hint="eastAsia"/>
          <w:sz w:val="32"/>
          <w:szCs w:val="32"/>
        </w:rPr>
        <w:t>审项目</w:t>
      </w:r>
      <w:proofErr w:type="gramEnd"/>
      <w:r>
        <w:rPr>
          <w:rFonts w:ascii="仿宋_GB2312" w:eastAsia="仿宋_GB2312" w:hint="eastAsia"/>
          <w:sz w:val="32"/>
          <w:szCs w:val="32"/>
        </w:rPr>
        <w:t>规划，分解确定年度重点审计项目计划，聚焦规范财政管理，提升资金绩效，对区本级和6个部门预算执行情况进行了审计；聚焦本区重大工程和实事项目，对</w:t>
      </w:r>
      <w:r>
        <w:rPr>
          <w:rFonts w:ascii="仿宋_GB2312" w:eastAsia="仿宋_GB2312" w:hAnsi="仿宋_GB2312" w:cs="仿宋_GB2312" w:hint="eastAsia"/>
          <w:sz w:val="32"/>
          <w:szCs w:val="32"/>
        </w:rPr>
        <w:t>33个政府投资项目进行了审计；聚焦民生改善和保障，对本区困难群众救助补助资金及相关政策落实情况等进行了审计。</w:t>
      </w:r>
      <w:r>
        <w:rPr>
          <w:rFonts w:ascii="仿宋_GB2312" w:eastAsia="仿宋_GB2312" w:hint="eastAsia"/>
          <w:sz w:val="32"/>
          <w:szCs w:val="32"/>
        </w:rPr>
        <w:t>审计查出违规及管理不规范金额160317.98万元，建议建设单位据实调减工程结算价和待摊费用</w:t>
      </w:r>
      <w:r>
        <w:rPr>
          <w:rFonts w:ascii="仿宋_GB2312" w:eastAsia="仿宋_GB2312" w:hAnsi="仿宋_GB2312" w:cs="仿宋_GB2312" w:hint="eastAsia"/>
          <w:sz w:val="32"/>
          <w:szCs w:val="32"/>
        </w:rPr>
        <w:t>7115.77</w:t>
      </w:r>
      <w:r>
        <w:rPr>
          <w:rFonts w:ascii="仿宋_GB2312" w:eastAsia="仿宋_GB2312" w:hint="eastAsia"/>
          <w:sz w:val="32"/>
          <w:szCs w:val="32"/>
        </w:rPr>
        <w:t>万元。</w:t>
      </w:r>
    </w:p>
    <w:p w:rsidR="0080548E" w:rsidRDefault="0080548E" w:rsidP="0080548E">
      <w:pPr>
        <w:spacing w:line="560" w:lineRule="exact"/>
        <w:ind w:firstLineChars="200" w:firstLine="640"/>
        <w:rPr>
          <w:rFonts w:ascii="黑体" w:eastAsia="黑体" w:hAnsi="黑体"/>
          <w:sz w:val="32"/>
          <w:szCs w:val="32"/>
        </w:rPr>
      </w:pPr>
      <w:r>
        <w:rPr>
          <w:rFonts w:ascii="黑体" w:eastAsia="黑体" w:hAnsi="黑体" w:hint="eastAsia"/>
          <w:sz w:val="32"/>
          <w:szCs w:val="32"/>
        </w:rPr>
        <w:t>一、区本级预算执行审计情况</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根据年度审计计划安排，对区财政局组织的2021年度区本级预算执行和其他财政收支情况进行了审计。审计结果表明，2021年度区本级预算执行情况总体良好，基本完成了区人大批准的本级预算任务。审计查出的主要问题</w:t>
      </w:r>
      <w:r>
        <w:rPr>
          <w:rStyle w:val="a9"/>
          <w:rFonts w:ascii="仿宋_GB2312" w:eastAsia="仿宋_GB2312"/>
          <w:sz w:val="32"/>
          <w:szCs w:val="32"/>
        </w:rPr>
        <w:footnoteReference w:id="1"/>
      </w:r>
      <w:r>
        <w:rPr>
          <w:rFonts w:ascii="仿宋_GB2312" w:eastAsia="仿宋_GB2312" w:hint="eastAsia"/>
          <w:sz w:val="32"/>
          <w:szCs w:val="32"/>
        </w:rPr>
        <w:t>：</w:t>
      </w:r>
    </w:p>
    <w:p w:rsidR="0080548E" w:rsidRDefault="0080548E" w:rsidP="0080548E">
      <w:pPr>
        <w:pStyle w:val="a4"/>
        <w:spacing w:line="560" w:lineRule="exact"/>
        <w:ind w:left="630"/>
        <w:rPr>
          <w:rFonts w:ascii="楷体_GB2312" w:eastAsia="楷体_GB2312"/>
          <w:b/>
          <w:sz w:val="32"/>
          <w:szCs w:val="32"/>
        </w:rPr>
      </w:pPr>
      <w:r>
        <w:rPr>
          <w:rFonts w:ascii="楷体_GB2312" w:eastAsia="楷体_GB2312" w:hint="eastAsia"/>
          <w:b/>
          <w:sz w:val="32"/>
          <w:szCs w:val="32"/>
        </w:rPr>
        <w:t>（一）预算管理有待进一步规范</w:t>
      </w:r>
    </w:p>
    <w:p w:rsidR="0080548E" w:rsidRDefault="0080548E" w:rsidP="0080548E">
      <w:pPr>
        <w:spacing w:line="560" w:lineRule="exact"/>
        <w:ind w:firstLineChars="200" w:firstLine="643"/>
        <w:jc w:val="left"/>
        <w:rPr>
          <w:rFonts w:ascii="仿宋_GB2312" w:eastAsia="仿宋_GB2312"/>
          <w:sz w:val="32"/>
          <w:szCs w:val="32"/>
        </w:rPr>
      </w:pPr>
      <w:r>
        <w:rPr>
          <w:rFonts w:ascii="仿宋_GB2312" w:eastAsia="仿宋_GB2312" w:hint="eastAsia"/>
          <w:b/>
          <w:sz w:val="32"/>
          <w:szCs w:val="32"/>
        </w:rPr>
        <w:t>1.预算编制完整精准有待加强。一是</w:t>
      </w:r>
      <w:r>
        <w:rPr>
          <w:rFonts w:ascii="仿宋_GB2312" w:eastAsia="仿宋_GB2312" w:hint="eastAsia"/>
          <w:sz w:val="32"/>
          <w:szCs w:val="32"/>
        </w:rPr>
        <w:t>预算项目名称不清晰。125家单位的252个预算项目一级明细名称均为“中央和市级资金”“专项业务费”等,表述较为宽泛，未准确反映项目内容。</w:t>
      </w:r>
      <w:r>
        <w:rPr>
          <w:rFonts w:ascii="仿宋_GB2312" w:eastAsia="仿宋_GB2312" w:hint="eastAsia"/>
          <w:b/>
          <w:sz w:val="32"/>
          <w:szCs w:val="32"/>
        </w:rPr>
        <w:t>二</w:t>
      </w:r>
      <w:proofErr w:type="gramStart"/>
      <w:r>
        <w:rPr>
          <w:rFonts w:ascii="仿宋_GB2312" w:eastAsia="仿宋_GB2312" w:hint="eastAsia"/>
          <w:b/>
          <w:sz w:val="32"/>
          <w:szCs w:val="32"/>
        </w:rPr>
        <w:t>是</w:t>
      </w:r>
      <w:r>
        <w:rPr>
          <w:rFonts w:ascii="仿宋_GB2312" w:eastAsia="仿宋_GB2312" w:hint="eastAsia"/>
          <w:sz w:val="32"/>
          <w:szCs w:val="32"/>
        </w:rPr>
        <w:t>应编未编</w:t>
      </w:r>
      <w:proofErr w:type="gramEnd"/>
      <w:r>
        <w:rPr>
          <w:rFonts w:ascii="仿宋_GB2312" w:eastAsia="仿宋_GB2312" w:hint="eastAsia"/>
          <w:sz w:val="32"/>
          <w:szCs w:val="32"/>
        </w:rPr>
        <w:t>支出预算。4家单位的5个项目，根据区政府批复及合同约定能够确定2021年度发生的支出金额，但相关部门未将上述支出编入2021年度预算，涉及金额1968.29万元。</w:t>
      </w:r>
      <w:r>
        <w:rPr>
          <w:rFonts w:ascii="仿宋_GB2312" w:eastAsia="仿宋_GB2312" w:hint="eastAsia"/>
          <w:b/>
          <w:sz w:val="32"/>
          <w:szCs w:val="32"/>
        </w:rPr>
        <w:t>三是</w:t>
      </w:r>
      <w:r>
        <w:rPr>
          <w:rFonts w:ascii="仿宋_GB2312" w:eastAsia="仿宋_GB2312" w:hint="eastAsia"/>
          <w:sz w:val="32"/>
          <w:szCs w:val="32"/>
        </w:rPr>
        <w:t>预算编制不规范</w:t>
      </w:r>
      <w:r>
        <w:rPr>
          <w:rFonts w:ascii="仿宋_GB2312" w:eastAsia="仿宋_GB2312" w:hint="eastAsia"/>
          <w:b/>
          <w:sz w:val="32"/>
          <w:szCs w:val="32"/>
        </w:rPr>
        <w:t>。</w:t>
      </w:r>
      <w:r>
        <w:rPr>
          <w:rFonts w:ascii="仿宋_GB2312" w:eastAsia="仿宋_GB2312" w:hint="eastAsia"/>
          <w:sz w:val="32"/>
          <w:szCs w:val="32"/>
        </w:rPr>
        <w:t>26家单位在编制办公房屋维修费、租赁费和新</w:t>
      </w:r>
      <w:r>
        <w:rPr>
          <w:rFonts w:ascii="仿宋_GB2312" w:eastAsia="仿宋_GB2312" w:hint="eastAsia"/>
          <w:sz w:val="32"/>
          <w:szCs w:val="32"/>
        </w:rPr>
        <w:lastRenderedPageBreak/>
        <w:t>增公务车购置费预算时，未按规定同步向区财政局、区机管局报送预算绩效目标申报表，涉及金额992.45万元。</w:t>
      </w:r>
      <w:r>
        <w:rPr>
          <w:rFonts w:ascii="仿宋_GB2312" w:eastAsia="仿宋_GB2312" w:hint="eastAsia"/>
          <w:b/>
          <w:sz w:val="32"/>
          <w:szCs w:val="32"/>
        </w:rPr>
        <w:t>四是</w:t>
      </w:r>
      <w:r>
        <w:rPr>
          <w:rFonts w:ascii="仿宋_GB2312" w:eastAsia="仿宋_GB2312" w:hint="eastAsia"/>
          <w:sz w:val="32"/>
          <w:szCs w:val="32"/>
        </w:rPr>
        <w:t>收入预算不完整。</w:t>
      </w:r>
      <w:r>
        <w:rPr>
          <w:rFonts w:ascii="仿宋_GB2312" w:eastAsia="仿宋_GB2312" w:hAnsi="仿宋" w:hint="eastAsia"/>
          <w:sz w:val="32"/>
          <w:szCs w:val="32"/>
        </w:rPr>
        <w:t>1家单位未将市级部门拨入的非本级财政拨款收入纳入收入预算，涉及金额73.47万元。</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2.预算执行刚性约束有待强化。一是</w:t>
      </w:r>
      <w:r>
        <w:rPr>
          <w:rFonts w:ascii="仿宋_GB2312" w:eastAsia="仿宋_GB2312" w:hint="eastAsia"/>
          <w:sz w:val="32"/>
          <w:szCs w:val="32"/>
        </w:rPr>
        <w:t>支出未按预算执行。47家单位的92个预算项目执行过程中，未经规定程序调整改变原预算资金用途，涉及金额501.67万元。</w:t>
      </w:r>
      <w:r>
        <w:rPr>
          <w:rFonts w:ascii="仿宋_GB2312" w:eastAsia="仿宋_GB2312" w:hint="eastAsia"/>
          <w:b/>
          <w:sz w:val="32"/>
          <w:szCs w:val="32"/>
        </w:rPr>
        <w:t>二是</w:t>
      </w:r>
      <w:r>
        <w:rPr>
          <w:rFonts w:ascii="仿宋_GB2312" w:eastAsia="仿宋_GB2312" w:hint="eastAsia"/>
          <w:sz w:val="32"/>
          <w:szCs w:val="32"/>
        </w:rPr>
        <w:t>预算执行率偏低。12家单位的103个预算项目，因编制预算时未有效结合项目实施进度及未精确测算等原因，导致项目执行率偏低，涉及金额35754.10万元。其中60个项目执行率为零，涉及金额24544.34万元。</w:t>
      </w:r>
      <w:r>
        <w:rPr>
          <w:rFonts w:ascii="仿宋_GB2312" w:eastAsia="仿宋_GB2312" w:hint="eastAsia"/>
          <w:b/>
          <w:sz w:val="32"/>
          <w:szCs w:val="32"/>
        </w:rPr>
        <w:t>三是</w:t>
      </w:r>
      <w:r>
        <w:rPr>
          <w:rFonts w:ascii="仿宋_GB2312" w:eastAsia="仿宋_GB2312" w:hint="eastAsia"/>
          <w:sz w:val="32"/>
          <w:szCs w:val="32"/>
        </w:rPr>
        <w:t>公务用车运行维护费支出不规范</w:t>
      </w:r>
      <w:r>
        <w:rPr>
          <w:rFonts w:ascii="仿宋_GB2312" w:eastAsia="仿宋_GB2312" w:hint="eastAsia"/>
          <w:b/>
          <w:sz w:val="32"/>
          <w:szCs w:val="32"/>
        </w:rPr>
        <w:t>。</w:t>
      </w:r>
      <w:r>
        <w:rPr>
          <w:rFonts w:ascii="仿宋_GB2312" w:eastAsia="仿宋_GB2312" w:hint="eastAsia"/>
          <w:sz w:val="32"/>
          <w:szCs w:val="32"/>
        </w:rPr>
        <w:t>22家单位未按次结算公务用车运行维护费，而是年末集中支付相关费用，涉及金额82.07万元。</w:t>
      </w:r>
    </w:p>
    <w:p w:rsidR="0080548E" w:rsidRDefault="0080548E" w:rsidP="0080548E">
      <w:pPr>
        <w:pStyle w:val="a4"/>
        <w:spacing w:line="560" w:lineRule="exact"/>
        <w:ind w:firstLine="660"/>
        <w:rPr>
          <w:rFonts w:ascii="楷体_GB2312" w:eastAsia="楷体_GB2312"/>
          <w:b/>
          <w:sz w:val="32"/>
          <w:szCs w:val="32"/>
        </w:rPr>
      </w:pPr>
      <w:r>
        <w:rPr>
          <w:rFonts w:ascii="楷体_GB2312" w:eastAsia="楷体_GB2312" w:hint="eastAsia"/>
          <w:b/>
          <w:sz w:val="32"/>
          <w:szCs w:val="32"/>
        </w:rPr>
        <w:t>（二）绩效管理有待进一步加强</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1.财政绩效管理工作不够到位。一是</w:t>
      </w:r>
      <w:r>
        <w:rPr>
          <w:rFonts w:ascii="仿宋_GB2312" w:eastAsia="仿宋_GB2312" w:hint="eastAsia"/>
          <w:sz w:val="32"/>
          <w:szCs w:val="32"/>
        </w:rPr>
        <w:t>绩效目标不清晰。42家单位的89个项目绩效目标和指标设置不够细化、量化，缺乏可操作性。</w:t>
      </w:r>
      <w:r>
        <w:rPr>
          <w:rFonts w:ascii="仿宋_GB2312" w:eastAsia="仿宋_GB2312" w:hint="eastAsia"/>
          <w:b/>
          <w:sz w:val="32"/>
          <w:szCs w:val="32"/>
        </w:rPr>
        <w:t>二是</w:t>
      </w:r>
      <w:r>
        <w:rPr>
          <w:rFonts w:ascii="仿宋_GB2312" w:eastAsia="仿宋_GB2312" w:hint="eastAsia"/>
          <w:sz w:val="32"/>
          <w:szCs w:val="32"/>
        </w:rPr>
        <w:t>绩效评分不</w:t>
      </w:r>
      <w:r w:rsidR="00314566">
        <w:rPr>
          <w:rFonts w:ascii="仿宋_GB2312" w:eastAsia="仿宋_GB2312" w:hint="eastAsia"/>
          <w:sz w:val="32"/>
          <w:szCs w:val="32"/>
        </w:rPr>
        <w:t>匹配</w:t>
      </w:r>
      <w:r>
        <w:rPr>
          <w:rFonts w:ascii="仿宋_GB2312" w:eastAsia="仿宋_GB2312" w:hint="eastAsia"/>
          <w:sz w:val="32"/>
          <w:szCs w:val="32"/>
        </w:rPr>
        <w:t>。9家单位的17个项目预算执行率较低，但相应指标自</w:t>
      </w:r>
      <w:proofErr w:type="gramStart"/>
      <w:r>
        <w:rPr>
          <w:rFonts w:ascii="仿宋_GB2312" w:eastAsia="仿宋_GB2312" w:hint="eastAsia"/>
          <w:sz w:val="32"/>
          <w:szCs w:val="32"/>
        </w:rPr>
        <w:t>评分仍</w:t>
      </w:r>
      <w:proofErr w:type="gramEnd"/>
      <w:r>
        <w:rPr>
          <w:rFonts w:ascii="仿宋_GB2312" w:eastAsia="仿宋_GB2312" w:hint="eastAsia"/>
          <w:sz w:val="32"/>
          <w:szCs w:val="32"/>
        </w:rPr>
        <w:t>高于90分。</w:t>
      </w:r>
      <w:r>
        <w:rPr>
          <w:rFonts w:ascii="仿宋_GB2312" w:eastAsia="仿宋_GB2312" w:hint="eastAsia"/>
          <w:b/>
          <w:sz w:val="32"/>
          <w:szCs w:val="32"/>
        </w:rPr>
        <w:t>三是</w:t>
      </w:r>
      <w:r>
        <w:rPr>
          <w:rFonts w:ascii="仿宋_GB2312" w:eastAsia="仿宋_GB2312" w:hint="eastAsia"/>
          <w:sz w:val="32"/>
          <w:szCs w:val="32"/>
        </w:rPr>
        <w:t>结果运用不明显。18家单位的65个项目偏离绩效目标较大，但</w:t>
      </w:r>
      <w:proofErr w:type="gramStart"/>
      <w:r>
        <w:rPr>
          <w:rFonts w:ascii="仿宋_GB2312" w:eastAsia="仿宋_GB2312" w:hint="eastAsia"/>
          <w:sz w:val="32"/>
          <w:szCs w:val="32"/>
        </w:rPr>
        <w:t>自评价</w:t>
      </w:r>
      <w:proofErr w:type="gramEnd"/>
      <w:r>
        <w:rPr>
          <w:rFonts w:ascii="仿宋_GB2312" w:eastAsia="仿宋_GB2312" w:hint="eastAsia"/>
          <w:sz w:val="32"/>
          <w:szCs w:val="32"/>
        </w:rPr>
        <w:t>中未对偏差原因进行分析和说明，其评价结果无法起到完善政策和改进管理的作用。</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2.</w:t>
      </w:r>
      <w:r w:rsidR="00F1123D">
        <w:rPr>
          <w:rFonts w:ascii="仿宋_GB2312" w:eastAsia="仿宋_GB2312" w:hint="eastAsia"/>
          <w:b/>
          <w:sz w:val="32"/>
          <w:szCs w:val="32"/>
        </w:rPr>
        <w:t>项目预算</w:t>
      </w:r>
      <w:r>
        <w:rPr>
          <w:rFonts w:ascii="仿宋_GB2312" w:eastAsia="仿宋_GB2312" w:hint="eastAsia"/>
          <w:b/>
          <w:sz w:val="32"/>
          <w:szCs w:val="32"/>
        </w:rPr>
        <w:t>评审制度不够健全。</w:t>
      </w:r>
      <w:r>
        <w:rPr>
          <w:rFonts w:ascii="仿宋_GB2312" w:eastAsia="仿宋_GB2312" w:hint="eastAsia"/>
          <w:sz w:val="32"/>
          <w:szCs w:val="32"/>
        </w:rPr>
        <w:t>截至2021年末，区财政局</w:t>
      </w:r>
      <w:r>
        <w:rPr>
          <w:rFonts w:ascii="仿宋_GB2312" w:eastAsia="仿宋_GB2312" w:hint="eastAsia"/>
          <w:sz w:val="32"/>
          <w:szCs w:val="32"/>
        </w:rPr>
        <w:lastRenderedPageBreak/>
        <w:t>尚未制定本区</w:t>
      </w:r>
      <w:r w:rsidR="00F1123D">
        <w:rPr>
          <w:rFonts w:ascii="仿宋_GB2312" w:eastAsia="仿宋_GB2312" w:hint="eastAsia"/>
          <w:sz w:val="32"/>
          <w:szCs w:val="32"/>
        </w:rPr>
        <w:t>项目预算</w:t>
      </w:r>
      <w:r>
        <w:rPr>
          <w:rFonts w:ascii="仿宋_GB2312" w:eastAsia="仿宋_GB2312" w:hint="eastAsia"/>
          <w:sz w:val="32"/>
          <w:szCs w:val="32"/>
        </w:rPr>
        <w:t>评审管理相关制度及操作细则，未对</w:t>
      </w:r>
      <w:r w:rsidR="00F1123D">
        <w:rPr>
          <w:rFonts w:ascii="仿宋_GB2312" w:eastAsia="仿宋_GB2312" w:hint="eastAsia"/>
          <w:sz w:val="32"/>
          <w:szCs w:val="32"/>
        </w:rPr>
        <w:t>项目预算</w:t>
      </w:r>
      <w:r>
        <w:rPr>
          <w:rFonts w:ascii="仿宋_GB2312" w:eastAsia="仿宋_GB2312" w:hint="eastAsia"/>
          <w:sz w:val="32"/>
          <w:szCs w:val="32"/>
        </w:rPr>
        <w:t>评审覆盖范围、评审周期、专家选取和评审要求等</w:t>
      </w:r>
      <w:proofErr w:type="gramStart"/>
      <w:r>
        <w:rPr>
          <w:rFonts w:ascii="仿宋_GB2312" w:eastAsia="仿宋_GB2312" w:hint="eastAsia"/>
          <w:sz w:val="32"/>
          <w:szCs w:val="32"/>
        </w:rPr>
        <w:t>作出</w:t>
      </w:r>
      <w:proofErr w:type="gramEnd"/>
      <w:r>
        <w:rPr>
          <w:rFonts w:ascii="仿宋_GB2312" w:eastAsia="仿宋_GB2312" w:hint="eastAsia"/>
          <w:sz w:val="32"/>
          <w:szCs w:val="32"/>
        </w:rPr>
        <w:t>具体规定。</w:t>
      </w:r>
    </w:p>
    <w:p w:rsidR="0080548E" w:rsidRDefault="0080548E" w:rsidP="0080548E">
      <w:pPr>
        <w:pStyle w:val="a4"/>
        <w:spacing w:line="560" w:lineRule="exact"/>
        <w:ind w:firstLine="660"/>
        <w:rPr>
          <w:rFonts w:ascii="楷体_GB2312" w:eastAsia="楷体_GB2312"/>
          <w:b/>
          <w:sz w:val="32"/>
          <w:szCs w:val="32"/>
        </w:rPr>
      </w:pPr>
      <w:r>
        <w:rPr>
          <w:rFonts w:ascii="楷体_GB2312" w:eastAsia="楷体_GB2312" w:hint="eastAsia"/>
          <w:b/>
          <w:sz w:val="32"/>
          <w:szCs w:val="32"/>
        </w:rPr>
        <w:t>（三）资产管理有待进一步完善</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1.“五项资产”</w:t>
      </w:r>
      <w:r>
        <w:rPr>
          <w:rStyle w:val="a9"/>
          <w:rFonts w:ascii="仿宋_GB2312" w:eastAsia="仿宋_GB2312"/>
          <w:b/>
          <w:sz w:val="32"/>
          <w:szCs w:val="32"/>
        </w:rPr>
        <w:footnoteReference w:id="2"/>
      </w:r>
      <w:r>
        <w:rPr>
          <w:rFonts w:ascii="仿宋_GB2312" w:eastAsia="仿宋_GB2312" w:hint="eastAsia"/>
          <w:b/>
          <w:sz w:val="32"/>
          <w:szCs w:val="32"/>
        </w:rPr>
        <w:t>管理不够规范。一是</w:t>
      </w:r>
      <w:r>
        <w:rPr>
          <w:rFonts w:ascii="仿宋_GB2312" w:eastAsia="仿宋_GB2312" w:hint="eastAsia"/>
          <w:sz w:val="32"/>
          <w:szCs w:val="32"/>
        </w:rPr>
        <w:t>新购资产未按规定申报</w:t>
      </w:r>
      <w:r>
        <w:rPr>
          <w:rFonts w:ascii="仿宋_GB2312" w:eastAsia="仿宋_GB2312" w:hint="eastAsia"/>
          <w:b/>
          <w:sz w:val="32"/>
          <w:szCs w:val="32"/>
        </w:rPr>
        <w:t>。</w:t>
      </w:r>
      <w:r>
        <w:rPr>
          <w:rFonts w:ascii="仿宋_GB2312" w:eastAsia="仿宋_GB2312" w:hint="eastAsia"/>
          <w:sz w:val="32"/>
          <w:szCs w:val="32"/>
        </w:rPr>
        <w:t>17家单位购置机动车等“五项资产”时，未按本区资产动态管理相关规定向区财政局申报，涉及机动车22辆、计算机等设备278台，涉及金额1309.37万元。</w:t>
      </w:r>
      <w:r>
        <w:rPr>
          <w:rFonts w:ascii="仿宋_GB2312" w:eastAsia="仿宋_GB2312" w:hint="eastAsia"/>
          <w:b/>
          <w:sz w:val="32"/>
          <w:szCs w:val="32"/>
        </w:rPr>
        <w:t>二是</w:t>
      </w:r>
      <w:r>
        <w:rPr>
          <w:rFonts w:ascii="仿宋_GB2312" w:eastAsia="仿宋_GB2312" w:hint="eastAsia"/>
          <w:sz w:val="32"/>
          <w:szCs w:val="32"/>
        </w:rPr>
        <w:t>新购资产未及时登记。3家单位在购置计算机等资产后未在资产管理系统中及时登记，涉及设备49台。</w:t>
      </w:r>
      <w:r>
        <w:rPr>
          <w:rFonts w:ascii="仿宋_GB2312" w:eastAsia="仿宋_GB2312" w:hint="eastAsia"/>
          <w:b/>
          <w:sz w:val="32"/>
          <w:szCs w:val="32"/>
        </w:rPr>
        <w:t>三是</w:t>
      </w:r>
      <w:r>
        <w:rPr>
          <w:rFonts w:ascii="仿宋_GB2312" w:eastAsia="仿宋_GB2312" w:hint="eastAsia"/>
          <w:sz w:val="32"/>
          <w:szCs w:val="32"/>
        </w:rPr>
        <w:t>资产未及时处置。13家单位新购置计算机后，未将对应的旧设备及时处置，导致资产系统显示相关单位人均计算机配置超标。</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2.</w:t>
      </w:r>
      <w:proofErr w:type="gramStart"/>
      <w:r>
        <w:rPr>
          <w:rFonts w:ascii="仿宋_GB2312" w:eastAsia="仿宋_GB2312" w:hint="eastAsia"/>
          <w:b/>
          <w:sz w:val="32"/>
          <w:szCs w:val="32"/>
        </w:rPr>
        <w:t>资产台账信息</w:t>
      </w:r>
      <w:proofErr w:type="gramEnd"/>
      <w:r>
        <w:rPr>
          <w:rFonts w:ascii="仿宋_GB2312" w:eastAsia="仿宋_GB2312" w:hint="eastAsia"/>
          <w:b/>
          <w:sz w:val="32"/>
          <w:szCs w:val="32"/>
        </w:rPr>
        <w:t>不够</w:t>
      </w:r>
      <w:r w:rsidR="009B1D36">
        <w:rPr>
          <w:rFonts w:ascii="仿宋_GB2312" w:eastAsia="仿宋_GB2312" w:hint="eastAsia"/>
          <w:b/>
          <w:sz w:val="32"/>
          <w:szCs w:val="32"/>
        </w:rPr>
        <w:t>完整</w:t>
      </w:r>
      <w:r>
        <w:rPr>
          <w:rFonts w:ascii="仿宋_GB2312" w:eastAsia="仿宋_GB2312" w:hint="eastAsia"/>
          <w:b/>
          <w:sz w:val="32"/>
          <w:szCs w:val="32"/>
        </w:rPr>
        <w:t>。一是</w:t>
      </w:r>
      <w:proofErr w:type="gramStart"/>
      <w:r>
        <w:rPr>
          <w:rFonts w:ascii="仿宋_GB2312" w:eastAsia="仿宋_GB2312" w:hint="eastAsia"/>
          <w:sz w:val="32"/>
          <w:szCs w:val="32"/>
        </w:rPr>
        <w:t>资产台账与</w:t>
      </w:r>
      <w:proofErr w:type="gramEnd"/>
      <w:r>
        <w:rPr>
          <w:rFonts w:ascii="仿宋_GB2312" w:eastAsia="仿宋_GB2312" w:hint="eastAsia"/>
          <w:sz w:val="32"/>
          <w:szCs w:val="32"/>
        </w:rPr>
        <w:t>实际不一致。2家单位资产管理系统中资产原值与实际账面原值不一致。</w:t>
      </w:r>
      <w:r>
        <w:rPr>
          <w:rFonts w:ascii="仿宋_GB2312" w:eastAsia="仿宋_GB2312" w:hint="eastAsia"/>
          <w:b/>
          <w:sz w:val="32"/>
          <w:szCs w:val="32"/>
        </w:rPr>
        <w:t>二是</w:t>
      </w:r>
      <w:r>
        <w:rPr>
          <w:rFonts w:ascii="仿宋_GB2312" w:eastAsia="仿宋_GB2312" w:hint="eastAsia"/>
          <w:sz w:val="32"/>
          <w:szCs w:val="32"/>
        </w:rPr>
        <w:t>资产使用状态不准确。26家单位近三年未将新购资产使用情况在资产管理系统中及时更新，系统仍显示新购资产为“闲置”状态；18家单位未将资产出租、出借状态及时在资产管理系统中进行登记。</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3.项目资产确认不够及时。一是</w:t>
      </w:r>
      <w:r>
        <w:rPr>
          <w:rFonts w:ascii="仿宋_GB2312" w:eastAsia="仿宋_GB2312" w:hint="eastAsia"/>
          <w:sz w:val="32"/>
          <w:szCs w:val="32"/>
        </w:rPr>
        <w:t>基本建设项目。14家单位实施的“上海市实验学校附属东滩学校建设工程（一期）”等建设项目，竣工验收通过并交付使用后未及时计入固定资产，涉及</w:t>
      </w:r>
      <w:r>
        <w:rPr>
          <w:rFonts w:ascii="仿宋_GB2312" w:eastAsia="仿宋_GB2312" w:hint="eastAsia"/>
          <w:sz w:val="32"/>
          <w:szCs w:val="32"/>
        </w:rPr>
        <w:lastRenderedPageBreak/>
        <w:t>金额112205.92万元。</w:t>
      </w:r>
      <w:r>
        <w:rPr>
          <w:rFonts w:ascii="仿宋_GB2312" w:eastAsia="仿宋_GB2312" w:hint="eastAsia"/>
          <w:b/>
          <w:sz w:val="32"/>
          <w:szCs w:val="32"/>
        </w:rPr>
        <w:t>二是</w:t>
      </w:r>
      <w:r>
        <w:rPr>
          <w:rFonts w:ascii="仿宋_GB2312" w:eastAsia="仿宋_GB2312" w:hint="eastAsia"/>
          <w:sz w:val="32"/>
          <w:szCs w:val="32"/>
        </w:rPr>
        <w:t>信息化项目。5家单位实施的“数据通信网络基础平台”等信息化项目，验收通过并交付使用后未及时计入无形资产，涉及金额1875.58万元。</w:t>
      </w:r>
    </w:p>
    <w:p w:rsidR="0080548E" w:rsidRDefault="0080548E" w:rsidP="0080548E">
      <w:pPr>
        <w:pStyle w:val="a4"/>
        <w:spacing w:line="560" w:lineRule="exact"/>
        <w:ind w:firstLine="660"/>
        <w:rPr>
          <w:rFonts w:ascii="楷体_GB2312" w:eastAsia="楷体_GB2312"/>
          <w:b/>
          <w:sz w:val="32"/>
          <w:szCs w:val="32"/>
        </w:rPr>
      </w:pPr>
      <w:r>
        <w:rPr>
          <w:rFonts w:ascii="楷体_GB2312" w:eastAsia="楷体_GB2312" w:hint="eastAsia"/>
          <w:b/>
          <w:sz w:val="32"/>
          <w:szCs w:val="32"/>
        </w:rPr>
        <w:t>（四）财政监管有待进一步强化</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1.社保减免资金收回不够及时。</w:t>
      </w:r>
      <w:r>
        <w:rPr>
          <w:rFonts w:ascii="仿宋_GB2312" w:eastAsia="仿宋_GB2312" w:hint="eastAsia"/>
          <w:sz w:val="32"/>
          <w:szCs w:val="32"/>
        </w:rPr>
        <w:t>21所学校</w:t>
      </w:r>
      <w:r w:rsidR="00D61042">
        <w:rPr>
          <w:rFonts w:ascii="仿宋_GB2312" w:eastAsia="仿宋_GB2312" w:hint="eastAsia"/>
          <w:sz w:val="32"/>
          <w:szCs w:val="32"/>
        </w:rPr>
        <w:t>近几年</w:t>
      </w:r>
      <w:r>
        <w:rPr>
          <w:rFonts w:ascii="仿宋_GB2312" w:eastAsia="仿宋_GB2312" w:hint="eastAsia"/>
          <w:sz w:val="32"/>
          <w:szCs w:val="32"/>
        </w:rPr>
        <w:t>支付的聘用人员社保费，因社保缴费政策调整导致减免部分资金结存在相关劳务公司，截至2022年5月底，仍有120.04万元未及时收回。</w:t>
      </w:r>
    </w:p>
    <w:p w:rsidR="0080548E" w:rsidRDefault="0080548E" w:rsidP="0080548E">
      <w:pPr>
        <w:spacing w:line="560" w:lineRule="exact"/>
        <w:ind w:firstLineChars="200" w:firstLine="643"/>
        <w:rPr>
          <w:rFonts w:ascii="仿宋_GB2312" w:eastAsia="仿宋_GB2312"/>
          <w:sz w:val="32"/>
          <w:szCs w:val="32"/>
        </w:rPr>
      </w:pPr>
      <w:r>
        <w:rPr>
          <w:rFonts w:ascii="仿宋_GB2312" w:eastAsia="仿宋_GB2312" w:hint="eastAsia"/>
          <w:b/>
          <w:sz w:val="32"/>
          <w:szCs w:val="32"/>
        </w:rPr>
        <w:t>2.政府采购</w:t>
      </w:r>
      <w:r w:rsidR="00E66AAE">
        <w:rPr>
          <w:rFonts w:ascii="仿宋_GB2312" w:eastAsia="仿宋_GB2312" w:hint="eastAsia"/>
          <w:b/>
          <w:sz w:val="32"/>
          <w:szCs w:val="32"/>
        </w:rPr>
        <w:t>执行</w:t>
      </w:r>
      <w:r>
        <w:rPr>
          <w:rFonts w:ascii="仿宋_GB2312" w:eastAsia="仿宋_GB2312" w:hint="eastAsia"/>
          <w:b/>
          <w:sz w:val="32"/>
          <w:szCs w:val="32"/>
        </w:rPr>
        <w:t>不够到位。一是</w:t>
      </w:r>
      <w:r>
        <w:rPr>
          <w:rFonts w:ascii="仿宋_GB2312" w:eastAsia="仿宋_GB2312" w:hint="eastAsia"/>
          <w:sz w:val="32"/>
          <w:szCs w:val="32"/>
        </w:rPr>
        <w:t>未执行政府采购制度。15家单位的部分购买服务项目和设备购置项目未通过政府采购平台线上集中采购，涉及金额47.17万元。</w:t>
      </w:r>
      <w:r>
        <w:rPr>
          <w:rFonts w:ascii="仿宋_GB2312" w:eastAsia="仿宋_GB2312" w:hint="eastAsia"/>
          <w:b/>
          <w:color w:val="000000"/>
          <w:sz w:val="32"/>
          <w:szCs w:val="32"/>
        </w:rPr>
        <w:t>二是</w:t>
      </w:r>
      <w:r>
        <w:rPr>
          <w:rFonts w:ascii="仿宋_GB2312" w:eastAsia="仿宋_GB2312" w:hint="eastAsia"/>
          <w:color w:val="000000"/>
          <w:sz w:val="32"/>
          <w:szCs w:val="32"/>
        </w:rPr>
        <w:t>购买服务跟踪管理不到位。1家单位购买第三</w:t>
      </w:r>
      <w:proofErr w:type="gramStart"/>
      <w:r>
        <w:rPr>
          <w:rFonts w:ascii="仿宋_GB2312" w:eastAsia="仿宋_GB2312" w:hint="eastAsia"/>
          <w:color w:val="000000"/>
          <w:sz w:val="32"/>
          <w:szCs w:val="32"/>
        </w:rPr>
        <w:t>方服务</w:t>
      </w:r>
      <w:proofErr w:type="gramEnd"/>
      <w:r>
        <w:rPr>
          <w:rFonts w:ascii="仿宋_GB2312" w:eastAsia="仿宋_GB2312" w:hint="eastAsia"/>
          <w:color w:val="000000"/>
          <w:sz w:val="32"/>
          <w:szCs w:val="32"/>
        </w:rPr>
        <w:t>后，未定期对第三方机构提供服务内容进行监督和检查，审计抽查发现，第三方机构的</w:t>
      </w:r>
      <w:proofErr w:type="gramStart"/>
      <w:r>
        <w:rPr>
          <w:rFonts w:ascii="仿宋_GB2312" w:eastAsia="仿宋_GB2312" w:hint="eastAsia"/>
          <w:color w:val="000000"/>
          <w:sz w:val="32"/>
          <w:szCs w:val="32"/>
        </w:rPr>
        <w:t>服务台账所记录</w:t>
      </w:r>
      <w:proofErr w:type="gramEnd"/>
      <w:r>
        <w:rPr>
          <w:rFonts w:ascii="仿宋_GB2312" w:eastAsia="仿宋_GB2312" w:hint="eastAsia"/>
          <w:color w:val="000000"/>
          <w:sz w:val="32"/>
          <w:szCs w:val="32"/>
        </w:rPr>
        <w:t>的内容不准确。</w:t>
      </w:r>
    </w:p>
    <w:p w:rsidR="0080548E" w:rsidRDefault="0080548E" w:rsidP="0080548E">
      <w:pPr>
        <w:spacing w:line="560" w:lineRule="exact"/>
        <w:ind w:firstLineChars="200" w:firstLine="640"/>
        <w:rPr>
          <w:rFonts w:ascii="黑体" w:eastAsia="黑体" w:hAnsi="黑体"/>
          <w:sz w:val="32"/>
          <w:szCs w:val="32"/>
        </w:rPr>
      </w:pPr>
      <w:r>
        <w:rPr>
          <w:rFonts w:ascii="黑体" w:eastAsia="黑体" w:hAnsi="黑体" w:hint="eastAsia"/>
          <w:sz w:val="32"/>
          <w:szCs w:val="32"/>
        </w:rPr>
        <w:t>二、部门预算执行审计情况</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sz w:val="32"/>
          <w:szCs w:val="32"/>
        </w:rPr>
        <w:t>根据年度审计计划安排，对区残联、区科委（含区科协）、区人力资源社会保障局、区生态环境局及区行政服务中心等6个部门2021年度预算执行和其他财政收支情况进行了审计，并对33个所属单位进行了延伸审计，审计各类资金总额96048.87万元。审计结果表明，部门预算执行总体情况较好。审计查出的主要问题：</w:t>
      </w:r>
    </w:p>
    <w:p w:rsidR="0080548E" w:rsidRDefault="0080548E" w:rsidP="0080548E">
      <w:pPr>
        <w:pStyle w:val="a4"/>
        <w:spacing w:line="560" w:lineRule="exact"/>
        <w:ind w:firstLineChars="196" w:firstLine="630"/>
        <w:rPr>
          <w:rFonts w:ascii="楷体_GB2312" w:eastAsia="楷体_GB2312"/>
          <w:b/>
          <w:sz w:val="32"/>
          <w:szCs w:val="32"/>
        </w:rPr>
      </w:pPr>
      <w:r>
        <w:rPr>
          <w:rFonts w:ascii="楷体_GB2312" w:eastAsia="楷体_GB2312" w:hint="eastAsia"/>
          <w:b/>
          <w:sz w:val="32"/>
          <w:szCs w:val="32"/>
        </w:rPr>
        <w:t>（一）政策措施有待进一步落实</w:t>
      </w:r>
    </w:p>
    <w:p w:rsidR="0080548E" w:rsidRDefault="0080548E" w:rsidP="0080548E">
      <w:pPr>
        <w:pStyle w:val="a4"/>
        <w:spacing w:line="560" w:lineRule="exact"/>
        <w:ind w:firstLine="660"/>
        <w:rPr>
          <w:rFonts w:ascii="仿宋_GB2312" w:eastAsia="仿宋_GB2312"/>
          <w:b/>
          <w:sz w:val="32"/>
          <w:szCs w:val="32"/>
        </w:rPr>
      </w:pPr>
      <w:r>
        <w:rPr>
          <w:rFonts w:ascii="仿宋_GB2312" w:eastAsia="仿宋_GB2312" w:hint="eastAsia"/>
          <w:b/>
          <w:sz w:val="32"/>
          <w:szCs w:val="32"/>
        </w:rPr>
        <w:t>1.管理制度不够健全。</w:t>
      </w:r>
      <w:r>
        <w:rPr>
          <w:rFonts w:ascii="仿宋_GB2312" w:eastAsia="仿宋_GB2312" w:hint="eastAsia"/>
          <w:sz w:val="32"/>
          <w:szCs w:val="32"/>
        </w:rPr>
        <w:t>区残联未制定残疾人居家养护志愿者</w:t>
      </w:r>
      <w:r>
        <w:rPr>
          <w:rFonts w:ascii="仿宋_GB2312" w:eastAsia="仿宋_GB2312" w:hint="eastAsia"/>
          <w:sz w:val="32"/>
          <w:szCs w:val="32"/>
        </w:rPr>
        <w:lastRenderedPageBreak/>
        <w:t>服务管理制度，未对志愿者招录流程、资格条件和监督检查等</w:t>
      </w:r>
      <w:proofErr w:type="gramStart"/>
      <w:r>
        <w:rPr>
          <w:rFonts w:ascii="仿宋_GB2312" w:eastAsia="仿宋_GB2312" w:hint="eastAsia"/>
          <w:sz w:val="32"/>
          <w:szCs w:val="32"/>
        </w:rPr>
        <w:t>作出</w:t>
      </w:r>
      <w:proofErr w:type="gramEnd"/>
      <w:r>
        <w:rPr>
          <w:rFonts w:ascii="仿宋_GB2312" w:eastAsia="仿宋_GB2312" w:hint="eastAsia"/>
          <w:sz w:val="32"/>
          <w:szCs w:val="32"/>
        </w:rPr>
        <w:t>具体规定。审计抽查发现，全区部分志愿者条件与招录要求不符。</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2.政策监管不够有力。</w:t>
      </w:r>
      <w:r>
        <w:rPr>
          <w:rFonts w:ascii="仿宋_GB2312" w:eastAsia="仿宋_GB2312" w:hint="eastAsia"/>
          <w:sz w:val="32"/>
          <w:szCs w:val="32"/>
        </w:rPr>
        <w:t>区生态环境局对环境保护政策监管不到位。对2个已竣工建设项目未督促建设单位及时落实竣工环保验收；个别排污企业未及时办理排污许可证，部分排污企业未按规定在全国排污许可证管理信息平台上传自行监测信息。</w:t>
      </w:r>
    </w:p>
    <w:p w:rsidR="0080548E" w:rsidRDefault="0080548E" w:rsidP="0080548E">
      <w:pPr>
        <w:pStyle w:val="a4"/>
        <w:spacing w:line="560" w:lineRule="exact"/>
        <w:ind w:firstLine="660"/>
        <w:rPr>
          <w:rFonts w:ascii="仿宋_GB2312" w:eastAsia="仿宋_GB2312"/>
          <w:sz w:val="32"/>
          <w:szCs w:val="32"/>
        </w:rPr>
      </w:pPr>
      <w:r>
        <w:rPr>
          <w:rFonts w:ascii="仿宋_GB2312" w:eastAsia="仿宋_GB2312" w:hint="eastAsia"/>
          <w:b/>
          <w:sz w:val="32"/>
          <w:szCs w:val="32"/>
        </w:rPr>
        <w:t>3.后续跟踪不够到位。一是</w:t>
      </w:r>
      <w:r>
        <w:rPr>
          <w:rFonts w:ascii="仿宋_GB2312" w:eastAsia="仿宋_GB2312" w:hint="eastAsia"/>
          <w:sz w:val="32"/>
          <w:szCs w:val="32"/>
        </w:rPr>
        <w:t>定向培训政策后期跟踪管理不到位。区人力资源社会保障局提供经费，用于相关培训机构对拟招聘录用人员实施技能定向培训，但培训对象中有</w:t>
      </w:r>
      <w:r>
        <w:rPr>
          <w:rFonts w:ascii="仿宋_GB2312" w:eastAsia="仿宋_GB2312" w:hAnsi="仿宋" w:cs="仿宋_GB2312"/>
          <w:color w:val="000000"/>
          <w:sz w:val="32"/>
          <w:szCs w:val="32"/>
        </w:rPr>
        <w:t>13</w:t>
      </w:r>
      <w:r>
        <w:rPr>
          <w:rFonts w:ascii="仿宋_GB2312" w:eastAsia="仿宋_GB2312" w:hAnsi="仿宋" w:cs="仿宋_GB2312" w:hint="eastAsia"/>
          <w:color w:val="000000"/>
          <w:sz w:val="32"/>
          <w:szCs w:val="32"/>
        </w:rPr>
        <w:t>人未被录用在定向单位，</w:t>
      </w:r>
      <w:r>
        <w:rPr>
          <w:rFonts w:ascii="仿宋_GB2312" w:eastAsia="仿宋_GB2312" w:hAnsi="仿宋" w:cs="仿宋_GB2312"/>
          <w:color w:val="000000"/>
          <w:sz w:val="32"/>
          <w:szCs w:val="32"/>
        </w:rPr>
        <w:t>64</w:t>
      </w:r>
      <w:r>
        <w:rPr>
          <w:rFonts w:ascii="仿宋_GB2312" w:eastAsia="仿宋_GB2312" w:hAnsi="仿宋" w:cs="仿宋_GB2312" w:hint="eastAsia"/>
          <w:color w:val="000000"/>
          <w:sz w:val="32"/>
          <w:szCs w:val="32"/>
        </w:rPr>
        <w:t>人未被录用于定向岗位。</w:t>
      </w:r>
      <w:r>
        <w:rPr>
          <w:rFonts w:ascii="仿宋_GB2312" w:eastAsia="仿宋_GB2312" w:hint="eastAsia"/>
          <w:b/>
          <w:sz w:val="32"/>
          <w:szCs w:val="32"/>
        </w:rPr>
        <w:t>二是</w:t>
      </w:r>
      <w:r>
        <w:rPr>
          <w:rFonts w:ascii="仿宋_GB2312" w:eastAsia="仿宋_GB2312" w:hint="eastAsia"/>
          <w:sz w:val="32"/>
          <w:szCs w:val="32"/>
        </w:rPr>
        <w:t>评估结果未有效运用。区残联委托第三方公司对54家扶残涉农经济组织进行督查评估，评估报告反映部分扶残涉农经济组织存在劳动用工不规范等问题，但在审核相关扶残涉农经济组织补贴时，未充分运用第三方评估结果。</w:t>
      </w:r>
    </w:p>
    <w:p w:rsidR="0080548E" w:rsidRDefault="0080548E" w:rsidP="0080548E">
      <w:pPr>
        <w:pStyle w:val="a4"/>
        <w:spacing w:line="560" w:lineRule="exact"/>
        <w:ind w:firstLine="660"/>
        <w:rPr>
          <w:rFonts w:ascii="楷体_GB2312" w:eastAsia="楷体_GB2312"/>
          <w:b/>
          <w:sz w:val="32"/>
          <w:szCs w:val="32"/>
        </w:rPr>
      </w:pPr>
      <w:r>
        <w:rPr>
          <w:rFonts w:ascii="楷体_GB2312" w:eastAsia="楷体_GB2312" w:hint="eastAsia"/>
          <w:b/>
          <w:sz w:val="32"/>
          <w:szCs w:val="32"/>
        </w:rPr>
        <w:t>（二）预算管理有待进一步规范</w:t>
      </w:r>
    </w:p>
    <w:p w:rsidR="0080548E" w:rsidRDefault="0080548E" w:rsidP="0080548E">
      <w:pPr>
        <w:spacing w:line="560" w:lineRule="exact"/>
        <w:ind w:firstLineChars="196" w:firstLine="630"/>
        <w:rPr>
          <w:rFonts w:ascii="仿宋_GB2312" w:eastAsia="仿宋_GB2312"/>
          <w:sz w:val="32"/>
          <w:szCs w:val="32"/>
        </w:rPr>
      </w:pPr>
      <w:r>
        <w:rPr>
          <w:rFonts w:ascii="仿宋_GB2312" w:eastAsia="仿宋_GB2312" w:hint="eastAsia"/>
          <w:b/>
          <w:sz w:val="32"/>
          <w:szCs w:val="32"/>
        </w:rPr>
        <w:t>1.收入征收不够及时。</w:t>
      </w:r>
      <w:r>
        <w:rPr>
          <w:rFonts w:ascii="仿宋_GB2312" w:eastAsia="仿宋_GB2312" w:hint="eastAsia"/>
          <w:sz w:val="32"/>
          <w:szCs w:val="32"/>
        </w:rPr>
        <w:t>区生态环境局2020—2021年度开具的行政处罚决定书中，有54份超规定缴款期限仍未收缴，涉及金额1667.32万元。</w:t>
      </w:r>
    </w:p>
    <w:p w:rsidR="0080548E" w:rsidRDefault="0080548E" w:rsidP="0080548E">
      <w:pPr>
        <w:spacing w:line="560" w:lineRule="exact"/>
        <w:ind w:firstLineChars="196" w:firstLine="630"/>
        <w:rPr>
          <w:rFonts w:ascii="仿宋_GB2312" w:eastAsia="仿宋_GB2312"/>
          <w:sz w:val="32"/>
          <w:szCs w:val="32"/>
        </w:rPr>
      </w:pPr>
      <w:r>
        <w:rPr>
          <w:rFonts w:ascii="仿宋_GB2312" w:eastAsia="仿宋_GB2312" w:hint="eastAsia"/>
          <w:b/>
          <w:sz w:val="32"/>
          <w:szCs w:val="32"/>
        </w:rPr>
        <w:t>2.资金拨付不够严格。一是</w:t>
      </w:r>
      <w:r>
        <w:rPr>
          <w:rFonts w:ascii="仿宋_GB2312" w:eastAsia="仿宋_GB2312" w:hint="eastAsia"/>
          <w:sz w:val="32"/>
          <w:szCs w:val="32"/>
        </w:rPr>
        <w:t>未按标准拨付补助资金。区科协超标准补助3个基地创建项目和1个决策咨询项目，多拨付金额合计8万元。</w:t>
      </w:r>
      <w:r>
        <w:rPr>
          <w:rFonts w:ascii="仿宋_GB2312" w:eastAsia="仿宋_GB2312" w:hint="eastAsia"/>
          <w:b/>
          <w:sz w:val="32"/>
          <w:szCs w:val="32"/>
        </w:rPr>
        <w:t>二是</w:t>
      </w:r>
      <w:r>
        <w:rPr>
          <w:rFonts w:ascii="仿宋_GB2312" w:eastAsia="仿宋_GB2312" w:hint="eastAsia"/>
          <w:sz w:val="32"/>
          <w:szCs w:val="32"/>
        </w:rPr>
        <w:t>超进度提前付款。区生态环境局在项目未完成</w:t>
      </w:r>
      <w:r>
        <w:rPr>
          <w:rFonts w:ascii="仿宋_GB2312" w:eastAsia="仿宋_GB2312" w:hint="eastAsia"/>
          <w:sz w:val="32"/>
          <w:szCs w:val="32"/>
        </w:rPr>
        <w:lastRenderedPageBreak/>
        <w:t>情况下，于年末提前支付水源地安全突发事件应急预案编制等2个项目费用，涉及金额59.22万元；区行政服务中心未按合同约定条款付款，项目未实施完成提前付清了全款，涉及金额148.20万元；区科委在28个课题项目未完成验收的情况下提前拨付部分补助款，涉及金额16.5万元。</w:t>
      </w:r>
    </w:p>
    <w:p w:rsidR="0080548E" w:rsidRDefault="0080548E" w:rsidP="0080548E">
      <w:pPr>
        <w:spacing w:line="560" w:lineRule="exact"/>
        <w:ind w:firstLineChars="196" w:firstLine="630"/>
        <w:rPr>
          <w:rFonts w:ascii="仿宋_GB2312" w:eastAsia="仿宋_GB2312"/>
          <w:sz w:val="32"/>
          <w:szCs w:val="32"/>
        </w:rPr>
      </w:pPr>
      <w:r>
        <w:rPr>
          <w:rFonts w:ascii="仿宋_GB2312" w:eastAsia="仿宋_GB2312" w:hint="eastAsia"/>
          <w:b/>
          <w:sz w:val="32"/>
          <w:szCs w:val="32"/>
        </w:rPr>
        <w:t>3.结余管理不够规范。</w:t>
      </w:r>
      <w:r>
        <w:rPr>
          <w:rFonts w:ascii="仿宋_GB2312" w:eastAsia="仿宋_GB2312" w:hint="eastAsia"/>
          <w:sz w:val="32"/>
          <w:szCs w:val="32"/>
        </w:rPr>
        <w:t>区人力资源社会保障局等2个部门所属</w:t>
      </w:r>
      <w:r>
        <w:rPr>
          <w:rFonts w:ascii="仿宋_GB2312" w:eastAsia="仿宋_GB2312" w:hAnsi="仿宋" w:cs="仿宋_GB2312" w:hint="eastAsia"/>
          <w:sz w:val="32"/>
          <w:szCs w:val="32"/>
        </w:rPr>
        <w:t>4家事业单位</w:t>
      </w:r>
      <w:r>
        <w:rPr>
          <w:rFonts w:ascii="仿宋_GB2312" w:eastAsia="仿宋_GB2312" w:hint="eastAsia"/>
          <w:sz w:val="32"/>
          <w:szCs w:val="32"/>
        </w:rPr>
        <w:t>结转两年以上存量资金未及时上缴国库，涉及金额501.43万元。</w:t>
      </w:r>
    </w:p>
    <w:p w:rsidR="0080548E" w:rsidRDefault="0080548E" w:rsidP="0080548E">
      <w:pPr>
        <w:pStyle w:val="a4"/>
        <w:spacing w:line="560" w:lineRule="exact"/>
        <w:ind w:firstLineChars="196" w:firstLine="630"/>
        <w:rPr>
          <w:rFonts w:ascii="楷体_GB2312" w:eastAsia="楷体_GB2312"/>
          <w:b/>
          <w:sz w:val="32"/>
          <w:szCs w:val="32"/>
        </w:rPr>
      </w:pPr>
      <w:r>
        <w:rPr>
          <w:rFonts w:ascii="楷体_GB2312" w:eastAsia="楷体_GB2312" w:hint="eastAsia"/>
          <w:b/>
          <w:sz w:val="32"/>
          <w:szCs w:val="32"/>
        </w:rPr>
        <w:t>（三）内部管理有待进一步强化</w:t>
      </w:r>
    </w:p>
    <w:p w:rsidR="0080548E" w:rsidRDefault="0080548E" w:rsidP="0080548E">
      <w:pPr>
        <w:spacing w:line="560" w:lineRule="exact"/>
        <w:ind w:firstLineChars="200" w:firstLine="643"/>
        <w:rPr>
          <w:rFonts w:ascii="仿宋_GB2312" w:eastAsia="仿宋_GB2312"/>
          <w:sz w:val="32"/>
          <w:szCs w:val="32"/>
        </w:rPr>
      </w:pPr>
      <w:r>
        <w:rPr>
          <w:rFonts w:ascii="仿宋_GB2312" w:eastAsia="仿宋_GB2312" w:hint="eastAsia"/>
          <w:b/>
          <w:sz w:val="32"/>
          <w:szCs w:val="32"/>
        </w:rPr>
        <w:t>1.信息化项目管理不够规范。一是</w:t>
      </w:r>
      <w:r>
        <w:rPr>
          <w:rFonts w:ascii="仿宋_GB2312" w:eastAsia="仿宋_GB2312" w:hint="eastAsia"/>
          <w:sz w:val="32"/>
          <w:szCs w:val="32"/>
        </w:rPr>
        <w:t>项目未有效整合。区行政服务中心实施的“崇明门户网站智能搜索服务运维”“崇明门户网站智能问答服务运维”和“崇明门户网站政务公开平台专项搜索服务”3个项目，服务方为同一家公司，服务期限基本一致，合同总金额36.70万元，未遵循统筹规划、集中整合管理的原则。</w:t>
      </w:r>
      <w:r>
        <w:rPr>
          <w:rFonts w:ascii="仿宋_GB2312" w:eastAsia="仿宋_GB2312" w:hint="eastAsia"/>
          <w:b/>
          <w:sz w:val="32"/>
          <w:szCs w:val="32"/>
        </w:rPr>
        <w:t>二是</w:t>
      </w:r>
      <w:r>
        <w:rPr>
          <w:rFonts w:ascii="仿宋_GB2312" w:eastAsia="仿宋_GB2312" w:hint="eastAsia"/>
          <w:sz w:val="32"/>
          <w:szCs w:val="32"/>
        </w:rPr>
        <w:t>运</w:t>
      </w:r>
      <w:proofErr w:type="gramStart"/>
      <w:r>
        <w:rPr>
          <w:rFonts w:ascii="仿宋_GB2312" w:eastAsia="仿宋_GB2312" w:hint="eastAsia"/>
          <w:sz w:val="32"/>
          <w:szCs w:val="32"/>
        </w:rPr>
        <w:t>维项目</w:t>
      </w:r>
      <w:proofErr w:type="gramEnd"/>
      <w:r>
        <w:rPr>
          <w:rFonts w:ascii="仿宋_GB2312" w:eastAsia="仿宋_GB2312" w:hint="eastAsia"/>
          <w:sz w:val="32"/>
          <w:szCs w:val="32"/>
        </w:rPr>
        <w:t>未申报。区行政服务中心实施的“长兴岛分中心网络设备等运维”项目，金额28.80万元，未按区信息化项目管理规定向区科委申报，未经综合性预审及专家评审。</w:t>
      </w:r>
    </w:p>
    <w:p w:rsidR="0080548E" w:rsidRDefault="0080548E" w:rsidP="0080548E">
      <w:pPr>
        <w:pStyle w:val="a4"/>
        <w:tabs>
          <w:tab w:val="left" w:pos="3261"/>
        </w:tabs>
        <w:spacing w:line="560" w:lineRule="exact"/>
        <w:ind w:firstLineChars="196" w:firstLine="630"/>
        <w:rPr>
          <w:rFonts w:ascii="仿宋_GB2312" w:eastAsia="仿宋_GB2312" w:hAnsi="Calibri"/>
          <w:sz w:val="32"/>
          <w:szCs w:val="32"/>
        </w:rPr>
      </w:pPr>
      <w:r>
        <w:rPr>
          <w:rFonts w:ascii="仿宋_GB2312" w:eastAsia="仿宋_GB2312" w:hAnsi="Calibri" w:hint="eastAsia"/>
          <w:b/>
          <w:sz w:val="32"/>
          <w:szCs w:val="32"/>
        </w:rPr>
        <w:t>2.合同管理不够到位。一是</w:t>
      </w:r>
      <w:r>
        <w:rPr>
          <w:rFonts w:ascii="仿宋_GB2312" w:eastAsia="仿宋_GB2312" w:hAnsi="Calibri" w:hint="eastAsia"/>
          <w:sz w:val="32"/>
          <w:szCs w:val="32"/>
        </w:rPr>
        <w:t>合同签订不够规范。区科委等2个部门的5份合同签订日期晚于合同生效时间，存在先实施后补签的情况。</w:t>
      </w:r>
      <w:r>
        <w:rPr>
          <w:rFonts w:ascii="仿宋_GB2312" w:eastAsia="仿宋_GB2312" w:hAnsi="Calibri" w:hint="eastAsia"/>
          <w:b/>
          <w:sz w:val="32"/>
          <w:szCs w:val="32"/>
        </w:rPr>
        <w:t>二是</w:t>
      </w:r>
      <w:r>
        <w:rPr>
          <w:rFonts w:ascii="仿宋_GB2312" w:eastAsia="仿宋_GB2312" w:hAnsi="Calibri" w:hint="eastAsia"/>
          <w:sz w:val="32"/>
          <w:szCs w:val="32"/>
        </w:rPr>
        <w:t>合同要素不够齐全。区行政服务中心等2个部门的29份合同存在要素不齐全、内容不明确及条款约定不完整的情况，存在一定风险。</w:t>
      </w:r>
    </w:p>
    <w:p w:rsidR="0080548E" w:rsidRDefault="0080548E" w:rsidP="0080548E">
      <w:pPr>
        <w:pStyle w:val="a4"/>
        <w:spacing w:line="560" w:lineRule="exact"/>
        <w:ind w:firstLineChars="196" w:firstLine="630"/>
        <w:rPr>
          <w:rFonts w:ascii="仿宋_GB2312" w:eastAsia="仿宋_GB2312"/>
          <w:sz w:val="32"/>
          <w:szCs w:val="32"/>
        </w:rPr>
      </w:pPr>
      <w:r>
        <w:rPr>
          <w:rFonts w:ascii="仿宋_GB2312" w:eastAsia="仿宋_GB2312" w:hint="eastAsia"/>
          <w:b/>
          <w:sz w:val="32"/>
          <w:szCs w:val="32"/>
        </w:rPr>
        <w:lastRenderedPageBreak/>
        <w:t>3.资金监管不够到位。一是</w:t>
      </w:r>
      <w:proofErr w:type="gramStart"/>
      <w:r>
        <w:rPr>
          <w:rFonts w:ascii="仿宋_GB2312" w:eastAsia="仿宋_GB2312" w:hint="eastAsia"/>
          <w:sz w:val="32"/>
          <w:szCs w:val="32"/>
        </w:rPr>
        <w:t>助残专项</w:t>
      </w:r>
      <w:proofErr w:type="gramEnd"/>
      <w:r>
        <w:rPr>
          <w:rFonts w:ascii="仿宋_GB2312" w:eastAsia="仿宋_GB2312" w:hint="eastAsia"/>
          <w:sz w:val="32"/>
          <w:szCs w:val="32"/>
        </w:rPr>
        <w:t>资金监管不到位。区残联对下拨各乡镇助残社的相关项目资金缺乏有效的监督管理，部分乡镇助残</w:t>
      </w:r>
      <w:proofErr w:type="gramStart"/>
      <w:r>
        <w:rPr>
          <w:rFonts w:ascii="仿宋_GB2312" w:eastAsia="仿宋_GB2312" w:hint="eastAsia"/>
          <w:sz w:val="32"/>
          <w:szCs w:val="32"/>
        </w:rPr>
        <w:t>社业务</w:t>
      </w:r>
      <w:proofErr w:type="gramEnd"/>
      <w:r>
        <w:rPr>
          <w:rFonts w:ascii="仿宋_GB2312" w:eastAsia="仿宋_GB2312" w:hint="eastAsia"/>
          <w:sz w:val="32"/>
          <w:szCs w:val="32"/>
        </w:rPr>
        <w:t>活动费支出不够规范。截至2021年末，全区各乡镇助残社累计结存</w:t>
      </w:r>
      <w:proofErr w:type="gramStart"/>
      <w:r>
        <w:rPr>
          <w:rFonts w:ascii="仿宋_GB2312" w:eastAsia="仿宋_GB2312" w:hint="eastAsia"/>
          <w:sz w:val="32"/>
          <w:szCs w:val="32"/>
        </w:rPr>
        <w:t>助残专项</w:t>
      </w:r>
      <w:proofErr w:type="gramEnd"/>
      <w:r>
        <w:rPr>
          <w:rFonts w:ascii="仿宋_GB2312" w:eastAsia="仿宋_GB2312" w:hint="eastAsia"/>
          <w:sz w:val="32"/>
          <w:szCs w:val="32"/>
        </w:rPr>
        <w:t>资金1805.79万元。</w:t>
      </w:r>
      <w:r>
        <w:rPr>
          <w:rFonts w:ascii="仿宋_GB2312" w:eastAsia="仿宋_GB2312" w:hint="eastAsia"/>
          <w:b/>
          <w:sz w:val="32"/>
          <w:szCs w:val="32"/>
        </w:rPr>
        <w:t>二是</w:t>
      </w:r>
      <w:r>
        <w:rPr>
          <w:rFonts w:ascii="仿宋_GB2312" w:eastAsia="仿宋_GB2312" w:hint="eastAsia"/>
          <w:sz w:val="32"/>
          <w:szCs w:val="32"/>
        </w:rPr>
        <w:t>费用</w:t>
      </w:r>
      <w:r>
        <w:rPr>
          <w:rFonts w:ascii="仿宋_GB2312" w:eastAsia="仿宋_GB2312" w:hAnsi="Calibri" w:hint="eastAsia"/>
          <w:sz w:val="32"/>
          <w:szCs w:val="32"/>
        </w:rPr>
        <w:t>支出凭证不规范。区生态环境局工会和所属区环境监测站部分费用支出未附签收清单，涉及金额21.18万元。</w:t>
      </w:r>
    </w:p>
    <w:p w:rsidR="0080548E" w:rsidRDefault="0080548E" w:rsidP="0080548E">
      <w:pPr>
        <w:spacing w:line="560" w:lineRule="exact"/>
        <w:ind w:firstLineChars="200" w:firstLine="640"/>
        <w:rPr>
          <w:rFonts w:ascii="仿宋_GB2312" w:eastAsia="仿宋_GB2312" w:hAnsi="仿宋_GB2312" w:cs="仿宋_GB2312"/>
          <w:sz w:val="32"/>
          <w:szCs w:val="32"/>
        </w:rPr>
      </w:pPr>
      <w:r>
        <w:rPr>
          <w:rFonts w:ascii="黑体" w:eastAsia="黑体" w:hAnsi="黑体" w:hint="eastAsia"/>
          <w:sz w:val="32"/>
          <w:szCs w:val="32"/>
        </w:rPr>
        <w:t>三、政府投资项目审计情况</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根据年度审计计划安排</w:t>
      </w:r>
      <w:r>
        <w:rPr>
          <w:rFonts w:ascii="仿宋_GB2312" w:eastAsia="仿宋_GB2312" w:hAnsi="仿宋_GB2312" w:cs="仿宋_GB2312" w:hint="eastAsia"/>
          <w:sz w:val="32"/>
          <w:szCs w:val="32"/>
        </w:rPr>
        <w:t>，对33个政府投资项目进行了审计，项目金额合计394700.61万元，建议建设单位据实调减工程结算价和待摊费用合计7115.77万元。审计结果表明，本区政府投资项目管理情况总体较好。审计查出的主要问题：</w:t>
      </w:r>
      <w:r>
        <w:rPr>
          <w:rFonts w:ascii="仿宋_GB2312" w:eastAsia="仿宋_GB2312" w:hAnsi="仿宋_GB2312" w:cs="仿宋_GB2312" w:hint="eastAsia"/>
          <w:b/>
          <w:sz w:val="32"/>
          <w:szCs w:val="32"/>
        </w:rPr>
        <w:t>一是</w:t>
      </w:r>
      <w:r>
        <w:rPr>
          <w:rFonts w:ascii="仿宋_GB2312" w:eastAsia="仿宋_GB2312" w:hAnsi="仿宋_GB2312" w:cs="仿宋_GB2312" w:hint="eastAsia"/>
          <w:sz w:val="32"/>
          <w:szCs w:val="32"/>
        </w:rPr>
        <w:t>建设项目程序不够规范。个别项目存在调整程序不规范和招投标管理不规范等问题。</w:t>
      </w:r>
      <w:r>
        <w:rPr>
          <w:rFonts w:ascii="仿宋_GB2312" w:eastAsia="仿宋_GB2312" w:hAnsi="仿宋_GB2312" w:cs="仿宋_GB2312" w:hint="eastAsia"/>
          <w:b/>
          <w:sz w:val="32"/>
          <w:szCs w:val="32"/>
        </w:rPr>
        <w:t>二是</w:t>
      </w:r>
      <w:r>
        <w:rPr>
          <w:rFonts w:ascii="仿宋_GB2312" w:eastAsia="仿宋_GB2312" w:hAnsi="仿宋_GB2312" w:cs="仿宋_GB2312" w:hint="eastAsia"/>
          <w:sz w:val="32"/>
          <w:szCs w:val="32"/>
        </w:rPr>
        <w:t>建设资金管理不够严格。个别项目存在未及时编制竣工财务决算等问题。</w:t>
      </w:r>
      <w:r>
        <w:rPr>
          <w:rFonts w:ascii="仿宋_GB2312" w:eastAsia="仿宋_GB2312" w:hAnsi="仿宋_GB2312" w:cs="仿宋_GB2312" w:hint="eastAsia"/>
          <w:b/>
          <w:sz w:val="32"/>
          <w:szCs w:val="32"/>
        </w:rPr>
        <w:t>三是</w:t>
      </w:r>
      <w:r>
        <w:rPr>
          <w:rFonts w:ascii="仿宋_GB2312" w:eastAsia="仿宋_GB2312" w:hAnsi="仿宋_GB2312" w:cs="仿宋_GB2312" w:hint="eastAsia"/>
          <w:sz w:val="32"/>
          <w:szCs w:val="32"/>
        </w:rPr>
        <w:t>项目建设管理不到位。个别项目存在未实施监理制度、边设计边施工和因前期工作不到位导致工期延长等问题。</w:t>
      </w:r>
      <w:r>
        <w:rPr>
          <w:rFonts w:ascii="仿宋_GB2312" w:eastAsia="仿宋_GB2312" w:hAnsi="仿宋_GB2312" w:cs="仿宋_GB2312" w:hint="eastAsia"/>
          <w:b/>
          <w:sz w:val="32"/>
          <w:szCs w:val="32"/>
        </w:rPr>
        <w:t>四是</w:t>
      </w:r>
      <w:r>
        <w:rPr>
          <w:rFonts w:ascii="仿宋_GB2312" w:eastAsia="仿宋_GB2312" w:hint="eastAsia"/>
          <w:sz w:val="32"/>
          <w:szCs w:val="32"/>
        </w:rPr>
        <w:t>财务监理制度执行不够到位。个别项目存在未按规定聘请财务监理和财务监理机构未实行回避制度等问题。</w:t>
      </w:r>
    </w:p>
    <w:p w:rsidR="0080548E" w:rsidRDefault="0080548E" w:rsidP="0080548E">
      <w:pPr>
        <w:spacing w:line="560" w:lineRule="exact"/>
        <w:ind w:firstLineChars="200" w:firstLine="640"/>
        <w:rPr>
          <w:rFonts w:ascii="黑体" w:eastAsia="黑体" w:hAnsi="黑体"/>
          <w:sz w:val="32"/>
          <w:szCs w:val="32"/>
        </w:rPr>
      </w:pPr>
      <w:r>
        <w:rPr>
          <w:rFonts w:ascii="黑体" w:eastAsia="黑体" w:hAnsi="黑体" w:hint="eastAsia"/>
          <w:sz w:val="32"/>
          <w:szCs w:val="32"/>
        </w:rPr>
        <w:t>四、专项审计情况</w:t>
      </w:r>
    </w:p>
    <w:p w:rsidR="0080548E" w:rsidRDefault="0080548E" w:rsidP="0080548E">
      <w:pPr>
        <w:adjustRightInd w:val="0"/>
        <w:snapToGrid w:val="0"/>
        <w:spacing w:line="560" w:lineRule="atLeast"/>
        <w:ind w:firstLine="650"/>
        <w:rPr>
          <w:rFonts w:ascii="仿宋_GB2312" w:eastAsia="仿宋_GB2312" w:hAnsi="仿宋_GB2312" w:cs="仿宋_GB2312"/>
          <w:sz w:val="32"/>
          <w:szCs w:val="32"/>
        </w:rPr>
      </w:pPr>
      <w:r>
        <w:rPr>
          <w:rFonts w:ascii="仿宋_GB2312" w:eastAsia="仿宋_GB2312" w:hAnsi="仿宋_GB2312" w:cs="仿宋_GB2312" w:hint="eastAsia"/>
          <w:sz w:val="32"/>
          <w:szCs w:val="32"/>
        </w:rPr>
        <w:t>根据审计署统一部署和年度审计计划安排，对本区2021年度困难群众救助补助资金及相关政策落实情况进行了审计。审计结果表明，本区高度重视困难群众救助补助工作，不断健全工作机制，加大财政投入，全力做好</w:t>
      </w:r>
      <w:proofErr w:type="gramStart"/>
      <w:r>
        <w:rPr>
          <w:rFonts w:ascii="仿宋_GB2312" w:eastAsia="仿宋_GB2312" w:hAnsi="仿宋_GB2312" w:cs="仿宋_GB2312" w:hint="eastAsia"/>
          <w:sz w:val="32"/>
          <w:szCs w:val="32"/>
        </w:rPr>
        <w:t>城乡低保补助</w:t>
      </w:r>
      <w:proofErr w:type="gramEnd"/>
      <w:r>
        <w:rPr>
          <w:rFonts w:ascii="仿宋_GB2312" w:eastAsia="仿宋_GB2312" w:hAnsi="仿宋_GB2312" w:cs="仿宋_GB2312" w:hint="eastAsia"/>
          <w:sz w:val="32"/>
          <w:szCs w:val="32"/>
        </w:rPr>
        <w:t>、特困人员救助等</w:t>
      </w:r>
      <w:r>
        <w:rPr>
          <w:rFonts w:ascii="仿宋_GB2312" w:eastAsia="仿宋_GB2312" w:hAnsi="仿宋_GB2312" w:cs="仿宋_GB2312" w:hint="eastAsia"/>
          <w:sz w:val="32"/>
          <w:szCs w:val="32"/>
        </w:rPr>
        <w:lastRenderedPageBreak/>
        <w:t>民生保障，提升困难群众保障水平，困难群众基本生活救助和医疗救助工作取得明显成效。但审计中也查出个别符合条件人员未享受救助待遇和部分不符合条件人员享受救助待遇等问题，目前有关乡镇已对相关问题落实整改。</w:t>
      </w:r>
    </w:p>
    <w:p w:rsidR="0080548E" w:rsidRDefault="0080548E" w:rsidP="0080548E">
      <w:pPr>
        <w:adjustRightInd w:val="0"/>
        <w:snapToGrid w:val="0"/>
        <w:spacing w:line="560" w:lineRule="atLeast"/>
        <w:ind w:firstLine="650"/>
        <w:rPr>
          <w:rFonts w:ascii="仿宋_GB2312" w:eastAsia="仿宋_GB2312" w:hAnsi="仿宋_GB2312" w:cs="仿宋_GB2312"/>
          <w:sz w:val="32"/>
          <w:szCs w:val="32"/>
        </w:rPr>
      </w:pPr>
      <w:r>
        <w:rPr>
          <w:rFonts w:ascii="仿宋_GB2312" w:eastAsia="仿宋_GB2312" w:hAnsi="仿宋_GB2312" w:cs="仿宋_GB2312" w:hint="eastAsia"/>
          <w:bCs/>
          <w:sz w:val="32"/>
          <w:szCs w:val="32"/>
        </w:rPr>
        <w:t>根据区政府工作要求和年度审计计划安排，对本区2020年度稻谷收购总量情况进行了审计。审计结果表明，本区2020年度稻谷收购总量基本真实。</w:t>
      </w:r>
    </w:p>
    <w:p w:rsidR="0080548E" w:rsidRDefault="0080548E" w:rsidP="0080548E">
      <w:pPr>
        <w:pStyle w:val="aa"/>
        <w:shd w:val="clear" w:color="auto" w:fill="FFFFFF"/>
        <w:spacing w:before="0" w:beforeAutospacing="0" w:after="0" w:afterAutospacing="0" w:line="560" w:lineRule="exact"/>
        <w:ind w:firstLine="640"/>
        <w:jc w:val="both"/>
        <w:textAlignment w:val="bottom"/>
        <w:rPr>
          <w:rFonts w:ascii="Calibri" w:hAnsi="Calibri"/>
          <w:sz w:val="21"/>
          <w:szCs w:val="21"/>
        </w:rPr>
      </w:pPr>
      <w:r>
        <w:rPr>
          <w:rFonts w:ascii="黑体" w:eastAsia="黑体" w:hAnsi="黑体" w:hint="eastAsia"/>
          <w:sz w:val="32"/>
          <w:szCs w:val="32"/>
        </w:rPr>
        <w:t>五、审计建议</w:t>
      </w:r>
    </w:p>
    <w:p w:rsidR="0080548E" w:rsidRDefault="0080548E" w:rsidP="0080548E">
      <w:pPr>
        <w:pStyle w:val="aa"/>
        <w:shd w:val="clear" w:color="auto" w:fill="FFFFFF"/>
        <w:spacing w:before="0" w:beforeAutospacing="0" w:after="0" w:afterAutospacing="0" w:line="560" w:lineRule="exact"/>
        <w:ind w:firstLine="643"/>
        <w:jc w:val="both"/>
        <w:textAlignment w:val="bottom"/>
        <w:rPr>
          <w:rFonts w:ascii="仿宋_GB2312" w:eastAsia="仿宋_GB2312" w:hAnsi="楷体"/>
          <w:bCs/>
          <w:sz w:val="32"/>
          <w:szCs w:val="32"/>
        </w:rPr>
      </w:pPr>
      <w:r>
        <w:rPr>
          <w:rFonts w:ascii="仿宋_GB2312" w:eastAsia="仿宋_GB2312" w:hAnsi="楷体" w:hint="eastAsia"/>
          <w:bCs/>
          <w:sz w:val="32"/>
          <w:szCs w:val="32"/>
        </w:rPr>
        <w:t>上述问题产生的原因，有些是制度机制不够健全，有些是主体责任落实不够到位，还有一些是部门间协同配合不够有力。需要进一步加大改革力度，完善相关配套措施和制度机制，提高财政资金配置效率，从源头上解决问题。为此建议：</w:t>
      </w:r>
    </w:p>
    <w:p w:rsidR="0080548E" w:rsidRDefault="0080548E" w:rsidP="0080548E">
      <w:pPr>
        <w:pStyle w:val="aa"/>
        <w:shd w:val="clear" w:color="auto" w:fill="FFFFFF"/>
        <w:spacing w:before="0" w:beforeAutospacing="0" w:after="0" w:afterAutospacing="0" w:line="560" w:lineRule="exact"/>
        <w:ind w:firstLine="643"/>
        <w:jc w:val="both"/>
        <w:textAlignment w:val="bottom"/>
        <w:rPr>
          <w:rFonts w:ascii="Calibri" w:hAnsi="Calibri"/>
          <w:sz w:val="21"/>
          <w:szCs w:val="21"/>
        </w:rPr>
      </w:pPr>
      <w:r>
        <w:rPr>
          <w:rFonts w:ascii="楷体" w:eastAsia="楷体" w:hAnsi="楷体" w:hint="eastAsia"/>
          <w:b/>
          <w:bCs/>
          <w:sz w:val="32"/>
          <w:szCs w:val="32"/>
        </w:rPr>
        <w:t>（一）加强预算管理，提高资金使用效益</w:t>
      </w:r>
    </w:p>
    <w:p w:rsidR="0080548E" w:rsidRDefault="0080548E" w:rsidP="0080548E">
      <w:pPr>
        <w:pStyle w:val="aa"/>
        <w:shd w:val="clear" w:color="auto" w:fill="FFFFFF"/>
        <w:spacing w:before="0" w:beforeAutospacing="0" w:after="0" w:afterAutospacing="0" w:line="560" w:lineRule="exact"/>
        <w:ind w:firstLine="643"/>
        <w:jc w:val="both"/>
        <w:textAlignment w:val="bottom"/>
        <w:rPr>
          <w:rFonts w:ascii="仿宋_GB2312" w:eastAsia="仿宋_GB2312" w:hAnsi="仿宋"/>
          <w:sz w:val="32"/>
          <w:szCs w:val="32"/>
        </w:rPr>
      </w:pPr>
      <w:r>
        <w:rPr>
          <w:rFonts w:ascii="仿宋_GB2312" w:eastAsia="仿宋_GB2312" w:hAnsi="仿宋" w:hint="eastAsia"/>
          <w:b/>
          <w:bCs/>
          <w:sz w:val="32"/>
          <w:szCs w:val="32"/>
        </w:rPr>
        <w:t>一是</w:t>
      </w:r>
      <w:r>
        <w:rPr>
          <w:rFonts w:ascii="仿宋_GB2312" w:eastAsia="仿宋_GB2312" w:hAnsi="仿宋" w:hint="eastAsia"/>
          <w:sz w:val="32"/>
          <w:szCs w:val="32"/>
        </w:rPr>
        <w:t>优化预算编制。深化预算管理改革，发挥预算引领作用，逐步完善跨年度预算平衡机制，进一步实现预算管理标准化、科学化、精细化，从源头上解决预算执行率低、资金结余沉淀等问题。</w:t>
      </w:r>
      <w:r>
        <w:rPr>
          <w:rFonts w:ascii="仿宋_GB2312" w:eastAsia="仿宋_GB2312" w:hAnsi="仿宋" w:hint="eastAsia"/>
          <w:b/>
          <w:bCs/>
          <w:sz w:val="32"/>
          <w:szCs w:val="32"/>
        </w:rPr>
        <w:t>二是</w:t>
      </w:r>
      <w:r>
        <w:rPr>
          <w:rFonts w:ascii="仿宋_GB2312" w:eastAsia="仿宋_GB2312" w:hAnsi="仿宋" w:hint="eastAsia"/>
          <w:sz w:val="32"/>
          <w:szCs w:val="32"/>
        </w:rPr>
        <w:t>规范预算执行</w:t>
      </w:r>
      <w:r>
        <w:rPr>
          <w:rFonts w:ascii="仿宋_GB2312" w:eastAsia="仿宋_GB2312" w:hAnsi="仿宋" w:hint="eastAsia"/>
          <w:b/>
          <w:sz w:val="32"/>
          <w:szCs w:val="32"/>
        </w:rPr>
        <w:t>。</w:t>
      </w:r>
      <w:r>
        <w:rPr>
          <w:rFonts w:ascii="仿宋_GB2312" w:eastAsia="仿宋_GB2312" w:hAnsi="仿宋" w:hint="eastAsia"/>
          <w:sz w:val="32"/>
          <w:szCs w:val="32"/>
        </w:rPr>
        <w:t>进一步加强预算执行监督，强化预算刚性约束，</w:t>
      </w:r>
      <w:r>
        <w:rPr>
          <w:rFonts w:ascii="仿宋_GB2312" w:eastAsia="仿宋_GB2312" w:hAnsi="Calibri" w:hint="eastAsia"/>
          <w:sz w:val="32"/>
          <w:szCs w:val="32"/>
        </w:rPr>
        <w:t>确保专项资金专款专用、经费支出合法合</w:t>
      </w:r>
      <w:proofErr w:type="gramStart"/>
      <w:r>
        <w:rPr>
          <w:rFonts w:ascii="仿宋_GB2312" w:eastAsia="仿宋_GB2312" w:hAnsi="Calibri" w:hint="eastAsia"/>
          <w:sz w:val="32"/>
          <w:szCs w:val="32"/>
        </w:rPr>
        <w:t>规</w:t>
      </w:r>
      <w:proofErr w:type="gramEnd"/>
      <w:r>
        <w:rPr>
          <w:rFonts w:ascii="仿宋_GB2312" w:eastAsia="仿宋_GB2312" w:hAnsi="Calibri" w:hint="eastAsia"/>
          <w:sz w:val="32"/>
          <w:szCs w:val="32"/>
        </w:rPr>
        <w:t>；严格把控项目进度与资金拨付的匹配度，</w:t>
      </w:r>
      <w:r>
        <w:rPr>
          <w:rFonts w:ascii="仿宋_GB2312" w:eastAsia="仿宋_GB2312" w:hAnsi="仿宋" w:hint="eastAsia"/>
          <w:sz w:val="32"/>
          <w:szCs w:val="32"/>
        </w:rPr>
        <w:t>确保财政支出规范有序。</w:t>
      </w:r>
      <w:r>
        <w:rPr>
          <w:rFonts w:ascii="仿宋_GB2312" w:eastAsia="仿宋_GB2312" w:hAnsi="仿宋" w:hint="eastAsia"/>
          <w:b/>
          <w:bCs/>
          <w:sz w:val="32"/>
          <w:szCs w:val="32"/>
        </w:rPr>
        <w:t>三是</w:t>
      </w:r>
      <w:r>
        <w:rPr>
          <w:rFonts w:ascii="仿宋_GB2312" w:eastAsia="仿宋_GB2312" w:hAnsi="仿宋" w:hint="eastAsia"/>
          <w:bCs/>
          <w:sz w:val="32"/>
          <w:szCs w:val="32"/>
        </w:rPr>
        <w:t>加强绩效管理</w:t>
      </w:r>
      <w:r>
        <w:rPr>
          <w:rFonts w:ascii="仿宋_GB2312" w:eastAsia="仿宋_GB2312" w:hAnsi="仿宋" w:hint="eastAsia"/>
          <w:b/>
          <w:bCs/>
          <w:sz w:val="32"/>
          <w:szCs w:val="32"/>
        </w:rPr>
        <w:t>。</w:t>
      </w:r>
      <w:r>
        <w:rPr>
          <w:rFonts w:ascii="仿宋_GB2312" w:eastAsia="仿宋_GB2312" w:hAnsi="仿宋" w:hint="eastAsia"/>
          <w:sz w:val="32"/>
          <w:szCs w:val="32"/>
        </w:rPr>
        <w:t>进一步健全预算评审机制，推进全面预算绩效工作落到实处；强化资金使用部门主体责任，加强绩效评价监督管理，加强绩效结果应用，切实推进财政资金提质增效。</w:t>
      </w:r>
    </w:p>
    <w:p w:rsidR="0080548E" w:rsidRDefault="0080548E" w:rsidP="0080548E">
      <w:pPr>
        <w:pStyle w:val="aa"/>
        <w:shd w:val="clear" w:color="auto" w:fill="FFFFFF"/>
        <w:spacing w:before="0" w:beforeAutospacing="0" w:after="0" w:afterAutospacing="0" w:line="560" w:lineRule="exact"/>
        <w:ind w:firstLine="643"/>
        <w:jc w:val="both"/>
        <w:textAlignment w:val="bottom"/>
        <w:rPr>
          <w:rFonts w:ascii="楷体" w:eastAsia="楷体" w:hAnsi="楷体"/>
          <w:b/>
          <w:bCs/>
          <w:sz w:val="32"/>
          <w:szCs w:val="32"/>
        </w:rPr>
      </w:pPr>
      <w:r>
        <w:rPr>
          <w:rFonts w:ascii="楷体" w:eastAsia="楷体" w:hAnsi="楷体" w:hint="eastAsia"/>
          <w:b/>
          <w:bCs/>
          <w:sz w:val="32"/>
          <w:szCs w:val="32"/>
        </w:rPr>
        <w:lastRenderedPageBreak/>
        <w:t>（二）完善内控机制，提高依法管理能力</w:t>
      </w:r>
    </w:p>
    <w:p w:rsidR="0080548E" w:rsidRDefault="0080548E" w:rsidP="0080548E">
      <w:pPr>
        <w:pStyle w:val="aa"/>
        <w:shd w:val="clear" w:color="auto" w:fill="FFFFFF"/>
        <w:spacing w:before="0" w:beforeAutospacing="0" w:after="0" w:afterAutospacing="0" w:line="560" w:lineRule="exact"/>
        <w:ind w:firstLine="643"/>
        <w:jc w:val="both"/>
        <w:textAlignment w:val="bottom"/>
        <w:rPr>
          <w:rFonts w:ascii="仿宋_GB2312" w:eastAsia="仿宋_GB2312"/>
          <w:b/>
          <w:sz w:val="32"/>
          <w:szCs w:val="32"/>
        </w:rPr>
      </w:pPr>
      <w:r>
        <w:rPr>
          <w:rFonts w:ascii="仿宋_GB2312" w:eastAsia="仿宋_GB2312" w:hAnsi="仿宋" w:hint="eastAsia"/>
          <w:b/>
          <w:bCs/>
          <w:sz w:val="32"/>
          <w:szCs w:val="32"/>
        </w:rPr>
        <w:t>一是</w:t>
      </w:r>
      <w:r>
        <w:rPr>
          <w:rFonts w:ascii="仿宋_GB2312" w:eastAsia="仿宋_GB2312" w:hAnsi="仿宋" w:hint="eastAsia"/>
          <w:bCs/>
          <w:sz w:val="32"/>
          <w:szCs w:val="32"/>
        </w:rPr>
        <w:t>健全资产管理机制</w:t>
      </w:r>
      <w:r>
        <w:rPr>
          <w:rFonts w:ascii="仿宋_GB2312" w:eastAsia="仿宋_GB2312" w:hAnsi="仿宋" w:hint="eastAsia"/>
          <w:b/>
          <w:bCs/>
          <w:sz w:val="32"/>
          <w:szCs w:val="32"/>
        </w:rPr>
        <w:t>。</w:t>
      </w:r>
      <w:r>
        <w:rPr>
          <w:rFonts w:ascii="仿宋_GB2312" w:eastAsia="仿宋_GB2312" w:hAnsi="仿宋" w:hint="eastAsia"/>
          <w:bCs/>
          <w:sz w:val="32"/>
          <w:szCs w:val="32"/>
        </w:rPr>
        <w:t>强化各部门单位资产管理主体责任，推动行政事业性资产管理机制全面落实落地。打通堵点断点，建立健全资产管理与预算管理、财务管理相衔接的工作机制。</w:t>
      </w:r>
      <w:r>
        <w:rPr>
          <w:rFonts w:ascii="仿宋_GB2312" w:eastAsia="仿宋_GB2312" w:hAnsi="仿宋" w:hint="eastAsia"/>
          <w:b/>
          <w:bCs/>
          <w:sz w:val="32"/>
          <w:szCs w:val="32"/>
        </w:rPr>
        <w:t>二是</w:t>
      </w:r>
      <w:r>
        <w:rPr>
          <w:rFonts w:ascii="仿宋_GB2312" w:eastAsia="仿宋_GB2312" w:hAnsi="仿宋" w:hint="eastAsia"/>
          <w:bCs/>
          <w:sz w:val="32"/>
          <w:szCs w:val="32"/>
        </w:rPr>
        <w:t>规范政府采购。严格执行政府采购程序，加强购买服务效果的跟踪评价和监督，提升购买服务效益。</w:t>
      </w:r>
      <w:r>
        <w:rPr>
          <w:rFonts w:ascii="仿宋_GB2312" w:eastAsia="仿宋_GB2312" w:hint="eastAsia"/>
          <w:b/>
          <w:sz w:val="32"/>
          <w:szCs w:val="32"/>
        </w:rPr>
        <w:t>三是</w:t>
      </w:r>
      <w:r>
        <w:rPr>
          <w:rFonts w:ascii="仿宋_GB2312" w:eastAsia="仿宋_GB2312" w:hint="eastAsia"/>
          <w:sz w:val="32"/>
          <w:szCs w:val="32"/>
        </w:rPr>
        <w:t>加强合同管理。增强合同风险防范意识，切实规范合同签订；增强履约过程控制意识，严格执行合同约定。</w:t>
      </w:r>
      <w:r>
        <w:rPr>
          <w:rFonts w:ascii="仿宋_GB2312" w:eastAsia="仿宋_GB2312" w:hint="eastAsia"/>
          <w:b/>
          <w:sz w:val="32"/>
          <w:szCs w:val="32"/>
        </w:rPr>
        <w:t>四是</w:t>
      </w:r>
      <w:r>
        <w:rPr>
          <w:rFonts w:ascii="仿宋_GB2312" w:eastAsia="仿宋_GB2312" w:hint="eastAsia"/>
          <w:sz w:val="32"/>
          <w:szCs w:val="32"/>
        </w:rPr>
        <w:t>强化项目管理。</w:t>
      </w:r>
      <w:r>
        <w:rPr>
          <w:rFonts w:ascii="仿宋_GB2312" w:eastAsia="仿宋_GB2312" w:hAnsi="仿宋" w:hint="eastAsia"/>
          <w:sz w:val="32"/>
          <w:szCs w:val="32"/>
        </w:rPr>
        <w:t>加强项目建设程序审批管理，</w:t>
      </w:r>
      <w:r>
        <w:rPr>
          <w:rFonts w:ascii="仿宋_GB2312" w:eastAsia="仿宋_GB2312" w:hAnsi="仿宋" w:cs="Times New Roman" w:hint="eastAsia"/>
          <w:sz w:val="32"/>
          <w:szCs w:val="32"/>
        </w:rPr>
        <w:t>提高工程建设施工监管力度</w:t>
      </w:r>
      <w:r>
        <w:rPr>
          <w:rFonts w:ascii="仿宋_GB2312" w:eastAsia="仿宋_GB2312" w:hAnsi="仿宋" w:hint="eastAsia"/>
          <w:sz w:val="32"/>
          <w:szCs w:val="32"/>
        </w:rPr>
        <w:t>；</w:t>
      </w:r>
      <w:r>
        <w:rPr>
          <w:rFonts w:ascii="仿宋_GB2312" w:eastAsia="仿宋_GB2312" w:hint="eastAsia"/>
          <w:sz w:val="32"/>
          <w:szCs w:val="32"/>
        </w:rPr>
        <w:t>强化财务监理机构的日常管理和过程监管，</w:t>
      </w:r>
      <w:r>
        <w:rPr>
          <w:rFonts w:ascii="仿宋_GB2312" w:eastAsia="仿宋_GB2312" w:hAnsi="仿宋" w:hint="eastAsia"/>
          <w:sz w:val="32"/>
          <w:szCs w:val="32"/>
        </w:rPr>
        <w:t>促进政府投资建设规范有序开展。</w:t>
      </w:r>
    </w:p>
    <w:p w:rsidR="0080548E" w:rsidRDefault="0080548E" w:rsidP="0080548E">
      <w:pPr>
        <w:pStyle w:val="aa"/>
        <w:shd w:val="clear" w:color="auto" w:fill="FFFFFF"/>
        <w:spacing w:before="0" w:beforeAutospacing="0" w:after="0" w:afterAutospacing="0" w:line="560" w:lineRule="exact"/>
        <w:ind w:firstLine="643"/>
        <w:jc w:val="both"/>
        <w:textAlignment w:val="bottom"/>
        <w:rPr>
          <w:rFonts w:ascii="楷体" w:eastAsia="楷体" w:hAnsi="楷体"/>
          <w:b/>
          <w:bCs/>
          <w:sz w:val="32"/>
          <w:szCs w:val="32"/>
        </w:rPr>
      </w:pPr>
      <w:r>
        <w:rPr>
          <w:rFonts w:ascii="楷体" w:eastAsia="楷体" w:hAnsi="楷体" w:hint="eastAsia"/>
          <w:b/>
          <w:bCs/>
          <w:sz w:val="32"/>
          <w:szCs w:val="32"/>
        </w:rPr>
        <w:t>（三）紧盯关键环节，提升政策措施效能</w:t>
      </w:r>
    </w:p>
    <w:p w:rsidR="0080548E" w:rsidRDefault="0080548E" w:rsidP="0080548E">
      <w:pPr>
        <w:pStyle w:val="aa"/>
        <w:shd w:val="clear" w:color="auto" w:fill="FFFFFF"/>
        <w:spacing w:before="0" w:beforeAutospacing="0" w:after="0" w:afterAutospacing="0" w:line="560" w:lineRule="exact"/>
        <w:ind w:firstLine="643"/>
        <w:jc w:val="both"/>
        <w:textAlignment w:val="bottom"/>
        <w:rPr>
          <w:rFonts w:ascii="仿宋_GB2312" w:eastAsia="仿宋_GB2312" w:hAnsi="仿宋"/>
          <w:bCs/>
          <w:sz w:val="32"/>
          <w:szCs w:val="32"/>
        </w:rPr>
      </w:pPr>
      <w:r>
        <w:rPr>
          <w:rFonts w:ascii="仿宋_GB2312" w:eastAsia="仿宋_GB2312" w:hAnsi="仿宋" w:hint="eastAsia"/>
          <w:b/>
          <w:bCs/>
          <w:sz w:val="32"/>
          <w:szCs w:val="32"/>
        </w:rPr>
        <w:t>一是</w:t>
      </w:r>
      <w:r>
        <w:rPr>
          <w:rFonts w:ascii="仿宋_GB2312" w:eastAsia="仿宋_GB2312" w:hAnsi="仿宋" w:hint="eastAsia"/>
          <w:bCs/>
          <w:sz w:val="32"/>
          <w:szCs w:val="32"/>
        </w:rPr>
        <w:t>完善政策措施。聚焦相关惠企利民政策的短板与漏洞，及时完善实施细则和操作口径，提升相关政策的针对性和有效性。</w:t>
      </w:r>
      <w:r>
        <w:rPr>
          <w:rFonts w:ascii="仿宋_GB2312" w:eastAsia="仿宋_GB2312" w:hAnsi="仿宋" w:hint="eastAsia"/>
          <w:b/>
          <w:bCs/>
          <w:sz w:val="32"/>
          <w:szCs w:val="32"/>
        </w:rPr>
        <w:t>二是</w:t>
      </w:r>
      <w:r>
        <w:rPr>
          <w:rFonts w:ascii="仿宋_GB2312" w:eastAsia="仿宋_GB2312" w:hAnsi="仿宋" w:hint="eastAsia"/>
          <w:bCs/>
          <w:sz w:val="32"/>
          <w:szCs w:val="32"/>
        </w:rPr>
        <w:t>加强事中监管。</w:t>
      </w:r>
      <w:proofErr w:type="gramStart"/>
      <w:r>
        <w:rPr>
          <w:rFonts w:ascii="仿宋_GB2312" w:eastAsia="仿宋_GB2312" w:hAnsi="仿宋" w:hint="eastAsia"/>
          <w:bCs/>
          <w:sz w:val="32"/>
          <w:szCs w:val="32"/>
        </w:rPr>
        <w:t>完善跨</w:t>
      </w:r>
      <w:proofErr w:type="gramEnd"/>
      <w:r>
        <w:rPr>
          <w:rFonts w:ascii="仿宋_GB2312" w:eastAsia="仿宋_GB2312" w:hAnsi="仿宋" w:hint="eastAsia"/>
          <w:bCs/>
          <w:sz w:val="32"/>
          <w:szCs w:val="32"/>
        </w:rPr>
        <w:t>部门信息共享机制，加大政策执行过程的监管力度，督促相关乡镇和企业切实履行主体责任，严格落实政策措施，确保政策红利应享尽享。</w:t>
      </w:r>
      <w:r>
        <w:rPr>
          <w:rFonts w:ascii="仿宋_GB2312" w:eastAsia="仿宋_GB2312" w:hAnsi="仿宋" w:hint="eastAsia"/>
          <w:b/>
          <w:bCs/>
          <w:sz w:val="32"/>
          <w:szCs w:val="32"/>
        </w:rPr>
        <w:t>三是</w:t>
      </w:r>
      <w:r>
        <w:rPr>
          <w:rFonts w:ascii="仿宋_GB2312" w:eastAsia="仿宋_GB2312" w:hAnsi="仿宋" w:hint="eastAsia"/>
          <w:bCs/>
          <w:sz w:val="32"/>
          <w:szCs w:val="32"/>
        </w:rPr>
        <w:t>强化后续跟踪。持续强化业务指导，建立健全相关惠企利民政策常态化跟踪检查机制；充分运用第三方评估结果，完善动态管理机制，提高政策执行精准度。</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对区本级预算执行和其他财政收支审计中发现的问题，区审计局已依法出具42份审计报告及3</w:t>
      </w:r>
      <w:r w:rsidR="00054734">
        <w:rPr>
          <w:rFonts w:ascii="仿宋_GB2312" w:eastAsia="仿宋_GB2312" w:hint="eastAsia"/>
          <w:sz w:val="32"/>
          <w:szCs w:val="32"/>
        </w:rPr>
        <w:t>1</w:t>
      </w:r>
      <w:r>
        <w:rPr>
          <w:rFonts w:ascii="仿宋_GB2312" w:eastAsia="仿宋_GB2312" w:hint="eastAsia"/>
          <w:sz w:val="32"/>
          <w:szCs w:val="32"/>
        </w:rPr>
        <w:t>份审计决定，要求有关单位及时纠正。区政府要求有关部门和单位强化政治意识，增强做好</w:t>
      </w:r>
      <w:r>
        <w:rPr>
          <w:rFonts w:ascii="仿宋_GB2312" w:eastAsia="仿宋_GB2312" w:hint="eastAsia"/>
          <w:sz w:val="32"/>
          <w:szCs w:val="32"/>
        </w:rPr>
        <w:lastRenderedPageBreak/>
        <w:t>审计整改工作的自觉性和主动性，严格落实主体责任，采取扎实有力举措，推动审计发现问题化解落实。区政府要求区审计局加强审计查出问题整改落实工作的督促检查，持续跟踪问效，做到问题整改事事有回音、件件有落实，并依据审计法有关规定，于今年年底前将具体整改情况向区人大常委会</w:t>
      </w:r>
      <w:proofErr w:type="gramStart"/>
      <w:r>
        <w:rPr>
          <w:rFonts w:ascii="仿宋_GB2312" w:eastAsia="仿宋_GB2312" w:hint="eastAsia"/>
          <w:sz w:val="32"/>
          <w:szCs w:val="32"/>
        </w:rPr>
        <w:t>作出</w:t>
      </w:r>
      <w:proofErr w:type="gramEnd"/>
      <w:r>
        <w:rPr>
          <w:rFonts w:ascii="仿宋_GB2312" w:eastAsia="仿宋_GB2312" w:hint="eastAsia"/>
          <w:sz w:val="32"/>
          <w:szCs w:val="32"/>
        </w:rPr>
        <w:t xml:space="preserve">报告。 </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对部门预算执行审计、政府投资建设项目审计、专项审计等项目的结果，区审计局将依法向社会公告。</w:t>
      </w:r>
    </w:p>
    <w:p w:rsidR="0080548E" w:rsidRDefault="0080548E" w:rsidP="0080548E">
      <w:pPr>
        <w:spacing w:line="560" w:lineRule="exact"/>
        <w:ind w:firstLineChars="200" w:firstLine="640"/>
        <w:rPr>
          <w:rFonts w:ascii="仿宋_GB2312" w:eastAsia="仿宋_GB2312"/>
          <w:sz w:val="32"/>
          <w:szCs w:val="32"/>
        </w:rPr>
      </w:pPr>
      <w:r>
        <w:rPr>
          <w:rFonts w:ascii="仿宋_GB2312" w:eastAsia="仿宋_GB2312" w:hint="eastAsia"/>
          <w:sz w:val="32"/>
          <w:szCs w:val="32"/>
        </w:rPr>
        <w:t>以上报告，请</w:t>
      </w:r>
      <w:proofErr w:type="gramStart"/>
      <w:r>
        <w:rPr>
          <w:rFonts w:ascii="仿宋_GB2312" w:eastAsia="仿宋_GB2312" w:hint="eastAsia"/>
          <w:sz w:val="32"/>
          <w:szCs w:val="32"/>
        </w:rPr>
        <w:t>予审</w:t>
      </w:r>
      <w:proofErr w:type="gramEnd"/>
      <w:r>
        <w:rPr>
          <w:rFonts w:ascii="仿宋_GB2312" w:eastAsia="仿宋_GB2312" w:hint="eastAsia"/>
          <w:sz w:val="32"/>
          <w:szCs w:val="32"/>
        </w:rPr>
        <w:t>议。</w:t>
      </w:r>
    </w:p>
    <w:p w:rsidR="0080548E" w:rsidRDefault="0080548E" w:rsidP="0080548E">
      <w:pPr>
        <w:spacing w:line="560" w:lineRule="exact"/>
        <w:ind w:firstLineChars="200" w:firstLine="640"/>
        <w:rPr>
          <w:rFonts w:ascii="仿宋_GB2312" w:eastAsia="仿宋_GB2312"/>
          <w:sz w:val="32"/>
          <w:szCs w:val="32"/>
        </w:rPr>
      </w:pPr>
    </w:p>
    <w:p w:rsidR="0080548E" w:rsidRDefault="0080548E" w:rsidP="0080548E">
      <w:pPr>
        <w:spacing w:line="560" w:lineRule="exact"/>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p w:rsidR="0080548E" w:rsidRDefault="0080548E" w:rsidP="0080548E">
      <w:pPr>
        <w:spacing w:line="580" w:lineRule="exact"/>
        <w:ind w:rightChars="-538" w:right="-1130"/>
        <w:rPr>
          <w:rFonts w:ascii="仿宋_GB2312" w:eastAsia="仿宋_GB2312"/>
          <w:sz w:val="32"/>
          <w:u w:val="thick"/>
        </w:rPr>
      </w:pPr>
    </w:p>
    <w:sectPr w:rsidR="0080548E" w:rsidSect="008B7796">
      <w:footerReference w:type="even" r:id="rId9"/>
      <w:footerReference w:type="default" r:id="rId10"/>
      <w:pgSz w:w="11906" w:h="16838"/>
      <w:pgMar w:top="2098" w:right="1474" w:bottom="1985" w:left="1588" w:header="851" w:footer="992" w:gutter="0"/>
      <w:pgNumType w:fmt="numberInDash"/>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6CD9" w:rsidRDefault="00366CD9" w:rsidP="007E15A6">
      <w:r>
        <w:separator/>
      </w:r>
    </w:p>
  </w:endnote>
  <w:endnote w:type="continuationSeparator" w:id="0">
    <w:p w:rsidR="00366CD9" w:rsidRDefault="00366CD9" w:rsidP="007E15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0318845"/>
      <w:docPartObj>
        <w:docPartGallery w:val="Page Numbers (Bottom of Page)"/>
        <w:docPartUnique/>
      </w:docPartObj>
    </w:sdtPr>
    <w:sdtEndPr>
      <w:rPr>
        <w:rFonts w:ascii="宋体" w:eastAsia="宋体" w:hAnsi="宋体"/>
        <w:sz w:val="28"/>
        <w:szCs w:val="28"/>
      </w:rPr>
    </w:sdtEndPr>
    <w:sdtContent>
      <w:p w:rsidR="008B7796" w:rsidRPr="008B7796" w:rsidRDefault="008B7796">
        <w:pPr>
          <w:pStyle w:val="a4"/>
          <w:rPr>
            <w:rFonts w:ascii="宋体" w:eastAsia="宋体" w:hAnsi="宋体"/>
            <w:sz w:val="28"/>
            <w:szCs w:val="28"/>
          </w:rPr>
        </w:pPr>
        <w:r w:rsidRPr="008B7796">
          <w:rPr>
            <w:rFonts w:ascii="宋体" w:eastAsia="宋体" w:hAnsi="宋体"/>
            <w:sz w:val="28"/>
            <w:szCs w:val="28"/>
          </w:rPr>
          <w:fldChar w:fldCharType="begin"/>
        </w:r>
        <w:r w:rsidRPr="008B7796">
          <w:rPr>
            <w:rFonts w:ascii="宋体" w:eastAsia="宋体" w:hAnsi="宋体"/>
            <w:sz w:val="28"/>
            <w:szCs w:val="28"/>
          </w:rPr>
          <w:instrText>PAGE   \* MERGEFORMAT</w:instrText>
        </w:r>
        <w:r w:rsidRPr="008B7796">
          <w:rPr>
            <w:rFonts w:ascii="宋体" w:eastAsia="宋体" w:hAnsi="宋体"/>
            <w:sz w:val="28"/>
            <w:szCs w:val="28"/>
          </w:rPr>
          <w:fldChar w:fldCharType="separate"/>
        </w:r>
        <w:r w:rsidR="003B3956" w:rsidRPr="003B3956">
          <w:rPr>
            <w:rFonts w:ascii="宋体" w:eastAsia="宋体" w:hAnsi="宋体"/>
            <w:noProof/>
            <w:sz w:val="28"/>
            <w:szCs w:val="28"/>
            <w:lang w:val="zh-CN"/>
          </w:rPr>
          <w:t>-</w:t>
        </w:r>
        <w:r w:rsidR="003B3956">
          <w:rPr>
            <w:rFonts w:ascii="宋体" w:eastAsia="宋体" w:hAnsi="宋体"/>
            <w:noProof/>
            <w:sz w:val="28"/>
            <w:szCs w:val="28"/>
          </w:rPr>
          <w:t xml:space="preserve"> 12 -</w:t>
        </w:r>
        <w:r w:rsidRPr="008B7796">
          <w:rPr>
            <w:rFonts w:ascii="宋体" w:eastAsia="宋体" w:hAnsi="宋体"/>
            <w:sz w:val="28"/>
            <w:szCs w:val="28"/>
          </w:rPr>
          <w:fldChar w:fldCharType="end"/>
        </w:r>
      </w:p>
    </w:sdtContent>
  </w:sdt>
  <w:p w:rsidR="008B7796" w:rsidRDefault="008B7796">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62518159"/>
      <w:docPartObj>
        <w:docPartGallery w:val="Page Numbers (Bottom of Page)"/>
        <w:docPartUnique/>
      </w:docPartObj>
    </w:sdtPr>
    <w:sdtEndPr>
      <w:rPr>
        <w:rFonts w:ascii="宋体" w:eastAsia="宋体" w:hAnsi="宋体"/>
        <w:sz w:val="28"/>
        <w:szCs w:val="28"/>
      </w:rPr>
    </w:sdtEndPr>
    <w:sdtContent>
      <w:p w:rsidR="007A25E6" w:rsidRPr="008B7796" w:rsidRDefault="007A25E6" w:rsidP="008B7796">
        <w:pPr>
          <w:pStyle w:val="a4"/>
          <w:jc w:val="right"/>
          <w:rPr>
            <w:rFonts w:ascii="宋体" w:eastAsia="宋体" w:hAnsi="宋体"/>
            <w:sz w:val="28"/>
            <w:szCs w:val="28"/>
          </w:rPr>
        </w:pPr>
        <w:r w:rsidRPr="008B7796">
          <w:rPr>
            <w:rFonts w:ascii="宋体" w:eastAsia="宋体" w:hAnsi="宋体"/>
            <w:sz w:val="28"/>
            <w:szCs w:val="28"/>
          </w:rPr>
          <w:fldChar w:fldCharType="begin"/>
        </w:r>
        <w:r w:rsidRPr="008B7796">
          <w:rPr>
            <w:rFonts w:ascii="宋体" w:eastAsia="宋体" w:hAnsi="宋体"/>
            <w:sz w:val="28"/>
            <w:szCs w:val="28"/>
          </w:rPr>
          <w:instrText>PAGE   \* MERGEFORMAT</w:instrText>
        </w:r>
        <w:r w:rsidRPr="008B7796">
          <w:rPr>
            <w:rFonts w:ascii="宋体" w:eastAsia="宋体" w:hAnsi="宋体"/>
            <w:sz w:val="28"/>
            <w:szCs w:val="28"/>
          </w:rPr>
          <w:fldChar w:fldCharType="separate"/>
        </w:r>
        <w:r w:rsidR="003B3956" w:rsidRPr="003B3956">
          <w:rPr>
            <w:rFonts w:ascii="宋体" w:eastAsia="宋体" w:hAnsi="宋体"/>
            <w:noProof/>
            <w:sz w:val="28"/>
            <w:szCs w:val="28"/>
            <w:lang w:val="zh-CN"/>
          </w:rPr>
          <w:t>-</w:t>
        </w:r>
        <w:r w:rsidR="003B3956">
          <w:rPr>
            <w:rFonts w:ascii="宋体" w:eastAsia="宋体" w:hAnsi="宋体"/>
            <w:noProof/>
            <w:sz w:val="28"/>
            <w:szCs w:val="28"/>
          </w:rPr>
          <w:t xml:space="preserve"> 1 -</w:t>
        </w:r>
        <w:r w:rsidRPr="008B7796">
          <w:rPr>
            <w:rFonts w:ascii="宋体" w:eastAsia="宋体" w:hAnsi="宋体"/>
            <w:sz w:val="28"/>
            <w:szCs w:val="28"/>
          </w:rPr>
          <w:fldChar w:fldCharType="end"/>
        </w:r>
      </w:p>
    </w:sdtContent>
  </w:sdt>
  <w:p w:rsidR="007A25E6" w:rsidRDefault="007A25E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6CD9" w:rsidRDefault="00366CD9" w:rsidP="007E15A6">
      <w:r>
        <w:separator/>
      </w:r>
    </w:p>
  </w:footnote>
  <w:footnote w:type="continuationSeparator" w:id="0">
    <w:p w:rsidR="00366CD9" w:rsidRDefault="00366CD9" w:rsidP="007E15A6">
      <w:r>
        <w:continuationSeparator/>
      </w:r>
    </w:p>
  </w:footnote>
  <w:footnote w:id="1">
    <w:p w:rsidR="0080548E" w:rsidRDefault="0080548E" w:rsidP="0080548E">
      <w:pPr>
        <w:pStyle w:val="a8"/>
      </w:pPr>
      <w:r>
        <w:rPr>
          <w:rStyle w:val="a9"/>
        </w:rPr>
        <w:footnoteRef/>
      </w:r>
      <w:r>
        <w:t xml:space="preserve"> </w:t>
      </w:r>
      <w:r>
        <w:rPr>
          <w:rFonts w:hint="eastAsia"/>
        </w:rPr>
        <w:t>含</w:t>
      </w:r>
      <w:r>
        <w:rPr>
          <w:rFonts w:hint="eastAsia"/>
        </w:rPr>
        <w:t>6</w:t>
      </w:r>
      <w:r>
        <w:rPr>
          <w:rFonts w:hint="eastAsia"/>
        </w:rPr>
        <w:t>个部门预算执行审计中发现的部分同类型问题。</w:t>
      </w:r>
    </w:p>
  </w:footnote>
  <w:footnote w:id="2">
    <w:p w:rsidR="0080548E" w:rsidRDefault="0080548E" w:rsidP="0080548E">
      <w:pPr>
        <w:pStyle w:val="a8"/>
      </w:pPr>
      <w:r>
        <w:rPr>
          <w:rStyle w:val="a9"/>
        </w:rPr>
        <w:footnoteRef/>
      </w:r>
      <w:r>
        <w:t xml:space="preserve"> </w:t>
      </w:r>
      <w:r>
        <w:rPr>
          <w:rFonts w:hint="eastAsia"/>
        </w:rPr>
        <w:t>“五项资产”指各预算单位购置的计算机</w:t>
      </w:r>
      <w:r>
        <w:rPr>
          <w:rFonts w:ascii="宋体" w:hAnsi="宋体" w:hint="eastAsia"/>
        </w:rPr>
        <w:t>（台式机、便携式）</w:t>
      </w:r>
      <w:r>
        <w:rPr>
          <w:rFonts w:hint="eastAsia"/>
        </w:rPr>
        <w:t>、机动车辆（包括特种车辆）、打印机（包括打印传真一体机）、复印机、空调。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D313C4"/>
    <w:multiLevelType w:val="multilevel"/>
    <w:tmpl w:val="39D313C4"/>
    <w:lvl w:ilvl="0">
      <w:start w:val="1"/>
      <w:numFmt w:val="japaneseCounting"/>
      <w:lvlText w:val="（%1）"/>
      <w:lvlJc w:val="left"/>
      <w:pPr>
        <w:ind w:left="1635" w:hanging="1005"/>
      </w:pPr>
      <w:rPr>
        <w:rFonts w:hint="default"/>
      </w:rPr>
    </w:lvl>
    <w:lvl w:ilvl="1">
      <w:start w:val="1"/>
      <w:numFmt w:val="lowerLetter"/>
      <w:lvlText w:val="%2)"/>
      <w:lvlJc w:val="left"/>
      <w:pPr>
        <w:ind w:left="1470" w:hanging="420"/>
      </w:pPr>
    </w:lvl>
    <w:lvl w:ilvl="2">
      <w:start w:val="1"/>
      <w:numFmt w:val="lowerRoman"/>
      <w:lvlText w:val="%3."/>
      <w:lvlJc w:val="right"/>
      <w:pPr>
        <w:ind w:left="1890" w:hanging="420"/>
      </w:pPr>
    </w:lvl>
    <w:lvl w:ilvl="3">
      <w:start w:val="1"/>
      <w:numFmt w:val="decimal"/>
      <w:lvlText w:val="%4."/>
      <w:lvlJc w:val="left"/>
      <w:pPr>
        <w:ind w:left="2310" w:hanging="420"/>
      </w:pPr>
    </w:lvl>
    <w:lvl w:ilvl="4">
      <w:start w:val="1"/>
      <w:numFmt w:val="lowerLetter"/>
      <w:lvlText w:val="%5)"/>
      <w:lvlJc w:val="left"/>
      <w:pPr>
        <w:ind w:left="2730" w:hanging="420"/>
      </w:pPr>
    </w:lvl>
    <w:lvl w:ilvl="5">
      <w:start w:val="1"/>
      <w:numFmt w:val="lowerRoman"/>
      <w:lvlText w:val="%6."/>
      <w:lvlJc w:val="right"/>
      <w:pPr>
        <w:ind w:left="3150" w:hanging="420"/>
      </w:pPr>
    </w:lvl>
    <w:lvl w:ilvl="6">
      <w:start w:val="1"/>
      <w:numFmt w:val="decimal"/>
      <w:lvlText w:val="%7."/>
      <w:lvlJc w:val="left"/>
      <w:pPr>
        <w:ind w:left="3570" w:hanging="420"/>
      </w:pPr>
    </w:lvl>
    <w:lvl w:ilvl="7">
      <w:start w:val="1"/>
      <w:numFmt w:val="lowerLetter"/>
      <w:lvlText w:val="%8)"/>
      <w:lvlJc w:val="left"/>
      <w:pPr>
        <w:ind w:left="3990" w:hanging="420"/>
      </w:pPr>
    </w:lvl>
    <w:lvl w:ilvl="8">
      <w:start w:val="1"/>
      <w:numFmt w:val="lowerRoman"/>
      <w:lvlText w:val="%9."/>
      <w:lvlJc w:val="right"/>
      <w:pPr>
        <w:ind w:left="441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27C"/>
    <w:rsid w:val="000002A0"/>
    <w:rsid w:val="00007AF1"/>
    <w:rsid w:val="000121AA"/>
    <w:rsid w:val="00013ED0"/>
    <w:rsid w:val="00015925"/>
    <w:rsid w:val="00017359"/>
    <w:rsid w:val="00020760"/>
    <w:rsid w:val="0002165D"/>
    <w:rsid w:val="000270A2"/>
    <w:rsid w:val="00032515"/>
    <w:rsid w:val="00036470"/>
    <w:rsid w:val="000421E6"/>
    <w:rsid w:val="00047F55"/>
    <w:rsid w:val="00054734"/>
    <w:rsid w:val="000550CC"/>
    <w:rsid w:val="00062C59"/>
    <w:rsid w:val="00070DCF"/>
    <w:rsid w:val="00070F6D"/>
    <w:rsid w:val="0007189E"/>
    <w:rsid w:val="000723F9"/>
    <w:rsid w:val="0007308B"/>
    <w:rsid w:val="00076313"/>
    <w:rsid w:val="000767C9"/>
    <w:rsid w:val="00076DB3"/>
    <w:rsid w:val="00080B27"/>
    <w:rsid w:val="0008471C"/>
    <w:rsid w:val="000850AF"/>
    <w:rsid w:val="00087BAD"/>
    <w:rsid w:val="00090596"/>
    <w:rsid w:val="0009305F"/>
    <w:rsid w:val="0009308F"/>
    <w:rsid w:val="00093A06"/>
    <w:rsid w:val="000952A0"/>
    <w:rsid w:val="000A1766"/>
    <w:rsid w:val="000A22D5"/>
    <w:rsid w:val="000A2C96"/>
    <w:rsid w:val="000A4FB6"/>
    <w:rsid w:val="000A6124"/>
    <w:rsid w:val="000A7E24"/>
    <w:rsid w:val="000B0CCC"/>
    <w:rsid w:val="000B143D"/>
    <w:rsid w:val="000B18ED"/>
    <w:rsid w:val="000B2FF2"/>
    <w:rsid w:val="000B3BB3"/>
    <w:rsid w:val="000B515E"/>
    <w:rsid w:val="000B57BA"/>
    <w:rsid w:val="000C3CD3"/>
    <w:rsid w:val="000C3E2A"/>
    <w:rsid w:val="000C4A9E"/>
    <w:rsid w:val="000C7276"/>
    <w:rsid w:val="000C7C26"/>
    <w:rsid w:val="000D4DF9"/>
    <w:rsid w:val="000D7432"/>
    <w:rsid w:val="000D7CFB"/>
    <w:rsid w:val="000E13D7"/>
    <w:rsid w:val="000E552B"/>
    <w:rsid w:val="000E5883"/>
    <w:rsid w:val="000F4703"/>
    <w:rsid w:val="000F5DD3"/>
    <w:rsid w:val="000F6905"/>
    <w:rsid w:val="00103652"/>
    <w:rsid w:val="00113BD5"/>
    <w:rsid w:val="0011728F"/>
    <w:rsid w:val="0013025E"/>
    <w:rsid w:val="001330FA"/>
    <w:rsid w:val="0013531F"/>
    <w:rsid w:val="0013650F"/>
    <w:rsid w:val="00147204"/>
    <w:rsid w:val="00147780"/>
    <w:rsid w:val="00150D6B"/>
    <w:rsid w:val="00150E9D"/>
    <w:rsid w:val="00152DAD"/>
    <w:rsid w:val="00160D0F"/>
    <w:rsid w:val="00161245"/>
    <w:rsid w:val="00161723"/>
    <w:rsid w:val="00165737"/>
    <w:rsid w:val="0016764F"/>
    <w:rsid w:val="0016791E"/>
    <w:rsid w:val="00170974"/>
    <w:rsid w:val="00170DD4"/>
    <w:rsid w:val="0017207A"/>
    <w:rsid w:val="0017729F"/>
    <w:rsid w:val="001809D3"/>
    <w:rsid w:val="00181DAD"/>
    <w:rsid w:val="00185D40"/>
    <w:rsid w:val="00186900"/>
    <w:rsid w:val="00187AE1"/>
    <w:rsid w:val="0019001F"/>
    <w:rsid w:val="001913E7"/>
    <w:rsid w:val="00192C66"/>
    <w:rsid w:val="001966AE"/>
    <w:rsid w:val="001A138D"/>
    <w:rsid w:val="001A3A8D"/>
    <w:rsid w:val="001A4883"/>
    <w:rsid w:val="001A6208"/>
    <w:rsid w:val="001A7164"/>
    <w:rsid w:val="001B5088"/>
    <w:rsid w:val="001C4F83"/>
    <w:rsid w:val="001C72C2"/>
    <w:rsid w:val="001C7329"/>
    <w:rsid w:val="001D02A1"/>
    <w:rsid w:val="001D1F14"/>
    <w:rsid w:val="001D4515"/>
    <w:rsid w:val="001E1CF1"/>
    <w:rsid w:val="001E312F"/>
    <w:rsid w:val="001E448E"/>
    <w:rsid w:val="001E472B"/>
    <w:rsid w:val="001F4DE3"/>
    <w:rsid w:val="001F5A48"/>
    <w:rsid w:val="0020033D"/>
    <w:rsid w:val="0020324D"/>
    <w:rsid w:val="00204852"/>
    <w:rsid w:val="0020532C"/>
    <w:rsid w:val="00205E3A"/>
    <w:rsid w:val="00206E34"/>
    <w:rsid w:val="002101BF"/>
    <w:rsid w:val="002116FA"/>
    <w:rsid w:val="00212F48"/>
    <w:rsid w:val="00215B06"/>
    <w:rsid w:val="00220248"/>
    <w:rsid w:val="00221C4F"/>
    <w:rsid w:val="002243B6"/>
    <w:rsid w:val="00224AA4"/>
    <w:rsid w:val="00225315"/>
    <w:rsid w:val="002307DA"/>
    <w:rsid w:val="00235DFD"/>
    <w:rsid w:val="002367E4"/>
    <w:rsid w:val="00242DF7"/>
    <w:rsid w:val="00247D8C"/>
    <w:rsid w:val="00251839"/>
    <w:rsid w:val="002530EC"/>
    <w:rsid w:val="00253F63"/>
    <w:rsid w:val="0025437F"/>
    <w:rsid w:val="002566C4"/>
    <w:rsid w:val="00260689"/>
    <w:rsid w:val="00264D38"/>
    <w:rsid w:val="00266613"/>
    <w:rsid w:val="00271D6D"/>
    <w:rsid w:val="002752AB"/>
    <w:rsid w:val="00285B72"/>
    <w:rsid w:val="00290017"/>
    <w:rsid w:val="002945AC"/>
    <w:rsid w:val="0029718B"/>
    <w:rsid w:val="002A09DF"/>
    <w:rsid w:val="002A5D30"/>
    <w:rsid w:val="002A7086"/>
    <w:rsid w:val="002B1467"/>
    <w:rsid w:val="002B384A"/>
    <w:rsid w:val="002C1A28"/>
    <w:rsid w:val="002E121F"/>
    <w:rsid w:val="002E206F"/>
    <w:rsid w:val="002E406B"/>
    <w:rsid w:val="002E7516"/>
    <w:rsid w:val="002F75B6"/>
    <w:rsid w:val="003007A9"/>
    <w:rsid w:val="0030322F"/>
    <w:rsid w:val="00314566"/>
    <w:rsid w:val="00314CE3"/>
    <w:rsid w:val="00314FBD"/>
    <w:rsid w:val="00315EFB"/>
    <w:rsid w:val="003178D7"/>
    <w:rsid w:val="00317AF3"/>
    <w:rsid w:val="003253F3"/>
    <w:rsid w:val="0032693A"/>
    <w:rsid w:val="00331EE0"/>
    <w:rsid w:val="00334D8F"/>
    <w:rsid w:val="00343FC8"/>
    <w:rsid w:val="00344D36"/>
    <w:rsid w:val="003474CE"/>
    <w:rsid w:val="0035042F"/>
    <w:rsid w:val="00351F91"/>
    <w:rsid w:val="0035212B"/>
    <w:rsid w:val="00353C5C"/>
    <w:rsid w:val="00356909"/>
    <w:rsid w:val="00361534"/>
    <w:rsid w:val="00363A7C"/>
    <w:rsid w:val="0036542F"/>
    <w:rsid w:val="00365C3C"/>
    <w:rsid w:val="00366CD9"/>
    <w:rsid w:val="00377127"/>
    <w:rsid w:val="00377BDA"/>
    <w:rsid w:val="003803A2"/>
    <w:rsid w:val="003810E6"/>
    <w:rsid w:val="0038298F"/>
    <w:rsid w:val="00385AD0"/>
    <w:rsid w:val="00386577"/>
    <w:rsid w:val="003908A0"/>
    <w:rsid w:val="00391440"/>
    <w:rsid w:val="00393946"/>
    <w:rsid w:val="003966FC"/>
    <w:rsid w:val="0039726A"/>
    <w:rsid w:val="003977A5"/>
    <w:rsid w:val="00397E2C"/>
    <w:rsid w:val="003A10DE"/>
    <w:rsid w:val="003A1564"/>
    <w:rsid w:val="003A27E8"/>
    <w:rsid w:val="003A5FC0"/>
    <w:rsid w:val="003A7900"/>
    <w:rsid w:val="003B3956"/>
    <w:rsid w:val="003C1173"/>
    <w:rsid w:val="003C22D1"/>
    <w:rsid w:val="003C5D9F"/>
    <w:rsid w:val="003D7FE5"/>
    <w:rsid w:val="003E066E"/>
    <w:rsid w:val="003E13BB"/>
    <w:rsid w:val="003E1C82"/>
    <w:rsid w:val="003E29AA"/>
    <w:rsid w:val="003E2FD6"/>
    <w:rsid w:val="003E32D0"/>
    <w:rsid w:val="003F02FB"/>
    <w:rsid w:val="003F3488"/>
    <w:rsid w:val="003F393C"/>
    <w:rsid w:val="003F534E"/>
    <w:rsid w:val="003F5B7D"/>
    <w:rsid w:val="004026A6"/>
    <w:rsid w:val="004079E1"/>
    <w:rsid w:val="00410850"/>
    <w:rsid w:val="00410D0B"/>
    <w:rsid w:val="00412C21"/>
    <w:rsid w:val="00412C67"/>
    <w:rsid w:val="00415B4F"/>
    <w:rsid w:val="00417BED"/>
    <w:rsid w:val="00417E76"/>
    <w:rsid w:val="00422369"/>
    <w:rsid w:val="0042269E"/>
    <w:rsid w:val="00423260"/>
    <w:rsid w:val="00427EDA"/>
    <w:rsid w:val="00427F85"/>
    <w:rsid w:val="00430B1A"/>
    <w:rsid w:val="00431504"/>
    <w:rsid w:val="00431BA6"/>
    <w:rsid w:val="0043298E"/>
    <w:rsid w:val="004366C4"/>
    <w:rsid w:val="00440F20"/>
    <w:rsid w:val="00442085"/>
    <w:rsid w:val="004420AF"/>
    <w:rsid w:val="00444830"/>
    <w:rsid w:val="004452E4"/>
    <w:rsid w:val="00450201"/>
    <w:rsid w:val="00450FC4"/>
    <w:rsid w:val="00456A06"/>
    <w:rsid w:val="00460C13"/>
    <w:rsid w:val="00463C5E"/>
    <w:rsid w:val="0046503F"/>
    <w:rsid w:val="004650A6"/>
    <w:rsid w:val="004667F6"/>
    <w:rsid w:val="004718A5"/>
    <w:rsid w:val="00473457"/>
    <w:rsid w:val="00473FBB"/>
    <w:rsid w:val="00474B2D"/>
    <w:rsid w:val="004759D2"/>
    <w:rsid w:val="0048347F"/>
    <w:rsid w:val="004838C4"/>
    <w:rsid w:val="00485B91"/>
    <w:rsid w:val="00491912"/>
    <w:rsid w:val="004944DD"/>
    <w:rsid w:val="004964C5"/>
    <w:rsid w:val="004A14B2"/>
    <w:rsid w:val="004A2555"/>
    <w:rsid w:val="004A2DA9"/>
    <w:rsid w:val="004A6055"/>
    <w:rsid w:val="004B4700"/>
    <w:rsid w:val="004C2CA1"/>
    <w:rsid w:val="004D5B0A"/>
    <w:rsid w:val="004D6041"/>
    <w:rsid w:val="004E0093"/>
    <w:rsid w:val="004E04A8"/>
    <w:rsid w:val="004E1EF7"/>
    <w:rsid w:val="004E648B"/>
    <w:rsid w:val="004F2B03"/>
    <w:rsid w:val="004F38B6"/>
    <w:rsid w:val="004F3A95"/>
    <w:rsid w:val="004F3DBB"/>
    <w:rsid w:val="004F48BA"/>
    <w:rsid w:val="004F7545"/>
    <w:rsid w:val="0050012D"/>
    <w:rsid w:val="00501CFB"/>
    <w:rsid w:val="00503558"/>
    <w:rsid w:val="0050545D"/>
    <w:rsid w:val="005056C5"/>
    <w:rsid w:val="005064C5"/>
    <w:rsid w:val="005163BF"/>
    <w:rsid w:val="0052260A"/>
    <w:rsid w:val="00525233"/>
    <w:rsid w:val="005268E2"/>
    <w:rsid w:val="00531E5E"/>
    <w:rsid w:val="005362D4"/>
    <w:rsid w:val="0054318D"/>
    <w:rsid w:val="005461F5"/>
    <w:rsid w:val="00547ADF"/>
    <w:rsid w:val="00551501"/>
    <w:rsid w:val="0055355C"/>
    <w:rsid w:val="00555420"/>
    <w:rsid w:val="00561F3C"/>
    <w:rsid w:val="0056309D"/>
    <w:rsid w:val="00566350"/>
    <w:rsid w:val="00567F98"/>
    <w:rsid w:val="0057494F"/>
    <w:rsid w:val="00574CF9"/>
    <w:rsid w:val="0057545A"/>
    <w:rsid w:val="005837B3"/>
    <w:rsid w:val="00590068"/>
    <w:rsid w:val="00596BF6"/>
    <w:rsid w:val="005A3690"/>
    <w:rsid w:val="005A3960"/>
    <w:rsid w:val="005A527C"/>
    <w:rsid w:val="005A55C2"/>
    <w:rsid w:val="005A6EF4"/>
    <w:rsid w:val="005B57AD"/>
    <w:rsid w:val="005C10AF"/>
    <w:rsid w:val="005C2B6A"/>
    <w:rsid w:val="005C2EE5"/>
    <w:rsid w:val="005C6584"/>
    <w:rsid w:val="005C7201"/>
    <w:rsid w:val="005C75E6"/>
    <w:rsid w:val="005D0F4D"/>
    <w:rsid w:val="005D4B57"/>
    <w:rsid w:val="005D5F94"/>
    <w:rsid w:val="005E06D5"/>
    <w:rsid w:val="005E178F"/>
    <w:rsid w:val="005E616B"/>
    <w:rsid w:val="005F1D31"/>
    <w:rsid w:val="005F2843"/>
    <w:rsid w:val="005F535A"/>
    <w:rsid w:val="005F6887"/>
    <w:rsid w:val="005F7837"/>
    <w:rsid w:val="006019C0"/>
    <w:rsid w:val="0060640B"/>
    <w:rsid w:val="00611027"/>
    <w:rsid w:val="0061262B"/>
    <w:rsid w:val="00617074"/>
    <w:rsid w:val="00617367"/>
    <w:rsid w:val="00621B58"/>
    <w:rsid w:val="006238C3"/>
    <w:rsid w:val="00630597"/>
    <w:rsid w:val="006307C5"/>
    <w:rsid w:val="00630E83"/>
    <w:rsid w:val="006367F5"/>
    <w:rsid w:val="00636AA8"/>
    <w:rsid w:val="00637A18"/>
    <w:rsid w:val="006408ED"/>
    <w:rsid w:val="00642A08"/>
    <w:rsid w:val="00643239"/>
    <w:rsid w:val="00644F41"/>
    <w:rsid w:val="0064613A"/>
    <w:rsid w:val="00647C4C"/>
    <w:rsid w:val="00655B6C"/>
    <w:rsid w:val="006617A3"/>
    <w:rsid w:val="006651AE"/>
    <w:rsid w:val="006670D7"/>
    <w:rsid w:val="006712E5"/>
    <w:rsid w:val="00680AE9"/>
    <w:rsid w:val="00683743"/>
    <w:rsid w:val="0068408F"/>
    <w:rsid w:val="00693063"/>
    <w:rsid w:val="006A5215"/>
    <w:rsid w:val="006A6448"/>
    <w:rsid w:val="006B0542"/>
    <w:rsid w:val="006B0597"/>
    <w:rsid w:val="006B1960"/>
    <w:rsid w:val="006B3882"/>
    <w:rsid w:val="006B3F90"/>
    <w:rsid w:val="006B6A26"/>
    <w:rsid w:val="006C68EC"/>
    <w:rsid w:val="006D0357"/>
    <w:rsid w:val="006D1896"/>
    <w:rsid w:val="006E0222"/>
    <w:rsid w:val="006E4F83"/>
    <w:rsid w:val="006E60FC"/>
    <w:rsid w:val="006F2151"/>
    <w:rsid w:val="006F5257"/>
    <w:rsid w:val="006F6B5C"/>
    <w:rsid w:val="00702CDD"/>
    <w:rsid w:val="0071039A"/>
    <w:rsid w:val="007123E4"/>
    <w:rsid w:val="00713FFC"/>
    <w:rsid w:val="00715572"/>
    <w:rsid w:val="007201C5"/>
    <w:rsid w:val="007216C9"/>
    <w:rsid w:val="00721731"/>
    <w:rsid w:val="00725469"/>
    <w:rsid w:val="00725FC1"/>
    <w:rsid w:val="00731628"/>
    <w:rsid w:val="007326E3"/>
    <w:rsid w:val="00732C8B"/>
    <w:rsid w:val="00733B1A"/>
    <w:rsid w:val="0073710F"/>
    <w:rsid w:val="00741C97"/>
    <w:rsid w:val="0074315C"/>
    <w:rsid w:val="00743C17"/>
    <w:rsid w:val="00744495"/>
    <w:rsid w:val="00745037"/>
    <w:rsid w:val="0074594E"/>
    <w:rsid w:val="00745B9C"/>
    <w:rsid w:val="00746EBF"/>
    <w:rsid w:val="0075201F"/>
    <w:rsid w:val="007520F4"/>
    <w:rsid w:val="00752900"/>
    <w:rsid w:val="00763216"/>
    <w:rsid w:val="0076368B"/>
    <w:rsid w:val="00763FD7"/>
    <w:rsid w:val="007644AF"/>
    <w:rsid w:val="00765E10"/>
    <w:rsid w:val="007665B8"/>
    <w:rsid w:val="0076755D"/>
    <w:rsid w:val="00767578"/>
    <w:rsid w:val="00767623"/>
    <w:rsid w:val="00773698"/>
    <w:rsid w:val="00774868"/>
    <w:rsid w:val="00775CD3"/>
    <w:rsid w:val="007856F7"/>
    <w:rsid w:val="00785B29"/>
    <w:rsid w:val="00787A3B"/>
    <w:rsid w:val="00795259"/>
    <w:rsid w:val="007A123E"/>
    <w:rsid w:val="007A2599"/>
    <w:rsid w:val="007A25E6"/>
    <w:rsid w:val="007C0194"/>
    <w:rsid w:val="007C0E97"/>
    <w:rsid w:val="007C491D"/>
    <w:rsid w:val="007C4EC6"/>
    <w:rsid w:val="007C75FF"/>
    <w:rsid w:val="007C7B51"/>
    <w:rsid w:val="007D2DC7"/>
    <w:rsid w:val="007D3F09"/>
    <w:rsid w:val="007E15A6"/>
    <w:rsid w:val="007E1826"/>
    <w:rsid w:val="007E24DE"/>
    <w:rsid w:val="007E24E3"/>
    <w:rsid w:val="007E4ED7"/>
    <w:rsid w:val="007E7068"/>
    <w:rsid w:val="007F0B0F"/>
    <w:rsid w:val="007F67B6"/>
    <w:rsid w:val="00800EB9"/>
    <w:rsid w:val="008021DF"/>
    <w:rsid w:val="00803345"/>
    <w:rsid w:val="008039C7"/>
    <w:rsid w:val="008052FE"/>
    <w:rsid w:val="0080548E"/>
    <w:rsid w:val="00806AEF"/>
    <w:rsid w:val="008079F1"/>
    <w:rsid w:val="00822897"/>
    <w:rsid w:val="00826767"/>
    <w:rsid w:val="00835FA2"/>
    <w:rsid w:val="0083764D"/>
    <w:rsid w:val="00837D9D"/>
    <w:rsid w:val="00842633"/>
    <w:rsid w:val="00845E44"/>
    <w:rsid w:val="008461DC"/>
    <w:rsid w:val="00846E6A"/>
    <w:rsid w:val="0084723C"/>
    <w:rsid w:val="008479B1"/>
    <w:rsid w:val="008513ED"/>
    <w:rsid w:val="0085169A"/>
    <w:rsid w:val="00851AE4"/>
    <w:rsid w:val="00853EC8"/>
    <w:rsid w:val="008577E5"/>
    <w:rsid w:val="00861369"/>
    <w:rsid w:val="008619FC"/>
    <w:rsid w:val="00861B47"/>
    <w:rsid w:val="00863ED7"/>
    <w:rsid w:val="00864169"/>
    <w:rsid w:val="00867484"/>
    <w:rsid w:val="00875FA1"/>
    <w:rsid w:val="00876410"/>
    <w:rsid w:val="00877202"/>
    <w:rsid w:val="0087783E"/>
    <w:rsid w:val="008851A2"/>
    <w:rsid w:val="00893D37"/>
    <w:rsid w:val="008A0070"/>
    <w:rsid w:val="008A1840"/>
    <w:rsid w:val="008A1CF8"/>
    <w:rsid w:val="008A1DD3"/>
    <w:rsid w:val="008A2B23"/>
    <w:rsid w:val="008A2E60"/>
    <w:rsid w:val="008A64E5"/>
    <w:rsid w:val="008A7F82"/>
    <w:rsid w:val="008B65CC"/>
    <w:rsid w:val="008B7796"/>
    <w:rsid w:val="008C2F09"/>
    <w:rsid w:val="008D0620"/>
    <w:rsid w:val="008D0EF1"/>
    <w:rsid w:val="008D5FCC"/>
    <w:rsid w:val="008E2BC8"/>
    <w:rsid w:val="008E3DAB"/>
    <w:rsid w:val="008E7B85"/>
    <w:rsid w:val="008F04DD"/>
    <w:rsid w:val="008F496F"/>
    <w:rsid w:val="00902B12"/>
    <w:rsid w:val="009039DA"/>
    <w:rsid w:val="0090579A"/>
    <w:rsid w:val="00910269"/>
    <w:rsid w:val="00912F2B"/>
    <w:rsid w:val="0091422E"/>
    <w:rsid w:val="00914F1B"/>
    <w:rsid w:val="00916D1D"/>
    <w:rsid w:val="00917D77"/>
    <w:rsid w:val="009223F7"/>
    <w:rsid w:val="009228AF"/>
    <w:rsid w:val="00924F60"/>
    <w:rsid w:val="00931053"/>
    <w:rsid w:val="0093409D"/>
    <w:rsid w:val="00936D30"/>
    <w:rsid w:val="00936E46"/>
    <w:rsid w:val="00944C74"/>
    <w:rsid w:val="00947E6F"/>
    <w:rsid w:val="00953EED"/>
    <w:rsid w:val="00955993"/>
    <w:rsid w:val="00960C91"/>
    <w:rsid w:val="00961B66"/>
    <w:rsid w:val="00965D11"/>
    <w:rsid w:val="00970464"/>
    <w:rsid w:val="009819EF"/>
    <w:rsid w:val="00982496"/>
    <w:rsid w:val="0098383C"/>
    <w:rsid w:val="00993BAD"/>
    <w:rsid w:val="00997489"/>
    <w:rsid w:val="009A3D4E"/>
    <w:rsid w:val="009A4C13"/>
    <w:rsid w:val="009A67B7"/>
    <w:rsid w:val="009B0528"/>
    <w:rsid w:val="009B1D36"/>
    <w:rsid w:val="009B257A"/>
    <w:rsid w:val="009B2AD8"/>
    <w:rsid w:val="009B4863"/>
    <w:rsid w:val="009B509F"/>
    <w:rsid w:val="009B6DE6"/>
    <w:rsid w:val="009B70E6"/>
    <w:rsid w:val="009B73A0"/>
    <w:rsid w:val="009C070A"/>
    <w:rsid w:val="009C10E4"/>
    <w:rsid w:val="009C3280"/>
    <w:rsid w:val="009C5C75"/>
    <w:rsid w:val="009C65CD"/>
    <w:rsid w:val="009D0404"/>
    <w:rsid w:val="009D497D"/>
    <w:rsid w:val="009D5422"/>
    <w:rsid w:val="009D77A9"/>
    <w:rsid w:val="009E169E"/>
    <w:rsid w:val="009E339F"/>
    <w:rsid w:val="009E4584"/>
    <w:rsid w:val="009E49CB"/>
    <w:rsid w:val="009E75F2"/>
    <w:rsid w:val="009F22E7"/>
    <w:rsid w:val="009F74FB"/>
    <w:rsid w:val="009F7719"/>
    <w:rsid w:val="009F7C3B"/>
    <w:rsid w:val="00A01CBB"/>
    <w:rsid w:val="00A11779"/>
    <w:rsid w:val="00A166C3"/>
    <w:rsid w:val="00A22525"/>
    <w:rsid w:val="00A24E34"/>
    <w:rsid w:val="00A2621D"/>
    <w:rsid w:val="00A272CB"/>
    <w:rsid w:val="00A33B3D"/>
    <w:rsid w:val="00A358A3"/>
    <w:rsid w:val="00A372D0"/>
    <w:rsid w:val="00A375A3"/>
    <w:rsid w:val="00A37A03"/>
    <w:rsid w:val="00A37FE4"/>
    <w:rsid w:val="00A40E7B"/>
    <w:rsid w:val="00A4198D"/>
    <w:rsid w:val="00A42833"/>
    <w:rsid w:val="00A52BC5"/>
    <w:rsid w:val="00A52F5D"/>
    <w:rsid w:val="00A576E0"/>
    <w:rsid w:val="00A60293"/>
    <w:rsid w:val="00A6087A"/>
    <w:rsid w:val="00A64669"/>
    <w:rsid w:val="00A6616E"/>
    <w:rsid w:val="00A668B4"/>
    <w:rsid w:val="00A67302"/>
    <w:rsid w:val="00A67CC7"/>
    <w:rsid w:val="00A716D5"/>
    <w:rsid w:val="00A72BA8"/>
    <w:rsid w:val="00A749C4"/>
    <w:rsid w:val="00A76042"/>
    <w:rsid w:val="00A77148"/>
    <w:rsid w:val="00A805AE"/>
    <w:rsid w:val="00A8080C"/>
    <w:rsid w:val="00A87D1B"/>
    <w:rsid w:val="00A90003"/>
    <w:rsid w:val="00A93290"/>
    <w:rsid w:val="00A94F0E"/>
    <w:rsid w:val="00AA0791"/>
    <w:rsid w:val="00AA3D7B"/>
    <w:rsid w:val="00AA4FD9"/>
    <w:rsid w:val="00AA503F"/>
    <w:rsid w:val="00AA6008"/>
    <w:rsid w:val="00AA698B"/>
    <w:rsid w:val="00AB4A69"/>
    <w:rsid w:val="00AB64AA"/>
    <w:rsid w:val="00AC1C1E"/>
    <w:rsid w:val="00AC7CC8"/>
    <w:rsid w:val="00AD10F8"/>
    <w:rsid w:val="00AD6A53"/>
    <w:rsid w:val="00AE1578"/>
    <w:rsid w:val="00AE6A14"/>
    <w:rsid w:val="00AF039C"/>
    <w:rsid w:val="00AF1441"/>
    <w:rsid w:val="00AF227E"/>
    <w:rsid w:val="00AF4151"/>
    <w:rsid w:val="00B02CE2"/>
    <w:rsid w:val="00B04312"/>
    <w:rsid w:val="00B06E5B"/>
    <w:rsid w:val="00B11C98"/>
    <w:rsid w:val="00B133FD"/>
    <w:rsid w:val="00B14BD2"/>
    <w:rsid w:val="00B25EEE"/>
    <w:rsid w:val="00B337BA"/>
    <w:rsid w:val="00B33BFC"/>
    <w:rsid w:val="00B34A01"/>
    <w:rsid w:val="00B360AE"/>
    <w:rsid w:val="00B412DC"/>
    <w:rsid w:val="00B468F0"/>
    <w:rsid w:val="00B62FCF"/>
    <w:rsid w:val="00B630BD"/>
    <w:rsid w:val="00B63175"/>
    <w:rsid w:val="00B676BF"/>
    <w:rsid w:val="00B702B6"/>
    <w:rsid w:val="00B74675"/>
    <w:rsid w:val="00B75502"/>
    <w:rsid w:val="00B81310"/>
    <w:rsid w:val="00B819D2"/>
    <w:rsid w:val="00B869B9"/>
    <w:rsid w:val="00B94D73"/>
    <w:rsid w:val="00B9546A"/>
    <w:rsid w:val="00BA19D9"/>
    <w:rsid w:val="00BA2CBC"/>
    <w:rsid w:val="00BA783F"/>
    <w:rsid w:val="00BB2703"/>
    <w:rsid w:val="00BC0231"/>
    <w:rsid w:val="00BC571F"/>
    <w:rsid w:val="00BC7222"/>
    <w:rsid w:val="00BC7CFB"/>
    <w:rsid w:val="00BD17AD"/>
    <w:rsid w:val="00BD30D3"/>
    <w:rsid w:val="00BD32CA"/>
    <w:rsid w:val="00BD51AB"/>
    <w:rsid w:val="00BD525F"/>
    <w:rsid w:val="00BD5FCE"/>
    <w:rsid w:val="00BD6488"/>
    <w:rsid w:val="00BD6BCF"/>
    <w:rsid w:val="00BD73AC"/>
    <w:rsid w:val="00BE0ED3"/>
    <w:rsid w:val="00BE17E6"/>
    <w:rsid w:val="00BE1C8D"/>
    <w:rsid w:val="00BE3B38"/>
    <w:rsid w:val="00BE6518"/>
    <w:rsid w:val="00BF0A45"/>
    <w:rsid w:val="00BF0CCC"/>
    <w:rsid w:val="00BF1DF8"/>
    <w:rsid w:val="00BF23F2"/>
    <w:rsid w:val="00BF423E"/>
    <w:rsid w:val="00C00101"/>
    <w:rsid w:val="00C027B4"/>
    <w:rsid w:val="00C049E8"/>
    <w:rsid w:val="00C1148F"/>
    <w:rsid w:val="00C1276D"/>
    <w:rsid w:val="00C21B5E"/>
    <w:rsid w:val="00C23E0A"/>
    <w:rsid w:val="00C31965"/>
    <w:rsid w:val="00C33A3F"/>
    <w:rsid w:val="00C423B2"/>
    <w:rsid w:val="00C424B9"/>
    <w:rsid w:val="00C42D4F"/>
    <w:rsid w:val="00C44FB9"/>
    <w:rsid w:val="00C4546A"/>
    <w:rsid w:val="00C507BF"/>
    <w:rsid w:val="00C51558"/>
    <w:rsid w:val="00C5258A"/>
    <w:rsid w:val="00C54AEF"/>
    <w:rsid w:val="00C55417"/>
    <w:rsid w:val="00C60B41"/>
    <w:rsid w:val="00C638D1"/>
    <w:rsid w:val="00C67FD0"/>
    <w:rsid w:val="00C73B17"/>
    <w:rsid w:val="00C8104D"/>
    <w:rsid w:val="00C81130"/>
    <w:rsid w:val="00C81EE2"/>
    <w:rsid w:val="00C877B1"/>
    <w:rsid w:val="00C91F53"/>
    <w:rsid w:val="00C93DDA"/>
    <w:rsid w:val="00C94242"/>
    <w:rsid w:val="00C961FD"/>
    <w:rsid w:val="00C96885"/>
    <w:rsid w:val="00CA103A"/>
    <w:rsid w:val="00CA3669"/>
    <w:rsid w:val="00CA3D9E"/>
    <w:rsid w:val="00CA5CF0"/>
    <w:rsid w:val="00CA680A"/>
    <w:rsid w:val="00CC0945"/>
    <w:rsid w:val="00CC2706"/>
    <w:rsid w:val="00CC3AF9"/>
    <w:rsid w:val="00CC59E0"/>
    <w:rsid w:val="00CC7446"/>
    <w:rsid w:val="00CD5251"/>
    <w:rsid w:val="00CD577E"/>
    <w:rsid w:val="00CE4FD2"/>
    <w:rsid w:val="00CE5A3D"/>
    <w:rsid w:val="00CE5A49"/>
    <w:rsid w:val="00CF0B36"/>
    <w:rsid w:val="00CF14A3"/>
    <w:rsid w:val="00CF2AF2"/>
    <w:rsid w:val="00CF4891"/>
    <w:rsid w:val="00D02611"/>
    <w:rsid w:val="00D035F5"/>
    <w:rsid w:val="00D13B80"/>
    <w:rsid w:val="00D154CE"/>
    <w:rsid w:val="00D164C6"/>
    <w:rsid w:val="00D17171"/>
    <w:rsid w:val="00D203B9"/>
    <w:rsid w:val="00D216EB"/>
    <w:rsid w:val="00D21F00"/>
    <w:rsid w:val="00D221CF"/>
    <w:rsid w:val="00D23E63"/>
    <w:rsid w:val="00D25357"/>
    <w:rsid w:val="00D2763F"/>
    <w:rsid w:val="00D30D4D"/>
    <w:rsid w:val="00D313D0"/>
    <w:rsid w:val="00D41169"/>
    <w:rsid w:val="00D43A0F"/>
    <w:rsid w:val="00D538BA"/>
    <w:rsid w:val="00D54791"/>
    <w:rsid w:val="00D57EA1"/>
    <w:rsid w:val="00D57FDC"/>
    <w:rsid w:val="00D61042"/>
    <w:rsid w:val="00D62A1D"/>
    <w:rsid w:val="00D63031"/>
    <w:rsid w:val="00D632DF"/>
    <w:rsid w:val="00D63636"/>
    <w:rsid w:val="00D70EC4"/>
    <w:rsid w:val="00D72AE9"/>
    <w:rsid w:val="00D75EC7"/>
    <w:rsid w:val="00D828A1"/>
    <w:rsid w:val="00D83F78"/>
    <w:rsid w:val="00D930F2"/>
    <w:rsid w:val="00D9618E"/>
    <w:rsid w:val="00D96A6C"/>
    <w:rsid w:val="00DA0C5E"/>
    <w:rsid w:val="00DA1B91"/>
    <w:rsid w:val="00DA1DB3"/>
    <w:rsid w:val="00DA76A5"/>
    <w:rsid w:val="00DB05DD"/>
    <w:rsid w:val="00DB2B00"/>
    <w:rsid w:val="00DB4490"/>
    <w:rsid w:val="00DB51A5"/>
    <w:rsid w:val="00DB5C7D"/>
    <w:rsid w:val="00DB6A82"/>
    <w:rsid w:val="00DC25B6"/>
    <w:rsid w:val="00DD2645"/>
    <w:rsid w:val="00DD2B10"/>
    <w:rsid w:val="00DD63C3"/>
    <w:rsid w:val="00DE0C64"/>
    <w:rsid w:val="00DE21AE"/>
    <w:rsid w:val="00DE58D9"/>
    <w:rsid w:val="00DE595C"/>
    <w:rsid w:val="00DF39AE"/>
    <w:rsid w:val="00DF750A"/>
    <w:rsid w:val="00E06870"/>
    <w:rsid w:val="00E07D2B"/>
    <w:rsid w:val="00E149D2"/>
    <w:rsid w:val="00E151A1"/>
    <w:rsid w:val="00E449A6"/>
    <w:rsid w:val="00E46E45"/>
    <w:rsid w:val="00E4726A"/>
    <w:rsid w:val="00E47A8D"/>
    <w:rsid w:val="00E510F9"/>
    <w:rsid w:val="00E52248"/>
    <w:rsid w:val="00E5238A"/>
    <w:rsid w:val="00E5441D"/>
    <w:rsid w:val="00E546AF"/>
    <w:rsid w:val="00E573B4"/>
    <w:rsid w:val="00E61AE9"/>
    <w:rsid w:val="00E6286D"/>
    <w:rsid w:val="00E66AAE"/>
    <w:rsid w:val="00E71124"/>
    <w:rsid w:val="00E713B8"/>
    <w:rsid w:val="00E7470E"/>
    <w:rsid w:val="00E74EDC"/>
    <w:rsid w:val="00E761AE"/>
    <w:rsid w:val="00E80F17"/>
    <w:rsid w:val="00E83352"/>
    <w:rsid w:val="00E850DC"/>
    <w:rsid w:val="00E90DC4"/>
    <w:rsid w:val="00E92DA9"/>
    <w:rsid w:val="00E93A02"/>
    <w:rsid w:val="00EA1ED3"/>
    <w:rsid w:val="00EA2E57"/>
    <w:rsid w:val="00EA71B4"/>
    <w:rsid w:val="00EB0AE9"/>
    <w:rsid w:val="00EB1472"/>
    <w:rsid w:val="00EB294E"/>
    <w:rsid w:val="00EB39B1"/>
    <w:rsid w:val="00EB766D"/>
    <w:rsid w:val="00EB7C0F"/>
    <w:rsid w:val="00EC050F"/>
    <w:rsid w:val="00EC15D6"/>
    <w:rsid w:val="00EC460E"/>
    <w:rsid w:val="00EC5806"/>
    <w:rsid w:val="00ED11B5"/>
    <w:rsid w:val="00ED2FD9"/>
    <w:rsid w:val="00ED30E5"/>
    <w:rsid w:val="00EE2F04"/>
    <w:rsid w:val="00EE6FED"/>
    <w:rsid w:val="00EE74F1"/>
    <w:rsid w:val="00EE7A9D"/>
    <w:rsid w:val="00EF6E69"/>
    <w:rsid w:val="00F011AD"/>
    <w:rsid w:val="00F10D03"/>
    <w:rsid w:val="00F1123D"/>
    <w:rsid w:val="00F1327C"/>
    <w:rsid w:val="00F13C1C"/>
    <w:rsid w:val="00F159CA"/>
    <w:rsid w:val="00F17287"/>
    <w:rsid w:val="00F22819"/>
    <w:rsid w:val="00F2307C"/>
    <w:rsid w:val="00F25707"/>
    <w:rsid w:val="00F32ECF"/>
    <w:rsid w:val="00F35D77"/>
    <w:rsid w:val="00F450C9"/>
    <w:rsid w:val="00F511B7"/>
    <w:rsid w:val="00F53FEC"/>
    <w:rsid w:val="00F55A73"/>
    <w:rsid w:val="00F55EAF"/>
    <w:rsid w:val="00F605AF"/>
    <w:rsid w:val="00F619EC"/>
    <w:rsid w:val="00F62388"/>
    <w:rsid w:val="00F63767"/>
    <w:rsid w:val="00F63A5A"/>
    <w:rsid w:val="00F66B77"/>
    <w:rsid w:val="00F71E05"/>
    <w:rsid w:val="00F72C1B"/>
    <w:rsid w:val="00F8190B"/>
    <w:rsid w:val="00F908CC"/>
    <w:rsid w:val="00F94006"/>
    <w:rsid w:val="00FA1857"/>
    <w:rsid w:val="00FA6A25"/>
    <w:rsid w:val="00FB0D94"/>
    <w:rsid w:val="00FB5E50"/>
    <w:rsid w:val="00FC3C26"/>
    <w:rsid w:val="00FC79E5"/>
    <w:rsid w:val="00FD0467"/>
    <w:rsid w:val="00FD7BB0"/>
    <w:rsid w:val="00FE53B2"/>
    <w:rsid w:val="00FE5ECB"/>
    <w:rsid w:val="00FE6EB6"/>
    <w:rsid w:val="00FF0394"/>
    <w:rsid w:val="00FF3B8E"/>
    <w:rsid w:val="00FF50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E15A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E15A6"/>
    <w:rPr>
      <w:sz w:val="18"/>
      <w:szCs w:val="18"/>
    </w:rPr>
  </w:style>
  <w:style w:type="paragraph" w:styleId="a4">
    <w:name w:val="footer"/>
    <w:basedOn w:val="a"/>
    <w:link w:val="Char0"/>
    <w:uiPriority w:val="99"/>
    <w:unhideWhenUsed/>
    <w:qFormat/>
    <w:rsid w:val="007E15A6"/>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7E15A6"/>
    <w:rPr>
      <w:sz w:val="18"/>
      <w:szCs w:val="18"/>
    </w:rPr>
  </w:style>
  <w:style w:type="paragraph" w:styleId="a5">
    <w:name w:val="Balloon Text"/>
    <w:basedOn w:val="a"/>
    <w:link w:val="Char1"/>
    <w:uiPriority w:val="99"/>
    <w:semiHidden/>
    <w:unhideWhenUsed/>
    <w:rsid w:val="00317AF3"/>
    <w:rPr>
      <w:sz w:val="18"/>
      <w:szCs w:val="18"/>
    </w:rPr>
  </w:style>
  <w:style w:type="character" w:customStyle="1" w:styleId="Char1">
    <w:name w:val="批注框文本 Char"/>
    <w:basedOn w:val="a0"/>
    <w:link w:val="a5"/>
    <w:uiPriority w:val="99"/>
    <w:semiHidden/>
    <w:rsid w:val="00317AF3"/>
    <w:rPr>
      <w:sz w:val="18"/>
      <w:szCs w:val="18"/>
    </w:rPr>
  </w:style>
  <w:style w:type="paragraph" w:styleId="a6">
    <w:name w:val="endnote text"/>
    <w:basedOn w:val="a"/>
    <w:link w:val="Char2"/>
    <w:uiPriority w:val="99"/>
    <w:semiHidden/>
    <w:unhideWhenUsed/>
    <w:rsid w:val="00902B12"/>
    <w:pPr>
      <w:snapToGrid w:val="0"/>
      <w:jc w:val="left"/>
    </w:pPr>
  </w:style>
  <w:style w:type="character" w:customStyle="1" w:styleId="Char2">
    <w:name w:val="尾注文本 Char"/>
    <w:basedOn w:val="a0"/>
    <w:link w:val="a6"/>
    <w:uiPriority w:val="99"/>
    <w:semiHidden/>
    <w:rsid w:val="00902B12"/>
  </w:style>
  <w:style w:type="character" w:styleId="a7">
    <w:name w:val="endnote reference"/>
    <w:basedOn w:val="a0"/>
    <w:uiPriority w:val="99"/>
    <w:semiHidden/>
    <w:unhideWhenUsed/>
    <w:rsid w:val="00902B12"/>
    <w:rPr>
      <w:vertAlign w:val="superscript"/>
    </w:rPr>
  </w:style>
  <w:style w:type="paragraph" w:styleId="a8">
    <w:name w:val="footnote text"/>
    <w:basedOn w:val="a"/>
    <w:link w:val="Char3"/>
    <w:uiPriority w:val="99"/>
    <w:unhideWhenUsed/>
    <w:qFormat/>
    <w:rsid w:val="00F53FEC"/>
    <w:pPr>
      <w:snapToGrid w:val="0"/>
      <w:jc w:val="left"/>
    </w:pPr>
    <w:rPr>
      <w:sz w:val="18"/>
      <w:szCs w:val="18"/>
    </w:rPr>
  </w:style>
  <w:style w:type="character" w:customStyle="1" w:styleId="Char3">
    <w:name w:val="脚注文本 Char"/>
    <w:basedOn w:val="a0"/>
    <w:link w:val="a8"/>
    <w:uiPriority w:val="99"/>
    <w:semiHidden/>
    <w:qFormat/>
    <w:rsid w:val="00F53FEC"/>
    <w:rPr>
      <w:sz w:val="18"/>
      <w:szCs w:val="18"/>
    </w:rPr>
  </w:style>
  <w:style w:type="character" w:styleId="a9">
    <w:name w:val="footnote reference"/>
    <w:basedOn w:val="a0"/>
    <w:uiPriority w:val="99"/>
    <w:unhideWhenUsed/>
    <w:qFormat/>
    <w:rsid w:val="00F53FEC"/>
    <w:rPr>
      <w:vertAlign w:val="superscript"/>
    </w:rPr>
  </w:style>
  <w:style w:type="paragraph" w:styleId="aa">
    <w:name w:val="Normal (Web)"/>
    <w:basedOn w:val="a"/>
    <w:uiPriority w:val="99"/>
    <w:unhideWhenUsed/>
    <w:rsid w:val="00767623"/>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E15A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E15A6"/>
    <w:rPr>
      <w:sz w:val="18"/>
      <w:szCs w:val="18"/>
    </w:rPr>
  </w:style>
  <w:style w:type="paragraph" w:styleId="a4">
    <w:name w:val="footer"/>
    <w:basedOn w:val="a"/>
    <w:link w:val="Char0"/>
    <w:uiPriority w:val="99"/>
    <w:unhideWhenUsed/>
    <w:qFormat/>
    <w:rsid w:val="007E15A6"/>
    <w:pPr>
      <w:tabs>
        <w:tab w:val="center" w:pos="4153"/>
        <w:tab w:val="right" w:pos="8306"/>
      </w:tabs>
      <w:snapToGrid w:val="0"/>
      <w:jc w:val="left"/>
    </w:pPr>
    <w:rPr>
      <w:sz w:val="18"/>
      <w:szCs w:val="18"/>
    </w:rPr>
  </w:style>
  <w:style w:type="character" w:customStyle="1" w:styleId="Char0">
    <w:name w:val="页脚 Char"/>
    <w:basedOn w:val="a0"/>
    <w:link w:val="a4"/>
    <w:uiPriority w:val="99"/>
    <w:qFormat/>
    <w:rsid w:val="007E15A6"/>
    <w:rPr>
      <w:sz w:val="18"/>
      <w:szCs w:val="18"/>
    </w:rPr>
  </w:style>
  <w:style w:type="paragraph" w:styleId="a5">
    <w:name w:val="Balloon Text"/>
    <w:basedOn w:val="a"/>
    <w:link w:val="Char1"/>
    <w:uiPriority w:val="99"/>
    <w:semiHidden/>
    <w:unhideWhenUsed/>
    <w:rsid w:val="00317AF3"/>
    <w:rPr>
      <w:sz w:val="18"/>
      <w:szCs w:val="18"/>
    </w:rPr>
  </w:style>
  <w:style w:type="character" w:customStyle="1" w:styleId="Char1">
    <w:name w:val="批注框文本 Char"/>
    <w:basedOn w:val="a0"/>
    <w:link w:val="a5"/>
    <w:uiPriority w:val="99"/>
    <w:semiHidden/>
    <w:rsid w:val="00317AF3"/>
    <w:rPr>
      <w:sz w:val="18"/>
      <w:szCs w:val="18"/>
    </w:rPr>
  </w:style>
  <w:style w:type="paragraph" w:styleId="a6">
    <w:name w:val="endnote text"/>
    <w:basedOn w:val="a"/>
    <w:link w:val="Char2"/>
    <w:uiPriority w:val="99"/>
    <w:semiHidden/>
    <w:unhideWhenUsed/>
    <w:rsid w:val="00902B12"/>
    <w:pPr>
      <w:snapToGrid w:val="0"/>
      <w:jc w:val="left"/>
    </w:pPr>
  </w:style>
  <w:style w:type="character" w:customStyle="1" w:styleId="Char2">
    <w:name w:val="尾注文本 Char"/>
    <w:basedOn w:val="a0"/>
    <w:link w:val="a6"/>
    <w:uiPriority w:val="99"/>
    <w:semiHidden/>
    <w:rsid w:val="00902B12"/>
  </w:style>
  <w:style w:type="character" w:styleId="a7">
    <w:name w:val="endnote reference"/>
    <w:basedOn w:val="a0"/>
    <w:uiPriority w:val="99"/>
    <w:semiHidden/>
    <w:unhideWhenUsed/>
    <w:rsid w:val="00902B12"/>
    <w:rPr>
      <w:vertAlign w:val="superscript"/>
    </w:rPr>
  </w:style>
  <w:style w:type="paragraph" w:styleId="a8">
    <w:name w:val="footnote text"/>
    <w:basedOn w:val="a"/>
    <w:link w:val="Char3"/>
    <w:uiPriority w:val="99"/>
    <w:unhideWhenUsed/>
    <w:qFormat/>
    <w:rsid w:val="00F53FEC"/>
    <w:pPr>
      <w:snapToGrid w:val="0"/>
      <w:jc w:val="left"/>
    </w:pPr>
    <w:rPr>
      <w:sz w:val="18"/>
      <w:szCs w:val="18"/>
    </w:rPr>
  </w:style>
  <w:style w:type="character" w:customStyle="1" w:styleId="Char3">
    <w:name w:val="脚注文本 Char"/>
    <w:basedOn w:val="a0"/>
    <w:link w:val="a8"/>
    <w:uiPriority w:val="99"/>
    <w:semiHidden/>
    <w:qFormat/>
    <w:rsid w:val="00F53FEC"/>
    <w:rPr>
      <w:sz w:val="18"/>
      <w:szCs w:val="18"/>
    </w:rPr>
  </w:style>
  <w:style w:type="character" w:styleId="a9">
    <w:name w:val="footnote reference"/>
    <w:basedOn w:val="a0"/>
    <w:uiPriority w:val="99"/>
    <w:unhideWhenUsed/>
    <w:qFormat/>
    <w:rsid w:val="00F53FEC"/>
    <w:rPr>
      <w:vertAlign w:val="superscript"/>
    </w:rPr>
  </w:style>
  <w:style w:type="paragraph" w:styleId="aa">
    <w:name w:val="Normal (Web)"/>
    <w:basedOn w:val="a"/>
    <w:uiPriority w:val="99"/>
    <w:unhideWhenUsed/>
    <w:rsid w:val="00767623"/>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915099">
      <w:bodyDiv w:val="1"/>
      <w:marLeft w:val="0"/>
      <w:marRight w:val="0"/>
      <w:marTop w:val="0"/>
      <w:marBottom w:val="0"/>
      <w:divBdr>
        <w:top w:val="none" w:sz="0" w:space="0" w:color="auto"/>
        <w:left w:val="none" w:sz="0" w:space="0" w:color="auto"/>
        <w:bottom w:val="none" w:sz="0" w:space="0" w:color="auto"/>
        <w:right w:val="none" w:sz="0" w:space="0" w:color="auto"/>
      </w:divBdr>
      <w:divsChild>
        <w:div w:id="1828472824">
          <w:marLeft w:val="0"/>
          <w:marRight w:val="0"/>
          <w:marTop w:val="0"/>
          <w:marBottom w:val="0"/>
          <w:divBdr>
            <w:top w:val="none" w:sz="0" w:space="0" w:color="auto"/>
            <w:left w:val="none" w:sz="0" w:space="0" w:color="auto"/>
            <w:bottom w:val="none" w:sz="0" w:space="0" w:color="auto"/>
            <w:right w:val="none" w:sz="0" w:space="0" w:color="auto"/>
          </w:divBdr>
        </w:div>
      </w:divsChild>
    </w:div>
    <w:div w:id="445469338">
      <w:bodyDiv w:val="1"/>
      <w:marLeft w:val="0"/>
      <w:marRight w:val="0"/>
      <w:marTop w:val="0"/>
      <w:marBottom w:val="0"/>
      <w:divBdr>
        <w:top w:val="none" w:sz="0" w:space="0" w:color="auto"/>
        <w:left w:val="none" w:sz="0" w:space="0" w:color="auto"/>
        <w:bottom w:val="none" w:sz="0" w:space="0" w:color="auto"/>
        <w:right w:val="none" w:sz="0" w:space="0" w:color="auto"/>
      </w:divBdr>
      <w:divsChild>
        <w:div w:id="1373308622">
          <w:marLeft w:val="0"/>
          <w:marRight w:val="0"/>
          <w:marTop w:val="0"/>
          <w:marBottom w:val="0"/>
          <w:divBdr>
            <w:top w:val="none" w:sz="0" w:space="0" w:color="auto"/>
            <w:left w:val="none" w:sz="0" w:space="0" w:color="auto"/>
            <w:bottom w:val="none" w:sz="0" w:space="0" w:color="auto"/>
            <w:right w:val="none" w:sz="0" w:space="0" w:color="auto"/>
          </w:divBdr>
        </w:div>
      </w:divsChild>
    </w:div>
    <w:div w:id="468671253">
      <w:bodyDiv w:val="1"/>
      <w:marLeft w:val="0"/>
      <w:marRight w:val="0"/>
      <w:marTop w:val="0"/>
      <w:marBottom w:val="0"/>
      <w:divBdr>
        <w:top w:val="none" w:sz="0" w:space="0" w:color="auto"/>
        <w:left w:val="none" w:sz="0" w:space="0" w:color="auto"/>
        <w:bottom w:val="none" w:sz="0" w:space="0" w:color="auto"/>
        <w:right w:val="none" w:sz="0" w:space="0" w:color="auto"/>
      </w:divBdr>
      <w:divsChild>
        <w:div w:id="1598977493">
          <w:marLeft w:val="0"/>
          <w:marRight w:val="0"/>
          <w:marTop w:val="0"/>
          <w:marBottom w:val="0"/>
          <w:divBdr>
            <w:top w:val="none" w:sz="0" w:space="0" w:color="auto"/>
            <w:left w:val="none" w:sz="0" w:space="0" w:color="auto"/>
            <w:bottom w:val="none" w:sz="0" w:space="0" w:color="auto"/>
            <w:right w:val="none" w:sz="0" w:space="0" w:color="auto"/>
          </w:divBdr>
        </w:div>
      </w:divsChild>
    </w:div>
    <w:div w:id="808521847">
      <w:bodyDiv w:val="1"/>
      <w:marLeft w:val="0"/>
      <w:marRight w:val="0"/>
      <w:marTop w:val="0"/>
      <w:marBottom w:val="0"/>
      <w:divBdr>
        <w:top w:val="none" w:sz="0" w:space="0" w:color="auto"/>
        <w:left w:val="none" w:sz="0" w:space="0" w:color="auto"/>
        <w:bottom w:val="none" w:sz="0" w:space="0" w:color="auto"/>
        <w:right w:val="none" w:sz="0" w:space="0" w:color="auto"/>
      </w:divBdr>
      <w:divsChild>
        <w:div w:id="440687216">
          <w:marLeft w:val="0"/>
          <w:marRight w:val="0"/>
          <w:marTop w:val="0"/>
          <w:marBottom w:val="0"/>
          <w:divBdr>
            <w:top w:val="none" w:sz="0" w:space="0" w:color="auto"/>
            <w:left w:val="none" w:sz="0" w:space="0" w:color="auto"/>
            <w:bottom w:val="none" w:sz="0" w:space="0" w:color="auto"/>
            <w:right w:val="none" w:sz="0" w:space="0" w:color="auto"/>
          </w:divBdr>
        </w:div>
      </w:divsChild>
    </w:div>
    <w:div w:id="972639158">
      <w:bodyDiv w:val="1"/>
      <w:marLeft w:val="0"/>
      <w:marRight w:val="0"/>
      <w:marTop w:val="0"/>
      <w:marBottom w:val="0"/>
      <w:divBdr>
        <w:top w:val="none" w:sz="0" w:space="0" w:color="auto"/>
        <w:left w:val="none" w:sz="0" w:space="0" w:color="auto"/>
        <w:bottom w:val="none" w:sz="0" w:space="0" w:color="auto"/>
        <w:right w:val="none" w:sz="0" w:space="0" w:color="auto"/>
      </w:divBdr>
      <w:divsChild>
        <w:div w:id="387152549">
          <w:marLeft w:val="0"/>
          <w:marRight w:val="0"/>
          <w:marTop w:val="0"/>
          <w:marBottom w:val="0"/>
          <w:divBdr>
            <w:top w:val="none" w:sz="0" w:space="0" w:color="auto"/>
            <w:left w:val="none" w:sz="0" w:space="0" w:color="auto"/>
            <w:bottom w:val="none" w:sz="0" w:space="0" w:color="auto"/>
            <w:right w:val="none" w:sz="0" w:space="0" w:color="auto"/>
          </w:divBdr>
        </w:div>
      </w:divsChild>
    </w:div>
    <w:div w:id="1636636650">
      <w:bodyDiv w:val="1"/>
      <w:marLeft w:val="0"/>
      <w:marRight w:val="0"/>
      <w:marTop w:val="0"/>
      <w:marBottom w:val="0"/>
      <w:divBdr>
        <w:top w:val="none" w:sz="0" w:space="0" w:color="auto"/>
        <w:left w:val="none" w:sz="0" w:space="0" w:color="auto"/>
        <w:bottom w:val="none" w:sz="0" w:space="0" w:color="auto"/>
        <w:right w:val="none" w:sz="0" w:space="0" w:color="auto"/>
      </w:divBdr>
      <w:divsChild>
        <w:div w:id="16258445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6B46E7-D564-4437-BC5A-5A7F99BFF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2066</TotalTime>
  <Pages>12</Pages>
  <Words>947</Words>
  <Characters>5399</Characters>
  <Application>Microsoft Office Word</Application>
  <DocSecurity>0</DocSecurity>
  <Lines>44</Lines>
  <Paragraphs>12</Paragraphs>
  <ScaleCrop>false</ScaleCrop>
  <Company>Microsoft</Company>
  <LinksUpToDate>false</LinksUpToDate>
  <CharactersWithSpaces>6334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shenjiju-1</dc:creator>
  <cp:keywords/>
  <dc:description/>
  <cp:lastModifiedBy>贾朱凯</cp:lastModifiedBy>
  <cp:revision>801</cp:revision>
  <cp:lastPrinted>2022-07-07T08:15:00Z</cp:lastPrinted>
  <dcterms:created xsi:type="dcterms:W3CDTF">2019-06-10T11:21:00Z</dcterms:created>
  <dcterms:modified xsi:type="dcterms:W3CDTF">2022-07-11T02:56:00Z</dcterms:modified>
</cp:coreProperties>
</file>