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tabs>
          <w:tab w:val="left" w:pos="142"/>
          <w:tab w:val="left" w:pos="28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820" w:lineRule="exact"/>
        <w:ind w:left="0" w:leftChars="0" w:right="0" w:rightChars="0" w:firstLine="0" w:firstLineChars="0"/>
        <w:jc w:val="distribute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0"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</w:rPr>
        <w:t>上海市崇明区医疗保障</w:t>
      </w: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0"/>
          <w:sz w:val="72"/>
          <w:szCs w:val="72"/>
        </w:rPr>
        <w:t>局</w:t>
      </w:r>
    </w:p>
    <w:p>
      <w:pPr>
        <w:keepNext w:val="0"/>
        <w:keepLines w:val="0"/>
        <w:pageBreakBefore w:val="0"/>
        <w:widowControl/>
        <w:tabs>
          <w:tab w:val="left" w:pos="142"/>
          <w:tab w:val="left" w:pos="28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820" w:lineRule="exact"/>
        <w:ind w:left="0" w:leftChars="0" w:right="0" w:rightChars="0" w:firstLine="0" w:firstLineChars="0"/>
        <w:jc w:val="distribute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上海市崇明区教育局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上海市崇明区卫生健康委员会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上海市崇明区财政局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w w:val="92"/>
          <w:sz w:val="72"/>
          <w:szCs w:val="72"/>
          <w:lang w:eastAsia="zh-CN"/>
        </w:rPr>
        <w:t>上海市崇明区民政局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FF0000"/>
          <w:spacing w:val="-45"/>
          <w:w w:val="92"/>
          <w:sz w:val="72"/>
          <w:szCs w:val="7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spacing w:val="-45"/>
          <w:w w:val="92"/>
          <w:sz w:val="72"/>
          <w:szCs w:val="72"/>
          <w:lang w:eastAsia="zh-CN"/>
        </w:rPr>
        <w:t>国家税务总局上海市崇明区税务局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820" w:lineRule="exact"/>
        <w:jc w:val="distribute"/>
        <w:textAlignment w:val="auto"/>
        <w:rPr>
          <w:rFonts w:hint="eastAsia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FF0000"/>
          <w:spacing w:val="-20"/>
          <w:w w:val="92"/>
          <w:sz w:val="72"/>
          <w:szCs w:val="72"/>
          <w:lang w:eastAsia="zh-CN"/>
        </w:rPr>
        <w:t>上海市崇明区残疾人联合会</w:t>
      </w:r>
    </w:p>
    <w:p>
      <w:pPr>
        <w:pStyle w:val="4"/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pPr>
        <w:ind w:firstLine="2880" w:firstLineChars="900"/>
        <w:rPr>
          <w:rFonts w:hint="eastAsia" w:ascii="楷体" w:hAnsi="楷体" w:eastAsia="楷体" w:cs="楷体"/>
          <w:color w:val="auto"/>
          <w:spacing w:val="-12"/>
          <w:sz w:val="32"/>
          <w:szCs w:val="32"/>
        </w:rPr>
      </w:pPr>
      <w:r>
        <w:rPr>
          <w:rFonts w:hint="eastAsia" w:ascii="仿宋" w:hAnsi="仿宋" w:eastAsia="仿宋" w:cs="仿宋"/>
          <w:sz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439420</wp:posOffset>
                </wp:positionV>
                <wp:extent cx="5485765" cy="49530"/>
                <wp:effectExtent l="0" t="9525" r="635" b="17145"/>
                <wp:wrapNone/>
                <wp:docPr id="3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5485765" cy="49530"/>
                        </a:xfrm>
                        <a:prstGeom prst="straightConnector1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连接符 1" o:spid="_x0000_s1026" o:spt="32" type="#_x0000_t32" style="position:absolute;left:0pt;flip:y;margin-left:1.8pt;margin-top:34.6pt;height:3.9pt;width:431.95pt;z-index:251664384;mso-width-relative:page;mso-height-relative:page;" filled="f" stroked="t" coordsize="21600,21600" o:gfxdata="UEsFBgAAAAAAAAAAAAAAAAAAAAAAAFBLAwQKAAAAAACHTuJAAAAAAAAAAAAAAAAABAAAAGRycy9Q&#10;SwMEFAAAAAgAh07iQOEz+tXWAAAABwEAAA8AAABkcnMvZG93bnJldi54bWxNjsFOwzAQRO9I/IO1&#10;SNyo3QJOG7KpVBASiBNpP8CNTRyI15HtNi1fjznBcTSjN69an9zAjibE3hPCfCaAGWq97qlD2G2f&#10;b5bAYlKk1eDJIJxNhHV9eVGpUvuJ3s2xSR3LEIqlQrApjSXnsbXGqTjzo6HcffjgVMoxdFwHNWW4&#10;G/hCCMmd6ik/WDWaR2var+bgEKZV0k+bT/nyfXduUnijzfZ1ZxGvr+biAVgyp/Q3hl/9rA51dtr7&#10;A+nIBoRbmYcIcrUAluulLO6B7RGKQgCvK/7fv/4BUEsDBBQAAAAIAIdO4kDa4eX+9QEAALQDAAAO&#10;AAAAZHJzL2Uyb0RvYy54bWytU0uOEzEQ3SNxB8t70p2ZyTDTSmcWCWGDIBLM7Cv+dFvyT7aTTi7B&#10;BZDYwYrl7LkNwzEoOyH8NgjRi1LZVa/8XlX19GZnNNmKEJWzLR2PakqEZY4r27X09s3yyRUlMYHl&#10;oJ0VLd2LSG9mjx9NB9+IM9c7zUUgWMTGZvAt7VPyTVVF1gsDceS8sBiULhhIeAxdxQMMWN3o6qyu&#10;L6vBBe6DYyJGvF0cgnRW6kspWHolZRSJ6JYit1RsKHadbTWbQtMF8L1iRxrwDywMKIuPnkotIAHZ&#10;BPVHKaNYcNHJNGLOVE5KxUTRgGrG9W9qXvfgRdGCzYn+1Kb4/8qyl9tVIIq39JwSCwZH9PDu/svb&#10;D18/v0f78OkjGecmDT42mDu3q3A8Rb8KWfFOBkOkVv6upSlsMl9oUBjZlS7vT10Wu0QYXk4uriZP&#10;LyeUMIxdXE/OyxSqQ6UM9iGm58IZkp2WxhRAdX2aO2txni6MyxOwfRETckHgd0AGa0sGXMTreoLj&#10;ZoArJTUkdI1HkdF2BRydVnyptM6QGLr1XAeyBVyS5bLGL0vGwr+k5VcWEPtDXgkd1ie4jeUIgKYX&#10;wJ9ZTtLeYyMtbjzNbIzglGiBP0j2SmYCpf8mE0loi1xy/w8dz97a8X0ZRLnH1Shsj2ucd+/nc0H/&#10;+Nlm3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WAAAAZHJzL1BLAQIUABQAAAAIAIdO4kDhM/rV1gAAAAcBAAAPAAAAAAAAAAEAIAAAADgA&#10;AABkcnMvZG93bnJldi54bWxQSwECFAAUAAAACACHTuJA2uHl/vUBAAC0AwAADgAAAAAAAAABACAA&#10;AAA7AQAAZHJzL2Uyb0RvYy54bWxQSwUGAAAAAAYABgBZAQAAogUAAAAA&#10;">
                <v:fill on="f" focussize="0,0"/>
                <v:stroke weight="1.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/>
          <w:color w:val="auto"/>
          <w:spacing w:val="-12"/>
          <w:sz w:val="32"/>
          <w:szCs w:val="32"/>
        </w:rPr>
        <w:t>沪崇医保</w:t>
      </w:r>
      <w:r>
        <w:rPr>
          <w:rFonts w:hint="eastAsia" w:asciiTheme="minorEastAsia" w:hAnsiTheme="minorEastAsia"/>
          <w:color w:val="auto"/>
          <w:spacing w:val="-12"/>
          <w:sz w:val="32"/>
          <w:szCs w:val="32"/>
        </w:rPr>
        <w:t>〔</w:t>
      </w:r>
      <w:r>
        <w:rPr>
          <w:rFonts w:hint="eastAsia" w:ascii="仿宋_GB2312" w:eastAsia="仿宋_GB2312" w:hAnsiTheme="minorEastAsia"/>
          <w:color w:val="auto"/>
          <w:spacing w:val="-12"/>
          <w:sz w:val="32"/>
          <w:szCs w:val="32"/>
        </w:rPr>
        <w:t>20</w:t>
      </w:r>
      <w:r>
        <w:rPr>
          <w:rFonts w:hint="eastAsia" w:ascii="仿宋_GB2312" w:eastAsia="仿宋_GB2312" w:hAnsiTheme="minorEastAsia"/>
          <w:color w:val="auto"/>
          <w:spacing w:val="-12"/>
          <w:sz w:val="32"/>
          <w:szCs w:val="32"/>
          <w:lang w:val="en-US" w:eastAsia="zh-CN"/>
        </w:rPr>
        <w:t>2</w:t>
      </w:r>
      <w:r>
        <w:rPr>
          <w:rFonts w:hint="eastAsia" w:ascii="仿宋_GB2312" w:hAnsiTheme="minorEastAsia"/>
          <w:color w:val="auto"/>
          <w:spacing w:val="-12"/>
          <w:sz w:val="32"/>
          <w:szCs w:val="32"/>
          <w:lang w:val="en-US" w:eastAsia="zh-CN"/>
        </w:rPr>
        <w:t>4</w:t>
      </w:r>
      <w:r>
        <w:rPr>
          <w:rFonts w:hint="eastAsia" w:asciiTheme="minorEastAsia" w:hAnsiTheme="minorEastAsia"/>
          <w:color w:val="auto"/>
          <w:spacing w:val="-12"/>
          <w:sz w:val="32"/>
          <w:szCs w:val="32"/>
        </w:rPr>
        <w:t>〕</w:t>
      </w:r>
      <w:r>
        <w:rPr>
          <w:rFonts w:hint="eastAsia" w:ascii="仿宋_GB2312" w:hAnsiTheme="minorEastAsia"/>
          <w:color w:val="auto"/>
          <w:spacing w:val="-12"/>
          <w:sz w:val="32"/>
          <w:szCs w:val="32"/>
          <w:lang w:val="en-US" w:eastAsia="zh-CN"/>
        </w:rPr>
        <w:t>7</w:t>
      </w:r>
      <w:r>
        <w:rPr>
          <w:rFonts w:hint="eastAsia" w:ascii="仿宋_GB2312" w:eastAsia="仿宋_GB2312" w:hAnsiTheme="minorEastAsia"/>
          <w:color w:val="auto"/>
          <w:spacing w:val="-12"/>
          <w:sz w:val="32"/>
          <w:szCs w:val="32"/>
        </w:rPr>
        <w:t xml:space="preserve">号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right="0" w:rightChars="0"/>
        <w:jc w:val="both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</w:p>
    <w:p>
      <w:pPr>
        <w:spacing w:line="606" w:lineRule="exact"/>
        <w:jc w:val="both"/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</w:pPr>
    </w:p>
    <w:p>
      <w:pPr>
        <w:spacing w:line="606" w:lineRule="exact"/>
        <w:jc w:val="center"/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  <w:t>关于202</w:t>
      </w: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  <w:t>年崇明区城乡居民基本医疗保险</w:t>
      </w:r>
    </w:p>
    <w:p>
      <w:pPr>
        <w:spacing w:line="606" w:lineRule="exact"/>
        <w:jc w:val="center"/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w w:val="93"/>
          <w:sz w:val="44"/>
          <w:szCs w:val="44"/>
        </w:rPr>
        <w:t>有关事项的通知</w:t>
      </w:r>
    </w:p>
    <w:p>
      <w:pPr>
        <w:spacing w:line="580" w:lineRule="exact"/>
        <w:rPr>
          <w:rFonts w:hint="eastAsia" w:ascii="仿宋" w:hAnsi="仿宋" w:eastAsia="仿宋"/>
          <w:szCs w:val="32"/>
        </w:rPr>
      </w:pPr>
    </w:p>
    <w:p>
      <w:pPr>
        <w:spacing w:line="560" w:lineRule="exact"/>
        <w:jc w:val="left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各有关单位：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为顺利推进</w:t>
      </w: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本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区2025年城乡居民基本医疗保险（以下简称“城乡居民医保”）参保工作，根据《</w:t>
      </w:r>
      <w:r>
        <w:rPr>
          <w:rFonts w:hint="default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关于2025年本市城乡居民基本医疗保险有关事项的通知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》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（沪医保规〔2024〕</w:t>
      </w: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4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号），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结合</w:t>
      </w: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本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区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实际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，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现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将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有关事项通知如下。</w:t>
      </w:r>
    </w:p>
    <w:p>
      <w:pPr>
        <w:spacing w:line="560" w:lineRule="exact"/>
        <w:ind w:firstLine="640" w:firstLineChars="200"/>
        <w:rPr>
          <w:rFonts w:hint="eastAsia" w:ascii="黑体" w:hAnsi="黑体" w:eastAsia="黑体"/>
          <w:szCs w:val="32"/>
          <w:lang w:eastAsia="zh-CN"/>
        </w:rPr>
      </w:pPr>
      <w:r>
        <w:rPr>
          <w:rFonts w:hint="eastAsia" w:ascii="黑体" w:hAnsi="黑体" w:eastAsia="黑体"/>
          <w:szCs w:val="32"/>
          <w:lang w:eastAsia="zh-CN"/>
        </w:rPr>
        <w:t>一、筹资标准和个人缴费标准</w:t>
      </w:r>
    </w:p>
    <w:p>
      <w:pPr>
        <w:pStyle w:val="6"/>
        <w:widowControl/>
        <w:shd w:val="clear" w:color="auto" w:fill="FFFFFF"/>
        <w:adjustRightInd w:val="0"/>
        <w:snapToGrid w:val="0"/>
        <w:spacing w:before="0" w:beforeAutospacing="0" w:after="0" w:afterAutospacing="0" w:line="560" w:lineRule="exact"/>
        <w:ind w:firstLine="640" w:firstLineChars="200"/>
        <w:jc w:val="both"/>
        <w:rPr>
          <w:rFonts w:hint="default" w:ascii="仿宋_GB2312" w:hAnsi="宋体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（一）</w:t>
      </w:r>
      <w:r>
        <w:rPr>
          <w:rFonts w:hint="default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2025年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本区</w:t>
      </w:r>
      <w:r>
        <w:rPr>
          <w:rFonts w:hint="default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城乡居民医保的筹资标准作如下调整：60周岁及以上人员，筹资标准从每人每年7169元调整为7526元；超过18周岁、不满60周岁人员，筹资标准从每人每年4149元调整为4506元；中小学生和婴幼儿，筹资标准从每人每年2419元调整为2816元；各类高等院校、科研院所中接受普通高等学历教育的全日制本科学生、高职高专学生以及非在职研究生（以下简称“大学生”），筹资标准从每人每年1149元调整为1546元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520" w:lineRule="exact"/>
        <w:ind w:firstLine="640" w:firstLineChars="200"/>
        <w:jc w:val="both"/>
        <w:textAlignment w:val="auto"/>
        <w:rPr>
          <w:rFonts w:hint="eastAsia" w:ascii="仿宋_GB2312" w:hAnsi="宋体"/>
          <w:szCs w:val="32"/>
        </w:rPr>
      </w:pP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（二）</w:t>
      </w:r>
      <w:r>
        <w:rPr>
          <w:rFonts w:hint="default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2025年</w:t>
      </w:r>
      <w:r>
        <w:rPr>
          <w:rFonts w:hint="eastAsia" w:ascii="仿宋_GB2312" w:hAnsi="宋体" w:cs="Times New Roman"/>
          <w:kern w:val="2"/>
          <w:sz w:val="32"/>
          <w:szCs w:val="32"/>
          <w:lang w:val="en-US" w:eastAsia="zh-CN" w:bidi="ar-SA"/>
        </w:rPr>
        <w:t>本区</w:t>
      </w:r>
      <w:r>
        <w:rPr>
          <w:rFonts w:hint="default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城乡居民医保的个人缴费标准作如下调整：70周岁以上人员，个人缴费标准从每人每年595元调整为655元；60-69周岁人员从每人每年765元调整为825元；超过18周岁、不满60周岁人员从每人每年935元调整为995元；中小学生和婴幼儿、以及大学生从每人每年295元调整为355元。</w:t>
      </w:r>
    </w:p>
    <w:p>
      <w:pPr>
        <w:spacing w:line="560" w:lineRule="exact"/>
        <w:ind w:firstLine="640" w:firstLineChars="200"/>
        <w:rPr>
          <w:rFonts w:hint="eastAsia" w:ascii="仿宋_GB2312" w:hAnsi="宋体"/>
          <w:szCs w:val="32"/>
        </w:rPr>
      </w:pPr>
      <w:r>
        <w:rPr>
          <w:rFonts w:hint="eastAsia" w:ascii="仿宋_GB2312" w:hAnsi="宋体"/>
          <w:szCs w:val="32"/>
        </w:rPr>
        <w:t>（三）202</w:t>
      </w:r>
      <w:r>
        <w:rPr>
          <w:rFonts w:hint="eastAsia" w:ascii="仿宋_GB2312"/>
          <w:szCs w:val="32"/>
          <w:lang w:val="en-US" w:eastAsia="zh-CN"/>
        </w:rPr>
        <w:t>5</w:t>
      </w:r>
      <w:r>
        <w:rPr>
          <w:rFonts w:hint="eastAsia" w:ascii="仿宋_GB2312" w:hAnsi="宋体"/>
          <w:szCs w:val="32"/>
        </w:rPr>
        <w:t>年</w:t>
      </w:r>
      <w:r>
        <w:rPr>
          <w:rFonts w:hint="eastAsia" w:ascii="仿宋_GB2312"/>
          <w:szCs w:val="32"/>
          <w:lang w:eastAsia="zh-CN"/>
        </w:rPr>
        <w:t>本区</w:t>
      </w:r>
      <w:r>
        <w:rPr>
          <w:rFonts w:hint="eastAsia" w:ascii="仿宋_GB2312" w:hAnsi="宋体"/>
          <w:szCs w:val="32"/>
        </w:rPr>
        <w:t>农村居民参加城乡居民医保个人实际缴费标准作如下调整：70周岁以上人员,个人缴费标准从每人每年</w:t>
      </w:r>
      <w:r>
        <w:rPr>
          <w:rFonts w:hint="eastAsia" w:ascii="仿宋_GB2312"/>
          <w:szCs w:val="32"/>
          <w:lang w:val="en-US" w:eastAsia="zh-CN"/>
        </w:rPr>
        <w:t>595</w:t>
      </w:r>
      <w:r>
        <w:rPr>
          <w:rFonts w:hint="eastAsia" w:ascii="仿宋_GB2312" w:hAnsi="宋体"/>
          <w:szCs w:val="32"/>
        </w:rPr>
        <w:t>元调整为</w:t>
      </w:r>
      <w:r>
        <w:rPr>
          <w:rFonts w:hint="eastAsia" w:ascii="仿宋_GB2312"/>
          <w:szCs w:val="32"/>
          <w:lang w:val="en-US" w:eastAsia="zh-CN"/>
        </w:rPr>
        <w:t>655</w:t>
      </w:r>
      <w:r>
        <w:rPr>
          <w:rFonts w:hint="eastAsia" w:ascii="仿宋_GB2312" w:hAnsi="宋体"/>
          <w:szCs w:val="32"/>
        </w:rPr>
        <w:t>元；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60—69周岁人员从每人每年</w:t>
      </w: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765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元调整为</w:t>
      </w: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825</w:t>
      </w:r>
      <w:r>
        <w:rPr>
          <w:rFonts w:hint="eastAsia" w:ascii="仿宋_GB2312" w:hAnsi="宋体" w:eastAsia="仿宋_GB2312" w:cs="Times New Roman"/>
          <w:kern w:val="2"/>
          <w:sz w:val="32"/>
          <w:szCs w:val="32"/>
          <w:lang w:val="en-US" w:eastAsia="zh-CN" w:bidi="ar-SA"/>
        </w:rPr>
        <w:t>元；超过18周岁、不满60周岁</w:t>
      </w:r>
      <w:r>
        <w:rPr>
          <w:rFonts w:hint="eastAsia" w:ascii="仿宋_GB2312" w:hAnsi="宋体"/>
          <w:szCs w:val="32"/>
        </w:rPr>
        <w:t>人员,从每人每</w:t>
      </w:r>
      <w:r>
        <w:rPr>
          <w:rFonts w:hint="eastAsia" w:ascii="仿宋_GB2312" w:hAnsi="宋体"/>
          <w:szCs w:val="32"/>
          <w:lang w:eastAsia="zh-CN"/>
        </w:rPr>
        <w:t>年</w:t>
      </w:r>
      <w:r>
        <w:rPr>
          <w:rFonts w:hint="eastAsia" w:ascii="仿宋_GB2312"/>
          <w:szCs w:val="32"/>
          <w:lang w:val="en-US" w:eastAsia="zh-CN"/>
        </w:rPr>
        <w:t>780</w:t>
      </w:r>
      <w:r>
        <w:rPr>
          <w:rFonts w:hint="eastAsia" w:ascii="仿宋_GB2312" w:hAnsi="宋体"/>
          <w:szCs w:val="32"/>
        </w:rPr>
        <w:t>元调整为</w:t>
      </w:r>
      <w:r>
        <w:rPr>
          <w:rFonts w:hint="eastAsia" w:ascii="仿宋_GB2312"/>
          <w:szCs w:val="32"/>
          <w:lang w:val="en-US" w:eastAsia="zh-CN"/>
        </w:rPr>
        <w:t>900</w:t>
      </w:r>
      <w:r>
        <w:rPr>
          <w:rFonts w:hint="eastAsia" w:ascii="仿宋_GB2312" w:hAnsi="宋体"/>
          <w:szCs w:val="32"/>
        </w:rPr>
        <w:t>元。</w:t>
      </w:r>
    </w:p>
    <w:p>
      <w:pPr>
        <w:spacing w:line="560" w:lineRule="exact"/>
        <w:ind w:firstLine="640" w:firstLineChars="200"/>
        <w:rPr>
          <w:rFonts w:hint="eastAsia"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  <w:lang w:eastAsia="zh-CN"/>
        </w:rPr>
        <w:t>二</w:t>
      </w:r>
      <w:r>
        <w:rPr>
          <w:rFonts w:hint="eastAsia" w:ascii="黑体" w:hAnsi="黑体" w:eastAsia="黑体"/>
          <w:szCs w:val="32"/>
        </w:rPr>
        <w:t>、关于资金筹集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城乡居民医保实行个人缴费和政府补贴相结合。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参保人员（不含大学生）个人缴费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标准</w:t>
      </w:r>
      <w:r>
        <w:rPr>
          <w:rFonts w:hint="eastAsia" w:ascii="仿宋_GB2312" w:hAnsi="仿宋_GB2312" w:eastAsia="仿宋_GB2312" w:cs="仿宋_GB2312"/>
          <w:szCs w:val="32"/>
        </w:rPr>
        <w:t>以外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szCs w:val="32"/>
        </w:rPr>
        <w:t>资金，由市（含中央）、区、镇（乡）财政按照5:3:2比例分担。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Cs w:val="32"/>
          <w:lang w:eastAsia="zh-CN"/>
        </w:rPr>
        <w:t>重残人员的参保资金，按照规定的年龄段筹资标准，由残疾人就业保障金全额承担。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  <w:lang w:eastAsia="zh-CN"/>
        </w:rPr>
        <w:t>本区农村居民个人实际缴费</w:t>
      </w:r>
      <w:r>
        <w:rPr>
          <w:rFonts w:hint="eastAsia" w:ascii="仿宋_GB2312" w:hAnsi="仿宋_GB2312" w:eastAsia="仿宋_GB2312" w:cs="仿宋_GB2312"/>
          <w:szCs w:val="32"/>
        </w:rPr>
        <w:t>低于全市城乡居民医保个人缴费标准部分由区、镇（乡）财政按照6:4比例分担（乡镇承担部分可由乡镇、村集体经济组织分担）。</w:t>
      </w:r>
    </w:p>
    <w:p>
      <w:pPr>
        <w:spacing w:line="560" w:lineRule="exact"/>
        <w:ind w:firstLine="640" w:firstLineChars="200"/>
        <w:rPr>
          <w:rFonts w:hint="eastAsia"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三、关于医保待遇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Cs w:val="32"/>
        </w:rPr>
      </w:pPr>
      <w:r>
        <w:rPr>
          <w:rFonts w:hint="default" w:ascii="仿宋_GB2312" w:hAnsi="仿宋_GB2312" w:eastAsia="仿宋_GB2312" w:cs="仿宋_GB2312"/>
          <w:szCs w:val="32"/>
        </w:rPr>
        <w:t>（一）202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szCs w:val="32"/>
        </w:rPr>
        <w:t>年，</w:t>
      </w:r>
      <w:r>
        <w:rPr>
          <w:rFonts w:hint="eastAsia" w:ascii="仿宋_GB2312" w:hAnsi="仿宋_GB2312" w:cs="仿宋_GB2312"/>
          <w:szCs w:val="32"/>
          <w:lang w:eastAsia="zh-CN"/>
        </w:rPr>
        <w:t>本区</w:t>
      </w:r>
      <w:r>
        <w:rPr>
          <w:rFonts w:hint="default" w:ascii="仿宋_GB2312" w:hAnsi="仿宋_GB2312" w:eastAsia="仿宋_GB2312" w:cs="仿宋_GB2312"/>
          <w:szCs w:val="32"/>
        </w:rPr>
        <w:t>城乡居民医保待遇按照现行政策执行</w:t>
      </w:r>
      <w:r>
        <w:rPr>
          <w:rFonts w:hint="eastAsia" w:ascii="仿宋_GB2312" w:hAnsi="仿宋_GB2312" w:cs="仿宋_GB2312"/>
          <w:szCs w:val="32"/>
          <w:lang w:eastAsia="zh-CN"/>
        </w:rPr>
        <w:t>，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城乡居民大病保险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年度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最高支付限额为40万元。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Cs w:val="32"/>
        </w:rPr>
        <w:t>（二）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自2025年起，对连续参加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居民医保满4年的参保人员，之后每连续参保缴费1年，提高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居民大病保险最高支付限额3000元。对当年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城乡居民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医保基金零报销且于次年正常参保缴费的参保人员，次年提高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城乡居民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大病保险最高支付限额3000元。连续参保缴费激励和零报销累计提高总额不超过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当年最高支付限额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的20%。参保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人员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发生大病报销并使用奖励额度后，前期积累的零报销激励额度清零。断保之后再次参保缴费的，连续参保缴费年数重新计算。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Cs w:val="32"/>
          <w:lang w:val="en-US" w:eastAsia="zh-CN"/>
        </w:rPr>
      </w:pPr>
      <w:r>
        <w:rPr>
          <w:rFonts w:hint="default" w:ascii="仿宋_GB2312" w:hAnsi="仿宋_GB2312" w:eastAsia="仿宋_GB2312" w:cs="仿宋_GB2312"/>
          <w:szCs w:val="32"/>
        </w:rPr>
        <w:t>（</w:t>
      </w:r>
      <w:r>
        <w:rPr>
          <w:rFonts w:hint="default" w:ascii="仿宋_GB2312" w:hAnsi="仿宋_GB2312" w:eastAsia="仿宋_GB2312" w:cs="仿宋_GB2312"/>
          <w:szCs w:val="32"/>
          <w:lang w:eastAsia="zh-CN"/>
        </w:rPr>
        <w:t>三</w:t>
      </w:r>
      <w:r>
        <w:rPr>
          <w:rFonts w:hint="default" w:ascii="仿宋_GB2312" w:hAnsi="仿宋_GB2312" w:eastAsia="仿宋_GB2312" w:cs="仿宋_GB2312"/>
          <w:szCs w:val="32"/>
        </w:rPr>
        <w:t>）</w:t>
      </w:r>
      <w:r>
        <w:rPr>
          <w:rFonts w:hint="default" w:ascii="仿宋_GB2312" w:hAnsi="仿宋_GB2312" w:eastAsia="仿宋_GB2312" w:cs="仿宋_GB2312"/>
          <w:szCs w:val="32"/>
          <w:lang w:eastAsia="zh-CN"/>
        </w:rPr>
        <w:t>自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2025年起，除新生儿等群体外，对未在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居民医保集中参保期内参保或未连续参保的人员，设置参保后固定待遇等待期3个月；其中，未连续参保的，每多断保1年，在固定待遇等待期基础上增加变动待遇等待期1个月。参保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人员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可通过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补缴断保年度费用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修复变动待遇等待期，每多缴1年可减少1个月变动待遇等待期，连续断缴4年及以上的，修复后固定待遇等待期和变动待遇等待期之和不少于6个月。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修复缴费标准按照提出修复申请时所在年度的个人缴费标准。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自2025年起，对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居民医保断保人员再参保缴费的，降低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城乡居民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大病保险最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高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支付限额，每断保1年，降低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城乡居民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大病保险最高支付限额3000元，累计降低总额度不超过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当年最高支付限额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的20%。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eastAsia="zh-CN"/>
        </w:rPr>
        <w:t>四</w:t>
      </w:r>
      <w:r>
        <w:rPr>
          <w:rFonts w:hint="eastAsia" w:ascii="黑体" w:hAnsi="黑体" w:eastAsia="黑体" w:cs="Times New Roman"/>
          <w:sz w:val="32"/>
          <w:szCs w:val="32"/>
        </w:rPr>
        <w:t>、关于帮扶补助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Cs w:val="32"/>
          <w:lang w:val="zh-CN" w:eastAsia="zh-CN"/>
        </w:rPr>
      </w:pP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对参保人员中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的</w:t>
      </w:r>
      <w:r>
        <w:rPr>
          <w:rFonts w:hint="eastAsia" w:ascii="仿宋_GB2312" w:hAnsi="仿宋_GB2312" w:cs="仿宋_GB2312"/>
          <w:szCs w:val="32"/>
          <w:lang w:val="zh-CN" w:eastAsia="zh-CN"/>
        </w:rPr>
        <w:t>本区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特困人员、享受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民政定期定量补助对象、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最低生活保障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家庭成员、社会散居孤儿、困境儿童基本生活保障对象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和最低生活保障边缘家庭中60周岁以上人员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，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以及高龄老人、职工老年遗属、重残人员等的个人缴费部分，可以按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规定给予补贴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eastAsia="zh-CN"/>
        </w:rPr>
        <w:t>五</w:t>
      </w:r>
      <w:r>
        <w:rPr>
          <w:rFonts w:hint="eastAsia" w:ascii="黑体" w:hAnsi="黑体" w:eastAsia="黑体" w:cs="Times New Roman"/>
          <w:sz w:val="32"/>
          <w:szCs w:val="32"/>
        </w:rPr>
        <w:t>、其他事项</w:t>
      </w:r>
    </w:p>
    <w:p>
      <w:pPr>
        <w:spacing w:line="560" w:lineRule="exact"/>
        <w:ind w:firstLine="640" w:firstLineChars="200"/>
        <w:rPr>
          <w:rFonts w:hint="eastAsia" w:ascii="仿宋_GB2312" w:hAnsi="仿宋_GB2312" w:eastAsia="仿宋_GB2312" w:cs="仿宋_GB2312"/>
          <w:szCs w:val="32"/>
          <w:lang w:val="zh-CN" w:eastAsia="zh-CN"/>
        </w:rPr>
      </w:pP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（一）为切实做好20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年度城乡居民医保</w:t>
      </w:r>
      <w:r>
        <w:rPr>
          <w:rFonts w:hint="eastAsia" w:ascii="仿宋_GB2312" w:hAnsi="仿宋_GB2312" w:cs="仿宋_GB2312"/>
          <w:szCs w:val="32"/>
          <w:lang w:val="zh-CN" w:eastAsia="zh-CN"/>
        </w:rPr>
        <w:t>参保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工作，各乡镇人民政府要做好宣传动员、政策解释、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上门排摸、参保登记等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等相关工作，做到应保尽保；区级有关部门要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加强部门协同、建立联动机制、形成工作合力、</w:t>
      </w: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精心组织实施。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Cs w:val="32"/>
          <w:lang w:val="zh-CN" w:eastAsia="zh-CN"/>
        </w:rPr>
      </w:pP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（二）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202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年城乡居民医保登记缴费的时间截止202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年12月25日。</w:t>
      </w:r>
    </w:p>
    <w:p>
      <w:pPr>
        <w:spacing w:line="560" w:lineRule="exact"/>
        <w:ind w:firstLine="640" w:firstLineChars="200"/>
        <w:rPr>
          <w:rFonts w:hint="default" w:ascii="仿宋_GB2312" w:hAnsi="仿宋_GB2312" w:eastAsia="仿宋_GB2312" w:cs="仿宋_GB2312"/>
          <w:szCs w:val="32"/>
          <w:lang w:val="zh-CN" w:eastAsia="zh-CN"/>
        </w:rPr>
      </w:pPr>
      <w:r>
        <w:rPr>
          <w:rFonts w:hint="eastAsia" w:ascii="仿宋_GB2312" w:hAnsi="仿宋_GB2312" w:eastAsia="仿宋_GB2312" w:cs="仿宋_GB2312"/>
          <w:szCs w:val="32"/>
          <w:lang w:val="zh-CN" w:eastAsia="zh-CN"/>
        </w:rPr>
        <w:t>（三）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本通知自202</w:t>
      </w:r>
      <w:r>
        <w:rPr>
          <w:rFonts w:hint="default" w:ascii="仿宋_GB2312" w:hAnsi="仿宋_GB2312" w:eastAsia="仿宋_GB2312" w:cs="仿宋_GB2312"/>
          <w:szCs w:val="32"/>
          <w:lang w:val="en-US" w:eastAsia="zh-CN"/>
        </w:rPr>
        <w:t>4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年11月</w:t>
      </w:r>
      <w:r>
        <w:rPr>
          <w:rFonts w:hint="eastAsia" w:ascii="仿宋_GB2312" w:hAnsi="仿宋_GB2312" w:cs="仿宋_GB2312"/>
          <w:szCs w:val="32"/>
          <w:lang w:val="en-US" w:eastAsia="zh-CN"/>
        </w:rPr>
        <w:t>11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日起施行，有效期至</w:t>
      </w:r>
      <w:r>
        <w:rPr>
          <w:rFonts w:hint="eastAsia" w:ascii="仿宋_GB2312" w:hAnsi="仿宋_GB2312" w:cs="仿宋_GB2312"/>
          <w:szCs w:val="32"/>
          <w:lang w:val="en-US" w:eastAsia="zh-CN"/>
        </w:rPr>
        <w:t>2025</w:t>
      </w:r>
      <w:r>
        <w:rPr>
          <w:rFonts w:hint="default" w:ascii="仿宋_GB2312" w:hAnsi="仿宋_GB2312" w:eastAsia="仿宋_GB2312" w:cs="仿宋_GB2312"/>
          <w:szCs w:val="32"/>
          <w:lang w:val="zh-CN" w:eastAsia="zh-CN"/>
        </w:rPr>
        <w:t>年12月31日。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4"/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上海市崇明区医疗保障局         </w:t>
      </w:r>
      <w:r>
        <w:rPr>
          <w:rFonts w:hint="eastAsia" w:ascii="仿宋_GB2312" w:hAnsi="仿宋_GB2312" w:cs="仿宋_GB231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Cs w:val="32"/>
        </w:rPr>
        <w:t xml:space="preserve">  上海市崇明区教育局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4"/>
        <w:rPr>
          <w:rFonts w:hint="eastAsia"/>
        </w:rPr>
      </w:pPr>
    </w:p>
    <w:p>
      <w:pPr>
        <w:pStyle w:val="4"/>
        <w:rPr>
          <w:rFonts w:hint="eastAsia"/>
        </w:rPr>
      </w:pPr>
    </w:p>
    <w:p>
      <w:pPr>
        <w:rPr>
          <w:rFonts w:hint="eastAsia"/>
        </w:rPr>
      </w:pPr>
    </w:p>
    <w:p>
      <w:pPr>
        <w:pStyle w:val="4"/>
        <w:rPr>
          <w:rFonts w:hint="eastAsia" w:ascii="仿宋_GB2312" w:hAnsi="仿宋_GB2312" w:eastAsia="仿宋_GB2312" w:cs="仿宋_GB2312"/>
          <w:szCs w:val="32"/>
        </w:rPr>
      </w:pPr>
    </w:p>
    <w:p>
      <w:pPr>
        <w:pStyle w:val="4"/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上海市崇明区卫生健康委员会       上海市崇明区财政局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4"/>
        <w:rPr>
          <w:rFonts w:hint="eastAsia" w:ascii="仿宋_GB2312" w:hAnsi="仿宋_GB2312" w:eastAsia="仿宋_GB2312" w:cs="仿宋_GB2312"/>
          <w:szCs w:val="32"/>
        </w:rPr>
      </w:pPr>
    </w:p>
    <w:p>
      <w:pPr>
        <w:rPr>
          <w:rFonts w:hint="eastAsia" w:ascii="仿宋_GB2312" w:hAnsi="仿宋_GB2312" w:eastAsia="仿宋_GB2312" w:cs="仿宋_GB2312"/>
          <w:szCs w:val="32"/>
        </w:rPr>
      </w:pPr>
    </w:p>
    <w:p>
      <w:pPr>
        <w:pStyle w:val="4"/>
        <w:rPr>
          <w:rFonts w:hint="eastAsia"/>
        </w:rPr>
      </w:pPr>
    </w:p>
    <w:p>
      <w:pPr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上海市崇明区民政局      国家税务总局上海市崇明区税务局  </w:t>
      </w: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</w:p>
    <w:p>
      <w:pPr>
        <w:pStyle w:val="4"/>
        <w:rPr>
          <w:rFonts w:hint="eastAsia" w:ascii="仿宋_GB2312" w:hAnsi="仿宋_GB2312" w:eastAsia="仿宋_GB2312" w:cs="仿宋_GB2312"/>
          <w:szCs w:val="32"/>
        </w:rPr>
      </w:pPr>
    </w:p>
    <w:p>
      <w:pPr>
        <w:rPr>
          <w:rFonts w:hint="eastAsia"/>
        </w:rPr>
      </w:pPr>
    </w:p>
    <w:p>
      <w:pPr>
        <w:spacing w:line="580" w:lineRule="exact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             上海市崇明区残疾人联合会</w:t>
      </w:r>
    </w:p>
    <w:p>
      <w:pPr>
        <w:spacing w:line="580" w:lineRule="exact"/>
        <w:ind w:right="1280"/>
        <w:jc w:val="center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     20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Cs w:val="32"/>
        </w:rPr>
        <w:t>年</w:t>
      </w:r>
      <w:r>
        <w:rPr>
          <w:rFonts w:hint="eastAsia" w:ascii="仿宋_GB2312" w:hAnsi="仿宋_GB2312" w:cs="仿宋_GB231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Cs w:val="32"/>
        </w:rPr>
        <w:t>月</w:t>
      </w:r>
      <w:r>
        <w:rPr>
          <w:rFonts w:hint="eastAsia" w:ascii="仿宋_GB2312" w:hAnsi="仿宋_GB2312" w:cs="仿宋_GB2312"/>
          <w:szCs w:val="32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Cs w:val="32"/>
        </w:rPr>
        <w:t>日</w:t>
      </w:r>
    </w:p>
    <w:p>
      <w:pPr>
        <w:rPr>
          <w:rFonts w:hint="eastAsia" w:ascii="仿宋_GB2312" w:hAnsi="仿宋_GB2312" w:eastAsia="仿宋_GB2312" w:cs="仿宋_GB2312"/>
          <w:sz w:val="13"/>
          <w:szCs w:val="13"/>
        </w:rPr>
      </w:pPr>
    </w:p>
    <w:p>
      <w:pPr>
        <w:pStyle w:val="4"/>
        <w:rPr>
          <w:rFonts w:hint="eastAsia" w:ascii="仿宋_GB2312" w:hAnsi="仿宋_GB2312" w:eastAsia="仿宋_GB2312" w:cs="仿宋_GB2312"/>
          <w:sz w:val="13"/>
          <w:szCs w:val="13"/>
        </w:rPr>
      </w:pPr>
    </w:p>
    <w:p>
      <w:pPr>
        <w:rPr>
          <w:rFonts w:hint="eastAsia"/>
          <w:sz w:val="13"/>
          <w:szCs w:val="13"/>
        </w:rPr>
      </w:pPr>
    </w:p>
    <w:p>
      <w:pPr>
        <w:pStyle w:val="2"/>
        <w:rPr>
          <w:rFonts w:hint="eastAsia"/>
          <w:sz w:val="13"/>
          <w:szCs w:val="13"/>
        </w:rPr>
      </w:pPr>
    </w:p>
    <w:p>
      <w:pPr>
        <w:pStyle w:val="2"/>
        <w:rPr>
          <w:rFonts w:hint="eastAsia"/>
          <w:sz w:val="13"/>
          <w:szCs w:val="13"/>
        </w:rPr>
      </w:pPr>
      <w:bookmarkStart w:id="0" w:name="_GoBack"/>
      <w:bookmarkEnd w:id="0"/>
    </w:p>
    <w:p>
      <w:pPr>
        <w:rPr>
          <w:rFonts w:hint="eastAsia"/>
        </w:rPr>
      </w:pPr>
    </w:p>
    <w:p>
      <w:pPr>
        <w:spacing w:line="560" w:lineRule="exact"/>
        <w:rPr>
          <w:rFonts w:hint="default" w:eastAsia="仿宋_GB2312"/>
          <w:lang w:val="en-US" w:eastAsia="zh-CN"/>
        </w:rPr>
      </w:pPr>
      <w:r>
        <w:rPr>
          <w:rFonts w:ascii="仿宋_GB2312" w:hAnsi="仿宋_GB2312" w:eastAsia="仿宋_GB2312" w:cs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376555</wp:posOffset>
                </wp:positionV>
                <wp:extent cx="5433695" cy="18415"/>
                <wp:effectExtent l="0" t="4445" r="14605" b="5715"/>
                <wp:wrapNone/>
                <wp:docPr id="2" name="自选图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true">
                          <a:off x="0" y="0"/>
                          <a:ext cx="5433695" cy="1841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7" o:spid="_x0000_s1026" o:spt="32" type="#_x0000_t32" style="position:absolute;left:0pt;flip:y;margin-left:1.2pt;margin-top:29.65pt;height:1.45pt;width:427.85pt;z-index:251675648;mso-width-relative:page;mso-height-relative:page;" filled="f" stroked="t" coordsize="21600,21600" o:gfxdata="UEsFBgAAAAAAAAAAAAAAAAAAAAAAAFBLAwQKAAAAAACHTuJAAAAAAAAAAAAAAAAABAAAAGRycy9Q&#10;SwMEFAAAAAgAh07iQLatos7WAAAABwEAAA8AAABkcnMvZG93bnJldi54bWxNjsFOg0AURfcm/sPk&#10;NXFnB7BFRB5dmGhcGBLbup8yT8Ayb5CZQvv3jitd3tybc0+xOZteTDS6zjJCvIxAENdWd9wg7HfP&#10;txkI5xVr1VsmhAs52JTXV4XKtZ35naatb0SAsMsVQuv9kEvp6paMcks7EIfu045G+RDHRupRzQFu&#10;eplEUSqN6jg8tGqgp5bq4/ZkEL75/vKxklP2VVU+fXl9a5iqGfFmEUePIDyd/d8YfvWDOpTB6WBP&#10;rJ3oEZJVGCKsH+5AhDpbZzGIA0KaJCDLQv73L38AUEsDBBQAAAAIAIdO4kDRU7e46AEAAKYDAAAO&#10;AAAAZHJzL2Uyb0RvYy54bWytU0uOEzEQ3SNxB8t70unMZJhppTOLhGGDIBKffcWfbkv+yfakkx07&#10;xBnYseQOw21GgltQdofw2yCEF1bZVe9V1XN5cb03muxEiMrZltaTKSXCMseV7Vr6+tXNo0tKYgLL&#10;QTsrWnoQkV4vHz5YDL4RM9c7zUUgSGJjM/iW9in5pqoi64WBOHFeWHRKFwwkPIau4gEGZDe6mk2n&#10;F9XgAvfBMREj3q5HJ10WfikFSy+kjCIR3VKsLZU9lH2b92q5gKYL4HvFjmXAP1RhQFlMeqJaQwJy&#10;G9QfVEax4KKTacKcqZyUionSA3ZTT3/r5mUPXpReUJzoTzLF/0fLnu82gSje0hklFgw+0Zd3n76+&#10;fX//4fP93UfyOCs0+Nhg4MpuwvEU/SbkdvcyGCK18m9amsJtLhYa7Irsi8SHk8RinwjDy/n52dnF&#10;1ZwShr768rye5wTVyJTBPsT0VDhDstHSmAKork8rZy0+pgt1SQG7ZzGNwO+ADNaWDC29ms9yAsBx&#10;khoSmsZjg9F2BRudVvxGaZ0RMXTblQ5kB3lAyjoW9EtYTrKG2I9xxZXDoOkF8CeWk3TwKJ3FGae5&#10;BCM4JVrgl8hWiUyg9N9EohbaoiRZ9FHmbG0dPxT1yz0OQxHtOLh52n4+F/SP77X8B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BYAAABkcnMv&#10;UEsBAhQAFAAAAAgAh07iQLatos7WAAAABwEAAA8AAAAAAAAAAQAgAAAAOAAAAGRycy9kb3ducmV2&#10;LnhtbFBLAQIUABQAAAAIAIdO4kDRU7e46AEAAKYDAAAOAAAAAAAAAAEAIAAAADsBAABkcnMvZTJv&#10;RG9jLnhtbFBLBQYAAAAABgAGAFkBAACVBQAAAAA=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ascii="仿宋_GB2312" w:hAnsi="仿宋_GB2312" w:eastAsia="仿宋_GB2312" w:cs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-25400</wp:posOffset>
                </wp:positionH>
                <wp:positionV relativeFrom="paragraph">
                  <wp:posOffset>62865</wp:posOffset>
                </wp:positionV>
                <wp:extent cx="5424805" cy="8890"/>
                <wp:effectExtent l="0" t="0" r="0" b="0"/>
                <wp:wrapNone/>
                <wp:docPr id="4" name="自选图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24805" cy="889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9" o:spid="_x0000_s1026" o:spt="32" type="#_x0000_t32" style="position:absolute;left:0pt;margin-left:-2pt;margin-top:4.95pt;height:0.7pt;width:427.15pt;z-index:251676672;mso-width-relative:page;mso-height-relative:page;" filled="f" stroked="t" coordsize="21600,21600" o:gfxdata="UEsFBgAAAAAAAAAAAAAAAAAAAAAAAFBLAwQKAAAAAACHTuJAAAAAAAAAAAAAAAAABAAAAGRycy9Q&#10;SwMEFAAAAAgAh07iQAvu3+rWAAAABwEAAA8AAABkcnMvZG93bnJldi54bWxNj8FuwjAQRO+V+Adr&#10;kXqpwA6UioQ4CFXqoccCUq8m3iaBeB3FDqF8fben9jia0cybfHtzrbhiHxpPGpK5AoFUettQpeF4&#10;eJutQYRoyJrWE2r4xgDbYvKQm8z6kT7wuo+V4BIKmdFQx9hlUoayRmfC3HdI7H353pnIsq+k7c3I&#10;5a6VC6VepDMN8UJtOnytsbzsB6cBw7BK1C511fH9Pj59Lu7nsTto/ThN1AZExFv8C8MvPqNDwUwn&#10;P5ANotUwe+YrUUOagmB7vVJLECfOJUuQRS7/8xc/UEsDBBQAAAAIAIdO4kBPXj1o3QEAAJgDAAAO&#10;AAAAZHJzL2Uyb0RvYy54bWytU02uEzEM3iNxhyh7Om3VonbU6Vu0PDYIKgEHcJPMTKT8KQ6ddscO&#10;cQZ2LLkD3OZJcAuctPTxs0GIWWSc2P7s74uzujlaww4qovau4ZPRmDPlhJfadQ1//er20YIzTOAk&#10;GO9Uw08K+c364YPVEGo19b03UkVGIA7rITS8TynUVYWiVxZw5INy5Gx9tJBoG7tKRhgI3ZpqOh4/&#10;rgYfZYheKEQ63Z6dfF3w21aJ9KJtUSVmGk69pbLGsu7zWq1XUHcRQq/FpQ34hy4saEdFr1BbSMDe&#10;RP0HlNUievRtGglvK9+2WqjCgdhMxr+xedlDUIULiYPhKhP+P1jx/LCLTMuGzzhzYOmKvr779O3t&#10;+7sPX+4+f2TLrNAQsKbAjdvFyw7DLma6xzba/Cci7FhUPV1VVcfEBB3OZ9PZYjznTJBvsVgW0av7&#10;3BAxPVXesmw0HFME3fVp452j6/NxUoSFwzNMVJ0SfyTkwsaxoeHL+TTjAw1QayCRaQNRQteVXPRG&#10;y1ttTM7A2O03JrID5JEoX+ZIuL+E5SJbwP4cV1znYekVyCdOsnQKJJajqea5BaskZ0bRI8gWAUKd&#10;QJu/iaTSxlEHWeazsNnae3kqepdzuv7S42VU83z9vC/Z9w9q/R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WAAAAZHJzL1BLAQIUABQAAAAI&#10;AIdO4kAL7t/q1gAAAAcBAAAPAAAAAAAAAAEAIAAAADgAAABkcnMvZG93bnJldi54bWxQSwECFAAU&#10;AAAACACHTuJAT149aN0BAACYAwAADgAAAAAAAAABACAAAAA7AQAAZHJzL2Uyb0RvYy54bWxQSwUG&#10;AAAAAAYABgBZAQAAigUAAAAA&#10;">
                <v:fill on="f" focussize="0,0"/>
                <v:stroke color="#00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sz w:val="32"/>
          <w:szCs w:val="32"/>
        </w:rPr>
        <w:t>上海市崇明区医疗保障局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综合科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日印发</w:t>
      </w:r>
    </w:p>
    <w:sectPr>
      <w:footerReference r:id="rId3" w:type="default"/>
      <w:pgSz w:w="11906" w:h="16838"/>
      <w:pgMar w:top="1984" w:right="1474" w:bottom="1701" w:left="1587" w:header="851" w:footer="992" w:gutter="0"/>
      <w:pgNumType w:fmt="numberInDash"/>
      <w:cols w:space="0" w:num="1"/>
      <w:rtlGutter w:val="0"/>
      <w:docGrid w:type="lines" w:linePitch="44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10540" cy="19240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510540" cy="1924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仿宋_GB2312"/>
                              <w:sz w:val="32"/>
                              <w:szCs w:val="32"/>
                              <w:lang w:eastAsia="zh-CN"/>
                            </w:rPr>
                          </w:pP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楷体_GB2312" w:hAnsi="楷体_GB2312" w:eastAsia="楷体_GB2312" w:cs="楷体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false" anchor="t" anchorCtr="false" forceAA="false" upright="false" compatLnSpc="tru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5.15pt;width:40.2pt;mso-position-horizontal:outside;mso-position-horizontal-relative:margin;z-index:251658240;mso-width-relative:page;mso-height-relative:page;" filled="f" stroked="f" coordsize="21600,21600" o:gfxdata="UEsFBgAAAAAAAAAAAAAAAAAAAAAAAFBLAwQKAAAAAACHTuJAAAAAAAAAAAAAAAAABAAAAGRycy9Q&#10;SwMEFAAAAAgAh07iQDQlFk7TAAAAAwEAAA8AAABkcnMvZG93bnJldi54bWxNj0tPwzAQhO9I/Adr&#10;kbhROxShKo3TA48bzwJSuTnxkkTY68jepOXfY7jAZaXRjGa+rTYH78SMMQ2BNBQLBQKpDXagTsPr&#10;y+3ZCkRiQ9a4QKjhCxNs6uOjypQ27OkZ5y13IpdQKo2GnnkspUxtj96kRRiRsvcRojecZeykjWaf&#10;y72T50pdSm8Gygu9GfGqx/ZzO3kNbpfiXaP4fb7u7vnpUU5vN8WD1qcnhVqDYDzwXxh+8DM61Jmp&#10;CRPZJJyG/Aj/3uyt1AWIRsNSLUHWlfzPXn8DUEsDBBQAAAAIAIdO4kATX+noIAIAACkEAAAOAAAA&#10;ZHJzL2Uyb0RvYy54bWytU82O0zAQviPxDpbvNGnZrqBquiq7KkJasSsVxNl17MaSY5ux06Q8ALwB&#10;Jy7cea4+B2MnaRFwQlzssWc8P9/3eXnT1ZocBHhlTUGnk5wSYbgtldkX9P27zbMXlPjATMm0NaKg&#10;R+Hpzerpk2XrFmJmK6tLAQSTGL9oXUGrENwiyzyvRM38xDph0Ckt1CzgEfZZCazF7LXOZnl+nbUW&#10;SgeWC+/x9q530lXKL6Xg4UFKLwLRBcXeQlohrbu4ZqslW+yBuUrxoQ32D13UTBksek51xwIjDag/&#10;UtWKg/VWhgm3dWalVFykGXCaaf7bNNuKOZFmQXC8O8Pk/19a/vbwCESVyB0lhtVI0enrl9O3H6fv&#10;n8k0wtM6v8CorcO40L2yXUEDNGJ0ebyPg3cS6rjjSARDEOvjGV/RBcLxcj7N51fo4eiavpxd5fOY&#10;Jbs8duDDa2FrEo2CAtKXUGWHex/60DEk1jJ2o7ROFGpD2oJeP5/n6cHZg8m1wRpxir7VaIVu1w2j&#10;7Wx5xMnA9tLwjm8UFr9nPjwyQC1gv6jv8ICL1BaL2MGipLLw6W/3MR4pQi8lLWqroP5jw0BQot8Y&#10;JC8KcTRgNHajYZr61qJckRDsJpn4AIIeTQm2/oCyX8cqkmmPiZnhWA+pGc3bgKfBid+Hi/X6fG4c&#10;qH11eYxSdCzcm63jA7k9uusmWKkS8BG1HqoBTNRjom74O1Hwv55T1OWHr34C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FgAAAGRycy9QSwEC&#10;FAAUAAAACACHTuJANCUWTtMAAAADAQAADwAAAAAAAAABACAAAAA4AAAAZHJzL2Rvd25yZXYueG1s&#10;UEsBAhQAFAAAAAgAh07iQBNf6eggAgAAKQQAAA4AAAAAAAAAAQAgAAAAOA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4"/>
                      <w:rPr>
                        <w:rFonts w:hint="eastAsia" w:eastAsia="仿宋_GB2312"/>
                        <w:sz w:val="32"/>
                        <w:szCs w:val="32"/>
                        <w:lang w:eastAsia="zh-CN"/>
                      </w:rPr>
                    </w:pP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楷体_GB2312" w:hAnsi="楷体_GB2312" w:eastAsia="楷体_GB2312" w:cs="楷体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embedSystemFonts/>
  <w:bordersDoNotSurroundHeader w:val="true"/>
  <w:bordersDoNotSurroundFooter w:val="true"/>
  <w:documentProtection w:enforcement="0"/>
  <w:defaultTabStop w:val="420"/>
  <w:drawingGridVerticalSpacing w:val="2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4400DC"/>
    <w:rsid w:val="0AA96B32"/>
    <w:rsid w:val="19D01372"/>
    <w:rsid w:val="284400DC"/>
    <w:rsid w:val="29CD56AC"/>
    <w:rsid w:val="2EFD9B7D"/>
    <w:rsid w:val="2F452065"/>
    <w:rsid w:val="3D4E556E"/>
    <w:rsid w:val="425F7674"/>
    <w:rsid w:val="4B026800"/>
    <w:rsid w:val="4F7B9CB8"/>
    <w:rsid w:val="58910338"/>
    <w:rsid w:val="62460B08"/>
    <w:rsid w:val="674D21AE"/>
    <w:rsid w:val="6D7837F0"/>
    <w:rsid w:val="715D2C0A"/>
    <w:rsid w:val="7B2C6330"/>
    <w:rsid w:val="7FFA3943"/>
    <w:rsid w:val="7FFBBB4A"/>
    <w:rsid w:val="AF7BB11A"/>
    <w:rsid w:val="BFFBF22C"/>
    <w:rsid w:val="F8FBC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kern w:val="2"/>
      <w:sz w:val="32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220" w:beforeLines="0" w:beforeAutospacing="0" w:after="210" w:afterLines="0" w:afterAutospacing="0" w:line="576" w:lineRule="auto"/>
      <w:jc w:val="center"/>
      <w:outlineLvl w:val="0"/>
    </w:pPr>
    <w:rPr>
      <w:rFonts w:ascii="Calibri" w:hAnsi="Calibri" w:eastAsia="方正小标宋简体" w:cs="Times New Roman"/>
      <w:kern w:val="44"/>
      <w:sz w:val="44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0"/>
    <w:pPr>
      <w:spacing w:beforeLines="0" w:afterLines="0"/>
      <w:ind w:firstLine="420" w:firstLineChars="200"/>
    </w:pPr>
    <w:rPr>
      <w:rFonts w:hint="default"/>
      <w:sz w:val="21"/>
    </w:rPr>
  </w:style>
  <w:style w:type="paragraph" w:styleId="4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上海市崇明区医疗保障局</Company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Office_11.8.2.10195_F1E327BC-269C-435d-A152-05C5408002CA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2021-11-20T06:22:00Z</dcterms:created>
  <dc:creator>徐畅</dc:creator>
  <cp:lastModifiedBy>user</cp:lastModifiedBy>
  <cp:lastPrinted>2024-11-14T10:43:04Z</cp:lastPrinted>
  <dcterms:modified xsi:type="dcterms:W3CDTF">2024-11-14T10:49:12Z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2052-11.8.2.10195</vt:lpwstr>
  </property>
  <property fmtid="{D5CDD505-2E9C-101B-9397-08002B2CF9AE}" pid="3" name="ICV">
    <vt:lpwstr>611A995E1363485FB9C4467592A332F9</vt:lpwstr>
  </property>
</Properties>
</file>