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简体" w:hAnsi="方正小标宋简体" w:eastAsia="方正小标宋简体" w:cs="方正小标宋简体"/>
          <w:w w:val="88"/>
          <w:sz w:val="44"/>
          <w:szCs w:val="44"/>
          <w:lang w:val="en-US" w:eastAsia="zh-CN"/>
        </w:rPr>
      </w:pPr>
      <w:r>
        <w:rPr>
          <w:rFonts w:hint="eastAsia" w:ascii="方正小标宋简体" w:hAnsi="方正小标宋简体" w:eastAsia="方正小标宋简体" w:cs="方正小标宋简体"/>
          <w:w w:val="88"/>
          <w:sz w:val="44"/>
          <w:szCs w:val="44"/>
          <w:lang w:val="en-US" w:eastAsia="zh-CN"/>
        </w:rPr>
        <w:t>浜东村“海岛上的致富羊”羊村建设项目实施方案</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firstLine="640" w:firstLineChars="200"/>
        <w:jc w:val="left"/>
        <w:textAlignment w:val="auto"/>
        <w:rPr>
          <w:rFonts w:hint="eastAsia" w:ascii="仿宋_GB2312" w:hAnsi="仿宋_GB2312" w:eastAsia="仿宋_GB2312" w:cs="仿宋_GB2312"/>
          <w:sz w:val="32"/>
          <w:szCs w:val="32"/>
          <w:highlight w:val="none"/>
          <w:lang w:val="en-US" w:eastAsia="zh-CN"/>
        </w:rPr>
      </w:pP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一、基本情况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浜东村位于建设镇东部,东与新河镇接壤，南与大同村相邻，西与浜西村接壤，北与长江农村相邻。由原来的浜东村和浜南村两村合并而成。浜东村村域总面积2.8平方公里，其中可耕地面积2270亩，林地面积1094亩。全村共有27个村民小组，农户1050户，户籍人口2230人，共设网格党支部4个，在册党员145名。2022年，浜东村集体经济组织收入为24万元。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项目名称：“海岛上的致富羊”建设镇浜东村羊村建设项目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项目地址：浜东村3队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村负责人：</w:t>
      </w:r>
      <w:r>
        <w:rPr>
          <w:rFonts w:hint="eastAsia" w:ascii="仿宋_GB2312" w:hAnsi="仿宋_GB2312" w:eastAsia="仿宋_GB2312" w:cs="仿宋_GB2312"/>
          <w:sz w:val="32"/>
          <w:szCs w:val="32"/>
          <w:lang w:val="en-US" w:eastAsia="zh-CN"/>
        </w:rPr>
        <w:t xml:space="preserve"> 施红娟  联系电话：13701900853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项目负责人：曹 静  联系电话：18939979367 </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二、项目背景</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崇明白山羊是崇明区的优质地方畜种，“羊村建设”是崇明区乡村振兴项目的推荐发展项目，上海菊杰白山羊专业合作社位于建设镇浜东村，合作社是崇明区白山羊协会会员单位，崇明白山羊地理标识授权使用单位，得天独厚的优势有利于浜东村“海岛上的致富羊”建设项目的推进实施。</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三、项目建设目标</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科技引领，产业助农，打造“海岛上的致富羊”，我们计划形成以集体经济组织牵头，菊杰白山羊合作社在提供养殖技术、羊肉销售渠道、羊饲料来源、防疫免疫等服务，带动周边农户参与白山羊养殖，增收致富。整个过程遵循：“统一种植标准、统一管理、统一投入品、统一品牌、统一渠道、统一价格”六个统一的标准带动周边群众发展白山羊产业。再加上目前的产业政策帮扶，我们相信白山羊产业作为浜东村的家门口产业，是带动集体经济增收，老百姓致富的好项目。 </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四、项目建设基础</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上海菊杰白山羊专业合作社占地近30亩，位于浜东村北侧500亩公益林中，养殖环境优越，目前有羊社四栋，管理用房若干，可以养殖崇明白山羊1000头。合作社成立十余年，有丰富的白山羊养殖经验，也形成了销售渠道，为家门口产业的形成提供了技术的支撑、产出农产品销路的保障。</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五、项目建设模式</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村集体经济+农业合作社+农户，在政府“帮农助农”政策的引导下，为当地农户提供必要技能培训、养殖物资和产出农产品流通等方式开展项目。集体经济组织同上海菊杰白山羊专业合作社签订合作协议、同农户签订白山羊养殖、回购、相关奖惩措施及规范养殖承诺书。合作协议时间与目前的崇明白山羊相关产业政策相衔接，专项资金提供白山羊种苗等、合作社提供技术培训，带动浜东村有意愿加入项目的村民在区域内参与白山羊养殖，养殖出来的白山羊小羊由白山羊产业集团公司按一定标准一定价格回收，其余的作为肉羊育肥后进入市场销售。</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繁殖小羊回购费：合作社、农户认养母羊繁殖的断奶合格小羊由集体经济组织委托龙头企业统一回购，农户全额享受繁殖小羊收购费（以市场价为准）。</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奖励费：合作社、农户按照权利、义务落实各项白山羊养殖要求，每回购一头繁殖小羊，养殖户享受一定的奖励费（具体奖励标准以村集体经济组织实际享受相关产业补贴政策后另行确定），待相关补贴政策到账后落实发放。</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淘汰母羊回购费：经鉴定丧失繁殖能力的认养母羊由集体经济组织委托企业统一回购，农户享受一定的母羊收购费（以市场价为准，扣除专项经费购买母羔羊的金额）。</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default"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六、投资效益分析及收益分配机制</w:t>
      </w:r>
    </w:p>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bCs/>
          <w:sz w:val="24"/>
          <w:szCs w:val="24"/>
          <w:highlight w:val="none"/>
          <w:lang w:val="en-US" w:eastAsia="zh-CN" w:bidi="zh-CN"/>
        </w:rPr>
        <w:t>投资效益分析及分配预估表（以三年为例）：</w:t>
      </w:r>
    </w:p>
    <w:tbl>
      <w:tblPr>
        <w:tblStyle w:val="6"/>
        <w:tblpPr w:leftFromText="180" w:rightFromText="180" w:vertAnchor="text" w:horzAnchor="page" w:tblpXSpec="center" w:tblpY="380"/>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7"/>
        <w:gridCol w:w="1405"/>
        <w:gridCol w:w="1663"/>
        <w:gridCol w:w="3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532" w:type="dxa"/>
            <w:gridSpan w:val="2"/>
          </w:tcPr>
          <w:p>
            <w:pPr>
              <w:keepNext w:val="0"/>
              <w:keepLines w:val="0"/>
              <w:pageBreakBefore w:val="0"/>
              <w:widowControl w:val="0"/>
              <w:wordWrap/>
              <w:topLinePunct w:val="0"/>
              <w:autoSpaceDE/>
              <w:autoSpaceDN/>
              <w:bidi w:val="0"/>
              <w:adjustRightInd w:val="0"/>
              <w:spacing w:line="560" w:lineRule="exact"/>
              <w:ind w:right="0" w:firstLine="562" w:firstLineChars="200"/>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投资</w:t>
            </w:r>
          </w:p>
        </w:tc>
        <w:tc>
          <w:tcPr>
            <w:tcW w:w="5345" w:type="dxa"/>
            <w:gridSpan w:val="2"/>
          </w:tcPr>
          <w:p>
            <w:pPr>
              <w:keepNext w:val="0"/>
              <w:keepLines w:val="0"/>
              <w:pageBreakBefore w:val="0"/>
              <w:widowControl w:val="0"/>
              <w:wordWrap/>
              <w:topLinePunct w:val="0"/>
              <w:autoSpaceDE/>
              <w:autoSpaceDN/>
              <w:bidi w:val="0"/>
              <w:adjustRightInd w:val="0"/>
              <w:spacing w:line="560" w:lineRule="exact"/>
              <w:ind w:right="0" w:firstLine="562" w:firstLineChars="200"/>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收益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购小羊</w:t>
            </w:r>
          </w:p>
        </w:tc>
        <w:tc>
          <w:tcPr>
            <w:tcW w:w="1405"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15万元</w:t>
            </w:r>
          </w:p>
        </w:tc>
        <w:tc>
          <w:tcPr>
            <w:tcW w:w="1663"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繁殖小羊收益</w:t>
            </w:r>
          </w:p>
        </w:tc>
        <w:tc>
          <w:tcPr>
            <w:tcW w:w="3682"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农户、合作社：22.5万元/年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固定资产</w:t>
            </w:r>
          </w:p>
        </w:tc>
        <w:tc>
          <w:tcPr>
            <w:tcW w:w="1405"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10万元</w:t>
            </w:r>
          </w:p>
        </w:tc>
        <w:tc>
          <w:tcPr>
            <w:tcW w:w="1663" w:type="dxa"/>
            <w:vMerge w:val="restart"/>
            <w:vAlign w:val="center"/>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产业补贴</w:t>
            </w:r>
          </w:p>
        </w:tc>
        <w:tc>
          <w:tcPr>
            <w:tcW w:w="3682"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村集体：4.5万元/年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小羊保险</w:t>
            </w:r>
          </w:p>
        </w:tc>
        <w:tc>
          <w:tcPr>
            <w:tcW w:w="1405"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0.3万元/年</w:t>
            </w:r>
          </w:p>
        </w:tc>
        <w:tc>
          <w:tcPr>
            <w:tcW w:w="1663" w:type="dxa"/>
            <w:vMerge w:val="continue"/>
          </w:tcPr>
          <w:p>
            <w:pPr>
              <w:keepNext w:val="0"/>
              <w:keepLines w:val="0"/>
              <w:pageBreakBefore w:val="0"/>
              <w:widowControl w:val="0"/>
              <w:wordWrap/>
              <w:topLinePunct w:val="0"/>
              <w:autoSpaceDE/>
              <w:autoSpaceDN/>
              <w:bidi w:val="0"/>
              <w:adjustRightInd w:val="0"/>
              <w:spacing w:line="560" w:lineRule="exact"/>
              <w:ind w:right="0" w:firstLine="420" w:firstLineChars="200"/>
              <w:jc w:val="center"/>
              <w:textAlignment w:val="auto"/>
              <w:rPr>
                <w:rFonts w:hint="eastAsia" w:ascii="仿宋_GB2312" w:hAnsi="仿宋_GB2312" w:eastAsia="仿宋_GB2312" w:cs="仿宋_GB2312"/>
                <w:color w:val="auto"/>
                <w:sz w:val="21"/>
                <w:szCs w:val="21"/>
                <w:highlight w:val="none"/>
                <w:vertAlign w:val="baseline"/>
                <w:lang w:val="en-US" w:eastAsia="zh-CN"/>
              </w:rPr>
            </w:pPr>
          </w:p>
        </w:tc>
        <w:tc>
          <w:tcPr>
            <w:tcW w:w="3682"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农户、合作社：4.5万元/年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运营</w:t>
            </w:r>
          </w:p>
        </w:tc>
        <w:tc>
          <w:tcPr>
            <w:tcW w:w="1405"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1.3万元/年</w:t>
            </w:r>
          </w:p>
        </w:tc>
        <w:tc>
          <w:tcPr>
            <w:tcW w:w="1663" w:type="dxa"/>
            <w:vMerge w:val="restart"/>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淘汰母羊收益</w:t>
            </w:r>
          </w:p>
        </w:tc>
        <w:tc>
          <w:tcPr>
            <w:tcW w:w="3682"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上交村集体：15万元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tcPr>
          <w:p>
            <w:pPr>
              <w:keepNext w:val="0"/>
              <w:keepLines w:val="0"/>
              <w:pageBreakBefore w:val="0"/>
              <w:widowControl w:val="0"/>
              <w:wordWrap/>
              <w:topLinePunct w:val="0"/>
              <w:autoSpaceDE/>
              <w:autoSpaceDN/>
              <w:bidi w:val="0"/>
              <w:adjustRightInd w:val="0"/>
              <w:spacing w:line="560" w:lineRule="exact"/>
              <w:ind w:right="0" w:firstLine="420" w:firstLineChars="200"/>
              <w:jc w:val="center"/>
              <w:textAlignment w:val="auto"/>
              <w:rPr>
                <w:rFonts w:hint="eastAsia" w:ascii="仿宋_GB2312" w:hAnsi="仿宋_GB2312" w:eastAsia="仿宋_GB2312" w:cs="仿宋_GB2312"/>
                <w:color w:val="auto"/>
                <w:sz w:val="21"/>
                <w:szCs w:val="21"/>
                <w:highlight w:val="none"/>
                <w:vertAlign w:val="baseline"/>
                <w:lang w:val="en-US" w:eastAsia="zh-CN"/>
              </w:rPr>
            </w:pPr>
          </w:p>
        </w:tc>
        <w:tc>
          <w:tcPr>
            <w:tcW w:w="1405" w:type="dxa"/>
          </w:tcPr>
          <w:p>
            <w:pPr>
              <w:keepNext w:val="0"/>
              <w:keepLines w:val="0"/>
              <w:pageBreakBefore w:val="0"/>
              <w:widowControl w:val="0"/>
              <w:wordWrap/>
              <w:topLinePunct w:val="0"/>
              <w:autoSpaceDE/>
              <w:autoSpaceDN/>
              <w:bidi w:val="0"/>
              <w:adjustRightInd w:val="0"/>
              <w:spacing w:line="560" w:lineRule="exact"/>
              <w:ind w:right="0" w:firstLine="420" w:firstLineChars="200"/>
              <w:jc w:val="center"/>
              <w:textAlignment w:val="auto"/>
              <w:rPr>
                <w:rFonts w:hint="eastAsia" w:ascii="仿宋_GB2312" w:hAnsi="仿宋_GB2312" w:eastAsia="仿宋_GB2312" w:cs="仿宋_GB2312"/>
                <w:color w:val="auto"/>
                <w:sz w:val="21"/>
                <w:szCs w:val="21"/>
                <w:highlight w:val="none"/>
                <w:vertAlign w:val="baseline"/>
                <w:lang w:val="en-US" w:eastAsia="zh-CN"/>
              </w:rPr>
            </w:pPr>
          </w:p>
        </w:tc>
        <w:tc>
          <w:tcPr>
            <w:tcW w:w="1663" w:type="dxa"/>
            <w:vMerge w:val="continue"/>
          </w:tcPr>
          <w:p>
            <w:pPr>
              <w:keepNext w:val="0"/>
              <w:keepLines w:val="0"/>
              <w:pageBreakBefore w:val="0"/>
              <w:widowControl w:val="0"/>
              <w:wordWrap/>
              <w:topLinePunct w:val="0"/>
              <w:autoSpaceDE/>
              <w:autoSpaceDN/>
              <w:bidi w:val="0"/>
              <w:adjustRightInd w:val="0"/>
              <w:spacing w:line="560" w:lineRule="exact"/>
              <w:ind w:right="0" w:firstLine="420" w:firstLineChars="200"/>
              <w:jc w:val="center"/>
              <w:textAlignment w:val="auto"/>
              <w:rPr>
                <w:rFonts w:hint="eastAsia" w:ascii="仿宋_GB2312" w:hAnsi="仿宋_GB2312" w:eastAsia="仿宋_GB2312" w:cs="仿宋_GB2312"/>
                <w:color w:val="auto"/>
                <w:sz w:val="21"/>
                <w:szCs w:val="21"/>
                <w:highlight w:val="none"/>
                <w:vertAlign w:val="baseline"/>
                <w:lang w:val="en-US" w:eastAsia="zh-CN"/>
              </w:rPr>
            </w:pPr>
          </w:p>
        </w:tc>
        <w:tc>
          <w:tcPr>
            <w:tcW w:w="3682" w:type="dxa"/>
          </w:tcPr>
          <w:p>
            <w:pPr>
              <w:keepNext w:val="0"/>
              <w:keepLines w:val="0"/>
              <w:pageBreakBefore w:val="0"/>
              <w:widowControl w:val="0"/>
              <w:wordWrap/>
              <w:topLinePunct w:val="0"/>
              <w:autoSpaceDE/>
              <w:autoSpaceDN/>
              <w:bidi w:val="0"/>
              <w:adjustRightInd w:val="0"/>
              <w:spacing w:line="560" w:lineRule="exact"/>
              <w:ind w:right="0"/>
              <w:jc w:val="center"/>
              <w:textAlignment w:val="auto"/>
              <w:rPr>
                <w:rFonts w:hint="default" w:ascii="仿宋_GB2312" w:hAnsi="仿宋_GB2312" w:eastAsia="仿宋_GB2312" w:cs="仿宋_GB2312"/>
                <w:color w:val="auto"/>
                <w:sz w:val="21"/>
                <w:szCs w:val="21"/>
                <w:highlight w:val="none"/>
                <w:vertAlign w:val="baseline"/>
                <w:lang w:val="en-US" w:eastAsia="zh-CN"/>
              </w:rPr>
            </w:pPr>
            <w:r>
              <w:rPr>
                <w:rFonts w:hint="eastAsia" w:ascii="仿宋_GB2312" w:hAnsi="仿宋_GB2312" w:eastAsia="仿宋_GB2312" w:cs="仿宋_GB2312"/>
                <w:color w:val="auto"/>
                <w:sz w:val="21"/>
                <w:szCs w:val="21"/>
                <w:highlight w:val="none"/>
                <w:vertAlign w:val="baseline"/>
                <w:lang w:val="en-US" w:eastAsia="zh-CN"/>
              </w:rPr>
              <w:t>差额所得（归农户、合作社）：3万元</w:t>
            </w:r>
          </w:p>
        </w:tc>
      </w:tr>
    </w:tbl>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该项目结合目前的白山羊产业发展相关政策制定，又有相关保险政策保障，再加上上海菊杰白山羊专业合作社的托底保障，项目能够确保专项资金增值（具体村集体经济组织的保值增值托底条款另行在合作协议内签订）。</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七、社会效益目标</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（1）增加就业岗位，农民实现增收。</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（2）带动作用明显。带动周边地区白山羊产业的快速发展，其集聚效应可进一步增加浜东村特色农产品影响力。</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（3）形成产销平台。项目建成后，将通过定期举办养殖技术交流会，通过完善产业链，带动白山羊产业发展，服务市民高品质生活。</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八、生态效应目标</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项目最具有价值的便是其生态效益，在养殖过程中给白山羊喂食青绿饲料可消耗一部分农作物秸秆。同时，白山羊排泄物发酵后形成有机肥，可以直接还田增加土壤肥力用来种植水稻、水果和绿叶蔬菜，进一步提高土地价值。</w:t>
      </w:r>
    </w:p>
    <w:p>
      <w:pPr>
        <w:pStyle w:val="4"/>
        <w:keepNext w:val="0"/>
        <w:keepLines w:val="0"/>
        <w:pageBreakBefore w:val="0"/>
        <w:widowControl w:val="0"/>
        <w:numPr>
          <w:ilvl w:val="0"/>
          <w:numId w:val="0"/>
        </w:numPr>
        <w:kinsoku w:val="0"/>
        <w:wordWrap/>
        <w:overflowPunct w:val="0"/>
        <w:topLinePunct w:val="0"/>
        <w:autoSpaceDE/>
        <w:autoSpaceDN/>
        <w:bidi w:val="0"/>
        <w:adjustRightInd w:val="0"/>
        <w:snapToGrid w:val="0"/>
        <w:spacing w:after="0" w:afterLines="0" w:line="560" w:lineRule="exact"/>
        <w:ind w:right="0" w:rightChars="0" w:firstLine="640" w:firstLineChars="200"/>
        <w:textAlignment w:val="auto"/>
        <w:rPr>
          <w:rFonts w:hint="eastAsia" w:ascii="CESI黑体-GB13000" w:hAnsi="CESI黑体-GB13000" w:eastAsia="CESI黑体-GB13000" w:cs="CESI黑体-GB13000"/>
          <w:b w:val="0"/>
          <w:bCs w:val="0"/>
          <w:kern w:val="2"/>
          <w:sz w:val="32"/>
          <w:szCs w:val="32"/>
          <w:u w:val="none"/>
          <w:lang w:val="en-US" w:eastAsia="zh-CN" w:bidi="ar-SA"/>
        </w:rPr>
      </w:pPr>
      <w:r>
        <w:rPr>
          <w:rFonts w:hint="eastAsia" w:ascii="CESI黑体-GB13000" w:hAnsi="CESI黑体-GB13000" w:eastAsia="CESI黑体-GB13000" w:cs="CESI黑体-GB13000"/>
          <w:b w:val="0"/>
          <w:bCs w:val="0"/>
          <w:kern w:val="2"/>
          <w:sz w:val="32"/>
          <w:szCs w:val="32"/>
          <w:u w:val="none"/>
          <w:lang w:val="en-US" w:eastAsia="zh-CN" w:bidi="ar-SA"/>
        </w:rPr>
        <w:t>九、项目实施进度安排</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2023年7月前完成预申报，集体经济组织搭建项目筹备组，摸排本村有意向加入白山“羊村建设”的村民、对村民准备参与饲养白山羊的场地进行摸底，和乡镇主管部门及已经开展“羊村建设”的村集体进行走访，分享建设经验；</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2024年1月开始对设施、设备进行必要建设和改造，对参与的村民进行养殖培训；</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2024年3月份开始陆续引入小羊开始饲养。</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firstLine="640" w:firstLineChars="200"/>
        <w:jc w:val="both"/>
        <w:textAlignment w:val="auto"/>
        <w:rPr>
          <w:rFonts w:hint="eastAsia" w:ascii="CESI黑体-GB13000" w:hAnsi="CESI黑体-GB13000" w:eastAsia="CESI黑体-GB13000" w:cs="CESI黑体-GB13000"/>
          <w:b w:val="0"/>
          <w:bCs w:val="0"/>
          <w:kern w:val="2"/>
          <w:sz w:val="32"/>
          <w:szCs w:val="32"/>
          <w:u w:val="none"/>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firstLine="640" w:firstLineChars="200"/>
        <w:jc w:val="both"/>
        <w:textAlignment w:val="auto"/>
        <w:rPr>
          <w:rFonts w:hint="eastAsia" w:ascii="CESI黑体-GB13000" w:hAnsi="CESI黑体-GB13000" w:eastAsia="CESI黑体-GB13000" w:cs="CESI黑体-GB13000"/>
          <w:b w:val="0"/>
          <w:bCs w:val="0"/>
          <w:kern w:val="2"/>
          <w:sz w:val="32"/>
          <w:szCs w:val="32"/>
          <w:u w:val="none"/>
          <w:lang w:val="en-US" w:eastAsia="zh-CN" w:bidi="ar-SA"/>
        </w:rPr>
      </w:pPr>
      <w:bookmarkStart w:id="0" w:name="_GoBack"/>
      <w:bookmarkEnd w:id="0"/>
      <w:r>
        <w:rPr>
          <w:rFonts w:hint="eastAsia" w:ascii="CESI黑体-GB13000" w:hAnsi="CESI黑体-GB13000" w:eastAsia="CESI黑体-GB13000" w:cs="CESI黑体-GB13000"/>
          <w:b w:val="0"/>
          <w:bCs w:val="0"/>
          <w:kern w:val="2"/>
          <w:sz w:val="32"/>
          <w:szCs w:val="32"/>
          <w:u w:val="none"/>
          <w:lang w:val="en-US" w:eastAsia="zh-CN" w:bidi="ar-SA"/>
        </w:rPr>
        <w:t>十、组织保障</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1、镇</w:t>
      </w:r>
      <w:r>
        <w:rPr>
          <w:rFonts w:hint="eastAsia" w:ascii="仿宋_GB2312" w:hAnsi="仿宋_GB2312" w:eastAsia="仿宋_GB2312" w:cs="仿宋_GB2312"/>
          <w:kern w:val="2"/>
          <w:sz w:val="32"/>
          <w:szCs w:val="32"/>
          <w:lang w:val="en-US" w:eastAsia="zh-CN" w:bidi="ar-SA"/>
        </w:rPr>
        <w:t>农办、镇</w:t>
      </w:r>
      <w:r>
        <w:rPr>
          <w:rFonts w:hint="default" w:ascii="仿宋_GB2312" w:hAnsi="仿宋_GB2312" w:eastAsia="仿宋_GB2312" w:cs="仿宋_GB2312"/>
          <w:kern w:val="2"/>
          <w:sz w:val="32"/>
          <w:szCs w:val="32"/>
          <w:lang w:val="en-US" w:eastAsia="zh-CN" w:bidi="ar-SA"/>
        </w:rPr>
        <w:t>农技中心为“海岛上的致富羊”羊村建设项目</w:t>
      </w:r>
      <w:r>
        <w:rPr>
          <w:rFonts w:hint="eastAsia" w:ascii="仿宋_GB2312" w:hAnsi="仿宋_GB2312" w:eastAsia="仿宋_GB2312" w:cs="仿宋_GB2312"/>
          <w:kern w:val="2"/>
          <w:sz w:val="32"/>
          <w:szCs w:val="32"/>
          <w:lang w:val="en-US" w:eastAsia="zh-CN" w:bidi="ar-SA"/>
        </w:rPr>
        <w:t>进行</w:t>
      </w:r>
      <w:r>
        <w:rPr>
          <w:rFonts w:hint="default" w:ascii="仿宋_GB2312" w:hAnsi="仿宋_GB2312" w:eastAsia="仿宋_GB2312" w:cs="仿宋_GB2312"/>
          <w:kern w:val="2"/>
          <w:sz w:val="32"/>
          <w:szCs w:val="32"/>
          <w:lang w:val="en-US" w:eastAsia="zh-CN" w:bidi="ar-SA"/>
        </w:rPr>
        <w:t>政策扶持</w:t>
      </w:r>
      <w:r>
        <w:rPr>
          <w:rFonts w:hint="eastAsia" w:ascii="仿宋_GB2312" w:hAnsi="仿宋_GB2312" w:eastAsia="仿宋_GB2312" w:cs="仿宋_GB2312"/>
          <w:kern w:val="2"/>
          <w:sz w:val="32"/>
          <w:szCs w:val="32"/>
          <w:lang w:val="en-US" w:eastAsia="zh-CN" w:bidi="ar-SA"/>
        </w:rPr>
        <w:t>、疫病防控及技术</w:t>
      </w:r>
      <w:r>
        <w:rPr>
          <w:rFonts w:hint="default" w:ascii="仿宋_GB2312" w:hAnsi="仿宋_GB2312" w:eastAsia="仿宋_GB2312" w:cs="仿宋_GB2312"/>
          <w:kern w:val="2"/>
          <w:sz w:val="32"/>
          <w:szCs w:val="32"/>
          <w:lang w:val="en-US" w:eastAsia="zh-CN" w:bidi="ar-SA"/>
        </w:rPr>
        <w:t>指导</w:t>
      </w:r>
      <w:r>
        <w:rPr>
          <w:rFonts w:hint="eastAsia" w:ascii="仿宋_GB2312" w:hAnsi="仿宋_GB2312" w:eastAsia="仿宋_GB2312" w:cs="仿宋_GB2312"/>
          <w:kern w:val="2"/>
          <w:sz w:val="32"/>
          <w:szCs w:val="32"/>
          <w:lang w:val="en-US" w:eastAsia="zh-CN" w:bidi="ar-SA"/>
        </w:rPr>
        <w:t>。</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2、集体经济组织投入资金用作小羊苗购入、养殖保险、养殖设施设备的建设，</w:t>
      </w:r>
      <w:r>
        <w:rPr>
          <w:rFonts w:hint="eastAsia" w:ascii="仿宋_GB2312" w:hAnsi="仿宋_GB2312" w:eastAsia="仿宋_GB2312" w:cs="仿宋_GB2312"/>
          <w:kern w:val="2"/>
          <w:sz w:val="32"/>
          <w:szCs w:val="32"/>
          <w:lang w:val="en-US" w:eastAsia="zh-CN" w:bidi="ar-SA"/>
        </w:rPr>
        <w:t>合作社负责服务农户养殖、项目的日常台账资料收集，配合村做好该项目的运作，</w:t>
      </w:r>
      <w:r>
        <w:rPr>
          <w:rFonts w:hint="default" w:ascii="仿宋_GB2312" w:hAnsi="仿宋_GB2312" w:eastAsia="仿宋_GB2312" w:cs="仿宋_GB2312"/>
          <w:kern w:val="2"/>
          <w:sz w:val="32"/>
          <w:szCs w:val="32"/>
          <w:lang w:val="en-US" w:eastAsia="zh-CN" w:bidi="ar-SA"/>
        </w:rPr>
        <w:t>集体经济组织</w:t>
      </w:r>
      <w:r>
        <w:rPr>
          <w:rFonts w:hint="eastAsia" w:ascii="仿宋_GB2312" w:hAnsi="仿宋_GB2312" w:eastAsia="仿宋_GB2312" w:cs="仿宋_GB2312"/>
          <w:kern w:val="2"/>
          <w:sz w:val="32"/>
          <w:szCs w:val="32"/>
          <w:lang w:val="en-US" w:eastAsia="zh-CN" w:bidi="ar-SA"/>
        </w:rPr>
        <w:t>监督跟踪投入资金使用情况。</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3、农户负责参与白山羊养殖，养殖出来的白山羊小羊由白山羊产业集团公司按一定标准一定价格回收，带动周边群众发展白山羊产业</w:t>
      </w:r>
      <w:r>
        <w:rPr>
          <w:rFonts w:hint="eastAsia" w:ascii="仿宋_GB2312" w:hAnsi="仿宋_GB2312" w:eastAsia="仿宋_GB2312" w:cs="仿宋_GB2312"/>
          <w:kern w:val="2"/>
          <w:sz w:val="32"/>
          <w:szCs w:val="32"/>
          <w:lang w:val="en-US" w:eastAsia="zh-CN" w:bidi="ar-SA"/>
        </w:rPr>
        <w:t>。</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4、农业合作社为农户提供必要的养殖技能培训、对养殖出来的白山羊小羊由集团公司按一定标准一定价格回收，负责对肉羊育肥后的市场销售，带动周边群众发展白山羊产业。</w:t>
      </w: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default" w:ascii="仿宋_GB2312" w:hAnsi="仿宋_GB2312" w:eastAsia="仿宋_GB2312" w:cs="仿宋_GB2312"/>
          <w:kern w:val="2"/>
          <w:sz w:val="32"/>
          <w:szCs w:val="32"/>
          <w:lang w:val="en-US" w:eastAsia="zh-CN" w:bidi="ar-SA"/>
        </w:rPr>
      </w:pP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p>
    <w:p>
      <w:pPr>
        <w:keepNext w:val="0"/>
        <w:keepLines w:val="0"/>
        <w:pageBreakBefore w:val="0"/>
        <w:widowControl w:val="0"/>
        <w:wordWrap/>
        <w:topLinePunct w:val="0"/>
        <w:autoSpaceDE/>
        <w:autoSpaceDN/>
        <w:bidi w:val="0"/>
        <w:adjustRightInd w:val="0"/>
        <w:spacing w:line="560" w:lineRule="exact"/>
        <w:ind w:right="0" w:firstLine="640" w:firstLineChars="200"/>
        <w:jc w:val="left"/>
        <w:textAlignment w:val="auto"/>
        <w:rPr>
          <w:rFonts w:hint="eastAsia" w:ascii="仿宋_GB2312" w:hAnsi="仿宋_GB2312" w:eastAsia="仿宋_GB2312" w:cs="仿宋_GB2312"/>
          <w:kern w:val="2"/>
          <w:sz w:val="32"/>
          <w:szCs w:val="32"/>
          <w:lang w:val="en-US" w:eastAsia="zh-CN" w:bidi="ar-SA"/>
        </w:rPr>
      </w:pPr>
    </w:p>
    <w:p>
      <w:pPr>
        <w:keepNext w:val="0"/>
        <w:keepLines w:val="0"/>
        <w:pageBreakBefore w:val="0"/>
        <w:widowControl w:val="0"/>
        <w:wordWrap/>
        <w:topLinePunct w:val="0"/>
        <w:autoSpaceDE/>
        <w:autoSpaceDN/>
        <w:bidi w:val="0"/>
        <w:adjustRightInd w:val="0"/>
        <w:spacing w:line="560" w:lineRule="exact"/>
        <w:ind w:right="0" w:firstLine="420" w:firstLineChars="200"/>
        <w:textAlignment w:val="auto"/>
        <w:rPr>
          <w:highlight w:val="none"/>
        </w:rPr>
      </w:pP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firstLine="640" w:firstLineChars="200"/>
        <w:jc w:val="left"/>
        <w:textAlignment w:val="auto"/>
        <w:rPr>
          <w:rFonts w:hint="eastAsia" w:ascii="仿宋_GB2312" w:hAnsi="仿宋_GB2312" w:eastAsia="仿宋_GB2312" w:cs="仿宋_GB2312"/>
          <w:sz w:val="32"/>
          <w:szCs w:val="32"/>
          <w:highlight w:val="none"/>
          <w:lang w:val="en-US" w:eastAsia="zh-CN"/>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moder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CESI黑体-GB13000">
    <w:panose1 w:val="02000500000000000000"/>
    <w:charset w:val="86"/>
    <w:family w:val="auto"/>
    <w:pitch w:val="default"/>
    <w:sig w:usb0="800002BF" w:usb1="38CF7CF8"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yZTRmMzU0ZDMxMDM5ZWZmY2FhNThjNjQ4OWNjNDUifQ=="/>
  </w:docVars>
  <w:rsids>
    <w:rsidRoot w:val="00000000"/>
    <w:rsid w:val="086F75C9"/>
    <w:rsid w:val="0892645A"/>
    <w:rsid w:val="1A132155"/>
    <w:rsid w:val="22D94639"/>
    <w:rsid w:val="24DD5B8E"/>
    <w:rsid w:val="2B065713"/>
    <w:rsid w:val="31CF4AB1"/>
    <w:rsid w:val="342310E4"/>
    <w:rsid w:val="34DD3070"/>
    <w:rsid w:val="37B7226F"/>
    <w:rsid w:val="41FBDF19"/>
    <w:rsid w:val="4517259F"/>
    <w:rsid w:val="489839F7"/>
    <w:rsid w:val="4CEB3A0F"/>
    <w:rsid w:val="4FA64C4B"/>
    <w:rsid w:val="50AF2183"/>
    <w:rsid w:val="53F02939"/>
    <w:rsid w:val="65474383"/>
    <w:rsid w:val="691131AE"/>
    <w:rsid w:val="6C51589B"/>
    <w:rsid w:val="708C3591"/>
    <w:rsid w:val="72897B89"/>
    <w:rsid w:val="737722D7"/>
    <w:rsid w:val="76165DD7"/>
    <w:rsid w:val="78EC08EF"/>
    <w:rsid w:val="7D0037FA"/>
    <w:rsid w:val="ED6FF253"/>
    <w:rsid w:val="EEF6DE24"/>
    <w:rsid w:val="FB8EAB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2"/>
    <w:basedOn w:val="1"/>
    <w:next w:val="3"/>
    <w:qFormat/>
    <w:uiPriority w:val="0"/>
    <w:pPr>
      <w:ind w:firstLine="1134"/>
    </w:pPr>
    <w:rPr>
      <w:rFonts w:ascii="Times New Roman" w:hAnsi="Times New Roman"/>
    </w:rPr>
  </w:style>
  <w:style w:type="paragraph" w:styleId="3">
    <w:name w:val="Body Text First Indent"/>
    <w:basedOn w:val="4"/>
    <w:qFormat/>
    <w:uiPriority w:val="0"/>
    <w:pPr>
      <w:adjustRightInd w:val="0"/>
      <w:ind w:firstLine="880" w:firstLineChars="200"/>
      <w:jc w:val="both"/>
    </w:pPr>
    <w:rPr>
      <w:rFonts w:ascii="Times New Roman" w:hAnsi="Times New Roman"/>
    </w:rPr>
  </w:style>
  <w:style w:type="paragraph" w:styleId="4">
    <w:name w:val="Body Text"/>
    <w:basedOn w:val="1"/>
    <w:qFormat/>
    <w:uiPriority w:val="0"/>
    <w:pPr>
      <w:spacing w:after="120" w:afterLines="0" w:afterAutospacing="0"/>
    </w:p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2108</Words>
  <Characters>2152</Characters>
  <Lines>0</Lines>
  <Paragraphs>0</Paragraphs>
  <TotalTime>7</TotalTime>
  <ScaleCrop>false</ScaleCrop>
  <LinksUpToDate>false</LinksUpToDate>
  <CharactersWithSpaces>2201</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2014-10-30T12:08:00Z</dcterms:created>
  <dc:creator>Administrator</dc:creator>
  <cp:lastModifiedBy>jsz01</cp:lastModifiedBy>
  <dcterms:modified xsi:type="dcterms:W3CDTF">2023-10-17T08:55:24Z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5729FA6DFC294D44BAE0198FA9CAA72B_12</vt:lpwstr>
  </property>
</Properties>
</file>