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880" w:lineRule="exact"/>
        <w:jc w:val="distribute"/>
        <w:rPr>
          <w:rFonts w:ascii="方正小标宋简体" w:eastAsia="方正小标宋简体"/>
          <w:color w:val="FF0000"/>
          <w:spacing w:val="-11"/>
          <w:w w:val="75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上海市崇明区农业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  <w:lang w:val="en-US" w:eastAsia="zh-CN"/>
        </w:rPr>
        <w:t>农村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委员会文件</w:t>
      </w:r>
    </w:p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hint="eastAsia" w:ascii="楷体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17</w:t>
      </w:r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outlineLvl w:val="9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w w:val="90"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</w:rPr>
        <w:t>关于印发</w:t>
      </w:r>
      <w:r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  <w:lang w:val="en-US" w:eastAsia="zh-CN"/>
        </w:rPr>
        <w:t>2023年</w:t>
      </w:r>
      <w:r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</w:rPr>
        <w:t>崇明区</w:t>
      </w:r>
      <w:r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  <w:lang w:val="en-US" w:eastAsia="zh-CN"/>
        </w:rPr>
        <w:t>地产</w:t>
      </w:r>
      <w:r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</w:rPr>
        <w:t>农产品质量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  <w:lang w:val="en-US" w:eastAsia="zh-CN"/>
        </w:rPr>
        <w:t>安全监管工作方案</w:t>
      </w:r>
      <w:r>
        <w:rPr>
          <w:rFonts w:hint="eastAsia" w:ascii="方正小标宋简体" w:hAnsi="方正小标宋简体" w:eastAsia="方正小标宋简体"/>
          <w:color w:val="auto"/>
          <w:sz w:val="44"/>
          <w:szCs w:val="44"/>
          <w:highlight w:val="none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60" w:lineRule="exact"/>
        <w:ind w:left="0" w:right="0" w:rightChars="0" w:firstLine="0" w:firstLineChars="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rightChars="0" w:firstLine="0" w:firstLineChars="0"/>
        <w:textAlignment w:val="auto"/>
        <w:outlineLvl w:val="9"/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>各乡镇人民政府、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>各有关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>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 w:firstLine="659" w:firstLineChars="206"/>
        <w:textAlignment w:val="auto"/>
        <w:outlineLvl w:val="9"/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>为全面落实上海市乡村振兴重点任务清单，按照《上海市食用农产品“治违禁 控药残 促提升”三年行动实施方案》，宣传贯彻《农产品质量安全法》，我委研究制定了《2023年崇明区地产农产品质量安全监管工作方案》，现印发给你们，请认真贯彻执行。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rightChars="0" w:firstLine="659" w:firstLineChars="206"/>
        <w:textAlignment w:val="auto"/>
        <w:outlineLvl w:val="9"/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740" w:lineRule="exact"/>
        <w:ind w:left="0" w:leftChars="0" w:right="0" w:rightChars="0" w:firstLine="659" w:firstLineChars="206"/>
        <w:textAlignment w:val="auto"/>
        <w:outlineLvl w:val="9"/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default" w:ascii="仿宋_GB2312" w:hAnsi="宋体" w:eastAsia="仿宋_GB2312" w:cs="宋体"/>
          <w:color w:val="auto"/>
          <w:w w:val="10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>附</w:t>
      </w:r>
      <w:r>
        <w:rPr>
          <w:rFonts w:hint="eastAsia" w:ascii="仿宋_GB2312" w:hAnsi="宋体" w:eastAsia="仿宋_GB2312" w:cs="宋体"/>
          <w:color w:val="auto"/>
          <w:w w:val="100"/>
          <w:sz w:val="32"/>
          <w:szCs w:val="32"/>
          <w:highlight w:val="none"/>
          <w:lang w:val="en-US" w:eastAsia="zh-CN" w:bidi="ar-SA"/>
        </w:rPr>
        <w:t>件：2023年崇明区</w:t>
      </w:r>
      <w:r>
        <w:rPr>
          <w:rFonts w:hint="eastAsia" w:ascii="仿宋_GB2312" w:eastAsia="仿宋_GB2312" w:cs="宋体"/>
          <w:color w:val="auto"/>
          <w:w w:val="100"/>
          <w:sz w:val="32"/>
          <w:szCs w:val="32"/>
          <w:highlight w:val="none"/>
          <w:lang w:val="en-US" w:eastAsia="zh-CN" w:bidi="ar-SA"/>
        </w:rPr>
        <w:t>地产</w:t>
      </w:r>
      <w:r>
        <w:rPr>
          <w:rFonts w:hint="eastAsia" w:ascii="仿宋_GB2312" w:hAnsi="宋体" w:eastAsia="仿宋_GB2312" w:cs="宋体"/>
          <w:color w:val="auto"/>
          <w:w w:val="100"/>
          <w:sz w:val="32"/>
          <w:szCs w:val="32"/>
          <w:highlight w:val="none"/>
          <w:lang w:val="en-US" w:eastAsia="zh-CN" w:bidi="ar-SA"/>
        </w:rPr>
        <w:t>农产品质量安全监管工作</w:t>
      </w:r>
      <w:r>
        <w:rPr>
          <w:rFonts w:hint="eastAsia" w:ascii="仿宋_GB2312" w:eastAsia="仿宋_GB2312" w:cs="宋体"/>
          <w:color w:val="auto"/>
          <w:w w:val="100"/>
          <w:sz w:val="32"/>
          <w:szCs w:val="32"/>
          <w:highlight w:val="none"/>
          <w:lang w:val="en-US" w:eastAsia="zh-CN" w:bidi="ar-SA"/>
        </w:rPr>
        <w:t>方案</w:t>
      </w:r>
      <w:r>
        <w:rPr>
          <w:rFonts w:hint="eastAsia" w:ascii="仿宋_GB2312" w:hAnsi="宋体" w:eastAsia="仿宋_GB2312" w:cs="宋体"/>
          <w:color w:val="auto"/>
          <w:w w:val="100"/>
          <w:sz w:val="32"/>
          <w:szCs w:val="32"/>
          <w:highlight w:val="none"/>
          <w:lang w:val="en-US" w:eastAsia="zh-CN" w:bidi="ar-SA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rightChars="0" w:firstLine="0" w:firstLineChars="0"/>
        <w:textAlignment w:val="auto"/>
        <w:outlineLvl w:val="9"/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rightChars="0" w:firstLine="0" w:firstLineChars="0"/>
        <w:textAlignment w:val="auto"/>
        <w:outlineLvl w:val="9"/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rightChars="0" w:firstLine="0" w:firstLineChars="0"/>
        <w:jc w:val="right"/>
        <w:textAlignment w:val="auto"/>
        <w:outlineLvl w:val="9"/>
        <w:rPr>
          <w:rFonts w:hint="default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>上海市崇明区农业农村委员会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rightChars="0" w:firstLine="0" w:firstLineChars="0"/>
        <w:textAlignment w:val="auto"/>
        <w:outlineLvl w:val="9"/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 xml:space="preserve">                       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 xml:space="preserve">    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>2023年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>月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>22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textAlignment w:val="auto"/>
        <w:outlineLvl w:val="9"/>
        <w:rPr>
          <w:rFonts w:ascii="宋体" w:hAnsi="宋体" w:eastAsia="宋体" w:cs="宋体"/>
          <w:b/>
          <w:bCs/>
          <w:color w:val="auto"/>
          <w:spacing w:val="9"/>
          <w:w w:val="100"/>
          <w:position w:val="26"/>
          <w:sz w:val="32"/>
          <w:szCs w:val="32"/>
          <w:highlight w:val="none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textAlignment w:val="auto"/>
        <w:outlineLvl w:val="9"/>
        <w:rPr>
          <w:rFonts w:hint="default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br w:type="page"/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附件</w:t>
      </w: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w w:val="95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5"/>
          <w:sz w:val="44"/>
          <w:szCs w:val="44"/>
          <w:highlight w:val="none"/>
          <w:lang w:eastAsia="zh-CN"/>
        </w:rPr>
        <w:t>2023年崇明区地产农产品质量安全监管工作方案</w:t>
      </w: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为全面确保崇明地产农产品质量安全，以推动农业绿色可持续发展为主线，坚守底线思维，不断织密扎牢农产品质量安全监管防线，不断夯实绿色农业高质量发展基础，有效扩大优质农产品供给能力，现结合工作实际，特制定本方案。</w:t>
      </w:r>
    </w:p>
    <w:p>
      <w:pPr>
        <w:pStyle w:val="3"/>
        <w:keepNext w:val="0"/>
        <w:keepLines w:val="0"/>
        <w:pageBreakBefore w:val="0"/>
        <w:widowControl w:val="0"/>
        <w:tabs>
          <w:tab w:val="left" w:pos="2741"/>
          <w:tab w:val="left" w:pos="3451"/>
        </w:tabs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default" w:ascii="仿宋_GB2312" w:hAnsi="仿宋_GB2312" w:eastAsia="仿宋_GB2312" w:cs="仿宋_GB2312"/>
          <w:color w:val="auto"/>
          <w:w w:val="95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highlight w:val="none"/>
          <w:lang w:eastAsia="zh-CN"/>
        </w:rPr>
        <w:t>一、</w:t>
      </w:r>
      <w:r>
        <w:rPr>
          <w:rFonts w:hint="eastAsia" w:ascii="黑体" w:hAnsi="黑体" w:eastAsia="黑体" w:cs="黑体"/>
          <w:color w:val="auto"/>
          <w:highlight w:val="none"/>
          <w:lang w:val="en-US" w:eastAsia="zh-CN"/>
        </w:rPr>
        <w:t>目标任务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全区农产品质量安全问题发现率达2.5%（监督抽查中农兽药残留不合格率达1%），完成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6万份智慧快速检测任务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；承诺达标合格证开证率达90%以上；“沪农安”系统精准监管率达80%以上；有序推进“申农码”应用，实现农产品质量安全扫码监管和农资门店亮码买药；创建33家畜禽养殖场、1.2万亩水产养殖基地的农产品绿色生产基地；加强绿色、有机、地理标志农产品的风险监测和证后监管。绿色食品产量认证率达40%以上，面积认证率达90%以上，绿色食品续展率达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80%以上。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default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二、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职责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分工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default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  <w:t>（一）第一责任单位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8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-1"/>
          <w:sz w:val="32"/>
          <w:szCs w:val="32"/>
          <w:highlight w:val="none"/>
          <w:lang w:eastAsia="zh-CN"/>
        </w:rPr>
        <w:t>农业生产经营主体及农户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按照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《农产品质量安全法》，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eastAsia="zh-CN"/>
        </w:rPr>
        <w:t>履行农产品质量安全第一责任，建立质量安全责任制，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落实至少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名内部控制人员负责生产过程的质量管理，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积极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参加相关知识培训，熟知相关国家农产品质量安全管理要求和标准化生产操作规范。规范使用农业投入品，严格遵守农药使用安全间隔期、兽药休药期。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eastAsia="zh-CN"/>
        </w:rPr>
        <w:t>积极</w:t>
      </w:r>
      <w:r>
        <w:rPr>
          <w:rFonts w:hint="eastAsia" w:ascii="仿宋_GB2312" w:hAnsi="仿宋_GB2312" w:eastAsia="仿宋_GB2312" w:cs="仿宋_GB2312"/>
          <w:color w:val="auto"/>
          <w:spacing w:val="-1"/>
          <w:position w:val="1"/>
          <w:sz w:val="32"/>
          <w:szCs w:val="32"/>
          <w:highlight w:val="none"/>
          <w:lang w:eastAsia="zh-CN"/>
        </w:rPr>
        <w:t>配合各级部门的质量监管，落实专人及时、准确的将生产档案信息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上</w:t>
      </w:r>
      <w:r>
        <w:rPr>
          <w:rFonts w:hint="eastAsia" w:ascii="仿宋_GB2312" w:hAnsi="仿宋_GB2312" w:eastAsia="仿宋_GB2312" w:cs="仿宋_GB2312"/>
          <w:color w:val="auto"/>
          <w:spacing w:val="11"/>
          <w:sz w:val="32"/>
          <w:szCs w:val="32"/>
          <w:highlight w:val="none"/>
          <w:lang w:eastAsia="zh-CN"/>
        </w:rPr>
        <w:t>传至“</w:t>
      </w:r>
      <w:r>
        <w:rPr>
          <w:rFonts w:hint="eastAsia" w:ascii="仿宋_GB2312" w:hAnsi="仿宋_GB2312" w:eastAsia="仿宋_GB2312" w:cs="仿宋_GB2312"/>
          <w:color w:val="auto"/>
          <w:spacing w:val="12"/>
          <w:sz w:val="32"/>
          <w:szCs w:val="32"/>
          <w:highlight w:val="none"/>
          <w:lang w:eastAsia="zh-CN"/>
        </w:rPr>
        <w:t>神农口袋</w:t>
      </w:r>
      <w:r>
        <w:rPr>
          <w:rFonts w:hint="eastAsia" w:ascii="仿宋_GB2312" w:hAnsi="仿宋_GB2312" w:eastAsia="仿宋_GB2312" w:cs="仿宋_GB2312"/>
          <w:color w:val="auto"/>
          <w:spacing w:val="11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信息直报平台，在严格落实好质量控制相</w:t>
      </w:r>
      <w:r>
        <w:rPr>
          <w:rFonts w:hint="eastAsia" w:ascii="仿宋_GB2312" w:hAnsi="仿宋_GB2312" w:eastAsia="仿宋_GB2312" w:cs="仿宋_GB2312"/>
          <w:color w:val="auto"/>
          <w:spacing w:val="-1"/>
          <w:position w:val="1"/>
          <w:sz w:val="32"/>
          <w:szCs w:val="32"/>
          <w:highlight w:val="none"/>
          <w:lang w:eastAsia="zh-CN"/>
        </w:rPr>
        <w:t>关要求的基础上，做好自控自检并开具承诺达标合格</w:t>
      </w:r>
      <w:r>
        <w:rPr>
          <w:rFonts w:hint="eastAsia" w:ascii="仿宋_GB2312" w:hAnsi="仿宋_GB2312" w:eastAsia="仿宋_GB2312" w:cs="仿宋_GB2312"/>
          <w:color w:val="auto"/>
          <w:spacing w:val="3"/>
          <w:sz w:val="32"/>
          <w:szCs w:val="32"/>
          <w:highlight w:val="none"/>
          <w:lang w:eastAsia="zh-CN"/>
        </w:rPr>
        <w:t>证。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default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  <w:t>（二）属地管理单位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62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各乡镇人民政府（园区）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切实落实属地管理责任，制定农产品质量安全监管工作方案，完善监管队伍建设，加强镇级监管员、村级协管员业务培训，按要求应用“沪农安”系统开展日常巡查。配合国家、市、区开展例行监测（风险监测）和监督抽查，结合用药实际开展快速检测。完善监管站服务功能，做好农业安全生产、绿色（有机）生产技术指导和新《农产品质量安全法》等相关法律法规的宣传，指导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督促农业生产主体通过“神农口袋”及时准确填报生产信息，在自控自检的基础上规范开具承诺达标合格证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。做好绿色食品认证和证后监管，加大绿色、有机及地理标志农产品的宣传力度，营造绿色食品发展良好氛围。确保完成绿色生产基地年度创建任务，落实好补贴资金的审核和拨付。发现农产品质量安全隐患问题，及时报相关条线和执法部门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adjustRightInd w:val="0"/>
        <w:snapToGrid w:val="0"/>
        <w:spacing w:line="560" w:lineRule="exact"/>
        <w:ind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  <w:t>（三）监管责任单位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right="0" w:rightChars="0" w:firstLine="643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highlight w:val="none"/>
          <w:lang w:eastAsia="zh-CN"/>
        </w:rPr>
        <w:t>区农业农村委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highlight w:val="none"/>
          <w:lang w:eastAsia="zh-CN"/>
        </w:rPr>
        <w:t>负责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制定年度地产农产品质量安全监测方案，明确年度工作任务，</w:t>
      </w:r>
      <w:r>
        <w:rPr>
          <w:rFonts w:hint="eastAsia" w:ascii="仿宋_GB2312" w:hAnsi="仿宋_GB2312" w:eastAsia="仿宋_GB2312" w:cs="仿宋_GB2312"/>
          <w:color w:val="auto"/>
          <w:highlight w:val="none"/>
          <w:lang w:val="en-US" w:eastAsia="zh-CN"/>
        </w:rPr>
        <w:t>每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月、每季度督促和汇总各乡镇工作推进和完成情况，根据各乡镇（</w:t>
      </w:r>
      <w:r>
        <w:rPr>
          <w:rFonts w:hint="eastAsia" w:ascii="仿宋_GB2312" w:hAnsi="仿宋_GB2312" w:eastAsia="仿宋_GB2312" w:cs="仿宋_GB2312"/>
          <w:color w:val="auto"/>
          <w:highlight w:val="none"/>
          <w:lang w:val="en-US" w:eastAsia="zh-CN"/>
        </w:rPr>
        <w:t>园区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）在监测中发现的问题，指导和督促各乡镇（</w:t>
      </w:r>
      <w:r>
        <w:rPr>
          <w:rFonts w:hint="eastAsia" w:ascii="仿宋_GB2312" w:hAnsi="仿宋_GB2312" w:eastAsia="仿宋_GB2312" w:cs="仿宋_GB2312"/>
          <w:color w:val="auto"/>
          <w:highlight w:val="none"/>
          <w:lang w:val="en-US" w:eastAsia="zh-CN"/>
        </w:rPr>
        <w:t>园区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）做好整改和提升，</w:t>
      </w:r>
      <w:r>
        <w:rPr>
          <w:rFonts w:hint="eastAsia" w:ascii="仿宋_GB2312" w:hAnsi="仿宋_GB2312" w:eastAsia="仿宋_GB2312" w:cs="仿宋_GB2312"/>
          <w:color w:val="auto"/>
          <w:highlight w:val="none"/>
          <w:lang w:val="en-US" w:eastAsia="zh-CN"/>
        </w:rPr>
        <w:t>完成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各乡镇（</w:t>
      </w:r>
      <w:r>
        <w:rPr>
          <w:rFonts w:hint="eastAsia" w:ascii="仿宋_GB2312" w:hAnsi="仿宋_GB2312" w:eastAsia="仿宋_GB2312" w:cs="仿宋_GB2312"/>
          <w:color w:val="auto"/>
          <w:highlight w:val="none"/>
          <w:lang w:val="en-US" w:eastAsia="zh-CN"/>
        </w:rPr>
        <w:t>园区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）年终考核评</w:t>
      </w:r>
      <w:r>
        <w:rPr>
          <w:rFonts w:hint="eastAsia" w:ascii="仿宋_GB2312" w:hAnsi="仿宋_GB2312" w:eastAsia="仿宋_GB2312" w:cs="仿宋_GB2312"/>
          <w:color w:val="auto"/>
          <w:position w:val="2"/>
          <w:highlight w:val="none"/>
          <w:lang w:eastAsia="zh-CN"/>
        </w:rPr>
        <w:t>比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。加强与市场监管、公安等部门的沟通协作，做好联合防控和联合执法，形成齐抓共管合力，确保</w:t>
      </w:r>
      <w:r>
        <w:rPr>
          <w:rFonts w:hint="eastAsia" w:ascii="仿宋_GB2312" w:hAnsi="仿宋_GB2312" w:eastAsia="仿宋_GB2312" w:cs="仿宋_GB2312"/>
          <w:color w:val="auto"/>
          <w:highlight w:val="none"/>
          <w:lang w:val="en-US" w:eastAsia="zh-CN"/>
        </w:rPr>
        <w:t>崇明</w:t>
      </w:r>
      <w:r>
        <w:rPr>
          <w:rFonts w:hint="eastAsia" w:ascii="仿宋_GB2312" w:hAnsi="仿宋_GB2312" w:eastAsia="仿宋_GB2312" w:cs="仿宋_GB2312"/>
          <w:color w:val="auto"/>
          <w:highlight w:val="none"/>
          <w:lang w:eastAsia="zh-CN"/>
        </w:rPr>
        <w:t>地产农产品质量安全。</w:t>
      </w: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highlight w:val="none"/>
          <w:lang w:eastAsia="zh-CN" w:bidi="ar"/>
        </w:rPr>
        <w:t>按月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通报农产品安全监管检测数据及阶段工作要点，对特定单位及主体发布监测数据，确保完成年度安全监管任务。</w:t>
      </w:r>
      <w:r>
        <w:rPr>
          <w:rFonts w:hint="eastAsia" w:ascii="仿宋_GB2312" w:hAnsi="仿宋_GB2312" w:eastAsia="仿宋_GB2312" w:cs="仿宋_GB2312"/>
          <w:b/>
          <w:color w:val="auto"/>
          <w:kern w:val="2"/>
          <w:sz w:val="32"/>
          <w:szCs w:val="32"/>
          <w:highlight w:val="none"/>
          <w:lang w:eastAsia="zh-CN" w:bidi="ar"/>
        </w:rPr>
        <w:t>定期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通报各乡镇（园区）绿色认证工作推进情况，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落实年度绿色食品认证考核任务。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62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区农业质量安全中心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协助区农业农村委具体开展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全区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农产品质量安全监管，配合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做好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组织实施和信息收集。统筹推进全区绿色食品认证和证后监管工作，组织开展绿色（有机）生产经营主体的监督检查。定期开展区、镇两级检查员、监管员业务培训。加强新《农产品质量安全法》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的宣传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培训。做好“神农口袋”、承诺达标合格证等服务指导。应用“沪农安”系统做好“两品一标”年度检查。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62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区农技中心、区蔬菜站、区疾控中心、区水产站等区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级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农业技术部门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按照要求开展例行监测（风险监测），配合国家、市级开展例行监测（风险监测），结合农业生产实际开展快速检测，指导乡镇（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园区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）和农业生产主体规范开展快速检测。做好农业安全生产、绿色（有机）生产技术指导和培训。加强新《农产品质量安全法》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的宣传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培训。做好“神农口袋”、承诺达标合格证等服务指导。应用“沪农安”系统做好日常巡查工作。配合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开展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绿色（有机）生产经营主体的监督检查。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adjustRightInd w:val="0"/>
        <w:snapToGrid w:val="0"/>
        <w:spacing w:line="560" w:lineRule="exact"/>
        <w:ind w:right="0" w:rightChars="0" w:firstLine="640" w:firstLineChars="200"/>
        <w:jc w:val="both"/>
        <w:textAlignment w:val="auto"/>
        <w:outlineLvl w:val="9"/>
        <w:rPr>
          <w:rFonts w:hint="default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highlight w:val="none"/>
          <w:lang w:val="en-US" w:eastAsia="zh-CN"/>
        </w:rPr>
        <w:t>（四）执法责任单位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8" w:firstLineChars="206"/>
        <w:jc w:val="both"/>
        <w:textAlignment w:val="auto"/>
        <w:outlineLvl w:val="9"/>
        <w:rPr>
          <w:rFonts w:eastAsia="仿宋_GB2312"/>
          <w:color w:val="auto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-1"/>
          <w:sz w:val="32"/>
          <w:szCs w:val="32"/>
          <w:highlight w:val="none"/>
          <w:lang w:eastAsia="zh-CN"/>
        </w:rPr>
        <w:t>区农业农村委执法大队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eastAsia="zh-CN"/>
        </w:rPr>
        <w:t>加强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val="en-US" w:eastAsia="zh-CN"/>
        </w:rPr>
        <w:t>农业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eastAsia="zh-CN"/>
        </w:rPr>
        <w:t>执法检查，按要求开展监督抽检，配合国家、市级开展监督抽检。对辖区内发现的农产品质量安全问题（包括不合格样品情况），及时开展执法检查（监督抽查），依法查处违法违规行为，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val="en-US" w:eastAsia="zh-CN"/>
        </w:rPr>
        <w:t>对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eastAsia="zh-CN"/>
        </w:rPr>
        <w:t>涉嫌犯罪的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val="en-US" w:eastAsia="zh-CN"/>
        </w:rPr>
        <w:t>行为</w:t>
      </w:r>
      <w:r>
        <w:rPr>
          <w:rFonts w:hint="eastAsia" w:ascii="仿宋_GB2312" w:hAnsi="仿宋_GB2312" w:eastAsia="仿宋_GB2312" w:cs="仿宋_GB2312"/>
          <w:color w:val="auto"/>
          <w:spacing w:val="-1"/>
          <w:sz w:val="32"/>
          <w:szCs w:val="32"/>
          <w:highlight w:val="none"/>
          <w:lang w:eastAsia="zh-CN"/>
        </w:rPr>
        <w:t>按规定移交司法部门处理。加强对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新《农产品质量安全法》的宣传培训，对不按要求开具承诺达标合格证情况依法进行立案查处。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color w:val="auto"/>
          <w:kern w:val="2"/>
          <w:highlight w:val="none"/>
          <w:lang w:val="en-US" w:eastAsia="zh-CN" w:bidi="ar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color w:val="auto"/>
          <w:kern w:val="2"/>
          <w:highlight w:val="none"/>
          <w:lang w:val="en-US" w:eastAsia="zh-CN" w:bidi="ar"/>
        </w:rPr>
        <w:t>考核任务清单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highlight w:val="none"/>
          <w:lang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highlight w:val="none"/>
          <w:lang w:val="en-US" w:eastAsia="zh-CN" w:bidi="ar"/>
        </w:rPr>
        <w:t>（一）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highlight w:val="none"/>
          <w:lang w:eastAsia="zh-CN" w:bidi="ar"/>
        </w:rPr>
        <w:t>加大新《农产品质量安全法》宣传力度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各乡镇（园区）要结合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监管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实际，加强对包括新农安在内的相关法律法规的宣传，做好年度农产品质量安全告知书的发放和承诺书的签订工作，张贴禁限用农药清单。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宣讲违法违规用药的法律责任和严重后果，督促科学安全用药，遵守农药安全间隔期。加强对农业生产信息管理追溯工作的宣传力度。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（二）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结合“五率”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监管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，确保精准监管率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80%以上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强化基层监管、第三方监测、农产品执法和行业管理的“四方联动”，按照监管工作痕迹化、采集信息标准化、检查地块数字化要求，推动规范监管、精准监管、联合监管。按照“五率”（精准监管率、问题发现率、第三方抽检精准率、用标率、绿色健康指数）工作要求推进“沪农安”系统应用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确保精准监管率达到80%以上。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（三）承诺达标合格证开证率90%以上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落实生产者主体责任，建立基地内检员队伍，建立农产品生产记录，落实自控自检和信息追溯管理要求，健全农产品生产主体信用档案，推动质量安全情况公示公开。全面落实合格证制度，各乡镇要督促农业生产经营主体按照《农产品质量安全法》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《农产品生产主体质量安全控制基本要求》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的要求，</w:t>
      </w: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highlight w:val="none"/>
          <w:lang w:eastAsia="zh-CN" w:bidi="ar"/>
        </w:rPr>
        <w:t>在自控自检基础上规范开具承诺达标合格证，每月开证率均要达到90%以上。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highlight w:val="none"/>
          <w:lang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highlight w:val="none"/>
          <w:lang w:val="en-US" w:eastAsia="zh-CN" w:bidi="ar"/>
        </w:rPr>
        <w:t>（四）及时落实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highlight w:val="none"/>
          <w:lang w:eastAsia="zh-CN" w:bidi="ar"/>
        </w:rPr>
        <w:t>“沪农安”监督巡查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利用“沪农安”系统，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加大对绿色认证主体的日常监管力度，加强鸡蛋、肉羊品种养殖环节监管，对辖区所有规模化生产主体每季度开展1次巡查；对辖区所有绿色食品、有机农产品和地理标志农产品生产经营主体每月开展1次巡查；区安全中心对辖区所有绿色食品、有机农产品认证主体开展1次年度检查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检查生产主体是否落实《农产品生产主体质量安全控制基本要求》，农事档案信息和承诺达标合格证内容是否真实。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区级农业技术部门要组织做好监管、检测、执法及人员的信息库维护，乡镇要做好监管、检测人员的信息库维护，对已经调离监管工作岗位的账号及时注销。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（五）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完成年度地产农产品定量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定性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检测任务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强化全链条质量安全监管，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确保蔬菜、水果、水产品生产企业、合作社定量检测全覆盖，结合实际用药开展定性检测。配合开展国家、市农产品质量安全监测工作，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全年完成市下达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区级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定量检测任务2000批次，包括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例行监测（风险监测）1400批次，监督抽查600批次。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</w:rPr>
        <w:t>针对用药集中期、重要节日、重大活动期间要加大监测频次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>尤其要加强对豇豆、韭菜、芹菜等重点品种的监测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对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蔬菜、水果、水产品生产企业、合作社定量检测年度覆盖率达100%。结合实际用药开展常规农兽药快速检测，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>强化豇豆、韭菜、芹菜等上市前速测把关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持续推进食用农产品“治违禁 控药残 促提升”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三年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行动，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聚焦问题较为突出的11种农产品，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加强对发现问题的查处力度，按要求做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好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行刑衔接，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分乡镇（园区）完成60000份蔬菜智慧快速检测任务。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联合绿城农科检测技术有限公司在崇实体化运行联合实验室，建立区级自有质检机构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（CMA和CATL资质）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提升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农产品质量检验检测技术和检测服务水平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探索监测管控“崇明模式”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（六）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加强基层农产品质量安全监管站建设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各乡镇（园区）要高度重视，加强基层农产品质量安全监管站网格化管理，100%做好挂牌公示和网格化责任公示，完善承诺达标合格证服务站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功能，推进基层农产品质量安全监管站示范创建。加强监管队伍建设。对照信息化监管工作新要求，按照操作规范、运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行有效、档案完整的标准，继续做好监管人员培训，完善和提升乡镇（园区）监管机制和监管能力，落实好监管人员与监管对象的结对监管机制，明确目标任务和工作职责，监管到点、责任到人。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highlight w:val="none"/>
          <w:lang w:val="en-US" w:eastAsia="zh-CN" w:bidi="ar"/>
        </w:rPr>
        <w:t>（七）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highlight w:val="none"/>
          <w:lang w:eastAsia="zh-CN"/>
        </w:rPr>
        <w:t>落实农业生产信息管理可追溯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各乡镇（园区）和区级技术部门做好服务指导，督促农业生产主体加强对“神农口袋”的数据维护，督促农业主体确保填报农业生产信息的及时性和准确性。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建立健全农产品质量安全可追溯体系，落实追溯“四挂钩”（农产品质量安全追溯与农业农村重大创建认定、农业品牌推选、农产品认证、农业展会等工作挂钩）。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配合农业数字化转型在农产品安全监管中的实际应用，全面实现农产品质量安全扫码监管，85%以上农资门店实现亮码买药，形成1个“申农码+合格证”溯源应用案例。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（八）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开展农资及农产品监管专项行动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为确保“五一”“中秋”“国庆”“元旦”等重大节假日期间崇明地产农产品质量安全，组织区农业农村委执法大队、区农技中心、区农安中心、区蔬菜站、区疫控中心、区水产站等农业技术单位，联合区市场监管局等相关委局，节前针对重点主体和重点品种形成专项检查工作方案，开展农资及农产品质量安全专项检查，实施有针对性的地产农产品定量、定性检测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按照知识产权保护要求开展农资及地产农产品打假工作。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按照</w:t>
      </w:r>
      <w:r>
        <w:rPr>
          <w:rFonts w:hint="eastAsia" w:ascii="仿宋_GB2312" w:eastAsia="仿宋_GB2312"/>
          <w:color w:val="auto"/>
          <w:w w:val="100"/>
          <w:sz w:val="32"/>
          <w:szCs w:val="32"/>
          <w:highlight w:val="none"/>
          <w:lang w:val="en-US" w:eastAsia="zh-CN"/>
        </w:rPr>
        <w:t>《上海市食用农产品“治违禁 控药残 促提升”三年行动实施方案》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《上海市豇豆农药残留突出问题攻坚治理具体工作方案》的要求，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制定豇豆常规农药重点关注清单，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做好豇豆、韭菜、芹菜种植主体排摸，全部纳入神农口袋监管名录，结合豇豆、韭菜、芹菜等生产实际，对辖区内生产主体日常巡查全覆盖。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将豇豆种植主体纳入风险监测和监督抽查范围，指导经营主体上市期积极开展常规农药速测和开具承诺达标合格证。在豇豆上市集中期对每个种植主体每周开展1次巡查，在豇豆收获期完成辖区内豇豆种植主体全覆盖巡查工作（5月-8月）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（九）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加强绿色农药源头管控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按照《崇明区2023年绿色农药源头管控补贴实施方案》的要求，为规范运营绿色农药封闭式管控体系，确保绿色农药补贴资金落实到位，在2022年工作基础上，继续委托区供销社开展绿色农药封闭式管控运营，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所有绿色补贴农药经区供销社所属绿色农资门店体系统一销配，水稻绿色补贴农药为限额统一配送。蔬菜、林果等农业生产经营主体凭系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统登记的身份证（如已申请“申农码”的主体也可亮码购买），在区供销社所属绿色农资门店使用补贴资金实名采购。乡镇（园区）农业部门要结合“神农口袋”、现场核查等方式，逐级审核补贴信息，规范开展补贴限额公示。区供销社和区、乡镇（园区）农业技术部门要根据生产防治需要和绿色认证要求，加强用药技术指导，结合相关业务工作，积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指导实施综合防治、专业化统防统治等，切实提高补贴农药应用实效。同时做好农药包装废弃物回收宣传。</w:t>
      </w:r>
    </w:p>
    <w:p>
      <w:pPr>
        <w:pStyle w:val="6"/>
        <w:keepNext w:val="0"/>
        <w:keepLines w:val="0"/>
        <w:pageBreakBefore w:val="0"/>
        <w:widowControl w:val="0"/>
        <w:tabs>
          <w:tab w:val="center" w:pos="4153"/>
          <w:tab w:val="right" w:pos="8306"/>
        </w:tabs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十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落实农药包装废弃物回收处置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根据《中华人民共和国土壤污染防治法》《中华人民共和国固体废物污染环境防治法》《农药管理条例》《农药包装废弃物回收处理管理办法》等文件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精神，为推进崇明世界级生态岛建设，防止农药包装废弃物污染土壤和生态环境，持续推进农药包装废弃物回收处置工作。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各乡镇（园区）指导辖区内的农药经营者、使用者履行农药包装废弃物回收处理义务，配合做好农药包装废弃物回收工作，确保辖区内农药包装废弃物回收率100%，日常检查田头无农药包装废弃物。区供销社进一步整合绿色农药和非绿农药包装废弃物回收体系，按要求对接有资质的处置单位，做好全区农药包装废弃物的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回收、存储、运输和对接处置工作。确保全区农药包装废弃物回收处置率100%。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（十一）确保</w:t>
      </w:r>
      <w:r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highlight w:val="none"/>
          <w:lang w:eastAsia="zh-CN" w:bidi="ar"/>
        </w:rPr>
        <w:t>绿色食品产量认证率达40%，绿色食品面积认证率达90%，绿色食品续展率达</w:t>
      </w:r>
      <w:r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highlight w:val="none"/>
          <w:lang w:val="en-US" w:eastAsia="zh-CN" w:bidi="ar"/>
        </w:rPr>
        <w:t>80%以上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"/>
        </w:rPr>
        <w:t>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持续推进绿色食品认证，加大续展工作力度，强化蔬菜全基地、全茬口管理要求，实现粮油类及果品类“应绿尽绿”。各乡镇（园区）要形成绿色认证工作措施，提高复查换证率，巩固绿色食品认证工作成果，严格把好农产品认证审核关，提升绿色食品认证水平与证后管理，确保绿色食品认证率不低于上年度水平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积极促进各绿色食品认证基地充分对接产业集团，实现“优质优价”，以产业发展助推绿色食品认证良性发展。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（十二）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完成农产品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绿色生产基地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年度创建任务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59" w:firstLineChars="206"/>
        <w:jc w:val="both"/>
        <w:textAlignment w:val="auto"/>
        <w:outlineLvl w:val="9"/>
        <w:rPr>
          <w:rFonts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eastAsia="zh-CN" w:bidi="ar"/>
        </w:rPr>
        <w:t>按照市下达的33家畜禽养殖场、1.2万亩水产养殖基地的2023年农产品绿色生产基地创建任务要求，各乡镇要细化具体任务，确保绿色生产基地创建工作落到实处。按要求开展自查自评，查漏补缺，完善创建工作细节，形成区、镇级自评总结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59" w:firstLineChars="206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四、</w:t>
      </w:r>
      <w:r>
        <w:rPr>
          <w:rFonts w:hint="eastAsia" w:ascii="黑体" w:hAnsi="黑体" w:eastAsia="黑体" w:cs="黑体"/>
          <w:b w:val="0"/>
          <w:bCs w:val="0"/>
          <w:color w:val="auto"/>
          <w:kern w:val="2"/>
          <w:sz w:val="32"/>
          <w:szCs w:val="32"/>
          <w:highlight w:val="none"/>
          <w:lang w:eastAsia="zh-CN" w:bidi="ar"/>
        </w:rPr>
        <w:t>地产农产品检测</w:t>
      </w:r>
      <w:r>
        <w:rPr>
          <w:rFonts w:hint="eastAsia" w:ascii="黑体" w:hAnsi="黑体" w:eastAsia="黑体" w:cs="黑体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"/>
        </w:rPr>
        <w:t>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监测类别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1.风险监测。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包括例行监测和专项监测，以农药兽药残留和非法添加物、重金属等影响农产品质量安全水平的指标为主，兼顾生产过程及上市前环节，对地产农产品定期组织定量检测；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按要求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对农产品绿色生产基地开展环境监测。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2.监督抽查。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坚持“双随机”原则，以禁限用农药、禁用兽药和非法添加物为重点，强化检打联动，对地产农产品开展执法抽检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其中，只要有豇豆种植的，都要将其作为监督抽查的必检品种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3.飞行抽检。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市级以上部门根据重点季节、重点区域，采取监督抽查、例行监测、暗查暗访等多种形式，不定期开展。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监测对象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包括辖区内农产品生产基地（种植养殖基地、农民专业合作社、家庭农场等）、屠宰场（厂）、小农户等所有农产品生产主体，抽样环节包括在农产品生产、收贮、运输、屠宰等食用农产品从种植养殖到进入批发、零售市场或生产加工企业前环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监测时间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市区两级监测时间同步进行。农产品质量安全风险监测时间为2023年1月-2024年5月，其中：蔬菜、水产品例行监测时间为2023年1月-12月，经济作物、畜禽产品例行监测时间为2023年5月-2024年4月；生鲜乳专项监测时间为2023年1月-12月，“二品一标”产品质量监管时间为2023年5月-2024年4月；地产农产品市级飞行抽检时间为2023年5月-2024年4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四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监测品种、数量、频次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1.监测品种。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种植业产品包括韭菜、豇豆、芹菜、青菜、绿叶菜等蔬菜，草莓、桃、梨、葡萄等水果，以及食用菌、稻米等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其中豇豆为重点监测品种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；畜禽产品包括猪肉、猪肝、禽肉、禽蛋、羊肉、生鲜乳等；水产品包括花鲢、白鲢、草鱼、鲤鱼、南美白对虾、河蟹等，同时要重点监测辖区内大口黑鲈、乌鳢、鳊鱼等水产品。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2.监测数量。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本年度市区两级各项监测任务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2547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(市级例行监测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蔬菜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除外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)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(1)市级飞行抽检。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计划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220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批次，具体由市农业农村委组织实施。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(2)市级例行监测。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计划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327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(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蔬菜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除外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)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，经济作物23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批次、畜禽产品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60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批次、水产品32批次。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(3)区级监测。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全年计划定量检测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2000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批次，定性检测60000份左右。定量检测包括例行抽检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1400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批次，含蔬菜类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944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稻米50批次、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林果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0批次、畜禽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0批次、水产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116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批次；监督抽检6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00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批次，含蔬菜类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312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批次、林果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108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批次、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稻米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5批次、畜禽类95批次、水产80批次。定性检测根据乡镇产业发展类型及发展规模确定年度抽检任务量（详见附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表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1)。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color w:val="auto"/>
          <w:sz w:val="32"/>
          <w:szCs w:val="32"/>
          <w:highlight w:val="none"/>
        </w:rPr>
        <w:t>3.监测频次。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根据农产品上市情况，结合“神农口袋”系统，各乡镇要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配合安排好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例行监测、监督抽检监测任务和抽样时间，确保覆盖率达到市级要求，能真实、客观地反映农产品质量安全状况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落实好上市农产品快速检测工作，强化豇豆、韭菜等上市前速测把关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。对重点时段、重点环节、重点对象、重点品种应加大抽检频次，其中针对豇豆、韭菜等重点种类和品种的监测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要做到全覆盖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。以“三前”（生产基地、产地运输车、暂养池、屠宰场等）为重点，做到规模化主体全覆盖，小农户抽样数量占抽样总数占比原则上不低于20%。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五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监测方式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抽样标准。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抽样主体应从生产主体库中随机抽取，真实、客观反映农产品质量安全状况。种植业产品抽样按照《农药残留分析样本的采样方法》(NY/T 789-2004)执行；畜禽产品抽样按照《动物及动物产品兽药残留监控抽样规范》(NY/T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1897-2010)执行；水产品抽样按照《水产品抽样规范》(GB/T 30891-2014)执行。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检测依据。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监测参数以农兽药残留、重金属等为重点，共计140余项（附件2);监督抽查以风险监测参数为基础，在禁限用农兽药残留保持一致的同时，结合常规用药实际选择检测项目。按照《农产品质量安全监测管理办法》规定，采用现行有效的食品国家标准、农业农村部发布的方法或参照国际公认的方法执行。同时，结合本区农业产业发展需求，对本地特色产品、品牌农产品开展营养品质监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判定依据。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根据GB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2763-2021、GB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31650-2019等国家标准和现行有效的部令公告、法律规章等判定。上市样品所监测项目全部合格者，判定为“该产品所检项目合格”;有一项(或以上)指标不合格，即判定“该产品不合格”;未上市样品所检测项目中仅对禁限用农药进行判定，其他项目记录检出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六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结果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处置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39"/>
        <w:jc w:val="both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承检机构对监测样品确认不合格的，应及时反馈至区农业农村委农产品质量安全监管科。各乡镇收到不合格样品信息后，应当及时查找分析原因，做好风险防范和预警，区农业农村委执法大队应及时跟进开展监督抽查，依法查处违法违规行为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作为农业主体申报项目或政策补贴的重要参考依据。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涉嫌犯罪的，按规定移交司法部门处理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，并及时做好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行刑衔接。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区农业农村委定期对全区风险监测结果进行汇总和研究，对监测中发现的问题进行分析、查找原因，对质量风险进行科学研判。各乡镇工作完成情况将作为年度重点工作考核、村级组织绩效考核的依据。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firstLine="640" w:firstLineChars="200"/>
        <w:textAlignment w:val="auto"/>
        <w:outlineLvl w:val="9"/>
        <w:rPr>
          <w:rFonts w:hint="default" w:ascii="仿宋_GB2312" w:eastAsia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附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eastAsia="zh-CN"/>
        </w:rPr>
        <w:t>表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：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2023年崇明区农产品质量安全监管考核任务清单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1916" w:leftChars="760" w:right="0" w:hanging="320" w:hangingChars="1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.2023年度上海市崇明区地产农产品质量安全监测分乡镇（园区）任务表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firstLine="1600" w:firstLineChars="5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上海市地产农产品质量安全监测参数表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hint="eastAsia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br w:type="page"/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附表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w w:val="95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5"/>
          <w:sz w:val="44"/>
          <w:szCs w:val="44"/>
          <w:highlight w:val="none"/>
          <w:lang w:val="en-US" w:eastAsia="zh-CN"/>
        </w:rPr>
        <w:t>2023年崇明区农产品质量安全监管考核任务清单</w:t>
      </w:r>
    </w:p>
    <w:tbl>
      <w:tblPr>
        <w:tblStyle w:val="10"/>
        <w:tblW w:w="92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1515"/>
        <w:gridCol w:w="4395"/>
        <w:gridCol w:w="28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  <w:t>任务名称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  <w:t>任务要求及举措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vertAlign w:val="baseline"/>
                <w:lang w:val="en-US" w:eastAsia="zh-CN"/>
              </w:rPr>
              <w:t>责任部门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5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宣传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新《农产品质量安全法》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等法律法规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加强对包括新农安等法律法规的宣传，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  <w:t>督促科学安全用药，遵守农药安全间隔期。加强农业生产信息管理追溯的宣传。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做好年度农产品质量安全告知书的发放和承诺书的签订，张贴禁限用农药清单。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区农业农村委执法大队、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5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落实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“五率”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监管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  <w:t>按照“五率”要求推进“沪农安”系统应用，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确保精准监管率达80%以上。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、乡镇政府（园区）、区农业质量安全中心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落实合格证制度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规范开具承诺达标合格证，每月开证率均达90%以上。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落实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“沪农安”监督巡查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加强鸡蛋、肉羊等养殖环节监管，对所有规模化生产主体每季度开展1次巡查；所有绿色、有机和地理标志农产品主体每月巡查1次；区安全中心对所有绿色食品、有机农产品认证主体年度检查1次。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乡镇政府（园区）、区农业质量安全中心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5" w:hRule="atLeast"/>
          <w:jc w:val="center"/>
        </w:trPr>
        <w:tc>
          <w:tcPr>
            <w:tcW w:w="50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151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完成年度地产农产品定量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定性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检测任务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完成市下达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区级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定量检测2000批次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  <w:t>。对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蔬菜、水果、水产品生产企业、合作社定量检测年度覆盖率达100%，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完成60000份蔬菜智慧快速检测。聚焦问题突出的11种农产品，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加强查处力度，做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好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行刑衔接。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区农业农村委执法大队、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0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</w:pP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做好“沪农安”系统中监管、检测、执法及人员的信息库维护，对已调离监管岗位的账号及时注销。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区农业农村委、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区农业农村委执法大队、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0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加强基层农产品质量安全监管站建设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100%做好挂牌公示和网格化责任公示，完善承诺达标合格证服务站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功能，推进基层农产品质量安全监管站示范创建。加强监管队伍建设、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监管人员培训，监管到点、责任到人。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乡镇政府（园区）、区农业质量安全中心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0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151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落实农业生产信息管理可追溯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督促农业主体加强“神农口袋”的数据维护，确保填报农业生产信息的及时性和准确性。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  <w:t>建立健全农产品质量安全可追溯体系，落实追溯“四挂钩”。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区农业农村委、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 w:hRule="atLeast"/>
          <w:jc w:val="center"/>
        </w:trPr>
        <w:tc>
          <w:tcPr>
            <w:tcW w:w="50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配合农业数字化转型，全面实现农产品质量安全扫码监管，85%以上农资门店实现亮码买药，形成1个“申农码+合格证”溯源应用案例。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区农业农村委、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区农业农村委执法大队、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  <w:jc w:val="center"/>
        </w:trPr>
        <w:tc>
          <w:tcPr>
            <w:tcW w:w="50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151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开展农资及农产品监管专项行动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重大节假日期间，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组织区级农业技术部门，联合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区市场监管局等相关委局，针对重点主体和重点品种开展农资及农产品质量安全专项检查。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区农业农村委、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区农业农村委执法大队、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0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  <w:t>按照知识产权保护要求开展农资及地产农产品打假工作。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区农业农村委、区乡村振兴服务中心、区农业农村委执法大队、区级农技部门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50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5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按照《上海市食用农产品“治违禁 控药残 促提升”三年行动实施方案》、《上海市豇豆农药残留突出问题攻坚治理具体工作方案》的要求，制定豇豆常规农药重点关注清单，做好豇豆、韭菜、芹菜种植主体排摸，全部纳入神农口袋监管名录，将豇豆种植主体纳入风险监测和监督抽查，指导主体上市期开展常规农药速测和开具承诺达标合格证。在豇豆上市集中期对每个种植主体每周巡查1次，在豇豆收获期完成辖区内豇豆种植主体全覆盖巡查（5月-8月）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区农业农村委、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区农业农村委执法大队、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区蔬菜站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加强绿色农药源头管控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按照绿色农药源头管控要求，规范运营绿色农药封闭式管控体系，确保补贴资金落实到位。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区供销社，区级、乡镇（园区）农业技术部门加强用药技术指导，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  <w:t>做好农药包装废弃物回收宣传。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农业主体及农户、区供销社、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乡镇政府（园区）、区农业质量安全中心、区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0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落实农药包装废弃物回收处置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指导辖区内的农药经营者、使用者履行农药包装废弃物回收处理义务，确保辖区内农药包装废弃物回收率100%，日常检查田头无农药包装废弃物。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农业主体及农户、区供销社、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5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11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持续推进绿色食品认证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工作</w:t>
            </w: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提高复查换证率，提升绿色食品认证水平与证后管理，确保绿色食品认证率不低于上年度水平。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确保全区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绿色食品产量认证率达40%，绿色食品面积认证率达90%，绿色食品续展率达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80%以上。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区农业农村委、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val="en-US" w:eastAsia="zh-CN"/>
              </w:rPr>
              <w:t>级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农技部门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0" w:hRule="atLeast"/>
          <w:jc w:val="center"/>
        </w:trPr>
        <w:tc>
          <w:tcPr>
            <w:tcW w:w="5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12</w:t>
            </w:r>
          </w:p>
        </w:tc>
        <w:tc>
          <w:tcPr>
            <w:tcW w:w="15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完成农产品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绿色生产基地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年度创建任务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eastAsia="zh-CN" w:bidi="ar"/>
              </w:rPr>
              <w:t>完成全区33家畜禽养殖场，1.2万亩水产养殖基地的农产品绿色生产基地创建任务。按要求开展自查自评，查漏补缺，完善创建工作细节，形成区、镇级自评总结报告。</w:t>
            </w:r>
          </w:p>
        </w:tc>
        <w:tc>
          <w:tcPr>
            <w:tcW w:w="28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4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农业主体及农户、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乡镇政府（园区）、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区农业农村委、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highlight w:val="none"/>
                <w:lang w:eastAsia="zh-CN"/>
              </w:rPr>
              <w:t>区农业质量安全中心、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eastAsia="zh-CN"/>
              </w:rPr>
              <w:t>区农业农村委执法大队、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"/>
                <w:sz w:val="28"/>
                <w:szCs w:val="28"/>
                <w:highlight w:val="none"/>
                <w:lang w:val="en-US" w:eastAsia="zh-CN"/>
              </w:rPr>
              <w:t>区疫控中心、区水产站</w:t>
            </w:r>
          </w:p>
        </w:tc>
      </w:tr>
    </w:tbl>
    <w:p>
      <w:pPr>
        <w:rPr>
          <w:rFonts w:hint="default"/>
          <w:highlight w:val="none"/>
          <w:lang w:val="en-US" w:eastAsia="zh-CN"/>
        </w:rPr>
      </w:pPr>
    </w:p>
    <w:p>
      <w:pPr>
        <w:rPr>
          <w:rFonts w:hint="eastAsia"/>
          <w:highlight w:val="none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 w:start="1"/>
          <w:cols w:space="720" w:num="1"/>
          <w:docGrid w:type="lines" w:linePitch="312" w:charSpace="0"/>
        </w:sectPr>
      </w:pPr>
    </w:p>
    <w:p>
      <w:pPr>
        <w:numPr>
          <w:ilvl w:val="0"/>
          <w:numId w:val="0"/>
        </w:numPr>
        <w:spacing w:line="560" w:lineRule="exact"/>
        <w:rPr>
          <w:rFonts w:hint="default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附表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2</w:t>
      </w:r>
    </w:p>
    <w:p>
      <w:pPr>
        <w:numPr>
          <w:ilvl w:val="0"/>
          <w:numId w:val="0"/>
        </w:num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w w:val="95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5"/>
          <w:sz w:val="44"/>
          <w:szCs w:val="44"/>
          <w:highlight w:val="none"/>
          <w:lang w:val="en-US" w:eastAsia="zh-CN"/>
        </w:rPr>
        <w:t>2023年度上海市崇明区地产农产品质量安全监测分乡镇任务表</w:t>
      </w:r>
    </w:p>
    <w:p>
      <w:pPr>
        <w:pStyle w:val="2"/>
        <w:rPr>
          <w:rFonts w:hint="eastAsia"/>
          <w:highlight w:val="none"/>
          <w:lang w:val="en-US" w:eastAsia="zh-CN"/>
        </w:rPr>
      </w:pPr>
    </w:p>
    <w:p>
      <w:pPr>
        <w:spacing w:before="64"/>
        <w:ind w:right="0"/>
        <w:jc w:val="right"/>
        <w:rPr>
          <w:rFonts w:hint="eastAsia" w:ascii="黑体" w:hAnsi="黑体" w:eastAsia="黑体" w:cs="黑体"/>
          <w:color w:val="auto"/>
          <w:sz w:val="24"/>
          <w:szCs w:val="24"/>
          <w:highlight w:val="none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24"/>
          <w:szCs w:val="24"/>
          <w:highlight w:val="none"/>
          <w:vertAlign w:val="baseline"/>
          <w:lang w:val="en-US" w:eastAsia="zh-CN"/>
        </w:rPr>
        <w:t>单位：批次</w:t>
      </w:r>
    </w:p>
    <w:tbl>
      <w:tblPr>
        <w:tblStyle w:val="10"/>
        <w:tblpPr w:leftFromText="180" w:rightFromText="180" w:vertAnchor="text" w:horzAnchor="page" w:tblpXSpec="center" w:tblpY="210"/>
        <w:tblOverlap w:val="never"/>
        <w:tblW w:w="905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7"/>
        <w:gridCol w:w="720"/>
        <w:gridCol w:w="720"/>
        <w:gridCol w:w="720"/>
        <w:gridCol w:w="720"/>
        <w:gridCol w:w="723"/>
        <w:gridCol w:w="870"/>
        <w:gridCol w:w="719"/>
        <w:gridCol w:w="719"/>
        <w:gridCol w:w="719"/>
        <w:gridCol w:w="719"/>
        <w:gridCol w:w="7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98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乡镇</w:t>
            </w:r>
          </w:p>
        </w:tc>
        <w:tc>
          <w:tcPr>
            <w:tcW w:w="360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例行抽检数（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1400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）</w:t>
            </w:r>
          </w:p>
        </w:tc>
        <w:tc>
          <w:tcPr>
            <w:tcW w:w="87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智慧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速测</w:t>
            </w:r>
          </w:p>
        </w:tc>
        <w:tc>
          <w:tcPr>
            <w:tcW w:w="359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监督抽检数（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600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98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蔬菜等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稻米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 w:rightChars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林果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 w:rightChars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畜禽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 w:rightChars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水产</w:t>
            </w:r>
          </w:p>
        </w:tc>
        <w:tc>
          <w:tcPr>
            <w:tcW w:w="87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蔬菜等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林果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稻米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 w:rightChars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畜禽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right="0" w:rightChars="0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vertAlign w:val="baseline"/>
                <w:lang w:eastAsia="zh-CN"/>
              </w:rPr>
              <w:t>水产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新村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29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绿华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27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三星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19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tabs>
                <w:tab w:val="left" w:pos="75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庙镇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58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港西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城桥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建设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新河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w w:val="105"/>
                <w:sz w:val="24"/>
                <w:szCs w:val="24"/>
                <w:highlight w:val="none"/>
              </w:rPr>
              <w:t>竖新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堡镇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港沿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向化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中兴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陈家镇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55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长兴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28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横沙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新海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东平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园区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987" w:type="dxa"/>
            <w:vAlign w:val="center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eastAsia="zh-CN"/>
              </w:rPr>
              <w:t>合计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944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210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80</w:t>
            </w:r>
          </w:p>
        </w:tc>
        <w:tc>
          <w:tcPr>
            <w:tcW w:w="7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116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60000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312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firstLine="659" w:firstLineChars="206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sectPr>
          <w:pgSz w:w="11906" w:h="16838"/>
          <w:pgMar w:top="2098" w:right="1474" w:bottom="1984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注</w:t>
      </w:r>
      <w:r>
        <w:rPr>
          <w:rFonts w:hint="eastAsia" w:ascii="仿宋_GB2312" w:hAnsi="仿宋_GB2312" w:eastAsia="仿宋_GB2312" w:cs="仿宋_GB2312"/>
          <w:color w:val="auto"/>
          <w:w w:val="70"/>
          <w:sz w:val="32"/>
          <w:szCs w:val="32"/>
          <w:highlight w:val="none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抽检任务可根据条线、乡镇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园区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生产实际和执法需求适当调剂。</w:t>
      </w:r>
    </w:p>
    <w:p>
      <w:pPr>
        <w:numPr>
          <w:ilvl w:val="0"/>
          <w:numId w:val="0"/>
        </w:numPr>
        <w:spacing w:line="560" w:lineRule="exact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附表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 w:val="0"/>
        <w:spacing w:line="560" w:lineRule="exact"/>
        <w:ind w:right="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上海市地产农产品质量安全监测参数表</w:t>
      </w:r>
    </w:p>
    <w:tbl>
      <w:tblPr>
        <w:tblStyle w:val="18"/>
        <w:tblpPr w:leftFromText="180" w:rightFromText="180" w:vertAnchor="text" w:horzAnchor="page" w:tblpXSpec="center" w:tblpY="193"/>
        <w:tblOverlap w:val="never"/>
        <w:tblW w:w="8851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4"/>
        <w:gridCol w:w="5715"/>
        <w:gridCol w:w="248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6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26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/>
                <w:bCs/>
                <w:color w:val="auto"/>
                <w:spacing w:val="1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1"/>
                <w:sz w:val="24"/>
                <w:szCs w:val="24"/>
                <w:highlight w:val="none"/>
              </w:rPr>
              <w:t>监测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26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auto"/>
                <w:sz w:val="23"/>
                <w:szCs w:val="23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1"/>
                <w:sz w:val="24"/>
                <w:szCs w:val="24"/>
                <w:highlight w:val="none"/>
              </w:rPr>
              <w:t>产品</w:t>
            </w:r>
          </w:p>
        </w:tc>
        <w:tc>
          <w:tcPr>
            <w:tcW w:w="5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auto"/>
                <w:sz w:val="23"/>
                <w:szCs w:val="23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1"/>
                <w:sz w:val="24"/>
                <w:szCs w:val="24"/>
                <w:highlight w:val="none"/>
              </w:rPr>
              <w:t>监测项目</w:t>
            </w:r>
          </w:p>
        </w:tc>
        <w:tc>
          <w:tcPr>
            <w:tcW w:w="24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center"/>
              <w:textAlignment w:val="auto"/>
              <w:outlineLvl w:val="9"/>
              <w:rPr>
                <w:rFonts w:ascii="宋体" w:hAnsi="宋体" w:eastAsia="宋体" w:cs="宋体"/>
                <w:color w:val="auto"/>
                <w:sz w:val="23"/>
                <w:szCs w:val="23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1"/>
                <w:sz w:val="24"/>
                <w:szCs w:val="24"/>
                <w:highlight w:val="none"/>
              </w:rPr>
              <w:t>检测依据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4" w:hRule="atLeast"/>
          <w:jc w:val="center"/>
        </w:trPr>
        <w:tc>
          <w:tcPr>
            <w:tcW w:w="654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生鲜乳</w:t>
            </w:r>
          </w:p>
        </w:tc>
        <w:tc>
          <w:tcPr>
            <w:tcW w:w="5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leftChars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冰点、酸度、非脂乳固体、杂质度、相对密度、蛋白质、脂肪、菌落总数、体细胞、链霉素、双氢链霉素、卡那霉素、丁胺卡那霉素、安普霉素、妥布霉素和庆大霉素；抗生素残留、亚硝酸盐和嗜冷菌；雌二醇、雌三醇、炔雌醇、雌酮、已烯雌酚、孕酮等激素类药物；黄曲霉毒素M1、β-内酰胺酶、三聚氰胺、碱类物质、硫氰酸钠、总砷、铬、铅、总汞等。</w:t>
            </w:r>
          </w:p>
        </w:tc>
        <w:tc>
          <w:tcPr>
            <w:tcW w:w="24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5009.5-2016或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5009.239-2016或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NY/T 3313-2018或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22388-2008或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21312-2007或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22975-2008等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0" w:hRule="atLeast"/>
          <w:jc w:val="center"/>
        </w:trPr>
        <w:tc>
          <w:tcPr>
            <w:tcW w:w="654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蔬菜</w:t>
            </w:r>
          </w:p>
        </w:tc>
        <w:tc>
          <w:tcPr>
            <w:tcW w:w="5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12"/>
                <w:sz w:val="24"/>
                <w:szCs w:val="24"/>
                <w:highlight w:val="none"/>
              </w:rPr>
              <w:t>禁(限)用农药：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甲胺磷、氧乐果、甲拌磷(包括甲拌磷砜和甲拌磷亚砜)、对硫磷、甲基对硫磷、毒死蜱、甲基异柳磷、三唑磷、六六六、滴滴涕、特丁硫磷、治螟磷、三氯杀螨醇、硫丹，克百威(包括3-羟基克百威)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涕灭威(包括涕灭威砜和涕灭威亚砜)、乙酰甲胺磷、乐果、内吸磷、久效磷、水胺硫磷、灭多威、氟虫腈。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12"/>
                <w:sz w:val="24"/>
                <w:szCs w:val="24"/>
                <w:highlight w:val="none"/>
              </w:rPr>
              <w:t>其他农药：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啶虫脒、哒螨灵、烯酰吗啉、茚虫威、啶酰菌胺、噻虫嗪、霜霉威、虱螨脲、氟吡菌胺、氯虫苯甲酰胺、2,6-二氯苯甲酰胺、腐霉利、氯氰菊酯、甲氨基阿维菌素苯甲酸盐、多菌灵、吡虫啉、呋虫胺、螺虫乙酯、嘧菌酯、虫螨腈、甲氧虫酰肼、异菌脲、戊唑醇、灭蝇胺、甲霜灵、噁霜灵、氯噻啉、烯啶虫胺、氯氟氰菊酯、嘧霉胺、吡唑醚菌酯、除虫脲、苯醚甲环唑、多效唑、氟氰戊菊酯、甲氰菊酯、辛硫磷、氰戊菊酯、联苯菊酯、喹啉铜、阿维菌素、百菌清、二甲戊灵、溴氰菊酯、敌敌畏、氟氯氰菊酯、灭幼脲、丙溴磷、虫酰肼、噻虫胺、氟吡菌酰胺、溴氰虫酰胺、咪鲜胺和咪鲜胺锰盐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12"/>
                <w:sz w:val="24"/>
                <w:szCs w:val="24"/>
                <w:highlight w:val="none"/>
              </w:rPr>
              <w:t>重金属：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砷(总砷)、汞、铅、镉、铬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12"/>
                <w:sz w:val="24"/>
                <w:szCs w:val="24"/>
                <w:highlight w:val="none"/>
              </w:rPr>
              <w:t>品质指标建议：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硝酸盐、亚硝酸盐等。</w:t>
            </w:r>
          </w:p>
        </w:tc>
        <w:tc>
          <w:tcPr>
            <w:tcW w:w="24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23200.8-2016或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23200.19-2016或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23200.113-2018或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23200.110-2018或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23200.121-2021或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20769-2008或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5009.147-2003或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23200.8-2016或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NY/T 761-2008或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5009.11-2015或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5009.12-2017等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60" w:hRule="atLeast"/>
          <w:jc w:val="center"/>
        </w:trPr>
        <w:tc>
          <w:tcPr>
            <w:tcW w:w="654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水果、食用菌、稻米</w:t>
            </w:r>
          </w:p>
        </w:tc>
        <w:tc>
          <w:tcPr>
            <w:tcW w:w="5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16"/>
                <w:sz w:val="24"/>
                <w:szCs w:val="24"/>
                <w:highlight w:val="none"/>
              </w:rPr>
              <w:t>禁(限)用农药：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甲胺磷、氧乐果、甲拌磷(包括甲拌磷砜和甲拌磷亚砜)、对硫磷、甲基对硫磷、甲基异柳磷、六六六、滴滴涕、特丁硫磷、治螟磷、三氯杀螨醇、硫丹，克百威(包括3-羟基克百威)、涕灭威(包括涕灭威砜和涕灭威亚砜)、乙酰甲胺磷、乐果、水胺硫磷、灭多威、氟虫腈、氯唑磷、氟苯虫酰胺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5"/>
                <w:sz w:val="24"/>
                <w:szCs w:val="24"/>
                <w:highlight w:val="none"/>
              </w:rPr>
              <w:t>其他农药；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毒死蜱、三唑磷、啶虫脒、哒螨灵、苯醚甲环唑、嘧霉胺、甲氨基阿维菌素苯甲酸盐、烯酰吗啉、虫螨腈、咪鲜胺和咪鲜胺锰盐、嘧菌酯、二甲戊灵、噻虫嗪、氟啶脲、灭幼脲、灭蝇胺、甲霜灵、霜霉威、多效唑、氯吡脲、氯虫苯甲酰胺、氯菊酯(异构体之和)、醚菊酯、虫酰肼、吡唑醚菌酯、灭多威、氰戊菊酯、敌敌畏、丙溴磷、杀螟硫磷、二嗪磷、马拉硫磷、亚胺硫磷、伏杀硫磷、辛硫磷、氯氰菊酯、甲氰菊酯、氯氟氰菊酯、氟氯氰菊酯、溴氰菊酯、联苯菊酯、氟氰戊菊酯、三唑酮、百菌清、异菌脲、甲萘威、腐霉利、五氯硝基苯、乙烯菌核利、多菌灵、吡虫啉、阿维菌素、除虫脲；炔螨特、联苯肼酯、腈苯唑、丙环唑、嘧菌环胺、肟菌酯、戊唑醇、啶酰菌胺、烯啶虫胺、茚虫威、甲氧虫酰肼、虱螨脲、噻虫胺、仲丁威、稻瘟灵、吡蚜酮、三环唑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12"/>
                <w:sz w:val="24"/>
                <w:szCs w:val="24"/>
                <w:highlight w:val="none"/>
              </w:rPr>
              <w:t>重金属(仅食用菌、稻米):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砷(总砷)、汞、铅、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镉、铬、镍、铜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11"/>
                <w:sz w:val="24"/>
                <w:szCs w:val="24"/>
                <w:highlight w:val="none"/>
              </w:rPr>
              <w:t>品质指标建议：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可溶性固形物、总酸、直链淀粉，蛋白质等。</w:t>
            </w:r>
          </w:p>
        </w:tc>
        <w:tc>
          <w:tcPr>
            <w:tcW w:w="24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23200.113-2018或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23200.121-2021或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23200.8-2016或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20769-2008或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NY/T 761-2008或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NY/T 1679-2009或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NY/T 1453-2007或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5009.17-2021等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0" w:hRule="atLeast"/>
          <w:jc w:val="center"/>
        </w:trPr>
        <w:tc>
          <w:tcPr>
            <w:tcW w:w="654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5"/>
                <w:sz w:val="24"/>
                <w:szCs w:val="24"/>
                <w:highlight w:val="none"/>
              </w:rPr>
              <w:t>畜禽产品</w:t>
            </w:r>
          </w:p>
        </w:tc>
        <w:tc>
          <w:tcPr>
            <w:tcW w:w="5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1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12"/>
                <w:sz w:val="24"/>
                <w:szCs w:val="24"/>
                <w:highlight w:val="none"/>
              </w:rPr>
              <w:t>β-受体激动剂(9种)、氯霉素、金刚烷胺、四环素类(金霉素、土霉素、四环素、强力霉素)、磺胺类(5种)、地塞米松、β-内酰胺类(青霉素G、阿莫西林)、硝基呋喃类代谢物(AOZ、SEM、AMOZ和AHD)、大环内酯类(林可霉素、替米考星等)、硝基咪唑类及代谢物(甲硝唑、地美硝唑等)、氟喹诺酮类(恩诺沙星、环丙沙星、沙拉沙星、达氟沙星、氧氟沙星、培氟沙星、诺氟沙星、洛美沙星)、酰胺醇类(氟苯尼考、氟苯尼考胺和甲砜霉素)、头孢噻呋、五氯酚酸钠、氟虫腈等。</w:t>
            </w:r>
          </w:p>
        </w:tc>
        <w:tc>
          <w:tcPr>
            <w:tcW w:w="24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农业部1025号公告-18-2008或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  <w:lang w:val="en-US" w:eastAsia="zh-CN"/>
              </w:rPr>
              <w:t>0759或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21317或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 31660.5-2019等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2" w:hRule="atLeast"/>
          <w:jc w:val="center"/>
        </w:trPr>
        <w:tc>
          <w:tcPr>
            <w:tcW w:w="654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7"/>
                <w:sz w:val="24"/>
                <w:szCs w:val="24"/>
                <w:highlight w:val="none"/>
              </w:rPr>
              <w:t>水产品</w:t>
            </w:r>
          </w:p>
        </w:tc>
        <w:tc>
          <w:tcPr>
            <w:tcW w:w="5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11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1"/>
                <w:sz w:val="24"/>
                <w:szCs w:val="24"/>
                <w:highlight w:val="none"/>
              </w:rPr>
              <w:t>氯霉素、酰胺醇类(甲砜霉素、氟苯尼考、氟苯尼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考胺)、孔雀石绿、硝基呋喃类代谢物、磺胺类(12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14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8"/>
                <w:sz w:val="24"/>
                <w:szCs w:val="24"/>
                <w:highlight w:val="none"/>
              </w:rPr>
              <w:t>种)、氟喹诺酮类(恩诺沙星、环丙沙星、诺氟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7"/>
                <w:sz w:val="24"/>
                <w:szCs w:val="24"/>
                <w:highlight w:val="none"/>
              </w:rPr>
              <w:t>沙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5"/>
                <w:sz w:val="24"/>
                <w:szCs w:val="24"/>
                <w:highlight w:val="none"/>
              </w:rPr>
              <w:t>星、氧氟沙星、培氟沙星、洛美沙星)、喹乙醇、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8"/>
                <w:sz w:val="24"/>
                <w:szCs w:val="24"/>
                <w:highlight w:val="none"/>
              </w:rPr>
              <w:t>己烯雌酚、甲基睾酮、地西泮等。</w:t>
            </w:r>
          </w:p>
        </w:tc>
        <w:tc>
          <w:tcPr>
            <w:tcW w:w="24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20756-2006或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GB/T 19857-2005或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农业部783号公告-1-2006或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农业部783号公告-2-2006或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ind w:left="210" w:leftChars="100"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"/>
                <w:sz w:val="21"/>
                <w:szCs w:val="21"/>
                <w:highlight w:val="none"/>
              </w:rPr>
              <w:t>农业部1077号公告-1-2008等</w:t>
            </w:r>
          </w:p>
        </w:tc>
      </w:tr>
    </w:tbl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rPr>
          <w:lang w:val="en-US" w:eastAsia="zh-CN"/>
        </w:rPr>
      </w:pPr>
    </w:p>
    <w:tbl>
      <w:tblPr>
        <w:tblStyle w:val="9"/>
        <w:tblW w:w="9060" w:type="dxa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委员会办公室    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22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outlineLvl w:val="9"/>
        <w:rPr>
          <w:lang w:val="en-US" w:eastAsia="zh-CN"/>
        </w:rPr>
      </w:pPr>
    </w:p>
    <w:sectPr>
      <w:footerReference r:id="rId4" w:type="default"/>
      <w:pgSz w:w="11906" w:h="16838"/>
      <w:pgMar w:top="2098" w:right="1474" w:bottom="1984" w:left="1588" w:header="851" w:footer="124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- 20 -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QmRUUAgAAEwQAAA4AAABkcnMvZTJvRG9jLnhtbK1TTY7TMBTeI3EH&#10;y3uatKi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9fT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XtCZFR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- 20 -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4504A"/>
    <w:rsid w:val="00052038"/>
    <w:rsid w:val="000A30C9"/>
    <w:rsid w:val="0013714C"/>
    <w:rsid w:val="001562E9"/>
    <w:rsid w:val="00180A71"/>
    <w:rsid w:val="001E1D35"/>
    <w:rsid w:val="001F39D8"/>
    <w:rsid w:val="0022312E"/>
    <w:rsid w:val="00232F36"/>
    <w:rsid w:val="0026506F"/>
    <w:rsid w:val="00270770"/>
    <w:rsid w:val="002A1834"/>
    <w:rsid w:val="00364AFB"/>
    <w:rsid w:val="00395936"/>
    <w:rsid w:val="00466422"/>
    <w:rsid w:val="004A652C"/>
    <w:rsid w:val="00512A54"/>
    <w:rsid w:val="00545AC5"/>
    <w:rsid w:val="005463E7"/>
    <w:rsid w:val="005670B4"/>
    <w:rsid w:val="005E13CB"/>
    <w:rsid w:val="005E2E11"/>
    <w:rsid w:val="006326A2"/>
    <w:rsid w:val="00641D88"/>
    <w:rsid w:val="006A4FFB"/>
    <w:rsid w:val="00717904"/>
    <w:rsid w:val="00721C46"/>
    <w:rsid w:val="00763E67"/>
    <w:rsid w:val="00775EF0"/>
    <w:rsid w:val="00785641"/>
    <w:rsid w:val="00796975"/>
    <w:rsid w:val="007F599C"/>
    <w:rsid w:val="008C5D06"/>
    <w:rsid w:val="009133B7"/>
    <w:rsid w:val="009421D7"/>
    <w:rsid w:val="00986EBD"/>
    <w:rsid w:val="0099392C"/>
    <w:rsid w:val="009A1E79"/>
    <w:rsid w:val="009A38E0"/>
    <w:rsid w:val="009B0560"/>
    <w:rsid w:val="009E5E2F"/>
    <w:rsid w:val="00AF7AE8"/>
    <w:rsid w:val="00BA4B06"/>
    <w:rsid w:val="00BA5C14"/>
    <w:rsid w:val="00BB5814"/>
    <w:rsid w:val="00BD591D"/>
    <w:rsid w:val="00BF1105"/>
    <w:rsid w:val="00C11B56"/>
    <w:rsid w:val="00C219BD"/>
    <w:rsid w:val="00C372DC"/>
    <w:rsid w:val="00C85251"/>
    <w:rsid w:val="00C945AA"/>
    <w:rsid w:val="00CB6736"/>
    <w:rsid w:val="00D57723"/>
    <w:rsid w:val="00D93834"/>
    <w:rsid w:val="00E13CAF"/>
    <w:rsid w:val="00E30AC2"/>
    <w:rsid w:val="00E748FD"/>
    <w:rsid w:val="00E76BAF"/>
    <w:rsid w:val="00ED5A2E"/>
    <w:rsid w:val="00F207B9"/>
    <w:rsid w:val="00F25488"/>
    <w:rsid w:val="00F31E6B"/>
    <w:rsid w:val="00FB10D2"/>
    <w:rsid w:val="00FC5045"/>
    <w:rsid w:val="074B6C7D"/>
    <w:rsid w:val="07986C27"/>
    <w:rsid w:val="07B71130"/>
    <w:rsid w:val="085C75CA"/>
    <w:rsid w:val="088C3BBA"/>
    <w:rsid w:val="0E1B71D9"/>
    <w:rsid w:val="10EF5582"/>
    <w:rsid w:val="125F0E4A"/>
    <w:rsid w:val="12C25BF5"/>
    <w:rsid w:val="145B5532"/>
    <w:rsid w:val="14A31726"/>
    <w:rsid w:val="14AB1495"/>
    <w:rsid w:val="22DE6C8D"/>
    <w:rsid w:val="2ABB21C3"/>
    <w:rsid w:val="3171476F"/>
    <w:rsid w:val="34F77DF8"/>
    <w:rsid w:val="392012D5"/>
    <w:rsid w:val="39E61519"/>
    <w:rsid w:val="3BF0012E"/>
    <w:rsid w:val="3C881EC8"/>
    <w:rsid w:val="3D2F4B39"/>
    <w:rsid w:val="401F40F2"/>
    <w:rsid w:val="42E43A3B"/>
    <w:rsid w:val="430D4C6B"/>
    <w:rsid w:val="4B93267E"/>
    <w:rsid w:val="4E5C1385"/>
    <w:rsid w:val="52313438"/>
    <w:rsid w:val="523A6313"/>
    <w:rsid w:val="5363107C"/>
    <w:rsid w:val="5A9F69C2"/>
    <w:rsid w:val="61F32D38"/>
    <w:rsid w:val="62314B77"/>
    <w:rsid w:val="63404068"/>
    <w:rsid w:val="650F2AEB"/>
    <w:rsid w:val="6A9D79F0"/>
    <w:rsid w:val="6B755BB7"/>
    <w:rsid w:val="7002039C"/>
    <w:rsid w:val="71A8161F"/>
    <w:rsid w:val="74A0466C"/>
    <w:rsid w:val="75BE5E21"/>
    <w:rsid w:val="78E66175"/>
    <w:rsid w:val="78E94955"/>
    <w:rsid w:val="79D67AD5"/>
    <w:rsid w:val="7A3361A8"/>
    <w:rsid w:val="7C00503C"/>
    <w:rsid w:val="7CC24D03"/>
    <w:rsid w:val="7FDE03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ody Text"/>
    <w:basedOn w:val="1"/>
    <w:qFormat/>
    <w:uiPriority w:val="1"/>
    <w:rPr>
      <w:sz w:val="32"/>
      <w:szCs w:val="32"/>
    </w:rPr>
  </w:style>
  <w:style w:type="paragraph" w:styleId="4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character" w:styleId="8">
    <w:name w:val="page number"/>
    <w:basedOn w:val="7"/>
    <w:qFormat/>
    <w:uiPriority w:val="0"/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1">
    <w:name w:val="页眉 Char"/>
    <w:basedOn w:val="7"/>
    <w:link w:val="5"/>
    <w:qFormat/>
    <w:uiPriority w:val="99"/>
    <w:rPr>
      <w:kern w:val="2"/>
      <w:sz w:val="18"/>
      <w:szCs w:val="18"/>
    </w:rPr>
  </w:style>
  <w:style w:type="character" w:customStyle="1" w:styleId="12">
    <w:name w:val="页脚 Char"/>
    <w:basedOn w:val="7"/>
    <w:link w:val="2"/>
    <w:qFormat/>
    <w:uiPriority w:val="99"/>
    <w:rPr>
      <w:kern w:val="2"/>
      <w:sz w:val="18"/>
      <w:szCs w:val="18"/>
    </w:rPr>
  </w:style>
  <w:style w:type="character" w:customStyle="1" w:styleId="13">
    <w:name w:val="批注框文本 Char"/>
    <w:basedOn w:val="7"/>
    <w:link w:val="4"/>
    <w:semiHidden/>
    <w:qFormat/>
    <w:uiPriority w:val="99"/>
    <w:rPr>
      <w:kern w:val="2"/>
      <w:sz w:val="18"/>
      <w:szCs w:val="18"/>
    </w:rPr>
  </w:style>
  <w:style w:type="character" w:customStyle="1" w:styleId="14">
    <w:name w:val="font11"/>
    <w:basedOn w:val="7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5">
    <w:name w:val="font2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6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4"/>
    </w:rPr>
  </w:style>
  <w:style w:type="paragraph" w:customStyle="1" w:styleId="17">
    <w:name w:val="Table Paragraph"/>
    <w:basedOn w:val="1"/>
    <w:qFormat/>
    <w:uiPriority w:val="1"/>
    <w:rPr>
      <w:rFonts w:ascii="宋体" w:hAnsi="宋体" w:eastAsia="宋体" w:cs="宋体"/>
    </w:rPr>
  </w:style>
  <w:style w:type="table" w:customStyle="1" w:styleId="18">
    <w:name w:val="Table Normal"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30</Words>
  <Characters>175</Characters>
  <Lines>1</Lines>
  <Paragraphs>1</Paragraphs>
  <TotalTime>6</TotalTime>
  <ScaleCrop>false</ScaleCrop>
  <LinksUpToDate>false</LinksUpToDate>
  <CharactersWithSpaces>204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2017-08-14T09:04:00Z</dcterms:created>
  <dc:creator>cm</dc:creator>
  <cp:lastModifiedBy>THE NEXT</cp:lastModifiedBy>
  <cp:lastPrinted>2022-11-22T01:11:00Z</cp:lastPrinted>
  <dcterms:modified xsi:type="dcterms:W3CDTF">2023-03-22T05:52:23Z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