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pageBreakBefore w:val="0"/>
        <w:kinsoku/>
        <w:wordWrap/>
        <w:overflowPunct/>
        <w:topLinePunct w:val="0"/>
        <w:bidi w:val="0"/>
        <w:spacing w:line="560" w:lineRule="exact"/>
        <w:ind w:firstLine="0" w:firstLineChars="0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4</w:t>
      </w:r>
    </w:p>
    <w:p>
      <w:pPr>
        <w:pStyle w:val="5"/>
        <w:pageBreakBefore w:val="0"/>
        <w:kinsoku/>
        <w:wordWrap/>
        <w:overflowPunct/>
        <w:topLinePunct w:val="0"/>
        <w:bidi w:val="0"/>
        <w:spacing w:line="560" w:lineRule="exact"/>
        <w:ind w:left="0" w:leftChars="0" w:firstLine="0" w:firstLineChars="0"/>
        <w:jc w:val="center"/>
        <w:textAlignment w:val="auto"/>
        <w:rPr>
          <w:rFonts w:hint="eastAsia" w:ascii="方正小标宋简体" w:eastAsia="方正小标宋简体" w:cs="Times New Roman" w:hAnsiTheme="majorEastAsia"/>
          <w:b w:val="0"/>
          <w:bCs/>
          <w:sz w:val="40"/>
          <w:szCs w:val="40"/>
          <w:highlight w:val="none"/>
        </w:rPr>
      </w:pPr>
      <w:r>
        <w:rPr>
          <w:rFonts w:hint="eastAsia" w:ascii="方正小标宋简体" w:eastAsia="方正小标宋简体" w:cs="Times New Roman" w:hAnsiTheme="majorEastAsia"/>
          <w:b w:val="0"/>
          <w:bCs/>
          <w:sz w:val="40"/>
          <w:szCs w:val="40"/>
          <w:highlight w:val="none"/>
        </w:rPr>
        <w:t>崇明区绿色防控（水稻、林果）技术方案</w:t>
      </w:r>
    </w:p>
    <w:p>
      <w:pPr>
        <w:pStyle w:val="5"/>
        <w:pageBreakBefore w:val="0"/>
        <w:kinsoku/>
        <w:wordWrap/>
        <w:overflowPunct/>
        <w:topLinePunct w:val="0"/>
        <w:bidi w:val="0"/>
        <w:spacing w:line="560" w:lineRule="exact"/>
        <w:ind w:left="0" w:leftChars="0" w:firstLine="0" w:firstLineChars="0"/>
        <w:jc w:val="center"/>
        <w:textAlignment w:val="auto"/>
        <w:rPr>
          <w:rFonts w:hint="eastAsia" w:ascii="方正小标宋简体" w:eastAsia="方正小标宋简体" w:cs="Times New Roman" w:hAnsiTheme="majorEastAsia"/>
          <w:b w:val="0"/>
          <w:bCs/>
          <w:sz w:val="40"/>
          <w:szCs w:val="40"/>
          <w:highlight w:val="none"/>
        </w:rPr>
      </w:pPr>
    </w:p>
    <w:p>
      <w:pPr>
        <w:pageBreakBefore w:val="0"/>
        <w:kinsoku/>
        <w:wordWrap/>
        <w:overflowPunct/>
        <w:topLinePunct w:val="0"/>
        <w:bidi w:val="0"/>
        <w:snapToGrid w:val="0"/>
        <w:spacing w:line="560" w:lineRule="exact"/>
        <w:ind w:firstLine="640" w:firstLineChars="200"/>
        <w:contextualSpacing/>
        <w:textAlignment w:val="auto"/>
        <w:rPr>
          <w:rFonts w:ascii="仿宋_GB2312" w:hAnsi="宋体" w:eastAsia="仿宋_GB2312" w:cs="宋体"/>
          <w:sz w:val="32"/>
          <w:szCs w:val="32"/>
          <w:highlight w:val="none"/>
        </w:rPr>
      </w:pPr>
      <w:r>
        <w:rPr>
          <w:rFonts w:hint="eastAsia" w:ascii="仿宋_GB2312" w:hAnsi="宋体" w:eastAsia="仿宋_GB2312" w:cs="宋体"/>
          <w:sz w:val="32"/>
          <w:szCs w:val="32"/>
          <w:highlight w:val="none"/>
        </w:rPr>
        <w:t>绿色防控技术是从保护水稻、林果生产安全出发，树立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>“绿色植保”新理念，通过以农业防治为基础，大力推广生物防治、生态调控等综合技术，减少化学农药的使用量，降低农产品农药残留，全面提升我区水稻、林果病虫害综合防治能力，确保我区水稻稳产增产、林果绿色高效和农业生态环境安全。</w:t>
      </w:r>
    </w:p>
    <w:p>
      <w:pPr>
        <w:pStyle w:val="5"/>
        <w:pageBreakBefore w:val="0"/>
        <w:kinsoku/>
        <w:wordWrap/>
        <w:overflowPunct/>
        <w:topLinePunct w:val="0"/>
        <w:bidi w:val="0"/>
        <w:spacing w:line="560" w:lineRule="exact"/>
        <w:ind w:firstLine="640"/>
        <w:textAlignment w:val="auto"/>
        <w:rPr>
          <w:rFonts w:ascii="黑体" w:hAnsi="黑体" w:eastAsia="黑体" w:cs="黑体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一、水稻绿色防控技术方案</w:t>
      </w:r>
    </w:p>
    <w:p>
      <w:pPr>
        <w:pageBreakBefore w:val="0"/>
        <w:kinsoku/>
        <w:wordWrap/>
        <w:overflowPunct/>
        <w:topLinePunct w:val="0"/>
        <w:bidi w:val="0"/>
        <w:snapToGrid w:val="0"/>
        <w:spacing w:line="560" w:lineRule="exact"/>
        <w:ind w:firstLine="640" w:firstLineChars="200"/>
        <w:contextualSpacing/>
        <w:textAlignment w:val="auto"/>
        <w:rPr>
          <w:rFonts w:ascii="楷体_GB2312" w:eastAsia="楷体_GB2312" w:cs="黑体" w:hAnsiTheme="minorEastAsia"/>
          <w:sz w:val="32"/>
          <w:szCs w:val="32"/>
          <w:highlight w:val="none"/>
        </w:rPr>
      </w:pPr>
      <w:r>
        <w:rPr>
          <w:rFonts w:hint="eastAsia" w:ascii="楷体_GB2312" w:eastAsia="楷体_GB2312" w:cs="黑体" w:hAnsiTheme="minorEastAsia"/>
          <w:sz w:val="32"/>
          <w:szCs w:val="32"/>
          <w:highlight w:val="none"/>
        </w:rPr>
        <w:t>（一）创建范围</w:t>
      </w:r>
    </w:p>
    <w:p>
      <w:pPr>
        <w:pageBreakBefore w:val="0"/>
        <w:kinsoku/>
        <w:wordWrap/>
        <w:overflowPunct/>
        <w:topLinePunct w:val="0"/>
        <w:bidi w:val="0"/>
        <w:snapToGrid w:val="0"/>
        <w:spacing w:line="560" w:lineRule="exact"/>
        <w:ind w:firstLine="640" w:firstLineChars="200"/>
        <w:contextualSpacing/>
        <w:textAlignment w:val="auto"/>
        <w:rPr>
          <w:rFonts w:ascii="仿宋_GB2312" w:hAnsi="宋体" w:eastAsia="仿宋_GB2312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sz w:val="32"/>
          <w:szCs w:val="32"/>
          <w:highlight w:val="none"/>
        </w:rPr>
        <w:t>本方案适用于水稻面积在100亩以上管理水平好的粮食生产合作社、经营主体或家庭农场，能做到系统管理，统防统治；并配备专门的技术人员进行预测预报，同时能使用高效低毒持效期长的绿色农药。</w:t>
      </w:r>
    </w:p>
    <w:p>
      <w:pPr>
        <w:pageBreakBefore w:val="0"/>
        <w:kinsoku/>
        <w:wordWrap/>
        <w:overflowPunct/>
        <w:topLinePunct w:val="0"/>
        <w:bidi w:val="0"/>
        <w:snapToGrid w:val="0"/>
        <w:spacing w:line="560" w:lineRule="exact"/>
        <w:ind w:firstLine="640" w:firstLineChars="200"/>
        <w:contextualSpacing/>
        <w:textAlignment w:val="auto"/>
        <w:rPr>
          <w:rFonts w:hint="eastAsia" w:ascii="楷体_GB2312" w:eastAsia="楷体_GB2312" w:cs="黑体" w:hAnsiTheme="minorEastAsia"/>
          <w:sz w:val="32"/>
          <w:szCs w:val="32"/>
          <w:highlight w:val="none"/>
        </w:rPr>
      </w:pPr>
      <w:r>
        <w:rPr>
          <w:rFonts w:hint="eastAsia" w:ascii="楷体_GB2312" w:eastAsia="楷体_GB2312" w:cs="黑体" w:hAnsiTheme="minorEastAsia"/>
          <w:sz w:val="32"/>
          <w:szCs w:val="32"/>
          <w:highlight w:val="none"/>
        </w:rPr>
        <w:t>（二）农药选择</w:t>
      </w:r>
    </w:p>
    <w:p>
      <w:pPr>
        <w:pageBreakBefore w:val="0"/>
        <w:kinsoku/>
        <w:wordWrap/>
        <w:overflowPunct/>
        <w:topLinePunct w:val="0"/>
        <w:bidi w:val="0"/>
        <w:snapToGrid w:val="0"/>
        <w:spacing w:line="560" w:lineRule="exact"/>
        <w:ind w:firstLine="640" w:firstLineChars="200"/>
        <w:contextualSpacing/>
        <w:textAlignment w:val="auto"/>
        <w:rPr>
          <w:rFonts w:ascii="仿宋_GB2312" w:hAnsi="宋体" w:eastAsia="仿宋_GB2312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sz w:val="32"/>
          <w:szCs w:val="32"/>
          <w:highlight w:val="none"/>
        </w:rPr>
        <w:t>必须紧紧围绕崇明生态岛建设发展要求，以实现农药使用“环保化和减量化”为目标，农药品种全面实行“高效化、低毒化、环保化、长效化”要求，同时，所有使用的农药品种和药量必须符合水稻绿色认证要求。</w:t>
      </w:r>
    </w:p>
    <w:p>
      <w:pPr>
        <w:pageBreakBefore w:val="0"/>
        <w:kinsoku/>
        <w:wordWrap/>
        <w:overflowPunct/>
        <w:topLinePunct w:val="0"/>
        <w:bidi w:val="0"/>
        <w:snapToGrid w:val="0"/>
        <w:spacing w:line="560" w:lineRule="exact"/>
        <w:ind w:firstLine="640" w:firstLineChars="200"/>
        <w:contextualSpacing/>
        <w:textAlignment w:val="auto"/>
        <w:rPr>
          <w:rFonts w:ascii="楷体_GB2312" w:eastAsia="楷体_GB2312" w:cs="黑体" w:hAnsiTheme="minorEastAsia"/>
          <w:sz w:val="32"/>
          <w:szCs w:val="32"/>
          <w:highlight w:val="none"/>
        </w:rPr>
      </w:pPr>
      <w:r>
        <w:rPr>
          <w:rFonts w:hint="eastAsia" w:ascii="楷体_GB2312" w:eastAsia="楷体_GB2312" w:cs="黑体" w:hAnsiTheme="minorEastAsia"/>
          <w:sz w:val="32"/>
          <w:szCs w:val="32"/>
          <w:highlight w:val="none"/>
        </w:rPr>
        <w:t>（三）技术措施</w:t>
      </w:r>
    </w:p>
    <w:p>
      <w:pPr>
        <w:pageBreakBefore w:val="0"/>
        <w:kinsoku/>
        <w:wordWrap/>
        <w:overflowPunct/>
        <w:topLinePunct w:val="0"/>
        <w:bidi w:val="0"/>
        <w:snapToGrid w:val="0"/>
        <w:spacing w:line="560" w:lineRule="exact"/>
        <w:ind w:firstLine="643" w:firstLineChars="200"/>
        <w:contextualSpacing/>
        <w:textAlignment w:val="auto"/>
        <w:rPr>
          <w:rFonts w:hint="eastAsia" w:ascii="仿宋_GB2312" w:hAnsi="宋体" w:eastAsia="仿宋_GB2312"/>
          <w:b/>
          <w:bCs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b/>
          <w:bCs/>
          <w:sz w:val="32"/>
          <w:szCs w:val="32"/>
          <w:highlight w:val="none"/>
        </w:rPr>
        <w:t>1.选用抗病良种</w:t>
      </w:r>
    </w:p>
    <w:p>
      <w:pPr>
        <w:pageBreakBefore w:val="0"/>
        <w:kinsoku/>
        <w:wordWrap/>
        <w:overflowPunct/>
        <w:topLinePunct w:val="0"/>
        <w:bidi w:val="0"/>
        <w:snapToGrid w:val="0"/>
        <w:spacing w:line="560" w:lineRule="exact"/>
        <w:ind w:firstLine="640" w:firstLineChars="200"/>
        <w:contextualSpacing/>
        <w:textAlignment w:val="auto"/>
        <w:rPr>
          <w:rFonts w:ascii="仿宋_GB2312" w:hAnsi="宋体" w:eastAsia="仿宋_GB2312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sz w:val="32"/>
          <w:szCs w:val="32"/>
          <w:highlight w:val="none"/>
        </w:rPr>
        <w:t>选用抗病水稻品种，特别是历年稻瘟病发生重的田块，要种植抗稻瘟病的品种。</w:t>
      </w:r>
    </w:p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firstLine="643" w:firstLineChars="200"/>
        <w:textAlignment w:val="auto"/>
        <w:rPr>
          <w:rFonts w:hint="eastAsia" w:ascii="仿宋_GB2312" w:hAnsi="宋体" w:eastAsia="仿宋_GB2312"/>
          <w:b/>
          <w:bCs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b/>
          <w:bCs/>
          <w:sz w:val="32"/>
          <w:szCs w:val="32"/>
          <w:highlight w:val="none"/>
        </w:rPr>
        <w:t>2.播前农业防治</w:t>
      </w:r>
    </w:p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仿宋_GB2312" w:hAnsi="宋体" w:eastAsia="仿宋_GB2312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sz w:val="32"/>
          <w:szCs w:val="32"/>
          <w:highlight w:val="none"/>
        </w:rPr>
        <w:t>采用农业防治的方法，减少病虫害的发生：一是及时耕翻、上水。</w:t>
      </w:r>
      <w:r>
        <w:rPr>
          <w:rFonts w:hint="eastAsia" w:ascii="仿宋_GB2312" w:hAnsi="宋体" w:eastAsia="仿宋_GB2312" w:cs="仿宋"/>
          <w:sz w:val="32"/>
          <w:szCs w:val="32"/>
          <w:highlight w:val="none"/>
        </w:rPr>
        <w:t>利用螟虫化蛹期抗逆性弱的特点，在越冬代螟虫化蛹期统一翻耕冬闲田、绿肥田，灌深水浸没稻桩7～10天，降低虫源基数。同时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>捞去浪渣，烧毁或深埋，减少纹枯病病源；二是</w:t>
      </w:r>
      <w:r>
        <w:rPr>
          <w:rFonts w:hint="eastAsia" w:ascii="仿宋_GB2312" w:hAnsi="宋体" w:eastAsia="仿宋_GB2312"/>
          <w:kern w:val="0"/>
          <w:sz w:val="32"/>
          <w:szCs w:val="32"/>
          <w:highlight w:val="none"/>
        </w:rPr>
        <w:t>养草灭草。</w:t>
      </w:r>
      <w:r>
        <w:rPr>
          <w:rFonts w:hint="eastAsia" w:ascii="仿宋_GB2312" w:hAnsi="宋体" w:eastAsia="仿宋_GB2312" w:cs="仿宋"/>
          <w:sz w:val="32"/>
          <w:szCs w:val="32"/>
          <w:highlight w:val="none"/>
        </w:rPr>
        <w:t>往年杂草及杂草稻发生重的田块，提前耕翻、上水保湿，诱发杂草、杂草稻种子提早出苗，等杂草基本出苗后再次耕翻，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>水稻种植前进行2～3次养草灭草，然后再播种水稻；三是田边留草（花）。按照一定</w:t>
      </w:r>
      <w:r>
        <w:rPr>
          <w:rFonts w:hint="eastAsia" w:ascii="仿宋_GB2312" w:hAnsi="宋体" w:eastAsia="仿宋_GB2312" w:cs="黑体"/>
          <w:sz w:val="32"/>
          <w:szCs w:val="32"/>
          <w:highlight w:val="none"/>
        </w:rPr>
        <w:t>时间和空间间隔种植百日菊、香根草、芝麻、大豆等作物，延长寄生蜂等天敌的成虫寿命、提高寄生蜂等寄生能力和种群数量，如田边杂草过多，应采用割草的办法，割下的杂草原地堆放，保证稻田生态系统中生物的多样性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>；四是适时播种，避开病虫发生高峰期。五是在水稻害虫发生期间，有重点放置二化螟性诱剂，减少田间螟虫的发生基数。</w:t>
      </w:r>
    </w:p>
    <w:p>
      <w:pPr>
        <w:pStyle w:val="5"/>
        <w:pageBreakBefore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firstLine="640"/>
        <w:textAlignment w:val="auto"/>
        <w:rPr>
          <w:rFonts w:hint="eastAsia" w:ascii="仿宋_GB2312" w:hAnsi="宋体" w:eastAsia="仿宋_GB2312"/>
          <w:b/>
          <w:bCs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b/>
          <w:bCs/>
          <w:sz w:val="32"/>
          <w:szCs w:val="32"/>
          <w:highlight w:val="none"/>
        </w:rPr>
        <w:t>3.种子处理</w:t>
      </w:r>
    </w:p>
    <w:p>
      <w:pPr>
        <w:pStyle w:val="5"/>
        <w:pageBreakBefore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firstLine="640"/>
        <w:textAlignment w:val="auto"/>
        <w:rPr>
          <w:rFonts w:ascii="仿宋_GB2312" w:hAnsi="宋体" w:eastAsia="仿宋_GB2312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sz w:val="32"/>
          <w:szCs w:val="32"/>
          <w:highlight w:val="none"/>
        </w:rPr>
        <w:t>按照每5公斤稻种选用2.5%咯菌腈悬浮种衣剂（适乐时）25毫升进行拌种。</w:t>
      </w:r>
      <w:r>
        <w:rPr>
          <w:rFonts w:hint="eastAsia" w:ascii="仿宋_GB2312" w:hAnsi="宋体" w:eastAsia="仿宋_GB2312"/>
          <w:bCs/>
          <w:sz w:val="32"/>
          <w:szCs w:val="32"/>
          <w:highlight w:val="none"/>
        </w:rPr>
        <w:t>先将2.5%咯菌腈加水调成拌种药液，然后将药液与精选过的稻种充分搅拌，直到药液均匀分布到种子表面，晾干后用清水进行浸种，可有效防治水稻恶苗病。</w:t>
      </w:r>
    </w:p>
    <w:p>
      <w:pPr>
        <w:pStyle w:val="5"/>
        <w:pageBreakBefore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firstLine="640"/>
        <w:textAlignment w:val="auto"/>
        <w:rPr>
          <w:rFonts w:hint="eastAsia" w:ascii="仿宋_GB2312" w:hAnsi="宋体" w:eastAsia="仿宋_GB2312"/>
          <w:b/>
          <w:bCs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b/>
          <w:bCs/>
          <w:sz w:val="32"/>
          <w:szCs w:val="32"/>
          <w:highlight w:val="none"/>
        </w:rPr>
        <w:t>4.化学除草</w:t>
      </w:r>
    </w:p>
    <w:p>
      <w:pPr>
        <w:pStyle w:val="5"/>
        <w:pageBreakBefore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firstLine="640"/>
        <w:textAlignment w:val="auto"/>
        <w:rPr>
          <w:rFonts w:ascii="仿宋_GB2312" w:hAnsi="宋体" w:eastAsia="仿宋_GB2312" w:cs="宋体"/>
          <w:kern w:val="0"/>
          <w:sz w:val="32"/>
          <w:szCs w:val="32"/>
          <w:highlight w:val="none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  <w:highlight w:val="none"/>
        </w:rPr>
        <w:t>绿色认证水稻：人工直播和机插稻在落谷或机插后1～2天内，使用35%苄嘧·丙草胺可湿性粉剂或40%苄嘧·丙草胺悬乳剂等药剂对水35公斤进行喷雾处理；机（穴）直播田在播种后</w:t>
      </w:r>
      <w:r>
        <w:rPr>
          <w:rFonts w:hint="eastAsia" w:ascii="仿宋_GB2312" w:hAnsi="宋体" w:eastAsia="仿宋_GB2312" w:cs="宋体-18030"/>
          <w:snapToGrid w:val="0"/>
          <w:sz w:val="32"/>
          <w:szCs w:val="32"/>
          <w:highlight w:val="none"/>
        </w:rPr>
        <w:t>2～3</w:t>
      </w:r>
      <w:r>
        <w:rPr>
          <w:rFonts w:hint="eastAsia" w:ascii="仿宋_GB2312" w:hAnsi="宋体" w:eastAsia="仿宋_GB2312" w:cs="宋体"/>
          <w:kern w:val="0"/>
          <w:sz w:val="32"/>
          <w:szCs w:val="32"/>
          <w:highlight w:val="none"/>
        </w:rPr>
        <w:t>天，使用上述药剂进行喷雾处理,</w:t>
      </w:r>
      <w:r>
        <w:rPr>
          <w:rFonts w:hint="eastAsia" w:ascii="仿宋_GB2312" w:hAnsi="宋体" w:eastAsia="仿宋_GB2312" w:cs="宋体-18030"/>
          <w:snapToGrid w:val="0"/>
          <w:sz w:val="32"/>
          <w:szCs w:val="32"/>
          <w:highlight w:val="none"/>
        </w:rPr>
        <w:t>使用时须保持田间平整，不积水</w:t>
      </w:r>
      <w:r>
        <w:rPr>
          <w:rFonts w:hint="eastAsia" w:ascii="仿宋_GB2312" w:hAnsi="宋体" w:eastAsia="仿宋_GB2312" w:cs="宋体"/>
          <w:kern w:val="0"/>
          <w:sz w:val="32"/>
          <w:szCs w:val="32"/>
          <w:highlight w:val="none"/>
        </w:rPr>
        <w:t>。后期</w:t>
      </w:r>
      <w:r>
        <w:rPr>
          <w:rFonts w:hint="eastAsia" w:ascii="仿宋_GB2312" w:eastAsia="仿宋_GB2312"/>
          <w:kern w:val="0"/>
          <w:sz w:val="32"/>
          <w:szCs w:val="32"/>
          <w:highlight w:val="none"/>
        </w:rPr>
        <w:t>根据田间不同草相和叶龄选择对应的杂草茎叶处理剂进行茎叶处理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>，稗草和千金子：在杂草2～4叶期时，稗草可选用10%氰氟草酯乳油或25克/升五氟磺草胺可分散油悬浮剂；千金子可选用10%氰氟草酯乳油，根据杂草叶龄使用合适的剂量进行防除；对于高龄和抗性稗草、千金子药剂可选用40%氰氟草酯可分散油悬浮剂。莎草及双子叶杂草：可选用25%2甲·灭草松水剂或460克/升2甲·灭草松可溶液剂等，对水40～50公斤对杂草均匀喷雾，用药前田间排干水，药后一天灌水，并保水3～5天。</w:t>
      </w:r>
    </w:p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仿宋_GB2312" w:hAnsi="宋体" w:eastAsia="仿宋_GB2312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sz w:val="32"/>
          <w:szCs w:val="32"/>
          <w:highlight w:val="none"/>
        </w:rPr>
        <w:t>常规种植水稻：机穴播稻化学除草，</w:t>
      </w:r>
      <w:r>
        <w:rPr>
          <w:rFonts w:hint="eastAsia" w:ascii="仿宋_GB2312" w:hAnsi="宋体" w:eastAsia="仿宋_GB2312" w:cs="宋体"/>
          <w:kern w:val="0"/>
          <w:sz w:val="32"/>
          <w:szCs w:val="32"/>
          <w:highlight w:val="none"/>
        </w:rPr>
        <w:t>亩</w:t>
      </w:r>
      <w:r>
        <w:rPr>
          <w:rFonts w:hint="eastAsia" w:ascii="仿宋_GB2312" w:hAnsi="宋体" w:eastAsia="仿宋_GB2312"/>
          <w:kern w:val="0"/>
          <w:sz w:val="32"/>
          <w:szCs w:val="32"/>
          <w:highlight w:val="none"/>
        </w:rPr>
        <w:t>用</w:t>
      </w:r>
      <w:bookmarkStart w:id="0" w:name="OLE_LINK1"/>
      <w:r>
        <w:rPr>
          <w:rFonts w:hint="eastAsia" w:ascii="仿宋_GB2312" w:hAnsi="宋体" w:eastAsia="仿宋_GB2312" w:cs="宋体"/>
          <w:kern w:val="0"/>
          <w:sz w:val="32"/>
          <w:szCs w:val="32"/>
          <w:highlight w:val="none"/>
        </w:rPr>
        <w:t>26%</w:t>
      </w:r>
      <w:r>
        <w:rPr>
          <w:rFonts w:hint="eastAsia" w:ascii="仿宋_GB2312" w:hAnsi="宋体" w:cs="宋体"/>
          <w:kern w:val="0"/>
          <w:sz w:val="32"/>
          <w:szCs w:val="32"/>
          <w:highlight w:val="none"/>
        </w:rPr>
        <w:t>噁</w:t>
      </w:r>
      <w:r>
        <w:rPr>
          <w:rFonts w:hint="eastAsia" w:ascii="仿宋_GB2312" w:hAnsi="宋体" w:eastAsia="仿宋_GB2312" w:cs="仿宋_GB2312"/>
          <w:kern w:val="0"/>
          <w:sz w:val="32"/>
          <w:szCs w:val="32"/>
          <w:highlight w:val="none"/>
        </w:rPr>
        <w:t>草酮乳油</w:t>
      </w:r>
      <w:bookmarkEnd w:id="0"/>
      <w:r>
        <w:rPr>
          <w:rFonts w:hint="eastAsia" w:ascii="仿宋_GB2312" w:hAnsi="宋体" w:eastAsia="仿宋_GB2312"/>
          <w:kern w:val="0"/>
          <w:sz w:val="32"/>
          <w:szCs w:val="32"/>
          <w:highlight w:val="none"/>
        </w:rPr>
        <w:t>趁混水甩施，</w:t>
      </w:r>
      <w:r>
        <w:rPr>
          <w:rFonts w:hint="eastAsia" w:ascii="仿宋_GB2312" w:hAnsi="宋体" w:eastAsia="仿宋_GB2312" w:cs="宋体"/>
          <w:kern w:val="0"/>
          <w:sz w:val="32"/>
          <w:szCs w:val="32"/>
          <w:highlight w:val="none"/>
        </w:rPr>
        <w:t>施药后保持水层3～5天，落干后播种。</w:t>
      </w:r>
      <w:r>
        <w:rPr>
          <w:rFonts w:hint="eastAsia" w:ascii="仿宋_GB2312" w:hAnsi="宋体" w:eastAsia="仿宋_GB2312"/>
          <w:bCs/>
          <w:kern w:val="0"/>
          <w:sz w:val="32"/>
          <w:szCs w:val="32"/>
          <w:highlight w:val="none"/>
        </w:rPr>
        <w:t>在</w:t>
      </w:r>
      <w:r>
        <w:rPr>
          <w:rFonts w:hint="eastAsia" w:ascii="仿宋_GB2312" w:hAnsi="宋体" w:eastAsia="仿宋_GB2312" w:cs="宋体"/>
          <w:kern w:val="0"/>
          <w:sz w:val="32"/>
          <w:szCs w:val="32"/>
          <w:highlight w:val="none"/>
        </w:rPr>
        <w:t>播种后3～5天，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>用35%苄嘧·丙草胺可湿性粉剂</w:t>
      </w:r>
      <w:r>
        <w:rPr>
          <w:rFonts w:hint="eastAsia" w:ascii="仿宋_GB2312" w:hAnsi="宋体" w:eastAsia="仿宋_GB2312" w:cs="宋体"/>
          <w:kern w:val="0"/>
          <w:sz w:val="32"/>
          <w:szCs w:val="32"/>
          <w:highlight w:val="none"/>
        </w:rPr>
        <w:t>或40%苄嘧·丙草胺悬乳剂等药剂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>对水均匀湿润喷雾。在第二次用药后15～18天，每亩选用69%</w:t>
      </w:r>
      <w:r>
        <w:rPr>
          <w:rFonts w:hint="eastAsia" w:ascii="仿宋_GB2312" w:hAnsi="宋体" w:eastAsia="仿宋_GB2312"/>
          <w:bCs/>
          <w:sz w:val="32"/>
          <w:szCs w:val="32"/>
          <w:highlight w:val="none"/>
        </w:rPr>
        <w:t>苄嘧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>·苯噻酰可湿性粉剂制成药肥或药土撒施，药后保水3～5天（注意水不可淹没心叶，并做好平水缺）。机插稻化学除草，耕地排田后采用毒土法或机插后第二天采用喷雾法用药。每亩选用35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highlight w:val="none"/>
        </w:rPr>
        <w:t>%苄嘧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>·</w:t>
      </w: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  <w:highlight w:val="none"/>
        </w:rPr>
        <w:t>丙草胺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>可湿性粉剂</w:t>
      </w:r>
      <w:r>
        <w:rPr>
          <w:rFonts w:hint="eastAsia" w:ascii="仿宋_GB2312" w:hAnsi="宋体" w:eastAsia="仿宋_GB2312" w:cs="宋体"/>
          <w:kern w:val="0"/>
          <w:sz w:val="32"/>
          <w:szCs w:val="32"/>
          <w:highlight w:val="none"/>
        </w:rPr>
        <w:t>或40%苄嘧·丙草胺悬乳剂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>。然后在机栽后10～14天用69%</w:t>
      </w:r>
      <w:r>
        <w:rPr>
          <w:rFonts w:hint="eastAsia" w:ascii="仿宋_GB2312" w:hAnsi="宋体" w:eastAsia="仿宋_GB2312"/>
          <w:bCs/>
          <w:sz w:val="32"/>
          <w:szCs w:val="32"/>
          <w:highlight w:val="none"/>
        </w:rPr>
        <w:t>苄嘧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>·苯噻酰可湿性粉剂制成药肥或药土撒施，药后保水3～5天。</w:t>
      </w:r>
    </w:p>
    <w:p>
      <w:pPr>
        <w:pStyle w:val="5"/>
        <w:pageBreakBefore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firstLine="640"/>
        <w:textAlignment w:val="auto"/>
        <w:rPr>
          <w:rFonts w:ascii="仿宋_GB2312" w:hAnsi="宋体" w:eastAsia="仿宋_GB2312"/>
          <w:b/>
          <w:bCs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b/>
          <w:bCs/>
          <w:sz w:val="32"/>
          <w:szCs w:val="32"/>
          <w:highlight w:val="none"/>
        </w:rPr>
        <w:t>5.病虫防治</w:t>
      </w:r>
    </w:p>
    <w:p>
      <w:pPr>
        <w:pStyle w:val="5"/>
        <w:pageBreakBefore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firstLine="640"/>
        <w:textAlignment w:val="auto"/>
        <w:rPr>
          <w:rFonts w:ascii="仿宋_GB2312" w:hAnsi="宋体" w:eastAsia="仿宋_GB2312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sz w:val="32"/>
          <w:szCs w:val="32"/>
          <w:highlight w:val="none"/>
        </w:rPr>
        <w:t>（1）防治策略</w:t>
      </w:r>
      <w:r>
        <w:rPr>
          <w:rFonts w:hint="eastAsia" w:ascii="仿宋_GB2312" w:hAnsi="宋体" w:eastAsia="仿宋_GB2312"/>
          <w:sz w:val="32"/>
          <w:szCs w:val="32"/>
          <w:highlight w:val="none"/>
          <w:lang w:eastAsia="zh-CN"/>
        </w:rPr>
        <w:t>。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>以水稻重大病虫防治关键时间节点为主线，做到精准测报，根据病虫的实际发生情况合理用药防治，全年计划重大病虫综合性防治三次，并根据病虫发生变化相应调整防治计划。</w:t>
      </w:r>
    </w:p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仿宋_GB2312" w:hAnsi="宋体" w:eastAsia="仿宋_GB2312" w:cs="宋体"/>
          <w:color w:val="000000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color w:val="000000"/>
          <w:sz w:val="32"/>
          <w:szCs w:val="32"/>
          <w:highlight w:val="none"/>
        </w:rPr>
        <w:t>（2）防治药剂</w:t>
      </w:r>
      <w:r>
        <w:rPr>
          <w:rFonts w:hint="eastAsia" w:ascii="仿宋_GB2312" w:hAnsi="宋体" w:eastAsia="仿宋_GB2312"/>
          <w:color w:val="000000"/>
          <w:sz w:val="32"/>
          <w:szCs w:val="32"/>
          <w:highlight w:val="none"/>
          <w:lang w:eastAsia="zh-CN"/>
        </w:rPr>
        <w:t>。</w:t>
      </w:r>
      <w:r>
        <w:rPr>
          <w:rFonts w:hint="eastAsia" w:ascii="仿宋_GB2312" w:hAnsi="宋体" w:eastAsia="仿宋_GB2312"/>
          <w:color w:val="000000"/>
          <w:sz w:val="32"/>
          <w:szCs w:val="32"/>
          <w:highlight w:val="none"/>
        </w:rPr>
        <w:t>稻纵卷叶螟、螟虫：200克/升氯虫苯甲酰胺</w:t>
      </w:r>
      <w:r>
        <w:rPr>
          <w:rFonts w:hint="eastAsia" w:ascii="仿宋_GB2312" w:hAnsi="宋体" w:eastAsia="仿宋_GB2312" w:cs="宋体"/>
          <w:color w:val="000000"/>
          <w:sz w:val="32"/>
          <w:szCs w:val="32"/>
          <w:highlight w:val="none"/>
        </w:rPr>
        <w:t>悬浮剂、</w:t>
      </w:r>
      <w:r>
        <w:rPr>
          <w:rFonts w:hint="eastAsia" w:ascii="仿宋_GB2312" w:hAnsi="宋体" w:eastAsia="仿宋_GB2312"/>
          <w:color w:val="000000"/>
          <w:sz w:val="32"/>
          <w:szCs w:val="32"/>
          <w:highlight w:val="none"/>
        </w:rPr>
        <w:t>25%甲氧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>·</w:t>
      </w:r>
      <w:r>
        <w:rPr>
          <w:rFonts w:hint="eastAsia" w:ascii="仿宋_GB2312" w:hAnsi="宋体" w:eastAsia="仿宋_GB2312"/>
          <w:color w:val="000000"/>
          <w:sz w:val="32"/>
          <w:szCs w:val="32"/>
          <w:highlight w:val="none"/>
        </w:rPr>
        <w:t>茚虫威悬浮剂、40%氯虫·噻虫嗪水分散粒剂、甘蓝夜蛾核型多角体病毒30亿PIB/毫克悬浮剂、</w:t>
      </w:r>
      <w:r>
        <w:rPr>
          <w:rFonts w:hint="eastAsia" w:ascii="仿宋_GB2312" w:hAnsi="宋体" w:eastAsia="仿宋_GB2312" w:cs="宋体"/>
          <w:color w:val="000000"/>
          <w:sz w:val="32"/>
          <w:szCs w:val="32"/>
          <w:highlight w:val="none"/>
        </w:rPr>
        <w:t>16%甲维</w:t>
      </w:r>
      <w:bookmarkStart w:id="1" w:name="OLE_LINK2"/>
      <w:r>
        <w:rPr>
          <w:rFonts w:hint="eastAsia" w:ascii="仿宋_GB2312" w:hAnsi="宋体" w:eastAsia="仿宋_GB2312" w:cs="宋体"/>
          <w:color w:val="000000"/>
          <w:sz w:val="32"/>
          <w:szCs w:val="32"/>
          <w:highlight w:val="none"/>
        </w:rPr>
        <w:t>·</w:t>
      </w:r>
      <w:bookmarkEnd w:id="1"/>
      <w:r>
        <w:rPr>
          <w:rFonts w:hint="eastAsia" w:ascii="仿宋_GB2312" w:hAnsi="宋体" w:eastAsia="仿宋_GB2312" w:cs="宋体"/>
          <w:color w:val="000000"/>
          <w:sz w:val="32"/>
          <w:szCs w:val="32"/>
          <w:highlight w:val="none"/>
        </w:rPr>
        <w:t>茚虫威悬浮剂等。</w:t>
      </w:r>
    </w:p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仿宋_GB2312" w:hAnsi="宋体" w:eastAsia="仿宋_GB2312"/>
          <w:color w:val="000000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color w:val="000000"/>
          <w:sz w:val="32"/>
          <w:szCs w:val="32"/>
          <w:highlight w:val="none"/>
        </w:rPr>
        <w:t>稻飞虱：50%吡蚜酮可湿性粉剂、20%三氟苯嘧啶水分散粒剂（非绿色认证可用）等。</w:t>
      </w:r>
    </w:p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仿宋_GB2312" w:hAnsi="宋体" w:eastAsia="仿宋_GB2312"/>
          <w:color w:val="000000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color w:val="000000"/>
          <w:sz w:val="32"/>
          <w:szCs w:val="32"/>
          <w:highlight w:val="none"/>
        </w:rPr>
        <w:t>纹枯病：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>19%丙环·嘧菌酯悬浮剂、</w:t>
      </w:r>
      <w:r>
        <w:rPr>
          <w:rFonts w:hint="eastAsia" w:ascii="仿宋_GB2312" w:hAnsi="宋体" w:eastAsia="仿宋_GB2312"/>
          <w:color w:val="000000"/>
          <w:sz w:val="32"/>
          <w:szCs w:val="32"/>
          <w:highlight w:val="none"/>
        </w:rPr>
        <w:t>240克/升噻呋酰胺悬浮剂、75%肟菌酯·戊唑醇水分散粒剂等。</w:t>
      </w:r>
    </w:p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仿宋_GB2312" w:hAnsi="宋体" w:eastAsia="仿宋_GB2312"/>
          <w:color w:val="000000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color w:val="000000"/>
          <w:sz w:val="32"/>
          <w:szCs w:val="32"/>
          <w:highlight w:val="none"/>
        </w:rPr>
        <w:t>稻瘟病：</w:t>
      </w:r>
      <w:r>
        <w:rPr>
          <w:rFonts w:hint="eastAsia" w:ascii="仿宋_GB2312" w:hAnsi="宋体" w:eastAsia="仿宋_GB2312" w:cs="宋体-18030"/>
          <w:sz w:val="32"/>
          <w:szCs w:val="32"/>
          <w:highlight w:val="none"/>
        </w:rPr>
        <w:t>75%三环唑可湿性粉剂、</w:t>
      </w:r>
      <w:r>
        <w:rPr>
          <w:rFonts w:hint="eastAsia" w:ascii="仿宋_GB2312" w:hAnsi="宋体" w:eastAsia="仿宋_GB2312"/>
          <w:color w:val="000000"/>
          <w:sz w:val="32"/>
          <w:szCs w:val="32"/>
          <w:highlight w:val="none"/>
        </w:rPr>
        <w:t>75%肟菌酯·戊唑醇水分散粒剂等。</w:t>
      </w:r>
    </w:p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仿宋_GB2312" w:hAnsi="宋体" w:eastAsia="仿宋_GB2312" w:cs="宋体-18030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color w:val="000000"/>
          <w:sz w:val="32"/>
          <w:szCs w:val="32"/>
          <w:highlight w:val="none"/>
        </w:rPr>
        <w:t>稻曲病：75%肟菌酯·戊唑醇水分散粒剂等。</w:t>
      </w:r>
    </w:p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仿宋_GB2312" w:hAnsi="宋体" w:eastAsia="仿宋_GB2312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sz w:val="32"/>
          <w:szCs w:val="32"/>
          <w:highlight w:val="none"/>
        </w:rPr>
        <w:t>南粳46等感病品种需结合水稻生育期进行用药，穗期防治确保两次，在水稻破口前3～5天用第</w:t>
      </w:r>
      <w:r>
        <w:rPr>
          <w:rFonts w:hint="eastAsia" w:ascii="仿宋_GB2312" w:hAnsi="宋体" w:eastAsia="仿宋_GB2312"/>
          <w:color w:val="000000"/>
          <w:sz w:val="32"/>
          <w:szCs w:val="32"/>
          <w:highlight w:val="none"/>
        </w:rPr>
        <w:t>一次药，后根据天气情况，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 xml:space="preserve">隔7～10天再防治一次。 </w:t>
      </w:r>
    </w:p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仿宋_GB2312" w:hAnsi="宋体" w:eastAsia="仿宋_GB2312"/>
          <w:color w:val="000000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sz w:val="32"/>
          <w:szCs w:val="32"/>
          <w:highlight w:val="none"/>
        </w:rPr>
        <w:t>具体防治时间和药剂以病虫防治意见为准。</w:t>
      </w:r>
    </w:p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firstLine="643" w:firstLineChars="200"/>
        <w:textAlignment w:val="auto"/>
        <w:rPr>
          <w:rFonts w:hint="eastAsia" w:ascii="仿宋_GB2312" w:hAnsi="宋体" w:eastAsia="仿宋_GB2312"/>
          <w:b/>
          <w:bCs/>
          <w:color w:val="000000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b/>
          <w:bCs/>
          <w:color w:val="000000"/>
          <w:sz w:val="32"/>
          <w:szCs w:val="32"/>
          <w:highlight w:val="none"/>
        </w:rPr>
        <w:t>6.防治要点</w:t>
      </w:r>
    </w:p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仿宋_GB2312" w:hAnsi="宋体" w:eastAsia="仿宋_GB2312"/>
          <w:color w:val="000000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color w:val="000000"/>
          <w:sz w:val="32"/>
          <w:szCs w:val="32"/>
          <w:highlight w:val="none"/>
        </w:rPr>
        <w:t>（1）防治时要确保防治质量：要确保防治用水量和用药量，施药时要确保细雾均匀喷施，不漏喷重喷,如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>施药后4小时内若遇阵雨，需及时做好补治</w:t>
      </w:r>
      <w:r>
        <w:rPr>
          <w:rFonts w:hint="eastAsia" w:ascii="仿宋_GB2312" w:hAnsi="宋体" w:eastAsia="仿宋_GB2312"/>
          <w:color w:val="000000"/>
          <w:sz w:val="32"/>
          <w:szCs w:val="32"/>
          <w:highlight w:val="none"/>
        </w:rPr>
        <w:t>。后期防治不提倡使用植保无人机防治，如需防治必须提高用液量。</w:t>
      </w:r>
    </w:p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仿宋_GB2312" w:hAnsi="宋体" w:eastAsia="仿宋_GB2312"/>
          <w:color w:val="000000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color w:val="000000"/>
          <w:sz w:val="32"/>
          <w:szCs w:val="32"/>
          <w:highlight w:val="none"/>
        </w:rPr>
        <w:t>（2）各示范点防治时间和防治药剂要统一：防治时间要求不超过防治意见规定的时间2天，同时各点防治的药剂要求统一，保证各点的病虫防治的统一性和可持续性。</w:t>
      </w:r>
    </w:p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仿宋_GB2312" w:hAnsi="宋体" w:eastAsia="仿宋_GB2312"/>
          <w:color w:val="000000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color w:val="000000"/>
          <w:sz w:val="32"/>
          <w:szCs w:val="32"/>
          <w:highlight w:val="none"/>
        </w:rPr>
        <w:t>（3）确保田间水肥管理水平良好：认真做好田间的日常水肥管理，提高水稻的自身抗逆性，降低病虫害的发生。</w:t>
      </w:r>
    </w:p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仿宋_GB2312" w:hAnsi="宋体" w:eastAsia="仿宋_GB2312"/>
          <w:color w:val="000000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color w:val="000000"/>
          <w:sz w:val="32"/>
          <w:szCs w:val="32"/>
          <w:highlight w:val="none"/>
        </w:rPr>
        <w:t>（4）要有专门的田间管理人员，以便发现问题能及时沟通。</w:t>
      </w:r>
    </w:p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仿宋_GB2312" w:hAnsi="宋体" w:eastAsia="仿宋_GB2312"/>
          <w:color w:val="000000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color w:val="000000"/>
          <w:sz w:val="32"/>
          <w:szCs w:val="32"/>
          <w:highlight w:val="none"/>
        </w:rPr>
        <w:t>（5）田间种植品种原则上选用抗病品种，且数量不超过3个，种植时间跨度控制在10天以内。</w:t>
      </w:r>
    </w:p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仿宋_GB2312" w:hAnsi="宋体" w:eastAsia="仿宋_GB2312"/>
          <w:color w:val="000000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color w:val="000000"/>
          <w:sz w:val="32"/>
          <w:szCs w:val="32"/>
          <w:highlight w:val="none"/>
        </w:rPr>
        <w:t>（6）参加绿色认证的单位用药次数和剂量需严格按照绿色认证标准使用。</w:t>
      </w:r>
    </w:p>
    <w:p>
      <w:pPr>
        <w:pStyle w:val="5"/>
        <w:pageBreakBefore w:val="0"/>
        <w:kinsoku/>
        <w:wordWrap/>
        <w:overflowPunct/>
        <w:topLinePunct w:val="0"/>
        <w:bidi w:val="0"/>
        <w:spacing w:line="560" w:lineRule="exact"/>
        <w:ind w:firstLine="640"/>
        <w:textAlignment w:val="auto"/>
        <w:rPr>
          <w:rFonts w:ascii="黑体" w:hAnsi="黑体" w:eastAsia="黑体" w:cs="黑体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二、林果绿色防控技术方案</w:t>
      </w:r>
    </w:p>
    <w:p>
      <w:pPr>
        <w:pageBreakBefore w:val="0"/>
        <w:kinsoku/>
        <w:wordWrap/>
        <w:overflowPunct/>
        <w:topLinePunct w:val="0"/>
        <w:bidi w:val="0"/>
        <w:snapToGrid w:val="0"/>
        <w:spacing w:line="560" w:lineRule="exact"/>
        <w:ind w:firstLine="640" w:firstLineChars="200"/>
        <w:contextualSpacing/>
        <w:textAlignment w:val="auto"/>
        <w:rPr>
          <w:rFonts w:ascii="楷体_GB2312" w:eastAsia="楷体_GB2312" w:cs="黑体" w:hAnsiTheme="minorEastAsia"/>
          <w:sz w:val="32"/>
          <w:szCs w:val="32"/>
          <w:highlight w:val="none"/>
        </w:rPr>
      </w:pPr>
      <w:r>
        <w:rPr>
          <w:rFonts w:hint="eastAsia" w:ascii="楷体_GB2312" w:eastAsia="楷体_GB2312" w:cs="黑体" w:hAnsiTheme="minorEastAsia"/>
          <w:sz w:val="32"/>
          <w:szCs w:val="32"/>
          <w:highlight w:val="none"/>
        </w:rPr>
        <w:t>（一）创建范围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本方案适用于林果种植面积在30亩以上经营管理水平高的专业合作社、经营主体或家庭农场，能做到田间系统管理和病虫害的统防统治；配备具有一定的病虫害防控知识的植保队伍，并根据病虫发生情况，及时选用高效低毒持效期长的绿色农药。</w:t>
      </w:r>
    </w:p>
    <w:p>
      <w:pPr>
        <w:pageBreakBefore w:val="0"/>
        <w:kinsoku/>
        <w:wordWrap/>
        <w:overflowPunct/>
        <w:topLinePunct w:val="0"/>
        <w:bidi w:val="0"/>
        <w:snapToGrid w:val="0"/>
        <w:spacing w:line="560" w:lineRule="exact"/>
        <w:ind w:firstLine="640" w:firstLineChars="200"/>
        <w:contextualSpacing/>
        <w:textAlignment w:val="auto"/>
        <w:rPr>
          <w:rFonts w:ascii="楷体_GB2312" w:eastAsia="楷体_GB2312" w:cs="黑体" w:hAnsiTheme="minorEastAsia"/>
          <w:sz w:val="32"/>
          <w:szCs w:val="32"/>
          <w:highlight w:val="none"/>
        </w:rPr>
      </w:pPr>
      <w:r>
        <w:rPr>
          <w:rFonts w:hint="eastAsia" w:ascii="楷体_GB2312" w:eastAsia="楷体_GB2312" w:cs="黑体" w:hAnsiTheme="minorEastAsia"/>
          <w:sz w:val="32"/>
          <w:szCs w:val="32"/>
          <w:highlight w:val="none"/>
        </w:rPr>
        <w:t>（二）防控策略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  <w:highlight w:val="none"/>
          <w:shd w:val="clear" w:color="auto" w:fill="FFFFFF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根据“预防为主，综合防治”植保方针，结合林果各生育期的主要病虫发生特点，</w:t>
      </w:r>
      <w:r>
        <w:rPr>
          <w:rFonts w:hint="eastAsia" w:ascii="仿宋_GB2312" w:hAnsi="宋体" w:eastAsia="仿宋_GB2312"/>
          <w:sz w:val="32"/>
          <w:szCs w:val="32"/>
          <w:highlight w:val="none"/>
          <w:shd w:val="clear" w:color="auto" w:fill="FFFFFF"/>
        </w:rPr>
        <w:t>综合集成农业、物理、生物、化学防治等主要防控手段，达到有效控制林果病虫害，确保农作物生产安全、农产品质量安全和农业生态环境安全，实现产品质量提升。</w:t>
      </w:r>
    </w:p>
    <w:p>
      <w:pPr>
        <w:pageBreakBefore w:val="0"/>
        <w:kinsoku/>
        <w:wordWrap/>
        <w:overflowPunct/>
        <w:topLinePunct w:val="0"/>
        <w:bidi w:val="0"/>
        <w:snapToGrid w:val="0"/>
        <w:spacing w:line="560" w:lineRule="exact"/>
        <w:ind w:firstLine="640" w:firstLineChars="200"/>
        <w:contextualSpacing/>
        <w:textAlignment w:val="auto"/>
        <w:rPr>
          <w:rFonts w:ascii="楷体_GB2312" w:eastAsia="楷体_GB2312" w:cs="黑体" w:hAnsiTheme="minorEastAsia"/>
          <w:sz w:val="32"/>
          <w:szCs w:val="32"/>
          <w:highlight w:val="none"/>
        </w:rPr>
      </w:pPr>
      <w:r>
        <w:rPr>
          <w:rFonts w:hint="eastAsia" w:ascii="楷体_GB2312" w:eastAsia="楷体_GB2312" w:cs="黑体" w:hAnsiTheme="minorEastAsia"/>
          <w:sz w:val="32"/>
          <w:szCs w:val="32"/>
          <w:highlight w:val="none"/>
        </w:rPr>
        <w:t>（三）技术措施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3" w:firstLineChars="200"/>
        <w:textAlignment w:val="auto"/>
        <w:rPr>
          <w:rFonts w:hint="eastAsia" w:ascii="仿宋_GB2312" w:hAnsi="宋体" w:eastAsia="仿宋_GB2312"/>
          <w:b/>
          <w:bCs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b/>
          <w:bCs/>
          <w:sz w:val="32"/>
          <w:szCs w:val="32"/>
          <w:highlight w:val="none"/>
        </w:rPr>
        <w:t>1.农业防治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（1）清园修剪：12月至早春春梢萌芽前，结合冬季清园和早春修剪，剪除病枯枝、虫枝。3月初喷施石硫合剂或矿物油清园，减少病虫越冬基数。5月上旬夏梢抽发期，结合夏剪，保证果园通风、透光条件良好，修剪后大伤口及时涂抹保护剂，防止病害通过伤口进行侵染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hAnsi="宋体" w:eastAsia="仿宋_GB2312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sz w:val="32"/>
          <w:szCs w:val="32"/>
          <w:highlight w:val="none"/>
        </w:rPr>
        <w:t>（2）深翻土壤：采收后至土壤封冻前，全园中耕除草，深度8</w:t>
      </w:r>
      <w:r>
        <w:rPr>
          <w:rFonts w:hint="eastAsia" w:ascii="宋体" w:hAnsi="宋体"/>
          <w:sz w:val="28"/>
          <w:szCs w:val="28"/>
          <w:highlight w:val="none"/>
        </w:rPr>
        <w:t>～</w:t>
      </w:r>
      <w:r>
        <w:rPr>
          <w:rFonts w:hint="eastAsia" w:ascii="仿宋_GB2312" w:eastAsia="仿宋_GB2312"/>
          <w:sz w:val="32"/>
          <w:szCs w:val="32"/>
          <w:highlight w:val="none"/>
        </w:rPr>
        <w:t>10厘米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>，破坏土壤中病虫越冬场所，结合灌水，改良土壤环境。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sz w:val="32"/>
          <w:szCs w:val="32"/>
          <w:highlight w:val="none"/>
        </w:rPr>
        <w:t>（3）以益螨治害螨：4月末5月初，早期田间害虫数量</w:t>
      </w:r>
      <w:r>
        <w:rPr>
          <w:rFonts w:hint="eastAsia" w:ascii="仿宋_GB2312" w:eastAsia="仿宋_GB2312"/>
          <w:sz w:val="32"/>
          <w:szCs w:val="32"/>
          <w:highlight w:val="none"/>
        </w:rPr>
        <w:t>在每叶2头以下时，释放捕食螨防治。释放前30天进行一次彻底清园，释放时间为傍晚或阴天，每株一袋（250</w:t>
      </w:r>
      <w:r>
        <w:rPr>
          <w:rFonts w:hint="eastAsia" w:ascii="宋体" w:hAnsi="宋体" w:cs="宋体"/>
          <w:sz w:val="32"/>
          <w:szCs w:val="32"/>
          <w:highlight w:val="none"/>
        </w:rPr>
        <w:t>头/袋</w:t>
      </w:r>
      <w:r>
        <w:rPr>
          <w:rFonts w:hint="eastAsia" w:ascii="仿宋_GB2312" w:eastAsia="仿宋_GB2312"/>
          <w:sz w:val="32"/>
          <w:szCs w:val="32"/>
          <w:highlight w:val="none"/>
        </w:rPr>
        <w:t>），在纸袋上方1/3处斜剪半寸口子，钉挂在树冠内背阳的主干上。投放时应避免投放后连续降雨造成捕食螨死亡，使用前果园须人工或机械割草，释放后桔园适当留草，为捕食螨提供越冬、越夏场所。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hAnsi="宋体" w:eastAsia="仿宋_GB2312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sz w:val="32"/>
          <w:szCs w:val="32"/>
          <w:highlight w:val="none"/>
        </w:rPr>
        <w:t>（4）</w:t>
      </w:r>
      <w:r>
        <w:rPr>
          <w:rFonts w:hint="eastAsia" w:ascii="仿宋_GB2312" w:eastAsia="仿宋_GB2312"/>
          <w:sz w:val="32"/>
          <w:szCs w:val="32"/>
          <w:highlight w:val="none"/>
        </w:rPr>
        <w:t>树干涂白。秋冬季，配置涂白剂对树干涂白，预防冻害，增强树势，同时可消灭树干翘皮缝隙中的越冬病虫；也可在树干基部包裹秸秆保温防冻，春季集中回收至园外焚毁，杀灭越冬害虫。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 w:hAnsiTheme="minorEastAsia"/>
          <w:sz w:val="32"/>
          <w:szCs w:val="32"/>
          <w:highlight w:val="none"/>
        </w:rPr>
        <w:t>（5）</w:t>
      </w:r>
      <w:r>
        <w:rPr>
          <w:rFonts w:hint="eastAsia" w:ascii="仿宋_GB2312" w:eastAsia="仿宋_GB2312"/>
          <w:sz w:val="32"/>
          <w:szCs w:val="32"/>
          <w:highlight w:val="none"/>
        </w:rPr>
        <w:t>人工捕杀：巡园根据天牛、蚱蝉、蟪蛄、金龟子等为害部位进行人工捕杀；部分昆虫有假死性，可轻轻摇动树体后捕杀落地害虫。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3" w:firstLineChars="200"/>
        <w:textAlignment w:val="auto"/>
        <w:rPr>
          <w:rFonts w:ascii="仿宋_GB2312" w:eastAsia="仿宋_GB2312"/>
          <w:b/>
          <w:bCs/>
          <w:sz w:val="32"/>
          <w:szCs w:val="32"/>
          <w:highlight w:val="none"/>
        </w:rPr>
      </w:pPr>
      <w:r>
        <w:rPr>
          <w:rFonts w:hint="eastAsia" w:ascii="仿宋_GB2312" w:eastAsia="仿宋_GB2312"/>
          <w:b/>
          <w:bCs/>
          <w:sz w:val="32"/>
          <w:szCs w:val="32"/>
          <w:highlight w:val="none"/>
        </w:rPr>
        <w:t>2.保护利用天敌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（1）生草栽培：行间生草栽培，以白三叶、苜蓿草为主，播种量约2公斤/亩，可减少果园水分蒸发，降低地表温度，同时为天敌昆虫栖息繁殖提供庇护场所。每次草高达20</w:t>
      </w:r>
      <w:r>
        <w:rPr>
          <w:rFonts w:hint="eastAsia" w:ascii="宋体" w:hAnsi="宋体"/>
          <w:sz w:val="28"/>
          <w:szCs w:val="28"/>
          <w:highlight w:val="none"/>
        </w:rPr>
        <w:t>～</w:t>
      </w:r>
      <w:r>
        <w:rPr>
          <w:rFonts w:hint="eastAsia" w:ascii="仿宋_GB2312" w:eastAsia="仿宋_GB2312"/>
          <w:sz w:val="32"/>
          <w:szCs w:val="32"/>
          <w:highlight w:val="none"/>
        </w:rPr>
        <w:t>30厘米时刈割一次，留草高10厘米左右为宜。铲除深根、高杆恶性杂草。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sz w:val="32"/>
          <w:szCs w:val="32"/>
          <w:highlight w:val="none"/>
        </w:rPr>
        <w:t>（2）</w:t>
      </w:r>
      <w:r>
        <w:rPr>
          <w:rFonts w:hint="eastAsia" w:ascii="仿宋_GB2312" w:eastAsia="仿宋_GB2312"/>
          <w:sz w:val="32"/>
          <w:szCs w:val="32"/>
          <w:highlight w:val="none"/>
        </w:rPr>
        <w:t>多样化栽培：柑橘园行间酌情种植栖境植物(如绿豆、苜蓿、百日草等)、储蓄植物(如向日葵、玉米)、诱集植物(如薄荷、罗勒)，培育繁殖害虫天敌、中性昆虫数量。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3" w:firstLineChars="200"/>
        <w:textAlignment w:val="auto"/>
        <w:rPr>
          <w:rFonts w:hint="eastAsia" w:ascii="仿宋_GB2312" w:eastAsia="仿宋_GB2312"/>
          <w:b/>
          <w:bCs/>
          <w:sz w:val="32"/>
          <w:szCs w:val="32"/>
          <w:highlight w:val="none"/>
        </w:rPr>
      </w:pPr>
      <w:r>
        <w:rPr>
          <w:rFonts w:hint="eastAsia" w:ascii="仿宋_GB2312" w:eastAsia="仿宋_GB2312" w:hAnsiTheme="minorEastAsia"/>
          <w:b/>
          <w:bCs/>
          <w:sz w:val="32"/>
          <w:szCs w:val="32"/>
          <w:highlight w:val="none"/>
        </w:rPr>
        <w:t>3.</w:t>
      </w:r>
      <w:r>
        <w:rPr>
          <w:rFonts w:hint="eastAsia" w:ascii="仿宋_GB2312" w:eastAsia="仿宋_GB2312"/>
          <w:b/>
          <w:bCs/>
          <w:sz w:val="32"/>
          <w:szCs w:val="32"/>
          <w:highlight w:val="none"/>
        </w:rPr>
        <w:t>诱杀技术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（1）黄板诱杀：利用蚜虫、柑橘粉虱、花蕾蛆等害虫对黄色的趋性，在害虫初见期悬挂可降解黄板，挂于树冠外围朝南中间部位，每亩悬挂20</w:t>
      </w:r>
      <w:r>
        <w:rPr>
          <w:rFonts w:hint="eastAsia" w:ascii="宋体" w:hAnsi="宋体"/>
          <w:sz w:val="28"/>
          <w:szCs w:val="28"/>
          <w:highlight w:val="none"/>
        </w:rPr>
        <w:t>～</w:t>
      </w:r>
      <w:r>
        <w:rPr>
          <w:rFonts w:hint="eastAsia" w:ascii="仿宋_GB2312" w:eastAsia="仿宋_GB2312"/>
          <w:sz w:val="32"/>
          <w:szCs w:val="32"/>
          <w:highlight w:val="none"/>
        </w:rPr>
        <w:t>30张。田间发生量较大时应及时更换，注意将更换的黄板及时清理出园外，避免遗留在园内造成污染。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（2）杀虫灯诱杀：使用杀虫灯诱杀鳞翅目、鞘翅目等害虫。4月底</w:t>
      </w:r>
      <w:r>
        <w:rPr>
          <w:rFonts w:hint="eastAsia" w:ascii="宋体" w:hAnsi="宋体"/>
          <w:sz w:val="28"/>
          <w:szCs w:val="28"/>
          <w:highlight w:val="none"/>
        </w:rPr>
        <w:t>～</w:t>
      </w:r>
      <w:r>
        <w:rPr>
          <w:rFonts w:hint="eastAsia" w:ascii="仿宋_GB2312" w:eastAsia="仿宋_GB2312"/>
          <w:sz w:val="32"/>
          <w:szCs w:val="32"/>
          <w:highlight w:val="none"/>
        </w:rPr>
        <w:t>10月底，每日傍晚开灯、清晨关闭，20</w:t>
      </w:r>
      <w:r>
        <w:rPr>
          <w:rFonts w:hint="eastAsia" w:ascii="宋体" w:hAnsi="宋体"/>
          <w:sz w:val="28"/>
          <w:szCs w:val="28"/>
          <w:highlight w:val="none"/>
        </w:rPr>
        <w:t>～</w:t>
      </w:r>
      <w:r>
        <w:rPr>
          <w:rFonts w:hint="eastAsia" w:ascii="仿宋_GB2312" w:eastAsia="仿宋_GB2312"/>
          <w:sz w:val="32"/>
          <w:szCs w:val="32"/>
          <w:highlight w:val="none"/>
        </w:rPr>
        <w:t>30亩安装1盏(20瓦)。注意每周清理一次收集袋中虫体，在6</w:t>
      </w:r>
      <w:r>
        <w:rPr>
          <w:rFonts w:hint="eastAsia" w:ascii="宋体" w:hAnsi="宋体"/>
          <w:sz w:val="28"/>
          <w:szCs w:val="28"/>
          <w:highlight w:val="none"/>
        </w:rPr>
        <w:t>～</w:t>
      </w:r>
      <w:r>
        <w:rPr>
          <w:rFonts w:hint="eastAsia" w:ascii="仿宋_GB2312" w:eastAsia="仿宋_GB2312"/>
          <w:sz w:val="32"/>
          <w:szCs w:val="32"/>
          <w:highlight w:val="none"/>
        </w:rPr>
        <w:t>8月诱杀高峰期，每周清理两次。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（3）性信息素诱杀：5月初，每亩悬挂3</w:t>
      </w:r>
      <w:r>
        <w:rPr>
          <w:rFonts w:hint="eastAsia" w:ascii="宋体" w:hAnsi="宋体"/>
          <w:sz w:val="28"/>
          <w:szCs w:val="28"/>
          <w:highlight w:val="none"/>
        </w:rPr>
        <w:t>～</w:t>
      </w:r>
      <w:r>
        <w:rPr>
          <w:rFonts w:hint="eastAsia" w:ascii="仿宋_GB2312" w:eastAsia="仿宋_GB2312"/>
          <w:sz w:val="32"/>
          <w:szCs w:val="32"/>
          <w:highlight w:val="none"/>
        </w:rPr>
        <w:t>5个专用诱捕器，放置在树冠上部、视野空旷处，每20天更换一次性诱剂，每周清除诱捕器内虫体；也可用腐烂桔果放入广口瓶中，诱杀成虫。性诱防治至10月中旬连续3天未诱到雄虫时终止。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 w:hAnsiTheme="minorEastAsia"/>
          <w:sz w:val="32"/>
          <w:szCs w:val="32"/>
          <w:highlight w:val="none"/>
        </w:rPr>
        <w:t>（4）</w:t>
      </w:r>
      <w:r>
        <w:rPr>
          <w:rFonts w:hint="eastAsia" w:ascii="仿宋_GB2312" w:eastAsia="仿宋_GB2312"/>
          <w:sz w:val="32"/>
          <w:szCs w:val="32"/>
          <w:highlight w:val="none"/>
        </w:rPr>
        <w:t>糖醋液诱杀：梨小、卷叶蛾等鳞翅目害虫对糖醋酒液有一定趋性，可每亩设置2</w:t>
      </w:r>
      <w:r>
        <w:rPr>
          <w:rFonts w:hint="eastAsia" w:ascii="宋体" w:hAnsi="宋体"/>
          <w:sz w:val="28"/>
          <w:szCs w:val="28"/>
          <w:highlight w:val="none"/>
        </w:rPr>
        <w:t>～</w:t>
      </w:r>
      <w:r>
        <w:rPr>
          <w:rFonts w:hint="eastAsia" w:ascii="仿宋_GB2312" w:eastAsia="仿宋_GB2312"/>
          <w:sz w:val="32"/>
          <w:szCs w:val="32"/>
          <w:highlight w:val="none"/>
        </w:rPr>
        <w:t>4个糖醋酒液诱捕器诱杀成虫，糖醋液配比为白糖：乙酸：乙醇：水=3:1:3:80，离地面1.5米左右，根据天气情况适时添加、更换，及时清理诱捕器内虫体。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3" w:firstLineChars="200"/>
        <w:textAlignment w:val="auto"/>
        <w:rPr>
          <w:rFonts w:ascii="仿宋_GB2312" w:eastAsia="仿宋_GB2312"/>
          <w:b/>
          <w:bCs/>
          <w:sz w:val="32"/>
          <w:szCs w:val="32"/>
          <w:highlight w:val="none"/>
        </w:rPr>
      </w:pPr>
      <w:r>
        <w:rPr>
          <w:rFonts w:hint="eastAsia" w:ascii="仿宋_GB2312" w:eastAsia="仿宋_GB2312" w:hAnsiTheme="minorEastAsia"/>
          <w:b/>
          <w:bCs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_GB2312" w:eastAsia="仿宋_GB2312" w:hAnsiTheme="minorEastAsia"/>
          <w:b/>
          <w:bCs/>
          <w:sz w:val="32"/>
          <w:szCs w:val="32"/>
          <w:highlight w:val="none"/>
        </w:rPr>
        <w:t>.</w:t>
      </w:r>
      <w:r>
        <w:rPr>
          <w:rFonts w:hint="eastAsia" w:ascii="仿宋_GB2312" w:eastAsia="仿宋_GB2312"/>
          <w:b/>
          <w:bCs/>
          <w:sz w:val="32"/>
          <w:szCs w:val="32"/>
          <w:highlight w:val="none"/>
        </w:rPr>
        <w:t>防治药剂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柑橘全爪螨：99%矿物油乳油、110克/升乙螨唑悬浮剂、20%丁氟螨酯悬浮剂、240克/升螺螨酯悬浮剂等。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柑橘潜叶蛾：0.3%印楝素乳油、50克/升氟虫脲可分散液剂等。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柑橘红蜡蚧：22.4%螺虫乙酯悬浮剂、99%矿物油乳油等。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柑橘粉虱：5%啶虫脒乳油和99%矿物油乳油。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柑橘树脂病、疮痂病、炭疽病等：25%吡唑醚菌酯可湿性粉剂、60%唑醚·代森联水分散粒剂、70%丙森锌可湿性粉剂、250克/升嘧菌酯悬浮剂等。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柑橘溃疡病：30%王铜悬浮剂、40%噻唑锌悬浮剂、20%噻菌铜悬浮剂、100亿芽孢/克枯草芽孢杆菌可湿性粉剂等。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hAnsi="宋体" w:eastAsia="仿宋_GB2312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sz w:val="32"/>
          <w:szCs w:val="32"/>
          <w:highlight w:val="none"/>
        </w:rPr>
        <w:t>梨小食心虫：20%甲氰菊酯水乳剂、0.3%印楝素乳油等。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hAnsi="宋体" w:eastAsia="仿宋_GB2312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sz w:val="32"/>
          <w:szCs w:val="32"/>
          <w:highlight w:val="none"/>
        </w:rPr>
        <w:t>梨木虱：1.5%苦参碱可溶液剂、0.5%藜芦碱可溶液剂、25%噻虫嗪水分散粒剂、22.4%螺虫乙酯悬浮剂等。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hAnsi="宋体" w:eastAsia="仿宋_GB2312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sz w:val="32"/>
          <w:szCs w:val="32"/>
          <w:highlight w:val="none"/>
        </w:rPr>
        <w:t>梨二叉蚜：70%吡虫啉水分散粒剂、1.5%苦参碱可溶液剂等。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hAnsi="宋体" w:eastAsia="仿宋_GB2312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sz w:val="32"/>
          <w:szCs w:val="32"/>
          <w:highlight w:val="none"/>
        </w:rPr>
        <w:t>山楂叶螨：45%石硫合剂结晶粉、99%矿物油乳油、24%螺螨酯悬浮剂、43%联苯肼酯悬浮剂、0.5%藜芦碱可溶液剂等。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Times New Roman"/>
          <w:sz w:val="32"/>
          <w:szCs w:val="32"/>
          <w:highlight w:val="none"/>
        </w:rPr>
      </w:pPr>
      <w:r>
        <w:rPr>
          <w:rFonts w:hint="eastAsia" w:ascii="仿宋_GB2312" w:hAnsi="宋体" w:eastAsia="仿宋_GB2312" w:cs="Times New Roman"/>
          <w:sz w:val="32"/>
          <w:szCs w:val="32"/>
          <w:highlight w:val="none"/>
        </w:rPr>
        <w:t>梨瘿蚊：70%吡虫啉水分散粒剂、20%甲氰菊酯水乳剂等。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  <w:highlight w:val="none"/>
          <w:shd w:val="clear" w:color="auto" w:fill="FFFFFF"/>
        </w:rPr>
      </w:pPr>
      <w:r>
        <w:rPr>
          <w:rStyle w:val="6"/>
          <w:rFonts w:hint="eastAsia" w:ascii="仿宋_GB2312" w:eastAsia="仿宋_GB2312"/>
          <w:sz w:val="32"/>
          <w:szCs w:val="32"/>
          <w:highlight w:val="none"/>
          <w:shd w:val="clear" w:color="auto" w:fill="FFFFFF"/>
        </w:rPr>
        <w:t>梨锈病：40%腈菌唑可湿性粉剂、25%戊唑醇水乳剂等</w:t>
      </w:r>
      <w:r>
        <w:rPr>
          <w:rFonts w:hint="eastAsia" w:ascii="仿宋_GB2312" w:eastAsia="仿宋_GB2312"/>
          <w:bCs/>
          <w:sz w:val="32"/>
          <w:szCs w:val="32"/>
          <w:highlight w:val="none"/>
        </w:rPr>
        <w:t>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Style w:val="6"/>
          <w:rFonts w:ascii="仿宋_GB2312" w:eastAsia="仿宋_GB2312"/>
          <w:sz w:val="32"/>
          <w:szCs w:val="32"/>
          <w:highlight w:val="none"/>
          <w:shd w:val="clear" w:color="auto" w:fill="FFFFFF"/>
        </w:rPr>
      </w:pPr>
      <w:r>
        <w:rPr>
          <w:rStyle w:val="6"/>
          <w:rFonts w:hint="eastAsia" w:ascii="仿宋_GB2312" w:eastAsia="仿宋_GB2312"/>
          <w:sz w:val="32"/>
          <w:szCs w:val="32"/>
          <w:highlight w:val="none"/>
          <w:shd w:val="clear" w:color="auto" w:fill="FFFFFF"/>
        </w:rPr>
        <w:t>梨轮纹病：4%嘧啶核苷类抗菌素水剂、50%醚菌酯水分散粒剂、25%戊唑醇水乳剂、3%多抗霉素可湿性粉剂、60%唑醚</w:t>
      </w:r>
      <w:r>
        <w:rPr>
          <w:rFonts w:hint="eastAsia" w:ascii="仿宋_GB2312" w:eastAsia="仿宋_GB2312"/>
          <w:sz w:val="32"/>
          <w:szCs w:val="32"/>
          <w:highlight w:val="none"/>
        </w:rPr>
        <w:t>·</w:t>
      </w:r>
      <w:r>
        <w:rPr>
          <w:rStyle w:val="6"/>
          <w:rFonts w:hint="eastAsia" w:ascii="仿宋_GB2312" w:eastAsia="仿宋_GB2312"/>
          <w:sz w:val="32"/>
          <w:szCs w:val="32"/>
          <w:highlight w:val="none"/>
          <w:shd w:val="clear" w:color="auto" w:fill="FFFFFF"/>
        </w:rPr>
        <w:t>代森联水分散粒剂等。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Style w:val="6"/>
          <w:rFonts w:ascii="仿宋_GB2312" w:eastAsia="仿宋_GB2312"/>
          <w:sz w:val="32"/>
          <w:szCs w:val="32"/>
          <w:highlight w:val="none"/>
          <w:shd w:val="clear" w:color="auto" w:fill="FFFFFF"/>
        </w:rPr>
      </w:pPr>
      <w:r>
        <w:rPr>
          <w:rStyle w:val="6"/>
          <w:rFonts w:hint="eastAsia" w:ascii="仿宋_GB2312" w:eastAsia="仿宋_GB2312"/>
          <w:sz w:val="32"/>
          <w:szCs w:val="32"/>
          <w:highlight w:val="none"/>
          <w:shd w:val="clear" w:color="auto" w:fill="FFFFFF"/>
        </w:rPr>
        <w:t>梨黑星病：40%腈菌唑可湿性粉剂、50%醚菌酯水分散粒剂等。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hAnsi="宋体" w:eastAsia="仿宋_GB2312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sz w:val="32"/>
          <w:szCs w:val="32"/>
          <w:highlight w:val="none"/>
        </w:rPr>
        <w:t>桃蛀螟、桃潜叶蛾等：</w:t>
      </w:r>
      <w:r>
        <w:rPr>
          <w:rFonts w:hint="eastAsia" w:ascii="仿宋_GB2312" w:hAnsi="宋体" w:eastAsia="仿宋_GB2312"/>
          <w:kern w:val="0"/>
          <w:sz w:val="32"/>
          <w:szCs w:val="32"/>
          <w:highlight w:val="none"/>
          <w:lang w:val="zh-CN"/>
        </w:rPr>
        <w:t>16000IU/毫克苏云金杆菌可湿性粉剂。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hAnsi="宋体" w:eastAsia="仿宋_GB2312"/>
          <w:sz w:val="32"/>
          <w:szCs w:val="32"/>
          <w:highlight w:val="none"/>
        </w:rPr>
      </w:pPr>
      <w:r>
        <w:rPr>
          <w:rFonts w:hint="eastAsia" w:ascii="仿宋_GB2312" w:hAnsi="宋体" w:eastAsia="仿宋_GB2312"/>
          <w:sz w:val="32"/>
          <w:szCs w:val="32"/>
          <w:highlight w:val="none"/>
        </w:rPr>
        <w:t>蚜虫、绿盲蝽等：35%噻虫</w:t>
      </w:r>
      <w:r>
        <w:rPr>
          <w:rFonts w:hint="eastAsia" w:ascii="仿宋_GB2312" w:eastAsia="仿宋_GB2312"/>
          <w:sz w:val="32"/>
          <w:szCs w:val="32"/>
          <w:highlight w:val="none"/>
        </w:rPr>
        <w:t>·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>吡蚜酮水分散粒剂、10%吡虫啉可湿性粉剂、50%氟啶虫胺腈水分散粒剂等</w:t>
      </w:r>
      <w:r>
        <w:rPr>
          <w:rFonts w:hint="eastAsia" w:ascii="仿宋_GB2312" w:eastAsia="仿宋_GB2312"/>
          <w:bCs/>
          <w:sz w:val="32"/>
          <w:szCs w:val="32"/>
          <w:highlight w:val="none"/>
        </w:rPr>
        <w:t>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  <w:highlight w:val="none"/>
          <w:shd w:val="clear" w:color="auto" w:fill="FFFFFF"/>
        </w:rPr>
      </w:pPr>
      <w:r>
        <w:rPr>
          <w:rFonts w:hint="eastAsia" w:ascii="仿宋_GB2312" w:hAnsi="宋体" w:eastAsia="仿宋_GB2312"/>
          <w:sz w:val="32"/>
          <w:szCs w:val="32"/>
          <w:highlight w:val="none"/>
        </w:rPr>
        <w:t>桃细菌性穿孔病：</w:t>
      </w:r>
      <w:r>
        <w:rPr>
          <w:rFonts w:hint="eastAsia" w:ascii="仿宋_GB2312" w:eastAsia="仿宋_GB2312"/>
          <w:sz w:val="32"/>
          <w:szCs w:val="32"/>
          <w:highlight w:val="none"/>
        </w:rPr>
        <w:t>20%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>噻菌铜</w:t>
      </w:r>
      <w:r>
        <w:rPr>
          <w:rFonts w:hint="eastAsia" w:ascii="仿宋_GB2312" w:eastAsia="仿宋_GB2312"/>
          <w:sz w:val="32"/>
          <w:szCs w:val="32"/>
          <w:highlight w:val="none"/>
        </w:rPr>
        <w:t>悬浮剂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>、</w:t>
      </w:r>
      <w:r>
        <w:rPr>
          <w:rFonts w:hint="eastAsia" w:ascii="仿宋_GB2312" w:eastAsia="仿宋_GB2312"/>
          <w:bCs/>
          <w:sz w:val="32"/>
          <w:szCs w:val="32"/>
          <w:highlight w:val="none"/>
        </w:rPr>
        <w:t>20%春雷霉素水分散粒剂、</w:t>
      </w:r>
      <w:r>
        <w:rPr>
          <w:rFonts w:hint="eastAsia" w:ascii="仿宋_GB2312" w:eastAsia="仿宋_GB2312"/>
          <w:kern w:val="0"/>
          <w:sz w:val="32"/>
          <w:szCs w:val="32"/>
          <w:highlight w:val="none"/>
        </w:rPr>
        <w:t>40%</w:t>
      </w:r>
      <w:r>
        <w:rPr>
          <w:rFonts w:hint="eastAsia" w:ascii="仿宋_GB2312" w:hAnsi="宋体" w:eastAsia="仿宋_GB2312"/>
          <w:kern w:val="0"/>
          <w:sz w:val="32"/>
          <w:szCs w:val="32"/>
          <w:highlight w:val="none"/>
        </w:rPr>
        <w:t>噻唑锌</w:t>
      </w:r>
      <w:r>
        <w:rPr>
          <w:rFonts w:hint="eastAsia" w:ascii="仿宋_GB2312" w:eastAsia="仿宋_GB2312"/>
          <w:kern w:val="0"/>
          <w:sz w:val="32"/>
          <w:szCs w:val="32"/>
          <w:highlight w:val="none"/>
        </w:rPr>
        <w:t>悬浮剂</w:t>
      </w:r>
      <w:r>
        <w:rPr>
          <w:rFonts w:hint="eastAsia" w:ascii="仿宋_GB2312" w:hAnsi="宋体" w:eastAsia="仿宋_GB2312"/>
          <w:kern w:val="0"/>
          <w:sz w:val="32"/>
          <w:szCs w:val="32"/>
          <w:highlight w:val="none"/>
        </w:rPr>
        <w:t>等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>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hAnsi="宋体" w:eastAsia="仿宋_GB2312"/>
          <w:sz w:val="32"/>
          <w:szCs w:val="32"/>
          <w:highlight w:val="none"/>
          <w:shd w:val="clear" w:color="auto" w:fill="FFFFFF"/>
        </w:rPr>
      </w:pPr>
      <w:r>
        <w:rPr>
          <w:rFonts w:hint="eastAsia" w:ascii="仿宋_GB2312" w:hAnsi="宋体" w:eastAsia="仿宋_GB2312"/>
          <w:sz w:val="32"/>
          <w:szCs w:val="32"/>
          <w:highlight w:val="none"/>
          <w:shd w:val="clear" w:color="auto" w:fill="FFFFFF"/>
        </w:rPr>
        <w:t>桃褐斑穿孔病、褐腐病、炭疽病等：</w:t>
      </w:r>
      <w:r>
        <w:rPr>
          <w:rFonts w:hint="eastAsia" w:ascii="仿宋_GB2312" w:eastAsia="仿宋_GB2312"/>
          <w:sz w:val="32"/>
          <w:szCs w:val="32"/>
          <w:highlight w:val="none"/>
        </w:rPr>
        <w:t>24%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>腈苯唑</w:t>
      </w:r>
      <w:r>
        <w:rPr>
          <w:rFonts w:hint="eastAsia" w:ascii="仿宋_GB2312" w:eastAsia="仿宋_GB2312"/>
          <w:sz w:val="32"/>
          <w:szCs w:val="32"/>
          <w:highlight w:val="none"/>
        </w:rPr>
        <w:t>悬浮剂、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>60%唑醚·代森联水分散粒剂等。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葡萄霜霉病：250克/升嘧菌酯悬浮剂、22.5%啶氧菌酯悬浮剂、80%烯酰吗啉水分散粒剂等。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葡萄灰霉病：50%异菌脲悬浮剂、80%嘧霉胺水分散粒剂、38%唑醚·啶酰菌水分散粒剂、2亿孢子/克哈茨木霉菌可湿性粉剂等。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葡萄炭疽病：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>250克/升嘧菌酯悬浮剂</w:t>
      </w:r>
      <w:r>
        <w:rPr>
          <w:rFonts w:hint="eastAsia" w:ascii="仿宋_GB2312" w:eastAsia="仿宋_GB2312"/>
          <w:sz w:val="32"/>
          <w:szCs w:val="32"/>
          <w:highlight w:val="none"/>
        </w:rPr>
        <w:t>、40%腈菌唑可湿性粉剂等。</w:t>
      </w:r>
    </w:p>
    <w:p>
      <w:pPr>
        <w:pageBreakBefore w:val="0"/>
        <w:kinsoku/>
        <w:wordWrap/>
        <w:overflowPunct/>
        <w:topLinePunct w:val="0"/>
        <w:bidi w:val="0"/>
        <w:spacing w:line="560" w:lineRule="exact"/>
        <w:ind w:firstLine="640" w:firstLineChars="200"/>
        <w:textAlignment w:val="auto"/>
        <w:rPr>
          <w:rFonts w:hint="eastAsia" w:ascii="仿宋_GB2312" w:hAnsi="宋体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葡萄白腐病：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>60%唑醚</w:t>
      </w:r>
      <w:r>
        <w:rPr>
          <w:rFonts w:hint="eastAsia" w:ascii="仿宋_GB2312" w:eastAsia="仿宋_GB2312"/>
          <w:sz w:val="32"/>
          <w:szCs w:val="32"/>
          <w:highlight w:val="none"/>
        </w:rPr>
        <w:t>·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>代森联水分散粒剂、</w:t>
      </w:r>
      <w:r>
        <w:rPr>
          <w:rFonts w:hint="eastAsia" w:ascii="仿宋_GB2312" w:eastAsia="仿宋_GB2312"/>
          <w:sz w:val="32"/>
          <w:szCs w:val="32"/>
          <w:highlight w:val="none"/>
        </w:rPr>
        <w:t>250克/升嘧菌酯悬浮剂、</w:t>
      </w:r>
      <w:r>
        <w:rPr>
          <w:rFonts w:hint="eastAsia" w:ascii="仿宋_GB2312" w:hAnsi="宋体" w:eastAsia="仿宋_GB2312"/>
          <w:sz w:val="32"/>
          <w:szCs w:val="32"/>
          <w:highlight w:val="none"/>
        </w:rPr>
        <w:t>250克/升戊唑醇水乳剂等。</w:t>
      </w:r>
    </w:p>
    <w:p>
      <w:pPr>
        <w:pStyle w:val="2"/>
        <w:rPr>
          <w:rFonts w:hint="eastAsia" w:ascii="仿宋_GB2312" w:hAnsi="宋体" w:eastAsia="仿宋_GB2312"/>
          <w:sz w:val="32"/>
          <w:szCs w:val="32"/>
          <w:highlight w:val="none"/>
        </w:rPr>
      </w:pPr>
    </w:p>
    <w:p>
      <w:pPr>
        <w:rPr>
          <w:rFonts w:hint="eastAsia" w:ascii="仿宋_GB2312" w:hAnsi="宋体" w:eastAsia="仿宋_GB2312"/>
          <w:sz w:val="32"/>
          <w:szCs w:val="32"/>
          <w:highlight w:val="none"/>
        </w:rPr>
      </w:pPr>
    </w:p>
    <w:p>
      <w:bookmarkStart w:id="2" w:name="_GoBack"/>
      <w:bookmarkEnd w:id="2"/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宋体-18030">
    <w:altName w:val="宋体"/>
    <w:panose1 w:val="00000000000000000000"/>
    <w:charset w:val="86"/>
    <w:family w:val="modern"/>
    <w:pitch w:val="default"/>
    <w:sig w:usb0="00000000" w:usb1="00000000" w:usb2="000A005E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NhZjBjNmE5YjU5ZDU0OTE5YTU5OGJiNzg3ZWY0NzcifQ=="/>
  </w:docVars>
  <w:rsids>
    <w:rsidRoot w:val="1A016AC3"/>
    <w:rsid w:val="1A016AC3"/>
    <w:rsid w:val="7C6A5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5">
    <w:name w:val="List Paragraph1"/>
    <w:basedOn w:val="1"/>
    <w:qFormat/>
    <w:uiPriority w:val="0"/>
    <w:pPr>
      <w:ind w:firstLine="420" w:firstLineChars="200"/>
    </w:pPr>
    <w:rPr>
      <w:rFonts w:ascii="Calibri" w:hAnsi="Calibri" w:cs="Calibri"/>
      <w:szCs w:val="21"/>
    </w:rPr>
  </w:style>
  <w:style w:type="character" w:customStyle="1" w:styleId="6">
    <w:name w:val="apple-style-span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上海市崇明区农业农村委员会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2022-10-26T09:27:00Z</dcterms:created>
  <dc:creator>Adobe.Lu</dc:creator>
  <cp:lastModifiedBy>Adobe.Lu</cp:lastModifiedBy>
  <dcterms:modified xsi:type="dcterms:W3CDTF">2022-10-26T09:27:56Z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414A5D3744CB4550A10E80A1D1DC0CC1</vt:lpwstr>
  </property>
</Properties>
</file>