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both"/>
        <w:rPr>
          <w:rFonts w:hint="eastAsia" w:ascii="方正小标宋简体" w:eastAsia="方正小标宋简体"/>
          <w:color w:val="FF0000"/>
          <w:spacing w:val="24"/>
          <w:sz w:val="60"/>
          <w:szCs w:val="60"/>
        </w:rPr>
      </w:pPr>
      <w:bookmarkStart w:id="0" w:name="_GoBack"/>
      <w:bookmarkEnd w:id="0"/>
    </w:p>
    <w:p>
      <w:pPr>
        <w:pStyle w:val="11"/>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崇明区工贸行业安全生产专项整治</w:t>
      </w:r>
    </w:p>
    <w:p>
      <w:pPr>
        <w:pStyle w:val="11"/>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“百日清零行动”实施方案</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深入学习贯彻习近平总书记关于安全生产重要论述和指示批示精神，全面落实全国安全生产电视电话会议精神和国务院安委会《关于进一步强化安全生产责任落实坚决防范遏制重特大事故的若干措施》要求，切实加强我</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安全生产工作，根据《</w:t>
      </w:r>
      <w:r>
        <w:rPr>
          <w:rFonts w:hint="eastAsia" w:ascii="仿宋_GB2312" w:hAnsi="仿宋_GB2312" w:eastAsia="仿宋_GB2312" w:cs="仿宋_GB2312"/>
          <w:sz w:val="32"/>
          <w:szCs w:val="32"/>
          <w:lang w:eastAsia="zh-CN"/>
        </w:rPr>
        <w:t>上海市</w:t>
      </w:r>
      <w:r>
        <w:rPr>
          <w:rFonts w:hint="eastAsia" w:ascii="仿宋_GB2312" w:hAnsi="仿宋_GB2312" w:eastAsia="仿宋_GB2312" w:cs="仿宋_GB2312"/>
          <w:sz w:val="32"/>
          <w:szCs w:val="32"/>
        </w:rPr>
        <w:t>应急管理</w:t>
      </w:r>
      <w:r>
        <w:rPr>
          <w:rFonts w:hint="eastAsia" w:ascii="仿宋_GB2312" w:hAnsi="仿宋_GB2312" w:eastAsia="仿宋_GB2312" w:cs="仿宋_GB2312"/>
          <w:sz w:val="32"/>
          <w:szCs w:val="32"/>
          <w:lang w:eastAsia="zh-CN"/>
        </w:rPr>
        <w:t>局</w:t>
      </w:r>
      <w:r>
        <w:rPr>
          <w:rFonts w:hint="eastAsia" w:ascii="仿宋_GB2312" w:hAnsi="仿宋_GB2312" w:eastAsia="仿宋_GB2312" w:cs="仿宋_GB2312"/>
          <w:sz w:val="32"/>
          <w:szCs w:val="32"/>
        </w:rPr>
        <w:t>关于印发〈</w:t>
      </w:r>
      <w:r>
        <w:rPr>
          <w:rFonts w:hint="eastAsia" w:ascii="仿宋_GB2312" w:hAnsi="仿宋_GB2312" w:eastAsia="仿宋_GB2312" w:cs="仿宋_GB2312"/>
          <w:sz w:val="32"/>
          <w:szCs w:val="32"/>
          <w:lang w:eastAsia="zh-CN"/>
        </w:rPr>
        <w:t>上海市</w:t>
      </w:r>
      <w:r>
        <w:rPr>
          <w:rFonts w:hint="eastAsia" w:ascii="仿宋_GB2312" w:hAnsi="仿宋_GB2312" w:eastAsia="仿宋_GB2312" w:cs="仿宋_GB2312"/>
          <w:sz w:val="32"/>
          <w:szCs w:val="32"/>
        </w:rPr>
        <w:t>工贸行业安全生产专项整治“百日清零行动”</w:t>
      </w:r>
      <w:r>
        <w:rPr>
          <w:rFonts w:hint="eastAsia" w:ascii="仿宋_GB2312" w:hAnsi="仿宋_GB2312" w:eastAsia="仿宋_GB2312" w:cs="仿宋_GB2312"/>
          <w:sz w:val="32"/>
          <w:szCs w:val="32"/>
          <w:lang w:eastAsia="zh-CN"/>
        </w:rPr>
        <w:t>实施</w:t>
      </w:r>
      <w:r>
        <w:rPr>
          <w:rFonts w:hint="eastAsia" w:ascii="仿宋_GB2312" w:hAnsi="仿宋_GB2312" w:eastAsia="仿宋_GB2312" w:cs="仿宋_GB2312"/>
          <w:sz w:val="32"/>
          <w:szCs w:val="32"/>
        </w:rPr>
        <w:t>方案〉的通知》（</w:t>
      </w:r>
      <w:r>
        <w:rPr>
          <w:rFonts w:hint="eastAsia" w:ascii="仿宋_GB2312" w:hAnsi="仿宋_GB2312" w:eastAsia="仿宋_GB2312" w:cs="仿宋_GB2312"/>
          <w:sz w:val="32"/>
          <w:szCs w:val="32"/>
          <w:lang w:eastAsia="zh-CN"/>
        </w:rPr>
        <w:t>沪</w:t>
      </w:r>
      <w:r>
        <w:rPr>
          <w:rFonts w:hint="eastAsia" w:ascii="仿宋_GB2312" w:hAnsi="仿宋_GB2312" w:eastAsia="仿宋_GB2312" w:cs="仿宋_GB2312"/>
          <w:sz w:val="32"/>
          <w:szCs w:val="32"/>
        </w:rPr>
        <w:t>应急〔2022</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25</w:t>
      </w:r>
      <w:r>
        <w:rPr>
          <w:rFonts w:hint="eastAsia" w:ascii="仿宋_GB2312" w:hAnsi="仿宋_GB2312" w:eastAsia="仿宋_GB2312" w:cs="仿宋_GB2312"/>
          <w:sz w:val="32"/>
          <w:szCs w:val="32"/>
        </w:rPr>
        <w:t>号），决定在全</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组织开展工贸行业安全生产专项整治“百日清零行动”（以下简称“百日清零行动”）。现制定如下工作方案。</w:t>
      </w:r>
    </w:p>
    <w:p>
      <w:pPr>
        <w:pStyle w:val="11"/>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color w:val="auto"/>
          <w:lang w:val="en-US" w:eastAsia="zh-CN"/>
        </w:rPr>
      </w:pPr>
      <w:r>
        <w:rPr>
          <w:rFonts w:hint="eastAsia" w:ascii="黑体" w:hAnsi="黑体" w:eastAsia="黑体" w:cs="黑体"/>
          <w:color w:val="auto"/>
          <w:lang w:val="en-US" w:eastAsia="zh-CN"/>
        </w:rPr>
        <w:t>一、总体要求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深刻吸取近期工贸行业典型生产安全事故教训，坚持“人民至上、生命至上”，坚持“从根本上消除事故隐患、从根本上解决问题”，突出重点行业领域、重点整治事项，突出企业自查与部门核查相结合、全面检查与严格执法相结合，彻底完成安全生产专项整治三年行动工贸行业重点整治事项清零任务，坚决遏制重特大事故发生，切实保障人民群众生命财产安全，助力打赢疫情防控大上海保卫战，推动安全有序复工复产，为党的二十大和市第十二次党代会胜利召开创造良好安全环境。</w:t>
      </w:r>
    </w:p>
    <w:p>
      <w:pPr>
        <w:pStyle w:val="11"/>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color w:val="auto"/>
          <w:lang w:val="en-US" w:eastAsia="zh-CN"/>
        </w:rPr>
      </w:pPr>
      <w:r>
        <w:rPr>
          <w:rFonts w:hint="eastAsia" w:ascii="黑体" w:hAnsi="黑体" w:eastAsia="黑体" w:cs="黑体"/>
          <w:color w:val="auto"/>
          <w:lang w:val="en-US" w:eastAsia="zh-CN"/>
        </w:rPr>
        <w:t>二、重点整治范围和事项</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重点整治范围是本区钢铁、铝加工（深井铸造）、粉尘涉爆企业。</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重点整治事项包括：</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楷体_GB2312" w:hAnsi="楷体_GB2312" w:eastAsia="楷体_GB2312" w:cs="楷体_GB2312"/>
          <w:color w:val="auto"/>
          <w:lang w:val="en-US" w:eastAsia="zh-CN"/>
        </w:rPr>
      </w:pPr>
      <w:r>
        <w:rPr>
          <w:rFonts w:hint="eastAsia" w:ascii="楷体_GB2312" w:hAnsi="楷体_GB2312" w:eastAsia="楷体_GB2312" w:cs="楷体_GB2312"/>
          <w:color w:val="auto"/>
          <w:lang w:val="en-US" w:eastAsia="zh-CN"/>
        </w:rPr>
        <w:t>（一）钢铁企业重点整治事项（以下简称“钢8条”）</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1.炼钢厂在吊运铁水、钢水、液渣时，未使用带固定式龙门钩的冶金铸造起重机；炼铁厂铸铁车间吊运铁水、液渣的起重机不符合冶金起重机的相关要求。</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2.吊运铁水、钢水、液渣的起重机钢丝绳及其端头固定零件、龙门钩横梁焊缝、耳轴销、吊钩，未进行定期检查或发现问题未及时整改。</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3.操作室、会议室、交接班室、活动室、休息室、更衣室等场所设置在铁水、钢水、液渣吊运影响的范围内。</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4.钢水铸造（连铸、模铸）流程未规范设置钢水罐、溢流槽等高温熔融金属紧急排放或应急储存设施。</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5.氧枪等水冷元件未安装出水温度、进出水流量差监测和报警装置，未与炉体倾动、氧气开闭的控制系统实现联锁。</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6.高炉、转炉、加热炉、煤气柜等煤气区域有人值守的主控室、操作室、人员休息室等可能发生煤气泄漏、积聚的场所，未安装固定式一氧化碳监测和报警装置。</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7.高炉、转炉、加热炉、煤气柜、除尘器等设备设施的煤气管道未安装隔断或吹扫装置。</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8.使用国家明令禁止的设备、材料、工艺。</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楷体_GB2312" w:hAnsi="楷体_GB2312" w:eastAsia="楷体_GB2312" w:cs="楷体_GB2312"/>
          <w:color w:val="auto"/>
          <w:lang w:val="en-US" w:eastAsia="zh-CN"/>
        </w:rPr>
      </w:pPr>
      <w:r>
        <w:rPr>
          <w:rFonts w:hint="eastAsia" w:ascii="楷体_GB2312" w:hAnsi="楷体_GB2312" w:eastAsia="楷体_GB2312" w:cs="楷体_GB2312"/>
          <w:color w:val="auto"/>
          <w:lang w:val="en-US" w:eastAsia="zh-CN"/>
        </w:rPr>
        <w:t>（二）铝加工（深井铸造）重点整治事项（以下简称“铝7条”）</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1.固定式熔炼炉铝水出口未设置机械锁紧装置。倾动式熔炼炉控制系统未与铸造机控制系统实现联锁。</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2.固定式熔炼炉铝水出口和流槽接口位置未安装液位监测和报警装置，相关液位监测和报警装置未与流槽上的快速切断阀或紧急排放阀实现联锁。</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3.熔炼、铸造等作业场所存在非生产性积水或存放易燃易爆物品。</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4.铸造机结晶器的冷却水系统未安装进水和出水温度、进水压力、进水流量监测和报警装置。相关监测和报警装置未与流槽上的快速切断阀或紧急排放阀实现联锁，未与倾动式熔炼炉控制系统实现联锁。</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5.铝水流槽未规范设置紧急排放或应急储存设施。</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6.钢丝卷扬系统的钢丝绳未定期检查或更换，卷扬系统未安装应急电源。液压铸造系统未安装手动泄压装置。</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7.铸造车间现场未严格控制人数。</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楷体_GB2312" w:hAnsi="楷体_GB2312" w:eastAsia="楷体_GB2312" w:cs="楷体_GB2312"/>
          <w:color w:val="auto"/>
          <w:lang w:val="en-US" w:eastAsia="zh-CN"/>
        </w:rPr>
      </w:pPr>
      <w:r>
        <w:rPr>
          <w:rFonts w:hint="eastAsia" w:ascii="楷体_GB2312" w:hAnsi="楷体_GB2312" w:eastAsia="楷体_GB2312" w:cs="楷体_GB2312"/>
          <w:color w:val="auto"/>
          <w:lang w:val="en-US" w:eastAsia="zh-CN"/>
        </w:rPr>
        <w:t>（三）粉尘涉爆企业重点整治事项（以下简称“粉6条”）</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1.不同种类的可燃性粉尘、可燃性粉尘与可燃气体等易加剧爆炸危险的介质共用一套除尘系统，不同防火分区的除尘系统互联互通。</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2.干式除尘系统未规范采用泄爆、惰化、抑爆、抗爆等控爆措施。</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3.除尘系统采用重力沉降方式除尘，或者采用干式巷道式构筑物作为除尘风道。</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4.铝镁等金属粉尘除尘系统未采用负压除尘方式。其他可燃性粉尘除尘系统采用正压吹送粉尘时，未规范采取火花探测消除等防范点燃源措施。</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5.粉碎、研磨、造粒、砂光等易产生机械火花的工艺，未规范采取杂物去除或火花探测消除等防范点燃源措施。</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6.未按规范制定粉尘清理制度，作业现场和相关设备设施积尘未及时规范清扫。铝镁等金属粉尘的收集、贮存等处置环节未落实防水防潮、通风、氢气监测等必要的防爆措施。</w:t>
      </w:r>
    </w:p>
    <w:p>
      <w:pPr>
        <w:pStyle w:val="11"/>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color w:val="auto"/>
          <w:lang w:val="en-US" w:eastAsia="zh-CN"/>
        </w:rPr>
      </w:pPr>
      <w:r>
        <w:rPr>
          <w:rFonts w:hint="eastAsia" w:ascii="黑体" w:hAnsi="黑体" w:eastAsia="黑体" w:cs="黑体"/>
          <w:color w:val="auto"/>
          <w:lang w:val="en-US" w:eastAsia="zh-CN"/>
        </w:rPr>
        <w:t>三、工作安排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lang w:val="en-US" w:eastAsia="zh-CN"/>
        </w:rPr>
        <w:t>根据市局总体安排，</w:t>
      </w:r>
      <w:r>
        <w:rPr>
          <w:rFonts w:hint="eastAsia" w:ascii="仿宋_GB2312" w:hAnsi="仿宋_GB2312" w:eastAsia="仿宋_GB2312" w:cs="仿宋_GB2312"/>
          <w:sz w:val="32"/>
          <w:szCs w:val="32"/>
        </w:rPr>
        <w:t>结合</w:t>
      </w:r>
      <w:r>
        <w:rPr>
          <w:rFonts w:hint="eastAsia" w:ascii="仿宋_GB2312" w:hAnsi="仿宋_GB2312" w:eastAsia="仿宋_GB2312" w:cs="仿宋_GB2312"/>
          <w:sz w:val="32"/>
          <w:szCs w:val="32"/>
          <w:lang w:eastAsia="zh-CN"/>
        </w:rPr>
        <w:t>我区</w:t>
      </w:r>
      <w:r>
        <w:rPr>
          <w:rFonts w:hint="eastAsia" w:ascii="仿宋_GB2312" w:hAnsi="仿宋_GB2312" w:eastAsia="仿宋_GB2312" w:cs="仿宋_GB2312"/>
          <w:sz w:val="32"/>
          <w:szCs w:val="32"/>
        </w:rPr>
        <w:t>现阶段疫情防控工作实际，分为以下两个阶段开展：</w:t>
      </w:r>
    </w:p>
    <w:p>
      <w:pPr>
        <w:pStyle w:val="11"/>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jc w:val="both"/>
        <w:textAlignment w:val="auto"/>
        <w:outlineLvl w:val="9"/>
        <w:rPr>
          <w:rFonts w:hint="eastAsia" w:ascii="仿宋_GB2312" w:hAnsi="仿宋_GB2312" w:eastAsia="仿宋_GB2312" w:cs="仿宋_GB2312"/>
        </w:rPr>
      </w:pPr>
      <w:r>
        <w:rPr>
          <w:rFonts w:hint="eastAsia" w:ascii="楷体_GB2312" w:hAnsi="楷体_GB2312" w:eastAsia="楷体_GB2312" w:cs="楷体_GB2312"/>
          <w:color w:val="auto"/>
          <w:lang w:val="en-US" w:eastAsia="zh-CN"/>
        </w:rPr>
        <w:t>（一）企业自查自改阶段（7月中旬前完成）</w:t>
      </w:r>
    </w:p>
    <w:p>
      <w:pPr>
        <w:pStyle w:val="11"/>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仿宋_GB2312" w:hAnsi="仿宋_GB2312" w:eastAsia="仿宋_GB2312" w:cs="仿宋_GB2312"/>
          <w:color w:val="FF0000"/>
          <w:lang w:val="en-US" w:eastAsia="zh-CN"/>
        </w:rPr>
      </w:pPr>
      <w:r>
        <w:rPr>
          <w:rFonts w:hint="eastAsia" w:ascii="仿宋_GB2312" w:hAnsi="仿宋_GB2312" w:eastAsia="仿宋_GB2312" w:cs="仿宋_GB2312"/>
        </w:rPr>
        <w:t>钢铁、铝加工（深井铸造）、粉尘涉爆企业在封闭生产或复工复产期间，分别对照</w:t>
      </w:r>
      <w:r>
        <w:rPr>
          <w:rFonts w:hint="eastAsia" w:ascii="仿宋_GB2312" w:hAnsi="仿宋_GB2312" w:eastAsia="仿宋_GB2312" w:cs="仿宋_GB2312"/>
          <w:lang w:eastAsia="zh-CN"/>
        </w:rPr>
        <w:t>“</w:t>
      </w:r>
      <w:r>
        <w:rPr>
          <w:rFonts w:hint="eastAsia" w:ascii="仿宋_GB2312" w:hAnsi="仿宋_GB2312" w:eastAsia="仿宋_GB2312" w:cs="仿宋_GB2312"/>
        </w:rPr>
        <w:t>钢8条</w:t>
      </w:r>
      <w:r>
        <w:rPr>
          <w:rFonts w:hint="eastAsia" w:ascii="仿宋_GB2312" w:hAnsi="仿宋_GB2312" w:eastAsia="仿宋_GB2312" w:cs="仿宋_GB2312"/>
          <w:lang w:eastAsia="zh-CN"/>
        </w:rPr>
        <w:t>”</w:t>
      </w:r>
      <w:r>
        <w:rPr>
          <w:rFonts w:hint="eastAsia" w:ascii="仿宋_GB2312" w:hAnsi="仿宋_GB2312" w:eastAsia="仿宋_GB2312" w:cs="仿宋_GB2312"/>
        </w:rPr>
        <w:t>、</w:t>
      </w:r>
      <w:r>
        <w:rPr>
          <w:rFonts w:hint="eastAsia" w:ascii="仿宋_GB2312" w:hAnsi="仿宋_GB2312" w:eastAsia="仿宋_GB2312" w:cs="仿宋_GB2312"/>
          <w:lang w:eastAsia="zh-CN"/>
        </w:rPr>
        <w:t>“</w:t>
      </w:r>
      <w:r>
        <w:rPr>
          <w:rFonts w:hint="eastAsia" w:ascii="仿宋_GB2312" w:hAnsi="仿宋_GB2312" w:eastAsia="仿宋_GB2312" w:cs="仿宋_GB2312"/>
        </w:rPr>
        <w:t>铝7条</w:t>
      </w:r>
      <w:r>
        <w:rPr>
          <w:rFonts w:hint="eastAsia" w:ascii="仿宋_GB2312" w:hAnsi="仿宋_GB2312" w:eastAsia="仿宋_GB2312" w:cs="仿宋_GB2312"/>
          <w:lang w:eastAsia="zh-CN"/>
        </w:rPr>
        <w:t>”</w:t>
      </w:r>
      <w:r>
        <w:rPr>
          <w:rFonts w:hint="eastAsia" w:ascii="仿宋_GB2312" w:hAnsi="仿宋_GB2312" w:eastAsia="仿宋_GB2312" w:cs="仿宋_GB2312"/>
        </w:rPr>
        <w:t>、</w:t>
      </w:r>
      <w:r>
        <w:rPr>
          <w:rFonts w:hint="eastAsia" w:ascii="仿宋_GB2312" w:hAnsi="仿宋_GB2312" w:eastAsia="仿宋_GB2312" w:cs="仿宋_GB2312"/>
          <w:lang w:eastAsia="zh-CN"/>
        </w:rPr>
        <w:t>“</w:t>
      </w:r>
      <w:r>
        <w:rPr>
          <w:rFonts w:hint="eastAsia" w:ascii="仿宋_GB2312" w:hAnsi="仿宋_GB2312" w:eastAsia="仿宋_GB2312" w:cs="仿宋_GB2312"/>
        </w:rPr>
        <w:t>粉6条</w:t>
      </w:r>
      <w:r>
        <w:rPr>
          <w:rFonts w:hint="eastAsia" w:ascii="仿宋_GB2312" w:hAnsi="仿宋_GB2312" w:eastAsia="仿宋_GB2312" w:cs="仿宋_GB2312"/>
          <w:lang w:eastAsia="zh-CN"/>
        </w:rPr>
        <w:t>”</w:t>
      </w:r>
      <w:r>
        <w:rPr>
          <w:rFonts w:hint="eastAsia" w:ascii="仿宋_GB2312" w:hAnsi="仿宋_GB2312" w:eastAsia="仿宋_GB2312" w:cs="仿宋_GB2312"/>
        </w:rPr>
        <w:t>共21条重点整治事项，主动自查自改。</w:t>
      </w:r>
      <w:r>
        <w:rPr>
          <w:rFonts w:hint="eastAsia" w:ascii="仿宋_GB2312" w:hAnsi="仿宋_GB2312" w:eastAsia="仿宋_GB2312" w:cs="仿宋_GB2312"/>
          <w:lang w:eastAsia="zh-CN"/>
        </w:rPr>
        <w:t>各乡镇、园区要加强所属相关企业的指导监督，加大督促、检查力度。凡存在尚未清零的事项，不得继续生产。</w:t>
      </w:r>
    </w:p>
    <w:p>
      <w:pPr>
        <w:pStyle w:val="11"/>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jc w:val="both"/>
        <w:textAlignment w:val="auto"/>
        <w:outlineLvl w:val="9"/>
        <w:rPr>
          <w:rFonts w:hint="eastAsia" w:ascii="楷体_GB2312" w:hAnsi="楷体_GB2312" w:eastAsia="楷体_GB2312" w:cs="楷体_GB2312"/>
          <w:color w:val="auto"/>
          <w:lang w:val="en-US" w:eastAsia="zh-CN"/>
        </w:rPr>
      </w:pPr>
      <w:r>
        <w:rPr>
          <w:rFonts w:hint="eastAsia" w:ascii="楷体_GB2312" w:hAnsi="楷体_GB2312" w:eastAsia="楷体_GB2312" w:cs="楷体_GB2312"/>
          <w:color w:val="auto"/>
          <w:lang w:val="en-US" w:eastAsia="zh-CN"/>
        </w:rPr>
        <w:t>（二）专项检查抽查阶段（7月下旬至9月上旬）</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区应急局对</w:t>
      </w:r>
      <w:r>
        <w:rPr>
          <w:rFonts w:hint="eastAsia" w:ascii="仿宋_GB2312" w:hAnsi="仿宋_GB2312" w:eastAsia="仿宋_GB2312" w:cs="仿宋_GB2312"/>
          <w:sz w:val="32"/>
          <w:szCs w:val="32"/>
          <w:lang w:eastAsia="zh-CN"/>
        </w:rPr>
        <w:t>全区</w:t>
      </w:r>
      <w:r>
        <w:rPr>
          <w:rFonts w:hint="eastAsia" w:ascii="仿宋_GB2312" w:hAnsi="仿宋_GB2312" w:eastAsia="仿宋_GB2312" w:cs="仿宋_GB2312"/>
          <w:sz w:val="32"/>
          <w:szCs w:val="32"/>
        </w:rPr>
        <w:t>钢铁、铝加工（深井铸造）、粉尘涉爆企业开展</w:t>
      </w:r>
      <w:r>
        <w:rPr>
          <w:rFonts w:hint="eastAsia" w:ascii="仿宋_GB2312" w:hAnsi="仿宋_GB2312" w:eastAsia="仿宋_GB2312" w:cs="仿宋_GB2312"/>
          <w:color w:val="auto"/>
          <w:sz w:val="32"/>
          <w:szCs w:val="32"/>
          <w:lang w:val="en-US" w:eastAsia="zh-CN"/>
        </w:rPr>
        <w:t>逐企</w:t>
      </w:r>
      <w:r>
        <w:rPr>
          <w:rFonts w:hint="eastAsia" w:ascii="仿宋_GB2312" w:hAnsi="仿宋_GB2312" w:eastAsia="仿宋_GB2312" w:cs="仿宋_GB2312"/>
          <w:sz w:val="32"/>
          <w:szCs w:val="32"/>
          <w:lang w:eastAsia="zh-CN"/>
        </w:rPr>
        <w:t>核查，并将整治情况</w:t>
      </w:r>
      <w:r>
        <w:rPr>
          <w:rFonts w:hint="eastAsia" w:ascii="仿宋_GB2312" w:hAnsi="仿宋_GB2312" w:eastAsia="仿宋_GB2312" w:cs="仿宋_GB2312"/>
          <w:sz w:val="32"/>
          <w:szCs w:val="32"/>
        </w:rPr>
        <w:t>纳入相关安全生产年度考核。</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迎接市应急局对本区“百日清零行动”工作落实情况的抽查，进一步核验“百日清零行动”工作成效，</w:t>
      </w:r>
      <w:r>
        <w:rPr>
          <w:rFonts w:hint="eastAsia" w:ascii="仿宋_GB2312" w:hAnsi="仿宋_GB2312" w:eastAsia="仿宋_GB2312" w:cs="仿宋_GB2312"/>
          <w:sz w:val="32"/>
          <w:szCs w:val="32"/>
        </w:rPr>
        <w:t>市应急局将对检查不精准、整改不到位、执法不严格、工作不留痕等问题</w:t>
      </w:r>
      <w:r>
        <w:rPr>
          <w:rFonts w:hint="eastAsia" w:ascii="仿宋_GB2312" w:hAnsi="仿宋_GB2312" w:eastAsia="仿宋_GB2312" w:cs="仿宋_GB2312"/>
          <w:sz w:val="32"/>
          <w:szCs w:val="32"/>
          <w:lang w:eastAsia="zh-CN"/>
        </w:rPr>
        <w:t>进行</w:t>
      </w:r>
      <w:r>
        <w:rPr>
          <w:rFonts w:hint="eastAsia" w:ascii="仿宋_GB2312" w:hAnsi="仿宋_GB2312" w:eastAsia="仿宋_GB2312" w:cs="仿宋_GB2312"/>
          <w:sz w:val="32"/>
          <w:szCs w:val="32"/>
        </w:rPr>
        <w:t>通报、问责</w:t>
      </w:r>
      <w:r>
        <w:rPr>
          <w:rFonts w:hint="eastAsia" w:ascii="仿宋_GB2312" w:hAnsi="仿宋_GB2312" w:eastAsia="仿宋_GB2312" w:cs="仿宋_GB2312"/>
          <w:sz w:val="32"/>
          <w:szCs w:val="32"/>
          <w:lang w:eastAsia="zh-CN"/>
        </w:rPr>
        <w:t>。</w:t>
      </w:r>
    </w:p>
    <w:p>
      <w:pPr>
        <w:pStyle w:val="11"/>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color w:val="auto"/>
          <w:lang w:val="en-US" w:eastAsia="zh-CN"/>
        </w:rPr>
      </w:pPr>
      <w:r>
        <w:rPr>
          <w:rFonts w:hint="eastAsia" w:ascii="黑体" w:hAnsi="黑体" w:eastAsia="黑体" w:cs="黑体"/>
          <w:color w:val="auto"/>
          <w:lang w:val="en-US" w:eastAsia="zh-CN"/>
        </w:rPr>
        <w:t>四、工作要求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rPr>
        <w:t>（一）强化组织领导。</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乡镇</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园区</w:t>
      </w:r>
      <w:r>
        <w:rPr>
          <w:rFonts w:hint="eastAsia" w:ascii="仿宋_GB2312" w:hAnsi="仿宋_GB2312" w:eastAsia="仿宋_GB2312" w:cs="仿宋_GB2312"/>
          <w:sz w:val="32"/>
          <w:szCs w:val="32"/>
        </w:rPr>
        <w:t>要提高思想认识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精心组织，周密部署，成立专项行动工作小组，制定“百日清零行动”实施方案，细化落实责任，推动专项行动各阶段任务尽快落实落地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确保取得实效。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（二）健全监管台账。</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乡镇</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园区</w:t>
      </w:r>
      <w:r>
        <w:rPr>
          <w:rFonts w:hint="eastAsia" w:ascii="仿宋_GB2312" w:hAnsi="仿宋_GB2312" w:eastAsia="仿宋_GB2312" w:cs="仿宋_GB2312"/>
          <w:sz w:val="32"/>
          <w:szCs w:val="32"/>
        </w:rPr>
        <w:t>要以本次“百日清零行动”为契机，全面</w:t>
      </w:r>
      <w:r>
        <w:rPr>
          <w:rFonts w:hint="eastAsia" w:ascii="仿宋_GB2312" w:hAnsi="仿宋_GB2312" w:eastAsia="仿宋_GB2312" w:cs="仿宋_GB2312"/>
          <w:sz w:val="32"/>
          <w:szCs w:val="32"/>
          <w:lang w:eastAsia="zh-CN"/>
        </w:rPr>
        <w:t>排查、</w:t>
      </w:r>
      <w:r>
        <w:rPr>
          <w:rFonts w:hint="eastAsia" w:ascii="仿宋_GB2312" w:hAnsi="仿宋_GB2312" w:eastAsia="仿宋_GB2312" w:cs="仿宋_GB2312"/>
          <w:sz w:val="32"/>
          <w:szCs w:val="32"/>
        </w:rPr>
        <w:t>掌握</w:t>
      </w:r>
      <w:r>
        <w:rPr>
          <w:rFonts w:hint="eastAsia" w:ascii="仿宋_GB2312" w:hAnsi="仿宋_GB2312" w:eastAsia="仿宋_GB2312" w:cs="仿宋_GB2312"/>
          <w:sz w:val="32"/>
          <w:szCs w:val="32"/>
          <w:lang w:eastAsia="zh-CN"/>
        </w:rPr>
        <w:t>区域内</w:t>
      </w:r>
      <w:r>
        <w:rPr>
          <w:rFonts w:hint="eastAsia" w:ascii="仿宋_GB2312" w:hAnsi="仿宋_GB2312" w:eastAsia="仿宋_GB2312" w:cs="仿宋_GB2312"/>
          <w:sz w:val="32"/>
          <w:szCs w:val="32"/>
        </w:rPr>
        <w:t>所有钢铁、铝加工（深井铸造）、粉尘涉爆企业底数和安全生产基本情况，健全工作台账，加强日常监管。其中，粉尘涉爆企业按照涉粉作业10人以下、10至29人、30人及以上，分类健全监管台账。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三</w:t>
      </w:r>
      <w:r>
        <w:rPr>
          <w:rFonts w:hint="eastAsia" w:ascii="楷体_GB2312" w:hAnsi="楷体_GB2312" w:eastAsia="楷体_GB2312" w:cs="楷体_GB2312"/>
          <w:sz w:val="32"/>
          <w:szCs w:val="32"/>
        </w:rPr>
        <w:t>）及时报送信息。</w:t>
      </w:r>
      <w:r>
        <w:rPr>
          <w:rFonts w:hint="eastAsia" w:ascii="仿宋_GB2312" w:hAnsi="仿宋_GB2312" w:eastAsia="仿宋_GB2312" w:cs="仿宋_GB2312"/>
          <w:sz w:val="32"/>
          <w:szCs w:val="32"/>
        </w:rPr>
        <w:t>请各</w:t>
      </w:r>
      <w:r>
        <w:rPr>
          <w:rFonts w:hint="eastAsia" w:ascii="仿宋_GB2312" w:hAnsi="仿宋_GB2312" w:eastAsia="仿宋_GB2312" w:cs="仿宋_GB2312"/>
          <w:sz w:val="32"/>
          <w:szCs w:val="32"/>
          <w:lang w:eastAsia="zh-CN"/>
        </w:rPr>
        <w:t>乡镇、园区</w:t>
      </w:r>
      <w:r>
        <w:rPr>
          <w:rFonts w:hint="eastAsia" w:ascii="仿宋_GB2312" w:hAnsi="仿宋_GB2312" w:eastAsia="仿宋_GB2312" w:cs="仿宋_GB2312"/>
          <w:sz w:val="32"/>
          <w:szCs w:val="32"/>
        </w:rPr>
        <w:t>在收文后，于每周</w:t>
      </w: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前，将“百日清零行动”进展清单（附件1）报送</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应急局。请各</w:t>
      </w:r>
      <w:r>
        <w:rPr>
          <w:rFonts w:hint="eastAsia" w:ascii="仿宋_GB2312" w:hAnsi="仿宋_GB2312" w:eastAsia="仿宋_GB2312" w:cs="仿宋_GB2312"/>
          <w:sz w:val="32"/>
          <w:szCs w:val="32"/>
          <w:lang w:eastAsia="zh-CN"/>
        </w:rPr>
        <w:t>乡镇、园区</w:t>
      </w:r>
      <w:r>
        <w:rPr>
          <w:rFonts w:hint="eastAsia" w:ascii="仿宋_GB2312" w:hAnsi="仿宋_GB2312" w:eastAsia="仿宋_GB2312" w:cs="仿宋_GB2312"/>
          <w:sz w:val="32"/>
          <w:szCs w:val="32"/>
        </w:rPr>
        <w:t>于6月1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日前，将“百日清零行动”工作方案；7月1</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日前，将重点企业基础台账清单（附件2）；8月</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日前将“百日清零行动”工作总结，加盖公章后报送</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应急局。</w:t>
      </w:r>
    </w:p>
    <w:p>
      <w:pPr>
        <w:pStyle w:val="11"/>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联系人：陆仁葵，联系电话：59612771，69611994（传真），邮箱cmqajk@163.com。</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lang w:val="en-US" w:eastAsia="zh-CN"/>
        </w:rPr>
        <w:t>附件：</w:t>
      </w:r>
      <w:r>
        <w:rPr>
          <w:rFonts w:hint="eastAsia" w:ascii="仿宋_GB2312" w:hAnsi="仿宋_GB2312" w:eastAsia="仿宋_GB2312" w:cs="仿宋_GB2312"/>
          <w:sz w:val="32"/>
          <w:szCs w:val="32"/>
        </w:rPr>
        <w:t>1.“百日清零行动”进展清单；</w:t>
      </w:r>
    </w:p>
    <w:p>
      <w:pPr>
        <w:keepNext w:val="0"/>
        <w:keepLines w:val="0"/>
        <w:pageBreakBefore w:val="0"/>
        <w:widowControl w:val="0"/>
        <w:kinsoku/>
        <w:wordWrap/>
        <w:overflowPunct/>
        <w:topLinePunct w:val="0"/>
        <w:autoSpaceDE/>
        <w:autoSpaceDN/>
        <w:bidi w:val="0"/>
        <w:adjustRightInd/>
        <w:snapToGrid/>
        <w:spacing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重点企业基础台账清单。</w:t>
      </w:r>
    </w:p>
    <w:p>
      <w:pPr>
        <w:keepNext w:val="0"/>
        <w:keepLines w:val="0"/>
        <w:pageBreakBefore w:val="0"/>
        <w:kinsoku/>
        <w:wordWrap/>
        <w:overflowPunct/>
        <w:topLinePunct w:val="0"/>
        <w:autoSpaceDE/>
        <w:autoSpaceDN/>
        <w:bidi w:val="0"/>
        <w:adjustRightInd/>
        <w:snapToGrid/>
        <w:spacing w:line="560" w:lineRule="exact"/>
        <w:outlineLvl w:val="9"/>
      </w:pPr>
    </w:p>
    <w:p>
      <w:pPr>
        <w:keepNext w:val="0"/>
        <w:keepLines w:val="0"/>
        <w:pageBreakBefore w:val="0"/>
        <w:kinsoku/>
        <w:wordWrap/>
        <w:overflowPunct/>
        <w:topLinePunct w:val="0"/>
        <w:autoSpaceDE/>
        <w:autoSpaceDN/>
        <w:bidi w:val="0"/>
        <w:adjustRightInd/>
        <w:snapToGrid/>
        <w:spacing w:line="560" w:lineRule="exact"/>
        <w:outlineLvl w:val="9"/>
        <w:sectPr>
          <w:footerReference r:id="rId3" w:type="default"/>
          <w:pgSz w:w="11906" w:h="16838"/>
          <w:pgMar w:top="2098" w:right="1474" w:bottom="1984" w:left="1587" w:header="851" w:footer="992" w:gutter="0"/>
          <w:pgNumType w:fmt="numberInDash"/>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jc w:val="left"/>
        <w:outlineLvl w:val="9"/>
        <w:rPr>
          <w:rFonts w:hint="eastAsia" w:ascii="黑体" w:hAnsi="黑体" w:eastAsia="黑体" w:cs="黑体"/>
          <w:sz w:val="32"/>
          <w:szCs w:val="32"/>
        </w:rPr>
      </w:pPr>
      <w:r>
        <w:rPr>
          <w:rFonts w:hint="eastAsia" w:ascii="黑体" w:hAnsi="黑体" w:eastAsia="黑体" w:cs="黑体"/>
          <w:sz w:val="32"/>
          <w:szCs w:val="32"/>
        </w:rPr>
        <w:t>附件1</w:t>
      </w: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kern w:val="0"/>
          <w:sz w:val="44"/>
          <w:szCs w:val="44"/>
          <w:lang w:eastAsia="zh-CN"/>
        </w:rPr>
      </w:pPr>
      <w:r>
        <w:rPr>
          <w:rFonts w:hint="eastAsia" w:ascii="方正小标宋简体" w:hAnsi="方正小标宋简体" w:eastAsia="方正小标宋简体" w:cs="方正小标宋简体"/>
          <w:kern w:val="0"/>
          <w:sz w:val="44"/>
          <w:szCs w:val="44"/>
          <w:lang w:eastAsia="zh-CN"/>
        </w:rPr>
        <w:t>“百日清零行动”进展清单</w:t>
      </w: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left"/>
        <w:textAlignment w:val="auto"/>
        <w:outlineLvl w:val="9"/>
        <w:rPr>
          <w:rFonts w:hint="eastAsia" w:ascii="黑体" w:hAnsi="黑体" w:eastAsia="黑体" w:cs="黑体"/>
          <w:kern w:val="0"/>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sz w:val="32"/>
          <w:szCs w:val="32"/>
          <w:lang w:val="en-US" w:eastAsia="zh-CN"/>
        </w:rPr>
      </w:pPr>
      <w:r>
        <w:rPr>
          <w:rFonts w:hint="eastAsia" w:ascii="黑体" w:hAnsi="黑体" w:eastAsia="黑体" w:cs="黑体"/>
          <w:kern w:val="0"/>
          <w:sz w:val="32"/>
          <w:szCs w:val="32"/>
          <w:lang w:eastAsia="zh-CN"/>
        </w:rPr>
        <w:t>钢铁企业</w:t>
      </w:r>
    </w:p>
    <w:tbl>
      <w:tblPr>
        <w:tblStyle w:val="9"/>
        <w:tblW w:w="13764" w:type="dxa"/>
        <w:jc w:val="center"/>
        <w:tblInd w:w="-10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2525"/>
        <w:gridCol w:w="2145"/>
        <w:gridCol w:w="945"/>
        <w:gridCol w:w="956"/>
        <w:gridCol w:w="930"/>
        <w:gridCol w:w="930"/>
        <w:gridCol w:w="960"/>
        <w:gridCol w:w="900"/>
        <w:gridCol w:w="930"/>
        <w:gridCol w:w="923"/>
        <w:gridCol w:w="7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855"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eastAsia="zh-CN"/>
              </w:rPr>
              <w:t>序号</w:t>
            </w:r>
          </w:p>
        </w:tc>
        <w:tc>
          <w:tcPr>
            <w:tcW w:w="2525"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企业名称</w:t>
            </w:r>
          </w:p>
        </w:tc>
        <w:tc>
          <w:tcPr>
            <w:tcW w:w="2145"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统一社会信用代码</w:t>
            </w:r>
          </w:p>
        </w:tc>
        <w:tc>
          <w:tcPr>
            <w:tcW w:w="7474" w:type="dxa"/>
            <w:gridSpan w:val="8"/>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“钢8条”发现问题数量</w:t>
            </w:r>
          </w:p>
        </w:tc>
        <w:tc>
          <w:tcPr>
            <w:tcW w:w="765"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是否</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清零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3" w:hRule="atLeast"/>
          <w:jc w:val="center"/>
        </w:trPr>
        <w:tc>
          <w:tcPr>
            <w:tcW w:w="855"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525"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145"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4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第1条</w:t>
            </w:r>
          </w:p>
        </w:tc>
        <w:tc>
          <w:tcPr>
            <w:tcW w:w="95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第2条</w:t>
            </w:r>
          </w:p>
        </w:tc>
        <w:tc>
          <w:tcPr>
            <w:tcW w:w="9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第3条</w:t>
            </w:r>
          </w:p>
        </w:tc>
        <w:tc>
          <w:tcPr>
            <w:tcW w:w="9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第4条</w:t>
            </w:r>
          </w:p>
        </w:tc>
        <w:tc>
          <w:tcPr>
            <w:tcW w:w="96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第5条</w:t>
            </w:r>
          </w:p>
        </w:tc>
        <w:tc>
          <w:tcPr>
            <w:tcW w:w="90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第6条</w:t>
            </w:r>
          </w:p>
        </w:tc>
        <w:tc>
          <w:tcPr>
            <w:tcW w:w="9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第7条</w:t>
            </w:r>
          </w:p>
        </w:tc>
        <w:tc>
          <w:tcPr>
            <w:tcW w:w="92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第8条</w:t>
            </w:r>
          </w:p>
        </w:tc>
        <w:tc>
          <w:tcPr>
            <w:tcW w:w="765" w:type="dxa"/>
            <w:vMerge w:val="continue"/>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85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1</w:t>
            </w:r>
          </w:p>
        </w:tc>
        <w:tc>
          <w:tcPr>
            <w:tcW w:w="252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14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4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56"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6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23"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76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85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2</w:t>
            </w:r>
          </w:p>
        </w:tc>
        <w:tc>
          <w:tcPr>
            <w:tcW w:w="252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14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4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56"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6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23"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76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bl>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黑体" w:hAnsi="黑体" w:eastAsia="黑体" w:cs="黑体"/>
          <w:kern w:val="0"/>
          <w:sz w:val="32"/>
          <w:szCs w:val="32"/>
        </w:rPr>
      </w:pP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r>
        <w:rPr>
          <w:rFonts w:hint="eastAsia" w:ascii="黑体" w:hAnsi="黑体" w:eastAsia="黑体" w:cs="黑体"/>
          <w:kern w:val="0"/>
          <w:sz w:val="32"/>
          <w:szCs w:val="32"/>
          <w:lang w:eastAsia="zh-CN"/>
        </w:rPr>
        <w:t>铝加工企业</w:t>
      </w:r>
    </w:p>
    <w:tbl>
      <w:tblPr>
        <w:tblStyle w:val="9"/>
        <w:tblW w:w="13040" w:type="dxa"/>
        <w:jc w:val="center"/>
        <w:tblInd w:w="-7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2445"/>
        <w:gridCol w:w="2535"/>
        <w:gridCol w:w="946"/>
        <w:gridCol w:w="885"/>
        <w:gridCol w:w="900"/>
        <w:gridCol w:w="915"/>
        <w:gridCol w:w="900"/>
        <w:gridCol w:w="930"/>
        <w:gridCol w:w="975"/>
        <w:gridCol w:w="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5" w:hRule="atLeast"/>
          <w:jc w:val="center"/>
        </w:trPr>
        <w:tc>
          <w:tcPr>
            <w:tcW w:w="795"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eastAsia="zh-CN"/>
              </w:rPr>
              <w:t>序号</w:t>
            </w:r>
          </w:p>
        </w:tc>
        <w:tc>
          <w:tcPr>
            <w:tcW w:w="2445"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企业名称</w:t>
            </w:r>
          </w:p>
        </w:tc>
        <w:tc>
          <w:tcPr>
            <w:tcW w:w="2535"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统一社会信用代码</w:t>
            </w:r>
          </w:p>
        </w:tc>
        <w:tc>
          <w:tcPr>
            <w:tcW w:w="6451" w:type="dxa"/>
            <w:gridSpan w:val="7"/>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“铝7条”发现问题数量</w:t>
            </w:r>
          </w:p>
        </w:tc>
        <w:tc>
          <w:tcPr>
            <w:tcW w:w="814"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是否</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清零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7" w:hRule="atLeast"/>
          <w:jc w:val="center"/>
        </w:trPr>
        <w:tc>
          <w:tcPr>
            <w:tcW w:w="795"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left"/>
              <w:outlineLvl w:val="9"/>
              <w:rPr>
                <w:rFonts w:hint="eastAsia" w:ascii="仿宋_GB2312" w:hAnsi="仿宋_GB2312" w:eastAsia="仿宋_GB2312" w:cs="仿宋_GB2312"/>
                <w:color w:val="000000"/>
                <w:kern w:val="0"/>
                <w:sz w:val="24"/>
                <w:szCs w:val="24"/>
              </w:rPr>
            </w:pPr>
          </w:p>
        </w:tc>
        <w:tc>
          <w:tcPr>
            <w:tcW w:w="2445"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535"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4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第1条</w:t>
            </w:r>
          </w:p>
        </w:tc>
        <w:tc>
          <w:tcPr>
            <w:tcW w:w="88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第2条</w:t>
            </w:r>
          </w:p>
        </w:tc>
        <w:tc>
          <w:tcPr>
            <w:tcW w:w="90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第3条</w:t>
            </w:r>
          </w:p>
        </w:tc>
        <w:tc>
          <w:tcPr>
            <w:tcW w:w="91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第4条</w:t>
            </w:r>
          </w:p>
        </w:tc>
        <w:tc>
          <w:tcPr>
            <w:tcW w:w="90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第5条</w:t>
            </w:r>
          </w:p>
        </w:tc>
        <w:tc>
          <w:tcPr>
            <w:tcW w:w="9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第6条</w:t>
            </w:r>
          </w:p>
        </w:tc>
        <w:tc>
          <w:tcPr>
            <w:tcW w:w="97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第7条</w:t>
            </w:r>
          </w:p>
        </w:tc>
        <w:tc>
          <w:tcPr>
            <w:tcW w:w="814" w:type="dxa"/>
            <w:vMerge w:val="continue"/>
            <w:shd w:val="clear" w:color="auto" w:fill="auto"/>
          </w:tcPr>
          <w:p>
            <w:pPr>
              <w:pStyle w:val="11"/>
              <w:keepNext w:val="0"/>
              <w:keepLines w:val="0"/>
              <w:pageBreakBefore w:val="0"/>
              <w:widowControl w:val="0"/>
              <w:kinsoku/>
              <w:wordWrap/>
              <w:overflowPunct/>
              <w:topLinePunct w:val="0"/>
              <w:autoSpaceDE/>
              <w:autoSpaceDN/>
              <w:bidi w:val="0"/>
              <w:adjustRightInd/>
              <w:snapToGrid/>
              <w:spacing w:line="560" w:lineRule="exact"/>
              <w:ind w:firstLine="0" w:firstLineChars="0"/>
              <w:outlineLvl w:val="9"/>
              <w:rPr>
                <w:rFonts w:hint="eastAsia" w:ascii="仿宋_GB2312" w:hAnsi="仿宋_GB2312" w:eastAsia="仿宋_GB2312" w:cs="仿宋_GB2312"/>
                <w:snapToGrid/>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79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1</w:t>
            </w:r>
          </w:p>
        </w:tc>
        <w:tc>
          <w:tcPr>
            <w:tcW w:w="244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53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46"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8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1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7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14"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79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2</w:t>
            </w:r>
          </w:p>
        </w:tc>
        <w:tc>
          <w:tcPr>
            <w:tcW w:w="244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53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46"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8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1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7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14"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bl>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r>
        <w:rPr>
          <w:rFonts w:hint="eastAsia" w:ascii="黑体" w:hAnsi="黑体" w:eastAsia="黑体" w:cs="黑体"/>
          <w:kern w:val="0"/>
          <w:sz w:val="32"/>
          <w:szCs w:val="32"/>
          <w:lang w:eastAsia="zh-CN"/>
        </w:rPr>
        <w:t>粉尘涉爆企业</w:t>
      </w:r>
    </w:p>
    <w:tbl>
      <w:tblPr>
        <w:tblStyle w:val="9"/>
        <w:tblW w:w="11563" w:type="dxa"/>
        <w:jc w:val="center"/>
        <w:tblInd w:w="1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2010"/>
        <w:gridCol w:w="2430"/>
        <w:gridCol w:w="909"/>
        <w:gridCol w:w="960"/>
        <w:gridCol w:w="930"/>
        <w:gridCol w:w="900"/>
        <w:gridCol w:w="960"/>
        <w:gridCol w:w="885"/>
        <w:gridCol w:w="7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0"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eastAsia="zh-CN"/>
              </w:rPr>
              <w:t>序号</w:t>
            </w:r>
          </w:p>
        </w:tc>
        <w:tc>
          <w:tcPr>
            <w:tcW w:w="2010"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企业名称</w:t>
            </w:r>
          </w:p>
        </w:tc>
        <w:tc>
          <w:tcPr>
            <w:tcW w:w="2430"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统一社会信用代码</w:t>
            </w:r>
          </w:p>
        </w:tc>
        <w:tc>
          <w:tcPr>
            <w:tcW w:w="5544" w:type="dxa"/>
            <w:gridSpan w:val="6"/>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“粉6条”发现问题数量</w:t>
            </w:r>
          </w:p>
        </w:tc>
        <w:tc>
          <w:tcPr>
            <w:tcW w:w="769"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是否</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清零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left"/>
              <w:outlineLvl w:val="9"/>
              <w:rPr>
                <w:rFonts w:hint="eastAsia" w:ascii="仿宋_GB2312" w:hAnsi="仿宋_GB2312" w:eastAsia="仿宋_GB2312" w:cs="仿宋_GB2312"/>
                <w:color w:val="000000"/>
                <w:kern w:val="0"/>
                <w:sz w:val="24"/>
                <w:szCs w:val="24"/>
              </w:rPr>
            </w:pPr>
          </w:p>
        </w:tc>
        <w:tc>
          <w:tcPr>
            <w:tcW w:w="201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43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第1条</w:t>
            </w:r>
          </w:p>
        </w:tc>
        <w:tc>
          <w:tcPr>
            <w:tcW w:w="96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第2条</w:t>
            </w:r>
          </w:p>
        </w:tc>
        <w:tc>
          <w:tcPr>
            <w:tcW w:w="9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第3条</w:t>
            </w:r>
          </w:p>
        </w:tc>
        <w:tc>
          <w:tcPr>
            <w:tcW w:w="90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第4条</w:t>
            </w:r>
          </w:p>
        </w:tc>
        <w:tc>
          <w:tcPr>
            <w:tcW w:w="96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第5条</w:t>
            </w:r>
          </w:p>
        </w:tc>
        <w:tc>
          <w:tcPr>
            <w:tcW w:w="88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第6条</w:t>
            </w:r>
          </w:p>
        </w:tc>
        <w:tc>
          <w:tcPr>
            <w:tcW w:w="769" w:type="dxa"/>
            <w:vMerge w:val="continue"/>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jc w:val="center"/>
        </w:trPr>
        <w:tc>
          <w:tcPr>
            <w:tcW w:w="81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1</w:t>
            </w:r>
          </w:p>
        </w:tc>
        <w:tc>
          <w:tcPr>
            <w:tcW w:w="201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4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9"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6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6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8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769"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81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2</w:t>
            </w:r>
          </w:p>
        </w:tc>
        <w:tc>
          <w:tcPr>
            <w:tcW w:w="201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24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9"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6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3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6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85"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769"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bl>
    <w:p>
      <w:pPr>
        <w:pStyle w:val="11"/>
        <w:keepNext w:val="0"/>
        <w:keepLines w:val="0"/>
        <w:pageBreakBefore w:val="0"/>
        <w:widowControl w:val="0"/>
        <w:kinsoku/>
        <w:wordWrap/>
        <w:overflowPunct/>
        <w:topLinePunct w:val="0"/>
        <w:autoSpaceDE/>
        <w:autoSpaceDN/>
        <w:bidi w:val="0"/>
        <w:adjustRightInd/>
        <w:snapToGrid/>
        <w:spacing w:line="560" w:lineRule="exact"/>
        <w:ind w:firstLine="640"/>
        <w:outlineLvl w:val="9"/>
        <w:rPr>
          <w:rFonts w:ascii="宋体" w:hAnsi="宋体"/>
        </w:rPr>
      </w:pPr>
    </w:p>
    <w:p>
      <w:pPr>
        <w:pStyle w:val="11"/>
        <w:ind w:firstLine="960" w:firstLineChars="300"/>
        <w:jc w:val="left"/>
        <w:rPr>
          <w:rFonts w:hint="default" w:ascii="楷体_GB2312" w:hAnsi="楷体_GB2312" w:eastAsia="楷体_GB2312" w:cs="楷体_GB2312"/>
          <w:kern w:val="0"/>
          <w:sz w:val="32"/>
          <w:szCs w:val="32"/>
          <w:lang w:val="en-US" w:eastAsia="zh-CN"/>
        </w:rPr>
      </w:pPr>
      <w:r>
        <w:rPr>
          <w:rFonts w:hint="eastAsia" w:ascii="楷体_GB2312" w:hAnsi="楷体_GB2312" w:eastAsia="楷体_GB2312" w:cs="楷体_GB2312"/>
          <w:kern w:val="0"/>
          <w:sz w:val="32"/>
          <w:szCs w:val="32"/>
          <w:lang w:eastAsia="zh-CN"/>
        </w:rPr>
        <w:t>填报单位：</w:t>
      </w:r>
      <w:r>
        <w:rPr>
          <w:rFonts w:hint="eastAsia" w:ascii="楷体_GB2312" w:hAnsi="楷体_GB2312" w:eastAsia="楷体_GB2312" w:cs="楷体_GB2312"/>
          <w:kern w:val="0"/>
          <w:sz w:val="32"/>
          <w:szCs w:val="32"/>
          <w:lang w:val="en-US" w:eastAsia="zh-CN"/>
        </w:rPr>
        <w:t xml:space="preserve">              填报人：              联系电话：            填报日期：</w:t>
      </w:r>
    </w:p>
    <w:p>
      <w:pPr>
        <w:pStyle w:val="11"/>
        <w:ind w:left="0" w:leftChars="0" w:firstLine="0" w:firstLineChars="0"/>
        <w:rPr>
          <w:rFonts w:hint="eastAsia"/>
        </w:rPr>
      </w:pP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b w:val="0"/>
          <w:bCs w:val="0"/>
          <w:kern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b w:val="0"/>
          <w:bCs w:val="0"/>
          <w:kern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b w:val="0"/>
          <w:bCs w:val="0"/>
          <w:kern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b w:val="0"/>
          <w:bCs w:val="0"/>
          <w:kern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b w:val="0"/>
          <w:bCs w:val="0"/>
          <w:kern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b w:val="0"/>
          <w:bCs w:val="0"/>
          <w:kern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b w:val="0"/>
          <w:bCs w:val="0"/>
          <w:kern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left"/>
        <w:outlineLvl w:val="9"/>
        <w:rPr>
          <w:rFonts w:hint="eastAsia" w:ascii="黑体" w:hAnsi="黑体" w:eastAsia="黑体" w:cs="黑体"/>
          <w:sz w:val="32"/>
          <w:szCs w:val="32"/>
        </w:rPr>
      </w:pPr>
      <w:r>
        <w:rPr>
          <w:rFonts w:hint="eastAsia" w:ascii="黑体" w:hAnsi="黑体" w:eastAsia="黑体" w:cs="黑体"/>
          <w:sz w:val="32"/>
          <w:szCs w:val="32"/>
        </w:rPr>
        <w:t>附件2</w:t>
      </w: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方正小标宋简体" w:hAnsi="方正小标宋简体" w:eastAsia="方正小标宋简体" w:cs="方正小标宋简体"/>
          <w:b w:val="0"/>
          <w:bCs w:val="0"/>
          <w:kern w:val="0"/>
          <w:sz w:val="44"/>
          <w:szCs w:val="44"/>
          <w:lang w:eastAsia="zh-CN"/>
        </w:rPr>
      </w:pPr>
      <w:r>
        <w:rPr>
          <w:rFonts w:hint="eastAsia" w:ascii="方正小标宋简体" w:hAnsi="方正小标宋简体" w:eastAsia="方正小标宋简体" w:cs="方正小标宋简体"/>
          <w:b w:val="0"/>
          <w:bCs w:val="0"/>
          <w:kern w:val="0"/>
          <w:sz w:val="44"/>
          <w:szCs w:val="44"/>
          <w:lang w:eastAsia="zh-CN"/>
        </w:rPr>
        <w:t>重点企业基础台账清单</w:t>
      </w: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r>
        <w:rPr>
          <w:rFonts w:hint="eastAsia" w:ascii="黑体" w:hAnsi="黑体" w:eastAsia="黑体" w:cs="黑体"/>
          <w:kern w:val="0"/>
          <w:sz w:val="32"/>
          <w:szCs w:val="32"/>
          <w:lang w:eastAsia="zh-CN"/>
        </w:rPr>
        <w:t>钢铁企业</w:t>
      </w:r>
    </w:p>
    <w:tbl>
      <w:tblPr>
        <w:tblStyle w:val="9"/>
        <w:tblW w:w="13951" w:type="dxa"/>
        <w:jc w:val="center"/>
        <w:tblInd w:w="-2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1605"/>
        <w:gridCol w:w="1495"/>
        <w:gridCol w:w="1553"/>
        <w:gridCol w:w="900"/>
        <w:gridCol w:w="840"/>
        <w:gridCol w:w="825"/>
        <w:gridCol w:w="795"/>
        <w:gridCol w:w="1440"/>
        <w:gridCol w:w="1245"/>
        <w:gridCol w:w="1230"/>
        <w:gridCol w:w="1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jc w:val="center"/>
        </w:trPr>
        <w:tc>
          <w:tcPr>
            <w:tcW w:w="823" w:type="dxa"/>
            <w:vMerge w:val="restart"/>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eastAsia="zh-CN"/>
              </w:rPr>
              <w:t>序号</w:t>
            </w:r>
          </w:p>
        </w:tc>
        <w:tc>
          <w:tcPr>
            <w:tcW w:w="1605" w:type="dxa"/>
            <w:vMerge w:val="restart"/>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企业名称</w:t>
            </w:r>
          </w:p>
        </w:tc>
        <w:tc>
          <w:tcPr>
            <w:tcW w:w="1495" w:type="dxa"/>
            <w:vMerge w:val="restart"/>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统一社会</w:t>
            </w: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信用代码</w:t>
            </w:r>
          </w:p>
        </w:tc>
        <w:tc>
          <w:tcPr>
            <w:tcW w:w="1553" w:type="dxa"/>
            <w:vMerge w:val="restart"/>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产能</w:t>
            </w: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（万吨/年）</w:t>
            </w:r>
          </w:p>
        </w:tc>
        <w:tc>
          <w:tcPr>
            <w:tcW w:w="90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炼铁</w:t>
            </w:r>
          </w:p>
        </w:tc>
        <w:tc>
          <w:tcPr>
            <w:tcW w:w="3900" w:type="dxa"/>
            <w:gridSpan w:val="4"/>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炼钢</w:t>
            </w:r>
          </w:p>
        </w:tc>
        <w:tc>
          <w:tcPr>
            <w:tcW w:w="3675" w:type="dxa"/>
            <w:gridSpan w:val="3"/>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煤气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9" w:hRule="atLeast"/>
          <w:jc w:val="center"/>
        </w:trPr>
        <w:tc>
          <w:tcPr>
            <w:tcW w:w="823"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60" w:lineRule="exact"/>
              <w:jc w:val="left"/>
              <w:outlineLvl w:val="9"/>
              <w:rPr>
                <w:rFonts w:hint="eastAsia" w:ascii="仿宋_GB2312" w:hAnsi="仿宋_GB2312" w:eastAsia="仿宋_GB2312" w:cs="仿宋_GB2312"/>
                <w:color w:val="000000"/>
                <w:kern w:val="0"/>
                <w:sz w:val="24"/>
                <w:szCs w:val="24"/>
              </w:rPr>
            </w:pPr>
          </w:p>
        </w:tc>
        <w:tc>
          <w:tcPr>
            <w:tcW w:w="160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60" w:lineRule="exact"/>
              <w:jc w:val="left"/>
              <w:outlineLvl w:val="9"/>
              <w:rPr>
                <w:rFonts w:hint="eastAsia" w:ascii="仿宋_GB2312" w:hAnsi="仿宋_GB2312" w:eastAsia="仿宋_GB2312" w:cs="仿宋_GB2312"/>
                <w:color w:val="000000"/>
                <w:kern w:val="0"/>
                <w:sz w:val="24"/>
                <w:szCs w:val="24"/>
              </w:rPr>
            </w:pPr>
          </w:p>
        </w:tc>
        <w:tc>
          <w:tcPr>
            <w:tcW w:w="149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60" w:lineRule="exact"/>
              <w:jc w:val="left"/>
              <w:outlineLvl w:val="9"/>
              <w:rPr>
                <w:rFonts w:hint="eastAsia" w:ascii="仿宋_GB2312" w:hAnsi="仿宋_GB2312" w:eastAsia="仿宋_GB2312" w:cs="仿宋_GB2312"/>
                <w:color w:val="000000"/>
                <w:kern w:val="0"/>
                <w:sz w:val="24"/>
                <w:szCs w:val="24"/>
              </w:rPr>
            </w:pPr>
          </w:p>
        </w:tc>
        <w:tc>
          <w:tcPr>
            <w:tcW w:w="1553"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60" w:lineRule="exact"/>
              <w:jc w:val="left"/>
              <w:outlineLvl w:val="9"/>
              <w:rPr>
                <w:rFonts w:hint="eastAsia" w:ascii="仿宋_GB2312" w:hAnsi="仿宋_GB2312" w:eastAsia="仿宋_GB2312" w:cs="仿宋_GB2312"/>
                <w:color w:val="000000"/>
                <w:kern w:val="0"/>
                <w:sz w:val="24"/>
                <w:szCs w:val="24"/>
              </w:rPr>
            </w:pPr>
          </w:p>
        </w:tc>
        <w:tc>
          <w:tcPr>
            <w:tcW w:w="90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高炉（座）</w:t>
            </w:r>
          </w:p>
        </w:tc>
        <w:tc>
          <w:tcPr>
            <w:tcW w:w="84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转炉（座）</w:t>
            </w:r>
          </w:p>
        </w:tc>
        <w:tc>
          <w:tcPr>
            <w:tcW w:w="82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电炉（座）</w:t>
            </w:r>
          </w:p>
        </w:tc>
        <w:tc>
          <w:tcPr>
            <w:tcW w:w="795" w:type="dxa"/>
            <w:tcBorders>
              <w:tl2br w:val="nil"/>
              <w:tr2bl w:val="nil"/>
            </w:tcBorders>
            <w:shd w:val="clear" w:color="auto" w:fill="auto"/>
            <w:tcMar>
              <w:left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精炼炉（座）</w:t>
            </w:r>
          </w:p>
        </w:tc>
        <w:tc>
          <w:tcPr>
            <w:tcW w:w="144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冶金铸造起重机（台）</w:t>
            </w:r>
          </w:p>
        </w:tc>
        <w:tc>
          <w:tcPr>
            <w:tcW w:w="124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焦炉煤气柜（座）</w:t>
            </w:r>
          </w:p>
        </w:tc>
        <w:tc>
          <w:tcPr>
            <w:tcW w:w="123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高炉煤气柜（座）</w:t>
            </w:r>
          </w:p>
        </w:tc>
        <w:tc>
          <w:tcPr>
            <w:tcW w:w="120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转炉煤气柜（座）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55" w:hRule="atLeast"/>
          <w:jc w:val="center"/>
        </w:trPr>
        <w:tc>
          <w:tcPr>
            <w:tcW w:w="823"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1</w:t>
            </w:r>
          </w:p>
        </w:tc>
        <w:tc>
          <w:tcPr>
            <w:tcW w:w="160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9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553"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4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2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79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4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4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3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0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55" w:hRule="atLeast"/>
          <w:jc w:val="center"/>
        </w:trPr>
        <w:tc>
          <w:tcPr>
            <w:tcW w:w="823"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2</w:t>
            </w:r>
          </w:p>
        </w:tc>
        <w:tc>
          <w:tcPr>
            <w:tcW w:w="160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9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553"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90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4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2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79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4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45"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3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00" w:type="dxa"/>
            <w:tcBorders>
              <w:tl2br w:val="nil"/>
              <w:tr2bl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bl>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宋体" w:hAnsi="宋体" w:cs="宋体"/>
          <w:kern w:val="0"/>
          <w:sz w:val="32"/>
          <w:szCs w:val="32"/>
        </w:rPr>
      </w:pP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r>
        <w:rPr>
          <w:rFonts w:hint="eastAsia" w:ascii="黑体" w:hAnsi="黑体" w:eastAsia="黑体" w:cs="黑体"/>
          <w:kern w:val="0"/>
          <w:sz w:val="32"/>
          <w:szCs w:val="32"/>
          <w:lang w:eastAsia="zh-CN"/>
        </w:rPr>
        <w:t>铝加工企业</w:t>
      </w:r>
    </w:p>
    <w:tbl>
      <w:tblPr>
        <w:tblStyle w:val="9"/>
        <w:tblW w:w="13687" w:type="dxa"/>
        <w:jc w:val="center"/>
        <w:tblInd w:w="-7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1840"/>
        <w:gridCol w:w="1470"/>
        <w:gridCol w:w="1416"/>
        <w:gridCol w:w="1648"/>
        <w:gridCol w:w="1649"/>
        <w:gridCol w:w="1649"/>
        <w:gridCol w:w="1649"/>
        <w:gridCol w:w="1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9" w:hRule="atLeast"/>
          <w:jc w:val="center"/>
        </w:trPr>
        <w:tc>
          <w:tcPr>
            <w:tcW w:w="717"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eastAsia="zh-CN"/>
              </w:rPr>
              <w:t>序号</w:t>
            </w:r>
          </w:p>
        </w:tc>
        <w:tc>
          <w:tcPr>
            <w:tcW w:w="184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企业名称</w:t>
            </w:r>
          </w:p>
        </w:tc>
        <w:tc>
          <w:tcPr>
            <w:tcW w:w="1470" w:type="dxa"/>
            <w:shd w:val="clear" w:color="auto" w:fill="auto"/>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统一社会</w:t>
            </w: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信用代码</w:t>
            </w:r>
          </w:p>
        </w:tc>
        <w:tc>
          <w:tcPr>
            <w:tcW w:w="141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产能</w:t>
            </w: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（万吨/年）</w:t>
            </w:r>
          </w:p>
        </w:tc>
        <w:tc>
          <w:tcPr>
            <w:tcW w:w="164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固定式熔炼炉（台）</w:t>
            </w: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倾动式熔炼炉（台）</w:t>
            </w: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深井浇筑系统数量（套）</w:t>
            </w: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钢丝绳式提升装置（套）</w:t>
            </w: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液压式提升装置（套）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1" w:hRule="atLeast"/>
          <w:jc w:val="center"/>
        </w:trPr>
        <w:tc>
          <w:tcPr>
            <w:tcW w:w="717"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1</w:t>
            </w:r>
          </w:p>
        </w:tc>
        <w:tc>
          <w:tcPr>
            <w:tcW w:w="184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7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1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1" w:hRule="atLeast"/>
          <w:jc w:val="center"/>
        </w:trPr>
        <w:tc>
          <w:tcPr>
            <w:tcW w:w="717"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2</w:t>
            </w:r>
          </w:p>
        </w:tc>
        <w:tc>
          <w:tcPr>
            <w:tcW w:w="184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7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1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49"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bl>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outlineLvl w:val="9"/>
        <w:rPr>
          <w:rFonts w:hint="eastAsia" w:ascii="黑体" w:hAnsi="黑体" w:eastAsia="黑体" w:cs="黑体"/>
          <w:kern w:val="0"/>
          <w:sz w:val="32"/>
          <w:szCs w:val="32"/>
          <w:lang w:eastAsia="zh-CN"/>
        </w:rPr>
      </w:pPr>
      <w:r>
        <w:rPr>
          <w:rFonts w:hint="eastAsia" w:ascii="黑体" w:hAnsi="黑体" w:eastAsia="黑体" w:cs="黑体"/>
          <w:kern w:val="0"/>
          <w:sz w:val="32"/>
          <w:szCs w:val="32"/>
          <w:lang w:eastAsia="zh-CN"/>
        </w:rPr>
        <w:t>粉尘涉爆企业</w:t>
      </w:r>
    </w:p>
    <w:tbl>
      <w:tblPr>
        <w:tblStyle w:val="9"/>
        <w:tblW w:w="14249" w:type="dxa"/>
        <w:jc w:val="center"/>
        <w:tblInd w:w="-4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1762"/>
        <w:gridCol w:w="1620"/>
        <w:gridCol w:w="1281"/>
        <w:gridCol w:w="854"/>
        <w:gridCol w:w="1276"/>
        <w:gridCol w:w="1417"/>
        <w:gridCol w:w="1440"/>
        <w:gridCol w:w="1245"/>
        <w:gridCol w:w="1530"/>
        <w:gridCol w:w="1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1" w:hRule="atLeast"/>
          <w:jc w:val="center"/>
        </w:trPr>
        <w:tc>
          <w:tcPr>
            <w:tcW w:w="57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eastAsia="zh-CN"/>
              </w:rPr>
              <w:t>序号</w:t>
            </w:r>
          </w:p>
        </w:tc>
        <w:tc>
          <w:tcPr>
            <w:tcW w:w="1762"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企业名称</w:t>
            </w:r>
          </w:p>
        </w:tc>
        <w:tc>
          <w:tcPr>
            <w:tcW w:w="162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统一社会</w:t>
            </w:r>
          </w:p>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信用代码</w:t>
            </w:r>
          </w:p>
        </w:tc>
        <w:tc>
          <w:tcPr>
            <w:tcW w:w="1281"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所属行业</w:t>
            </w:r>
          </w:p>
        </w:tc>
        <w:tc>
          <w:tcPr>
            <w:tcW w:w="854"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粉尘种类</w:t>
            </w:r>
          </w:p>
        </w:tc>
        <w:tc>
          <w:tcPr>
            <w:tcW w:w="127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涉粉作业人数</w:t>
            </w:r>
          </w:p>
        </w:tc>
        <w:tc>
          <w:tcPr>
            <w:tcW w:w="1417"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干式集中除尘系统（套）</w:t>
            </w:r>
          </w:p>
        </w:tc>
        <w:tc>
          <w:tcPr>
            <w:tcW w:w="144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湿式集中除尘系统（套）</w:t>
            </w:r>
          </w:p>
        </w:tc>
        <w:tc>
          <w:tcPr>
            <w:tcW w:w="124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抛丸/喷砂机（台）</w:t>
            </w:r>
          </w:p>
        </w:tc>
        <w:tc>
          <w:tcPr>
            <w:tcW w:w="15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抛光/打磨一体机（台）</w:t>
            </w:r>
          </w:p>
        </w:tc>
        <w:tc>
          <w:tcPr>
            <w:tcW w:w="124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静电喷涂设备（套）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5" w:hRule="atLeast"/>
          <w:jc w:val="center"/>
        </w:trPr>
        <w:tc>
          <w:tcPr>
            <w:tcW w:w="57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1</w:t>
            </w:r>
          </w:p>
        </w:tc>
        <w:tc>
          <w:tcPr>
            <w:tcW w:w="1762"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2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81"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54"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7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17"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4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4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5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4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5" w:hRule="atLeast"/>
          <w:jc w:val="center"/>
        </w:trPr>
        <w:tc>
          <w:tcPr>
            <w:tcW w:w="578"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2</w:t>
            </w:r>
          </w:p>
        </w:tc>
        <w:tc>
          <w:tcPr>
            <w:tcW w:w="1762"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62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81"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854"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7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17"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44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4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53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c>
          <w:tcPr>
            <w:tcW w:w="1246"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60" w:lineRule="exact"/>
              <w:jc w:val="center"/>
              <w:outlineLvl w:val="9"/>
              <w:rPr>
                <w:rFonts w:hint="eastAsia" w:ascii="仿宋_GB2312" w:hAnsi="仿宋_GB2312" w:eastAsia="仿宋_GB2312" w:cs="仿宋_GB2312"/>
                <w:color w:val="000000"/>
                <w:kern w:val="0"/>
                <w:sz w:val="24"/>
                <w:szCs w:val="24"/>
              </w:rPr>
            </w:pPr>
          </w:p>
        </w:tc>
      </w:tr>
    </w:tbl>
    <w:p>
      <w:pPr>
        <w:rPr>
          <w:rFonts w:ascii="宋体" w:hAnsi="宋体" w:eastAsia="黑体" w:cs="方正小标宋_GBK"/>
          <w:sz w:val="32"/>
          <w:szCs w:val="32"/>
        </w:rPr>
      </w:pPr>
    </w:p>
    <w:p>
      <w:pPr>
        <w:pStyle w:val="11"/>
        <w:ind w:left="0" w:leftChars="0" w:firstLine="640" w:firstLineChars="200"/>
        <w:jc w:val="left"/>
        <w:rPr>
          <w:rFonts w:hint="default" w:ascii="楷体_GB2312" w:hAnsi="楷体_GB2312" w:eastAsia="楷体_GB2312" w:cs="楷体_GB2312"/>
          <w:kern w:val="0"/>
          <w:sz w:val="32"/>
          <w:szCs w:val="32"/>
          <w:lang w:val="en-US" w:eastAsia="zh-CN"/>
        </w:rPr>
      </w:pPr>
      <w:r>
        <w:rPr>
          <w:rFonts w:hint="eastAsia" w:ascii="楷体_GB2312" w:hAnsi="楷体_GB2312" w:eastAsia="楷体_GB2312" w:cs="楷体_GB2312"/>
          <w:kern w:val="0"/>
          <w:sz w:val="32"/>
          <w:szCs w:val="32"/>
          <w:lang w:eastAsia="zh-CN"/>
        </w:rPr>
        <w:t>填报单位：</w:t>
      </w:r>
      <w:r>
        <w:rPr>
          <w:rFonts w:hint="eastAsia" w:ascii="楷体_GB2312" w:hAnsi="楷体_GB2312" w:eastAsia="楷体_GB2312" w:cs="楷体_GB2312"/>
          <w:kern w:val="0"/>
          <w:sz w:val="32"/>
          <w:szCs w:val="32"/>
          <w:lang w:val="en-US" w:eastAsia="zh-CN"/>
        </w:rPr>
        <w:t xml:space="preserve">              填报人：              联系电话：            填报日期：</w:t>
      </w:r>
    </w:p>
    <w:p>
      <w:pPr>
        <w:rPr>
          <w:rFonts w:hint="eastAsia"/>
          <w:lang w:eastAsia="zh-CN"/>
        </w:rPr>
      </w:pPr>
    </w:p>
    <w:sectPr>
      <w:pgSz w:w="16838" w:h="11906" w:orient="landscape"/>
      <w:pgMar w:top="1633" w:right="1213" w:bottom="1633" w:left="1213" w:header="851" w:footer="992" w:gutter="0"/>
      <w:pgNumType w:fmt="numberInDash"/>
      <w:cols w:space="0" w:num="1"/>
      <w:rtlGutter w:val="0"/>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7"/>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072225"/>
    <w:rsid w:val="07413E0F"/>
    <w:rsid w:val="13E24950"/>
    <w:rsid w:val="15DA0FC1"/>
    <w:rsid w:val="19710E13"/>
    <w:rsid w:val="1A873455"/>
    <w:rsid w:val="1D006B99"/>
    <w:rsid w:val="1EAA4E54"/>
    <w:rsid w:val="1FA975C4"/>
    <w:rsid w:val="1FD77308"/>
    <w:rsid w:val="27020ED7"/>
    <w:rsid w:val="286A5585"/>
    <w:rsid w:val="2D6707C8"/>
    <w:rsid w:val="304970E3"/>
    <w:rsid w:val="319D6CD2"/>
    <w:rsid w:val="34A02054"/>
    <w:rsid w:val="38F103ED"/>
    <w:rsid w:val="39072225"/>
    <w:rsid w:val="3C4A2217"/>
    <w:rsid w:val="3C801DAB"/>
    <w:rsid w:val="3C845A59"/>
    <w:rsid w:val="45446130"/>
    <w:rsid w:val="45D64ABD"/>
    <w:rsid w:val="482B0BDE"/>
    <w:rsid w:val="490D27CE"/>
    <w:rsid w:val="49591C46"/>
    <w:rsid w:val="4CB11FC9"/>
    <w:rsid w:val="4F4D0880"/>
    <w:rsid w:val="509672F8"/>
    <w:rsid w:val="51F25172"/>
    <w:rsid w:val="526160C3"/>
    <w:rsid w:val="55023562"/>
    <w:rsid w:val="557D5E14"/>
    <w:rsid w:val="56BA489E"/>
    <w:rsid w:val="5B964EB9"/>
    <w:rsid w:val="5D5E7B15"/>
    <w:rsid w:val="5EF5370C"/>
    <w:rsid w:val="60820962"/>
    <w:rsid w:val="645A26F1"/>
    <w:rsid w:val="650832B1"/>
    <w:rsid w:val="67362A50"/>
    <w:rsid w:val="68B645E4"/>
    <w:rsid w:val="6CAF2D5E"/>
    <w:rsid w:val="6D0152E8"/>
    <w:rsid w:val="726C51C8"/>
    <w:rsid w:val="744F5802"/>
    <w:rsid w:val="765529CB"/>
    <w:rsid w:val="76857D69"/>
    <w:rsid w:val="7AC0713E"/>
    <w:rsid w:val="7B073103"/>
    <w:rsid w:val="7BFA7250"/>
    <w:rsid w:val="7EF74823"/>
    <w:rsid w:val="7F7907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footer"/>
    <w:basedOn w:val="1"/>
    <w:next w:val="1"/>
    <w:unhideWhenUsed/>
    <w:qFormat/>
    <w:uiPriority w:val="99"/>
    <w:pPr>
      <w:tabs>
        <w:tab w:val="center" w:pos="4153"/>
        <w:tab w:val="right" w:pos="8306"/>
      </w:tabs>
      <w:snapToGrid w:val="0"/>
      <w:jc w:val="left"/>
    </w:pPr>
    <w:rPr>
      <w:sz w:val="18"/>
      <w:szCs w:val="18"/>
    </w:rPr>
  </w:style>
  <w:style w:type="paragraph" w:styleId="3">
    <w:name w:val="Normal Indent"/>
    <w:basedOn w:val="1"/>
    <w:qFormat/>
    <w:uiPriority w:val="0"/>
    <w:pPr>
      <w:ind w:firstLine="420" w:firstLineChars="200"/>
    </w:pPr>
    <w:rPr>
      <w:rFonts w:eastAsia="仿宋"/>
      <w:sz w:val="32"/>
    </w:rPr>
  </w:style>
  <w:style w:type="paragraph" w:styleId="4">
    <w:name w:val="Body Text Indent"/>
    <w:basedOn w:val="1"/>
    <w:next w:val="3"/>
    <w:unhideWhenUsed/>
    <w:qFormat/>
    <w:uiPriority w:val="0"/>
    <w:pPr>
      <w:spacing w:after="120"/>
      <w:ind w:left="420" w:leftChars="200"/>
    </w:p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rPr>
      <w:sz w:val="24"/>
    </w:rPr>
  </w:style>
  <w:style w:type="character" w:styleId="8">
    <w:name w:val="Hyperlink"/>
    <w:basedOn w:val="7"/>
    <w:qFormat/>
    <w:uiPriority w:val="0"/>
    <w:rPr>
      <w:color w:val="0000FF"/>
      <w:u w:val="single"/>
    </w:rPr>
  </w:style>
  <w:style w:type="table" w:styleId="10">
    <w:name w:val="Table Grid"/>
    <w:basedOn w:val="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1">
    <w:name w:val="正文首行缩进 21"/>
    <w:basedOn w:val="4"/>
    <w:next w:val="1"/>
    <w:qFormat/>
    <w:uiPriority w:val="0"/>
    <w:pPr>
      <w:spacing w:after="0"/>
      <w:ind w:left="0" w:leftChars="0" w:firstLine="420" w:firstLineChars="200"/>
    </w:pPr>
    <w:rPr>
      <w:rFonts w:ascii="Calibri" w:hAnsi="Calibri"/>
      <w:snapToGrid w:val="0"/>
      <w:kern w:val="0"/>
      <w:sz w:val="32"/>
    </w:rPr>
  </w:style>
  <w:style w:type="paragraph" w:customStyle="1" w:styleId="12">
    <w:name w:val="页脚1"/>
    <w:basedOn w:val="1"/>
    <w:qFormat/>
    <w:uiPriority w:val="0"/>
    <w:pPr>
      <w:tabs>
        <w:tab w:val="center" w:pos="4153"/>
        <w:tab w:val="right" w:pos="8306"/>
      </w:tabs>
      <w:snapToGrid w:val="0"/>
      <w:jc w:val="left"/>
    </w:pPr>
    <w:rPr>
      <w:sz w:val="18"/>
      <w:szCs w:val="18"/>
    </w:rPr>
  </w:style>
  <w:style w:type="character" w:customStyle="1" w:styleId="13">
    <w:name w:val="NormalCharacter"/>
    <w:semiHidden/>
    <w:qFormat/>
    <w:uiPriority w:val="0"/>
  </w:style>
  <w:style w:type="character" w:customStyle="1" w:styleId="14">
    <w:name w:val="font21"/>
    <w:basedOn w:val="7"/>
    <w:qFormat/>
    <w:uiPriority w:val="0"/>
    <w:rPr>
      <w:rFonts w:hint="eastAsia" w:ascii="微软雅黑" w:hAnsi="微软雅黑" w:eastAsia="微软雅黑" w:cs="微软雅黑"/>
      <w:color w:val="585858"/>
      <w:sz w:val="18"/>
      <w:szCs w:val="18"/>
      <w:u w:val="none"/>
    </w:rPr>
  </w:style>
  <w:style w:type="character" w:customStyle="1" w:styleId="15">
    <w:name w:val="font11"/>
    <w:basedOn w:val="7"/>
    <w:qFormat/>
    <w:uiPriority w:val="0"/>
    <w:rPr>
      <w:rFonts w:ascii="仿宋_GB2312" w:eastAsia="仿宋_GB2312" w:cs="仿宋_GB2312"/>
      <w:color w:val="585858"/>
      <w:sz w:val="22"/>
      <w:szCs w:val="22"/>
      <w:u w:val="none"/>
    </w:rPr>
  </w:style>
  <w:style w:type="paragraph" w:customStyle="1" w:styleId="16">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3120</Words>
  <Characters>3196</Characters>
  <Lines>0</Lines>
  <Paragraphs>0</Paragraphs>
  <TotalTime>69</TotalTime>
  <ScaleCrop>false</ScaleCrop>
  <LinksUpToDate>false</LinksUpToDate>
  <CharactersWithSpaces>3327</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2022-05-23T06:19:00Z</dcterms:created>
  <dc:creator>Administrator</dc:creator>
  <cp:lastModifiedBy>Administrator</cp:lastModifiedBy>
  <cp:lastPrinted>2022-05-30T06:55:00Z</cp:lastPrinted>
  <dcterms:modified xsi:type="dcterms:W3CDTF">2022-06-30T06:52:24Z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