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年建设镇财政决算（草案）及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年上半年财政预算执行情况的报告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楷体_GB2312" w:hAnsi="楷体_GB2312" w:eastAsia="楷体_GB2312" w:cs="楷体_GB2312"/>
          <w:spacing w:val="-20"/>
          <w:w w:val="9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</w:rPr>
        <w:t>——202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  <w:lang w:val="en-US" w:eastAsia="zh-CN"/>
        </w:rPr>
        <w:t>12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</w:rPr>
        <w:t>日在崇明区建设镇第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</w:rPr>
        <w:t>届人民代表大会第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  <w:lang w:eastAsia="zh-CN"/>
        </w:rPr>
        <w:t>十二</w:t>
      </w:r>
      <w:r>
        <w:rPr>
          <w:rFonts w:hint="eastAsia" w:ascii="楷体_GB2312" w:hAnsi="楷体_GB2312" w:eastAsia="楷体_GB2312" w:cs="楷体_GB2312"/>
          <w:spacing w:val="-20"/>
          <w:w w:val="90"/>
          <w:sz w:val="32"/>
          <w:szCs w:val="32"/>
        </w:rPr>
        <w:t>次会议上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</w:rPr>
        <w:t>我代表建设镇人民政府，向大会报告202</w:t>
      </w:r>
      <w:r>
        <w:rPr>
          <w:rFonts w:hint="eastAsia" w:ascii="仿宋_GB2312" w:hAnsi="仿宋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年建设镇财政决算及202</w:t>
      </w:r>
      <w:r>
        <w:rPr>
          <w:rFonts w:hint="eastAsia" w:ascii="仿宋_GB2312" w:hAnsi="仿宋" w:eastAsia="仿宋_GB2312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年上半年财政预算执行情况，请予审议，并请</w:t>
      </w:r>
      <w:r>
        <w:rPr>
          <w:rFonts w:hint="eastAsia" w:ascii="仿宋_GB2312" w:hAnsi="仿宋" w:eastAsia="仿宋_GB2312" w:cs="仿宋_GB2312"/>
          <w:bCs/>
          <w:sz w:val="32"/>
          <w:szCs w:val="32"/>
          <w:lang w:eastAsia="zh-CN"/>
        </w:rPr>
        <w:t>代表们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提出宝贵意见。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一、202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Cs/>
          <w:sz w:val="32"/>
          <w:szCs w:val="32"/>
        </w:rPr>
        <w:t>年财政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收支</w:t>
      </w:r>
      <w:r>
        <w:rPr>
          <w:rFonts w:hint="eastAsia" w:ascii="黑体" w:hAnsi="黑体" w:eastAsia="黑体" w:cs="黑体"/>
          <w:bCs/>
          <w:sz w:val="32"/>
          <w:szCs w:val="32"/>
        </w:rPr>
        <w:t>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</w:rPr>
        <w:t>2024年，在镇党委和上级财政部门的正确领导下，在镇人大的监督指导下，在各部门的密切配合下，镇财政部门紧紧围绕年初制定的总体目标，积极应对经济下行压力，坚持稳字当头，统筹做好调结构、惠民生、防风险、保稳定等各项工作,切实履行财政职责，筑牢兜实“三保”底线，实现财政平稳运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现将202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年财政决算报告如下：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镇本级财政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收入决算情况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镇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eastAsia="zh-CN"/>
        </w:rPr>
        <w:t>本级一般公共预算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收入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28610.95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万元，同比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7.13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%。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主要有体制分成收入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18371.02万元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、均衡性转移支付收入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4974万元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、财政改革补助收入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2427.98万元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、区级贡献存量补贴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1227万元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动用预算稳定调节基金1610.95万元。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楷体_GB2312" w:eastAsia="仿宋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（二）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镇本级财政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楷体" w:eastAsia="仿宋_GB2312"/>
          <w:b w:val="0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镇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本级一般公共预算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28610.95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万元，同比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7.13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%。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其中，一般公共预算执行数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26548.56万元，</w:t>
      </w:r>
      <w:r>
        <w:rPr>
          <w:rFonts w:hint="eastAsia" w:ascii="仿宋_GB2312" w:hAnsi="黑体" w:eastAsia="仿宋_GB2312"/>
          <w:sz w:val="32"/>
          <w:szCs w:val="32"/>
        </w:rPr>
        <w:t>完成调整预算后的92.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79</w:t>
      </w:r>
      <w:r>
        <w:rPr>
          <w:rFonts w:hint="eastAsia" w:ascii="仿宋_GB2312" w:hAnsi="黑体" w:eastAsia="仿宋_GB2312"/>
          <w:sz w:val="32"/>
          <w:szCs w:val="32"/>
        </w:rPr>
        <w:t>%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黑体" w:eastAsia="仿宋_GB2312"/>
          <w:sz w:val="32"/>
          <w:szCs w:val="32"/>
        </w:rPr>
        <w:t>安排预算稳定调节基金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2062.39</w:t>
      </w:r>
      <w:r>
        <w:rPr>
          <w:rFonts w:hint="eastAsia" w:ascii="仿宋_GB2312" w:hAnsi="黑体" w:eastAsia="仿宋_GB2312"/>
          <w:sz w:val="32"/>
          <w:szCs w:val="32"/>
        </w:rPr>
        <w:t>万元结转至2025年预算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zh-CN" w:eastAsia="zh-CN"/>
        </w:rPr>
        <w:t>。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具体执行情况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一般公共服务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3210.71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11.22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  <w:lang w:eastAsia="zh-CN"/>
        </w:rPr>
        <w:t>其中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（1）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zh-CN"/>
        </w:rPr>
        <w:t>人大事务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16.45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（2）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zh-CN"/>
        </w:rPr>
        <w:t>政府办公室及相关机构事务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1931.27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（3）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zh-CN"/>
        </w:rPr>
        <w:t>统计信息事务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22.98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（4）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财政事务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198.58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（5）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审计事务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2.62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（6）纪检监察事务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9.21万元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）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商贸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280.28万元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群众团体事务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49.6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组织事务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238.74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宣传事务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113.25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（1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）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统战事务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3.22万元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（1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其他共产党事务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344.51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2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教育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  <w:lang w:eastAsia="zh-CN"/>
        </w:rPr>
        <w:t>执行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24.58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0.0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主要用于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乡村彩虹少年宫活动，“六一”节活动，青保及假期未成年人工作，早教活动、语委会、均衡发展补贴、优秀教师评选等经费。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3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科学技术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  <w:lang w:eastAsia="zh-CN"/>
        </w:rPr>
        <w:t>执行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400.23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1.4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主要用于科技创新经费和科普宣传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、培训、科普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示范村建设等。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4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文化旅游体育与传媒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  <w:lang w:eastAsia="zh-CN"/>
        </w:rPr>
        <w:t>执行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132.5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0.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46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（1）文化和旅游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6.35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文旅宣传、民宿标准化建设等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（2）其他文化旅游体育与传媒支出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126.15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万元。主要用于镇村图书室，公共体育设施，村级数字电影放映，文化中心运维，扫黄打非工作，文化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活动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等经费。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5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社会保障和就业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支出决算</w:t>
      </w:r>
      <w:r>
        <w:rPr>
          <w:rFonts w:hint="eastAsia" w:ascii="仿宋_GB2312" w:hAnsi="Calibri" w:eastAsia="仿宋_GB2312"/>
          <w:b/>
          <w:bCs w:val="0"/>
          <w:sz w:val="32"/>
          <w:szCs w:val="32"/>
          <w:highlight w:val="none"/>
          <w:lang w:val="en-US" w:eastAsia="zh-CN"/>
        </w:rPr>
        <w:t>14512.25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50.72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1）民政管理事务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1059.94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万元。主要用于受理中心运行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及社区工作者经费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2）行政事业养老支出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954.41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万元。主要用于行政和事业单位离退休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人员</w:t>
      </w:r>
      <w:r>
        <w:rPr>
          <w:rFonts w:hint="eastAsia" w:ascii="仿宋_GB2312" w:eastAsia="仿宋_GB2312"/>
          <w:sz w:val="32"/>
          <w:szCs w:val="32"/>
          <w:highlight w:val="none"/>
        </w:rPr>
        <w:t>社保缴费等。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3）就业补助1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0968.77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万元。主要用于生态养护社运行、促进就业等。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4）抚恤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89.53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退役</w:t>
      </w:r>
      <w:r>
        <w:rPr>
          <w:rFonts w:hint="eastAsia" w:ascii="仿宋_GB2312" w:eastAsia="仿宋_GB2312"/>
          <w:sz w:val="32"/>
          <w:szCs w:val="32"/>
          <w:highlight w:val="none"/>
        </w:rPr>
        <w:t>军人补助。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5）社会福利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781.13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万元。主要用于老年福利和养老服务等。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highlight w:val="none"/>
        </w:rPr>
        <w:t>）残疾人事业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141.79万元。</w:t>
      </w:r>
      <w:r>
        <w:rPr>
          <w:rFonts w:hint="eastAsia" w:ascii="仿宋_GB2312" w:eastAsia="仿宋_GB2312"/>
          <w:sz w:val="32"/>
          <w:szCs w:val="32"/>
          <w:highlight w:val="none"/>
        </w:rPr>
        <w:t>主要用于重残人员补助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）最低生活保障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22.29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万元。主要用于低保补助和临时救助。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highlight w:val="none"/>
        </w:rPr>
        <w:t>）其他生活救助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48.63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万元。主要用于生活补贴和医疗救助。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highlight w:val="none"/>
        </w:rPr>
        <w:t>）其他社会保障和就业支出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445.76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困难人员慰问、托底保障等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6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卫生健康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支出决算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456.01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，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1.59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1）公共卫生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208.6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万元。主要用于防疫卫生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、爱卫、健康、红十字经费等支出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）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计划生育事务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22.51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万元。主要用于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计划生育支出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）行政事业单位医疗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224.9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主要用于行政和事业单位医疗保险支出。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7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节能环保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支出决算</w:t>
      </w:r>
      <w:r>
        <w:rPr>
          <w:rFonts w:hint="eastAsia" w:ascii="仿宋_GB2312" w:hAnsi="Calibri" w:eastAsia="仿宋_GB2312"/>
          <w:b/>
          <w:bCs w:val="0"/>
          <w:sz w:val="32"/>
          <w:szCs w:val="32"/>
          <w:highlight w:val="none"/>
          <w:lang w:val="en-US" w:eastAsia="zh-CN"/>
        </w:rPr>
        <w:t>784.24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val="en-US" w:eastAsia="zh-CN"/>
        </w:rPr>
        <w:t>2.74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1）</w:t>
      </w:r>
      <w:r>
        <w:rPr>
          <w:rFonts w:hint="eastAsia" w:ascii="仿宋_GB2312" w:eastAsia="仿宋_GB2312"/>
          <w:sz w:val="32"/>
          <w:szCs w:val="32"/>
          <w:highlight w:val="none"/>
        </w:rPr>
        <w:t>环境保护管理事务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266.96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万元。主要用于生态保护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市容环境事务所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、城建中心</w:t>
      </w:r>
      <w:r>
        <w:rPr>
          <w:rFonts w:hint="eastAsia" w:ascii="仿宋_GB2312" w:eastAsia="仿宋_GB2312"/>
          <w:sz w:val="32"/>
          <w:szCs w:val="32"/>
          <w:highlight w:val="none"/>
        </w:rPr>
        <w:t>运行。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eastAsia="仿宋_GB231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2）自然生态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3.67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主要用于公共绿地设施维护。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3）污染减排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513.61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节能减排、低碳社区创建、污水管网工程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等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8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城乡社区事务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支出决算</w:t>
      </w:r>
      <w:r>
        <w:rPr>
          <w:rFonts w:hint="eastAsia" w:ascii="仿宋_GB2312" w:hAnsi="Calibri" w:eastAsia="仿宋_GB2312"/>
          <w:b/>
          <w:bCs w:val="0"/>
          <w:sz w:val="32"/>
          <w:szCs w:val="32"/>
          <w:highlight w:val="none"/>
          <w:lang w:val="zh-CN"/>
        </w:rPr>
        <w:t>2</w:t>
      </w:r>
      <w:r>
        <w:rPr>
          <w:rFonts w:hint="eastAsia" w:ascii="仿宋_GB2312" w:hAnsi="Calibri" w:eastAsia="仿宋_GB2312"/>
          <w:b/>
          <w:bCs w:val="0"/>
          <w:sz w:val="32"/>
          <w:szCs w:val="32"/>
          <w:highlight w:val="none"/>
          <w:lang w:val="en-US" w:eastAsia="zh-CN"/>
        </w:rPr>
        <w:t>634.73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9.21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1）</w:t>
      </w:r>
      <w:r>
        <w:rPr>
          <w:rFonts w:hint="eastAsia" w:ascii="仿宋_GB2312" w:eastAsia="仿宋_GB2312"/>
          <w:sz w:val="32"/>
          <w:szCs w:val="32"/>
          <w:highlight w:val="none"/>
        </w:rPr>
        <w:t>城乡社区管理事务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1090.07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万元。主要用于综合行政执法队、城建中心、城运中心等单位运行。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</w:rPr>
        <w:t>）城乡社区公共设施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561.57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主要用于农村建设发展、水环境提升、社区维修、道路维修等。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）城乡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社区环境卫生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504.74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主要用于垃圾清运、垃圾分类等。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）其他城乡社区支出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478.35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物业费、特保服务费、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乡镇综合保险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经费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、安全生产等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9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农林水事务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支出决算</w:t>
      </w:r>
      <w:r>
        <w:rPr>
          <w:rFonts w:hint="eastAsia" w:ascii="仿宋_GB2312" w:hAnsi="Calibri" w:eastAsia="仿宋_GB2312"/>
          <w:b/>
          <w:bCs w:val="0"/>
          <w:sz w:val="32"/>
          <w:szCs w:val="32"/>
          <w:highlight w:val="none"/>
          <w:lang w:val="en-US" w:eastAsia="zh-CN"/>
        </w:rPr>
        <w:t>1587.34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5.55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农业农村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478.44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万元。主要用于农技中心运行、农业综合保险、畜牧兽医防疫、农产品监管、为农服务、农业培训、涉农“一点通”推广、镇区绿化、土地流转及用地补贴、农经统计、农业生产发展、乡村振兴建设。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2）林业草原支出3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18.38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公益林廊道养护、智慧林业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3）水利支出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335.52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万元。主要用于水务所经费、河长制经费、水务监测经费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、农污养护、智慧水务平台、市政管网第三方养护等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4）农村综合改革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万元。主要用于村级扶持。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10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其他商业流通事务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支出决算</w:t>
      </w:r>
      <w:r>
        <w:rPr>
          <w:rFonts w:hint="eastAsia" w:ascii="仿宋_GB2312" w:hAnsi="Calibri" w:eastAsia="仿宋_GB2312"/>
          <w:b/>
          <w:bCs w:val="0"/>
          <w:sz w:val="32"/>
          <w:szCs w:val="32"/>
          <w:highlight w:val="none"/>
          <w:lang w:val="en-US" w:eastAsia="zh-CN"/>
        </w:rPr>
        <w:t>2200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万元，占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val="en-US" w:eastAsia="zh-CN"/>
        </w:rPr>
        <w:t>7.69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经济小区工作经费、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企业扶持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等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11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住房保障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支出决算</w:t>
      </w:r>
      <w:r>
        <w:rPr>
          <w:rFonts w:hint="eastAsia" w:ascii="仿宋_GB2312" w:hAnsi="Calibri" w:eastAsia="仿宋_GB2312"/>
          <w:b/>
          <w:bCs w:val="0"/>
          <w:sz w:val="32"/>
          <w:szCs w:val="32"/>
          <w:highlight w:val="none"/>
          <w:lang w:val="en-US" w:eastAsia="zh-CN"/>
        </w:rPr>
        <w:t>605.97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，占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镇本级预算支出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val="en-US" w:eastAsia="zh-CN"/>
        </w:rPr>
        <w:t>2.12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行政和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事业单位人员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住房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公积金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和购房补贴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default" w:ascii="仿宋_GB2312" w:hAnsi="仿宋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楷体_GB2312" w:eastAsia="仿宋_GB2312" w:cs="楷体_GB2312"/>
          <w:b/>
          <w:bCs/>
          <w:kern w:val="2"/>
          <w:sz w:val="32"/>
          <w:szCs w:val="32"/>
          <w:highlight w:val="none"/>
          <w:lang w:val="en-US" w:eastAsia="zh-CN" w:bidi="ar-SA"/>
        </w:rPr>
        <w:t>12.预算稳定调节基金：</w:t>
      </w:r>
      <w:r>
        <w:rPr>
          <w:rFonts w:hint="eastAsia" w:ascii="仿宋_GB2312" w:hAnsi="楷体_GB2312" w:eastAsia="仿宋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我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本级</w:t>
      </w:r>
      <w:r>
        <w:rPr>
          <w:rFonts w:hint="eastAsia" w:ascii="仿宋_GB2312" w:hAnsi="仿宋" w:eastAsia="仿宋_GB2312" w:cs="仿宋_GB2312"/>
          <w:kern w:val="2"/>
          <w:sz w:val="32"/>
          <w:szCs w:val="32"/>
          <w:highlight w:val="none"/>
          <w:lang w:val="en-US" w:eastAsia="zh-CN" w:bidi="ar-SA"/>
        </w:rPr>
        <w:t>年底安排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预算稳定调节基金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2062.39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万元，结转至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年预算。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（三）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一般公共预算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收入决算情况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eastAsia="仿宋_GB2312"/>
          <w:sz w:val="32"/>
          <w:szCs w:val="32"/>
        </w:rPr>
        <w:t>截至2024年12月31日，</w:t>
      </w:r>
      <w:r>
        <w:rPr>
          <w:rFonts w:hint="eastAsia" w:ascii="仿宋_GB2312" w:hAnsi="仿宋" w:eastAsia="仿宋_GB2312"/>
          <w:kern w:val="0"/>
          <w:sz w:val="32"/>
          <w:szCs w:val="32"/>
        </w:rPr>
        <w:t>本镇累计收到区对镇下达的</w:t>
      </w: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一般公共预算</w:t>
      </w:r>
      <w:r>
        <w:rPr>
          <w:rFonts w:hint="eastAsia" w:ascii="仿宋_GB2312" w:hAnsi="仿宋" w:eastAsia="仿宋_GB2312"/>
          <w:kern w:val="0"/>
          <w:sz w:val="32"/>
          <w:szCs w:val="32"/>
        </w:rPr>
        <w:t>专项转移支付收入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15793.81万元（包括中央、市级、区级各类专项补贴），</w:t>
      </w:r>
      <w:r>
        <w:rPr>
          <w:rFonts w:hint="eastAsia" w:ascii="仿宋_GB2312" w:eastAsia="仿宋_GB2312"/>
          <w:sz w:val="32"/>
          <w:szCs w:val="32"/>
        </w:rPr>
        <w:t>其中：2021年至2023年</w:t>
      </w:r>
      <w:r>
        <w:rPr>
          <w:rFonts w:hint="eastAsia" w:ascii="仿宋_GB2312" w:eastAsia="仿宋_GB2312"/>
          <w:sz w:val="32"/>
          <w:szCs w:val="32"/>
          <w:lang w:eastAsia="zh-CN"/>
        </w:rPr>
        <w:t>结转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7718.88</w:t>
      </w:r>
      <w:r>
        <w:rPr>
          <w:rFonts w:hint="eastAsia" w:ascii="仿宋_GB2312" w:eastAsia="仿宋_GB2312"/>
          <w:sz w:val="32"/>
          <w:szCs w:val="32"/>
        </w:rPr>
        <w:t>万元，2024年</w:t>
      </w:r>
      <w:r>
        <w:rPr>
          <w:rFonts w:hint="eastAsia" w:ascii="仿宋_GB2312" w:eastAsia="仿宋_GB2312"/>
          <w:sz w:val="32"/>
          <w:szCs w:val="32"/>
          <w:lang w:eastAsia="zh-CN"/>
        </w:rPr>
        <w:t>新</w:t>
      </w:r>
      <w:r>
        <w:rPr>
          <w:rFonts w:hint="eastAsia" w:ascii="仿宋_GB2312" w:eastAsia="仿宋_GB2312"/>
          <w:sz w:val="32"/>
          <w:szCs w:val="32"/>
        </w:rPr>
        <w:t>下达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8074.93</w:t>
      </w:r>
      <w:r>
        <w:rPr>
          <w:rFonts w:hint="eastAsia" w:ascii="仿宋_GB2312" w:eastAsia="仿宋_GB2312"/>
          <w:sz w:val="32"/>
          <w:szCs w:val="32"/>
        </w:rPr>
        <w:t>万元。2024年</w:t>
      </w:r>
      <w:r>
        <w:rPr>
          <w:rFonts w:hint="eastAsia" w:ascii="仿宋_GB2312" w:hAnsi="仿宋" w:eastAsia="仿宋_GB2312"/>
          <w:kern w:val="0"/>
          <w:sz w:val="32"/>
          <w:szCs w:val="32"/>
        </w:rPr>
        <w:t>完成拨付的资金为</w:t>
      </w:r>
      <w:r>
        <w:rPr>
          <w:rFonts w:hint="eastAsia" w:ascii="仿宋_GB2312" w:hAnsi="仿宋" w:eastAsia="仿宋_GB2312"/>
          <w:kern w:val="0"/>
          <w:sz w:val="32"/>
          <w:szCs w:val="32"/>
          <w:lang w:val="en-US" w:eastAsia="zh-CN"/>
        </w:rPr>
        <w:t>10788.05</w:t>
      </w:r>
      <w:r>
        <w:rPr>
          <w:rFonts w:hint="eastAsia" w:ascii="仿宋_GB2312" w:hAnsi="仿宋" w:eastAsia="仿宋_GB2312"/>
          <w:kern w:val="0"/>
          <w:sz w:val="32"/>
          <w:szCs w:val="32"/>
        </w:rPr>
        <w:t>万元，尚余</w:t>
      </w:r>
      <w:r>
        <w:rPr>
          <w:rFonts w:hint="eastAsia" w:ascii="仿宋_GB2312" w:hAnsi="仿宋" w:eastAsia="仿宋_GB2312"/>
          <w:kern w:val="0"/>
          <w:sz w:val="32"/>
          <w:szCs w:val="32"/>
          <w:lang w:val="en-US" w:eastAsia="zh-CN"/>
        </w:rPr>
        <w:t>5005.76</w:t>
      </w:r>
      <w:r>
        <w:rPr>
          <w:rFonts w:hint="eastAsia" w:ascii="仿宋_GB2312" w:hAnsi="黑体" w:eastAsia="仿宋_GB2312"/>
          <w:bCs/>
          <w:sz w:val="32"/>
          <w:szCs w:val="32"/>
        </w:rPr>
        <w:t>万元结转至2025年专款专用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四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区对镇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一般公共预算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支出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决算情况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202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年一般公共预算专项转移支付执行金额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10788.05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具体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执行情况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一般公共服务支出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ab/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57.77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主要用于人大事务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、党员教育、文明城区奖补等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支出。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社会保障和就业支出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1046.9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离休干部社区养老服务补贴、被征地人员灵活就业社保补贴、生态养护人员经费、社统销人员补贴、优抚对象退役军人保障、居家养老、社救、残联工作、长护险、困难群众补助、居民基本医疗保险补贴等支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卫生健康支出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878.05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主要用于城乡医疗救助支出。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both"/>
        <w:textAlignment w:val="auto"/>
        <w:rPr>
          <w:rFonts w:hint="default" w:ascii="仿宋_GB2312" w:hAnsi="Calibri" w:eastAsia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节能环保支出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759.58万元。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en-US" w:eastAsia="zh-CN"/>
        </w:rPr>
        <w:t>主要用于蟠龙镇污水管网完善工程、秸秆综合利用补贴资金、生活垃圾分类专项、水污染防治资金等支出。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城乡社区支出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62.16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主要用于美丽街区专项补贴经费、林业专项补贴等支出。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农林水支出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7795.77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主要用于土地流转费、惠农补贴、乡村振兴补助、林业养护、水利工程及养护、美丽乡村、村级转移支付等支出。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交通运输支出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87.24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zh-CN"/>
        </w:rPr>
        <w:t>主要用于农村公路乡村道路养护项目。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粮油物资储备支出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100.58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zh-CN"/>
        </w:rPr>
        <w:t>主要用于秋粮生产、售粮补贴。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（五）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区对镇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政府性基金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转移支付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收入决算情况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/>
          <w:highlight w:val="none"/>
          <w:lang w:val="zh-CN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本镇累计收到区对镇下达的</w:t>
      </w: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政府基金转移支付</w:t>
      </w:r>
      <w:r>
        <w:rPr>
          <w:rFonts w:hint="eastAsia" w:ascii="仿宋_GB2312" w:hAnsi="仿宋" w:eastAsia="仿宋_GB2312"/>
          <w:kern w:val="0"/>
          <w:sz w:val="32"/>
          <w:szCs w:val="32"/>
        </w:rPr>
        <w:t>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2732.38万元，</w:t>
      </w:r>
      <w:r>
        <w:rPr>
          <w:rFonts w:hint="eastAsia" w:ascii="仿宋_GB2312" w:eastAsia="仿宋_GB2312"/>
          <w:sz w:val="32"/>
          <w:szCs w:val="32"/>
        </w:rPr>
        <w:t>其中：202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年至2023年</w:t>
      </w:r>
      <w:r>
        <w:rPr>
          <w:rFonts w:hint="eastAsia" w:ascii="仿宋_GB2312" w:eastAsia="仿宋_GB2312"/>
          <w:sz w:val="32"/>
          <w:szCs w:val="32"/>
          <w:lang w:eastAsia="zh-CN"/>
        </w:rPr>
        <w:t>结转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2563.57万元</w:t>
      </w:r>
      <w:r>
        <w:rPr>
          <w:rFonts w:hint="eastAsia" w:ascii="仿宋_GB2312" w:eastAsia="仿宋_GB2312"/>
          <w:sz w:val="32"/>
          <w:szCs w:val="32"/>
        </w:rPr>
        <w:t>，2024年</w:t>
      </w:r>
      <w:r>
        <w:rPr>
          <w:rFonts w:hint="eastAsia" w:ascii="仿宋_GB2312" w:eastAsia="仿宋_GB2312"/>
          <w:sz w:val="32"/>
          <w:szCs w:val="32"/>
          <w:lang w:eastAsia="zh-CN"/>
        </w:rPr>
        <w:t>新</w:t>
      </w:r>
      <w:r>
        <w:rPr>
          <w:rFonts w:hint="eastAsia" w:ascii="仿宋_GB2312" w:eastAsia="仿宋_GB2312"/>
          <w:sz w:val="32"/>
          <w:szCs w:val="32"/>
        </w:rPr>
        <w:t>下达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168.81</w:t>
      </w:r>
      <w:r>
        <w:rPr>
          <w:rFonts w:hint="eastAsia" w:ascii="仿宋_GB2312" w:eastAsia="仿宋_GB2312"/>
          <w:sz w:val="32"/>
          <w:szCs w:val="32"/>
        </w:rPr>
        <w:t>万元。2024年</w:t>
      </w:r>
      <w:r>
        <w:rPr>
          <w:rFonts w:hint="eastAsia" w:ascii="仿宋_GB2312" w:hAnsi="仿宋" w:eastAsia="仿宋_GB2312"/>
          <w:kern w:val="0"/>
          <w:sz w:val="32"/>
          <w:szCs w:val="32"/>
        </w:rPr>
        <w:t>完成拨付</w:t>
      </w: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" w:eastAsia="仿宋_GB2312"/>
          <w:kern w:val="0"/>
          <w:sz w:val="32"/>
          <w:szCs w:val="32"/>
        </w:rPr>
        <w:t>资金为</w:t>
      </w:r>
      <w:r>
        <w:rPr>
          <w:rFonts w:hint="eastAsia" w:ascii="仿宋_GB2312" w:hAnsi="仿宋" w:eastAsia="仿宋_GB2312"/>
          <w:kern w:val="0"/>
          <w:sz w:val="32"/>
          <w:szCs w:val="32"/>
          <w:lang w:val="en-US" w:eastAsia="zh-CN"/>
        </w:rPr>
        <w:t>1805.87</w:t>
      </w:r>
      <w:r>
        <w:rPr>
          <w:rFonts w:hint="eastAsia" w:ascii="仿宋_GB2312" w:hAnsi="仿宋" w:eastAsia="仿宋_GB2312"/>
          <w:kern w:val="0"/>
          <w:sz w:val="32"/>
          <w:szCs w:val="32"/>
        </w:rPr>
        <w:t>万元，尚余</w:t>
      </w:r>
      <w:r>
        <w:rPr>
          <w:rFonts w:hint="eastAsia" w:ascii="仿宋_GB2312" w:hAnsi="仿宋" w:eastAsia="仿宋_GB2312"/>
          <w:kern w:val="0"/>
          <w:sz w:val="32"/>
          <w:szCs w:val="32"/>
          <w:lang w:val="en-US" w:eastAsia="zh-CN"/>
        </w:rPr>
        <w:t>926.5</w:t>
      </w:r>
      <w:r>
        <w:rPr>
          <w:rFonts w:hint="eastAsia" w:ascii="仿宋_GB2312" w:hAnsi="黑体" w:eastAsia="仿宋_GB2312"/>
          <w:bCs/>
          <w:sz w:val="32"/>
          <w:szCs w:val="32"/>
        </w:rPr>
        <w:t>万元结转至2025年专款专用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（六）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区对镇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政府性基金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转移支付支出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政府性基金转移支付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总支出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1805.87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。主要用于农村基础设施建设、农村生态环境支出、移民补助等。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kern w:val="2"/>
          <w:sz w:val="32"/>
          <w:szCs w:val="32"/>
          <w:highlight w:val="none"/>
          <w:lang w:val="en-US" w:eastAsia="zh-CN" w:bidi="ar-SA"/>
        </w:rPr>
        <w:t>（七）2024年上解支出情况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2024年区与乡镇共同承担事项清算上解支出4734.7万元，主要承担有终身教育经费、政法委等社工薪酬、司法局所辖司法所经费、市场监管局所辖市场监管所经费、免费刻章经费、城运中心一线督察员、农电表箱维保项目、计划生育、城乡医疗救助、城乡居民基本医疗保险、生态养老补贴、城乡居民养老保险基金、蔬菜产能提升、绿色补贴农药、体制结算收入计提、产业政策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仿宋_GB2312" w:eastAsia="仿宋_GB231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二、202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年上半年财政预算执行情况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上半年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，镇财政工作在镇党委的正确领导和镇人大的监督支持下，紧紧围绕年初镇人代会确定的经济工作目标，充分发挥财政职能，优化收支结构，加强执行管理，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强化预算刚性约束，注重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财政监督。截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至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月底预算执行情况良好，民生保障、重点工程等重点支出得到较好保障，现将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上半年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财政预算执行情况汇报如下：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镇本级财政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收入执行情况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仿宋_GB2312"/>
          <w:bCs/>
          <w:color w:val="0000FF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2025年我镇预算安排总收入27062.39万元，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主要有体制分成收入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16371.02万元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、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均衡性转移支付收入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4974万元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、财政改革补助收入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2427.98万元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、区级贡献存量补贴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1227万元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预算稳定调节基金2062.39万元。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（二）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镇本级财政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支出执行情况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截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至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月底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" w:eastAsia="仿宋_GB2312" w:cs="仿宋_GB2312"/>
          <w:b w:val="0"/>
          <w:bCs/>
          <w:color w:val="auto"/>
          <w:sz w:val="32"/>
          <w:szCs w:val="32"/>
          <w:highlight w:val="none"/>
        </w:rPr>
        <w:t>镇</w:t>
      </w:r>
      <w:r>
        <w:rPr>
          <w:rFonts w:hint="eastAsia" w:ascii="仿宋_GB2312" w:hAnsi="仿宋" w:eastAsia="仿宋_GB2312" w:cs="仿宋_GB2312"/>
          <w:b w:val="0"/>
          <w:bCs/>
          <w:color w:val="auto"/>
          <w:sz w:val="32"/>
          <w:szCs w:val="32"/>
          <w:highlight w:val="none"/>
          <w:lang w:eastAsia="zh-CN"/>
        </w:rPr>
        <w:t>本级财政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支出执行</w:t>
      </w:r>
      <w:r>
        <w:rPr>
          <w:rFonts w:hint="eastAsia" w:ascii="仿宋_GB2312" w:hAnsi="仿宋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11875.91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万元，完成预算的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44.54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%。具体支出执行情况如下：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一般公共服务：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3662.6万元，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已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执行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1581.33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,完成年初预算的43.18%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主要用于人大事务、行政管理、财政事务、纪检监督、组织事务、宣传事务、发展与改革事务、审计事务、统计信息事务、群众团体事务、其他党务、其他一般公共服务等资金。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2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教育：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23.5万元，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1.16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完成年初预算的4.94%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学前教育、成人教育、其他教育等资金。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.科学技术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388.61万元，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文化旅游体育与传媒：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117.34万元，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15.3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完成年初预算的13.04%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主要用于乡村旅游、文化中心运维、文化专项经费、体育专项经费、文体设备购置等资金。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社会保障和就业：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11828.49万元，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预算执行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  <w:lang w:val="en-US" w:eastAsia="zh-CN"/>
        </w:rPr>
        <w:t>6281.51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完成年初预算的53.1%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主要用于民政管理事务、社会保险基金、就业补助、优抚经费、社会福利、残疾人事业、红十字事业、农村低保、其他社会保障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、企业扶持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卫生健康：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463.35万元，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210.12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完成年初预算的45.35%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主要用于公共卫生、计划生育事务、行政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事业单位医疗、其他卫生健康事务等资金。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节能环保：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324.25万元，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19.64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完成年初预算的6.06%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自然生态保护、污染减排、环境保护管理事务等资金。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_GB2312" w:eastAsia="仿宋_GB2312" w:cs="楷体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楷体_GB2312" w:eastAsia="仿宋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楷体_GB2312" w:eastAsia="仿宋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城乡社区事务：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6249.08万元，</w:t>
      </w:r>
      <w:r>
        <w:rPr>
          <w:rFonts w:hint="eastAsia" w:ascii="仿宋_GB2312" w:hAnsi="楷体_GB2312" w:eastAsia="仿宋_GB2312" w:cs="楷体_GB2312"/>
          <w:b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预算执行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2212.63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完成年初预算的35.41%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主要用于城乡社区管理事务、城乡社区规划与管理、城乡社区公共设施、其他城乡社区支出等资金。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农林水事务：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2194.37万元，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582.42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完成年初预算的26.54%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农业经费、林业经费、水利经费、农村综合改革、其他农林水支出等资金。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其他商业流通事务：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1000万元，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预算执行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  <w:lang w:val="en-US" w:eastAsia="zh-CN"/>
        </w:rPr>
        <w:t>600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万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完成年初预算的60%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经济小区工作经费。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住房保障：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730.8万元，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371.8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完成年初预算的50.88%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主要用于住房保障资金。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outlineLvl w:val="9"/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.预备费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：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val="en-US" w:eastAsia="zh-CN"/>
        </w:rPr>
        <w:t>80万元，</w:t>
      </w:r>
      <w:r>
        <w:rPr>
          <w:rFonts w:hint="eastAsia" w:ascii="仿宋_GB2312" w:hAnsi="楷体_GB2312" w:eastAsia="仿宋_GB2312" w:cs="楷体_GB2312"/>
          <w:b/>
          <w:bCs w:val="0"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outlineLvl w:val="9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（三）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区对镇一般公共预算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转移支付收入情况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7" w:firstLineChars="196"/>
        <w:jc w:val="both"/>
        <w:textAlignment w:val="auto"/>
        <w:rPr>
          <w:rFonts w:hint="eastAsia" w:ascii="仿宋_GB2312" w:hAnsi="楷体_GB2312" w:eastAsia="仿宋_GB2312" w:cs="楷体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楷体_GB2312" w:eastAsia="仿宋_GB2312" w:cs="楷体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2025年上半年区对镇一般公共预算专项转移支付收入10592.2万元，其中2025年下达5586.44万元，2024年结转5005.76万元。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（四）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区对镇一般公共预算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转移支付执行情况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7" w:firstLineChars="196"/>
        <w:jc w:val="both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val="en-US" w:eastAsia="zh-CN"/>
        </w:rPr>
        <w:t>2025年上半年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highlight w:val="none"/>
          <w:lang w:eastAsia="zh-CN"/>
        </w:rPr>
        <w:t>一般公共预算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</w:rPr>
        <w:t>专项转移支付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eastAsia="zh-CN"/>
        </w:rPr>
        <w:t>执行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val="en-US" w:eastAsia="zh-CN"/>
        </w:rPr>
        <w:t>2443.19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eastAsia="zh-CN"/>
        </w:rPr>
        <w:t>，完成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highlight w:val="none"/>
          <w:lang w:eastAsia="zh-CN"/>
        </w:rPr>
        <w:t>一般公共预算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</w:rPr>
        <w:t>专项转移支付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eastAsia="zh-CN"/>
        </w:rPr>
        <w:t>预算的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val="en-US" w:eastAsia="zh-CN"/>
        </w:rPr>
        <w:t>23.07%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</w:rPr>
        <w:t>。其中：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一般公共服务支出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13.52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万元，社会保障和就业支出</w:t>
      </w:r>
      <w:r>
        <w:rPr>
          <w:rFonts w:hint="eastAsia" w:ascii="仿宋_GB2312" w:hAnsi="楷体_GB2312" w:eastAsia="仿宋_GB2312" w:cs="楷体_GB2312"/>
          <w:bCs/>
          <w:spacing w:val="-17"/>
          <w:sz w:val="32"/>
          <w:szCs w:val="32"/>
          <w:highlight w:val="none"/>
          <w:lang w:val="en-US" w:eastAsia="zh-CN"/>
        </w:rPr>
        <w:t>519.09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万元，卫生健康支出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480.53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万元，节能环保支出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82.32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万元，城乡社区支出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30.99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万元，农林水支出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1314.36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eastAsia="zh-CN"/>
        </w:rPr>
        <w:t>，商品服务支出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2万元，粮油物资储备支出0.38万元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default"/>
          <w:highlight w:val="none"/>
          <w:lang w:val="en-US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五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区对镇政府性基金专项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val="en-US" w:eastAsia="zh-CN"/>
        </w:rPr>
        <w:t>2025年上半年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eastAsia="zh-CN"/>
        </w:rPr>
        <w:t>区对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镇政府性基金专项转移支付收入938.25万元，其中2025年下达11.74万元，2024年结转926.51万元。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六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政府性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基金专项转移支付执行情况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val="en-US" w:eastAsia="zh-CN"/>
        </w:rPr>
        <w:t>2025年上半年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</w:rPr>
        <w:t>政府性基金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eastAsia="zh-CN"/>
        </w:rPr>
        <w:t>专项转移支付执行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409.16万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eastAsia="zh-CN"/>
        </w:rPr>
        <w:t>元，完成政府性基金专项转移支付预算的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43.61%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eastAsia="zh-CN"/>
        </w:rPr>
        <w:t>。主要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eastAsia="zh-CN"/>
        </w:rPr>
        <w:t>用于乡村振兴建设、养老服务等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七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2025年上解支出情况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2025年区与乡镇共同承担事项提前告知上解支出5609.02万元，2025年实际上解支出情况以年底清算为准。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上半年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，我镇各项财政工作虽然取得了阶段性进展，但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也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存在着不容忽视的困难和问题，镇级承担事项项目不断增加，刚性支出不断加大，民生保障任务日趋加重，财政收入增长与刚性支出、项目支出增加不相适应，收支矛盾日益凸显。面对这些问题，我们将高度重视，在今后的工作中采取积极措施，不断加以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eastAsia="zh-CN"/>
        </w:rPr>
        <w:t>三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、202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年下半年财政工作重点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根据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上半年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财政执行情况及收支趋势分析，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为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有效完成我镇今年财政预算任务，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实现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财政收支平衡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lang w:val="en-US" w:eastAsia="zh-CN"/>
        </w:rPr>
        <w:t>确保下半年预算安排的顺利执行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，为此我们将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（一）夯实财力基础，在财源拓展上再发力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夯实财力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，组织收入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是财政工作的重中之重，是支持我镇各项事业发展和维护社会稳定的基本保障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。一是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我们将持续优化营商环境，强化对重点行业、重点领域、重点税源的跟踪管理，全力培育稳定可持续的优质财源。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二是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积极争取上级资金和政策支持，继续盘活存量、用好增量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统筹资金使用力度,多措并举，推动财政收入稳定增长。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（二）加强支出管理，在预算管理上再深化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强化预算约束，更加注重预算绩效管理，切实提高财政资金使用效益。一是坚持“量入为出、保障重点、厉行节约”的原则，不断优化财政支出结构，将有限的资金用在刀刃上，全力保障经济社会发展的关键领域和民生需求。二是以提升财政管理现代化水平为目标，持续推进各项财政改革，不断提高财政资金使用效益和财政运行效率。将绩效管理理念和方法深度融入预算编制、执行、监督全过程，强化绩效评价结果应用，做到“花钱必问效、无效必问责”，提升财政资源配置效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kern w:val="2"/>
          <w:sz w:val="32"/>
          <w:szCs w:val="32"/>
          <w:highlight w:val="none"/>
          <w:lang w:val="en-US" w:eastAsia="zh-CN" w:bidi="ar-SA"/>
        </w:rPr>
        <w:t>（三）提升财政效能，在保障重点上再聚焦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继续优先保障民生投入，集中财力支持乡村振兴和经济社会发展重大项目。一是优先保障民生支出。持续加大在教育、医疗、养老、社会保障、就业等民生领域的投入力度，确保各项民生政策落地见效，切实增强人民群众的获得感和幸福感。二是全力支持乡村振兴。紧紧围绕乡村振兴战略，统筹整合涉农资金，重点支持农业农村基础设施建设、农村人居环境整治、现代农业发展、村级集体经济壮大等项目，助力乡村全面振兴。三是保障机构正常运转。合理安排基本支出，保障职能部门、村组织的正常运转和履职需要。四是严控一般性支出，牢固树立过“紧日子”思想，大力压减非急需、非刚性支出，严格控制“三公”经费和行政运行成本，降低行政能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（四）强化财政监管，在风险防控上再加固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持续加强政府债务管理和财政运行监控，牢牢守住不发生系统性风险的底线。一是加强财政资金监管，开展财政运行监控，动态监测镇各部门、各单位财政收支状况，及时发现并预警潜在风险，制定应对预案，完善内控制度，规范资金审批拨付流程。二是高度重视财政运行风险防控工作，确保财政可持续和健康平稳运行。加强对惠农补贴、项目资金等的监督检查力度，确保资金安全、规范、有效使用。积极推进财政信息公开，提高财政透明度。加强政府债务管理，严格执行政府债务管理规定，坚决遏制隐性债务增量，稳妥化解存量债务，确保政府债务风险可控。三是强化库款保障，科学调度财政资金，优先保障“三保”（保基本民生、保工资、保运转）支出需求，确保财政支付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代表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们、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同志们，</w:t>
      </w:r>
      <w:r>
        <w:rPr>
          <w:rFonts w:hint="eastAsia" w:ascii="仿宋_GB2312" w:hAnsi="仿宋_GB2312" w:eastAsia="仿宋_GB2312" w:cs="仿宋_GB2312"/>
          <w:sz w:val="32"/>
          <w:szCs w:val="22"/>
        </w:rPr>
        <w:t>做好下半年的财政工作任务艰巨，责任重大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镇财政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将按照镇党委确定的工作目标，在镇人大的监督指导下，在各条线、各部门的配合下，锐意进取、攻坚克难，</w:t>
      </w:r>
      <w:r>
        <w:rPr>
          <w:rFonts w:hint="eastAsia" w:ascii="仿宋_GB2312" w:hAnsi="仿宋_GB2312" w:eastAsia="仿宋_GB2312" w:cs="仿宋_GB2312"/>
          <w:sz w:val="32"/>
          <w:szCs w:val="22"/>
        </w:rPr>
        <w:t>积极发挥财政监督管理服务职能，以更加有为的精神状态和务实的工作举措，不折不扣完成年初确定的各项目标任务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！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国标宋体">
    <w:panose1 w:val="02000500000000000000"/>
    <w:charset w:val="86"/>
    <w:family w:val="auto"/>
    <w:pitch w:val="default"/>
    <w:sig w:usb0="00000001" w:usb1="28000000" w:usb2="00000000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t>—　</w:t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t>　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</w:pP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t>—　</w:t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t>　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1OTdjMzBmOGZmMDYxNDVhMjQxOTZjMDRmOTY2YjUifQ=="/>
  </w:docVars>
  <w:rsids>
    <w:rsidRoot w:val="00172A27"/>
    <w:rsid w:val="00172A27"/>
    <w:rsid w:val="002525C3"/>
    <w:rsid w:val="0032318D"/>
    <w:rsid w:val="00340DE5"/>
    <w:rsid w:val="0037309B"/>
    <w:rsid w:val="00B0668F"/>
    <w:rsid w:val="00D045CB"/>
    <w:rsid w:val="0136557F"/>
    <w:rsid w:val="014474EB"/>
    <w:rsid w:val="01730582"/>
    <w:rsid w:val="01DE40CB"/>
    <w:rsid w:val="02413243"/>
    <w:rsid w:val="027C6539"/>
    <w:rsid w:val="02A83B7F"/>
    <w:rsid w:val="02CC5110"/>
    <w:rsid w:val="040C6F29"/>
    <w:rsid w:val="043C4509"/>
    <w:rsid w:val="04703A3B"/>
    <w:rsid w:val="04B539CC"/>
    <w:rsid w:val="050A007D"/>
    <w:rsid w:val="05825058"/>
    <w:rsid w:val="071E4CB3"/>
    <w:rsid w:val="083F037C"/>
    <w:rsid w:val="08971DC4"/>
    <w:rsid w:val="0AB8258E"/>
    <w:rsid w:val="0B38284B"/>
    <w:rsid w:val="0B676EEA"/>
    <w:rsid w:val="0C602134"/>
    <w:rsid w:val="0ED87C76"/>
    <w:rsid w:val="10A97A4C"/>
    <w:rsid w:val="11330AE0"/>
    <w:rsid w:val="115B7EC7"/>
    <w:rsid w:val="122939FA"/>
    <w:rsid w:val="128E2C0D"/>
    <w:rsid w:val="12916D93"/>
    <w:rsid w:val="132C6A5A"/>
    <w:rsid w:val="14004557"/>
    <w:rsid w:val="141F4FFF"/>
    <w:rsid w:val="1438273B"/>
    <w:rsid w:val="15E61CA6"/>
    <w:rsid w:val="15EE6652"/>
    <w:rsid w:val="17EE093A"/>
    <w:rsid w:val="18305B92"/>
    <w:rsid w:val="18C272A1"/>
    <w:rsid w:val="194D43C8"/>
    <w:rsid w:val="19843990"/>
    <w:rsid w:val="19B92E1A"/>
    <w:rsid w:val="19DB6985"/>
    <w:rsid w:val="1AF61F4B"/>
    <w:rsid w:val="1B28544F"/>
    <w:rsid w:val="1B86FC90"/>
    <w:rsid w:val="1BD210CF"/>
    <w:rsid w:val="1C413C39"/>
    <w:rsid w:val="1C9D2AB9"/>
    <w:rsid w:val="1CB93657"/>
    <w:rsid w:val="1CF60169"/>
    <w:rsid w:val="1DCB2C0D"/>
    <w:rsid w:val="1F2128E6"/>
    <w:rsid w:val="1F2E287D"/>
    <w:rsid w:val="1FFD05A3"/>
    <w:rsid w:val="20C22534"/>
    <w:rsid w:val="213305F0"/>
    <w:rsid w:val="21B26104"/>
    <w:rsid w:val="21C40B73"/>
    <w:rsid w:val="226B4B51"/>
    <w:rsid w:val="22AD6AE6"/>
    <w:rsid w:val="22DA3EF9"/>
    <w:rsid w:val="2400177C"/>
    <w:rsid w:val="24247915"/>
    <w:rsid w:val="24F76C30"/>
    <w:rsid w:val="254C2D14"/>
    <w:rsid w:val="25DC2BC1"/>
    <w:rsid w:val="25E35112"/>
    <w:rsid w:val="27036CE3"/>
    <w:rsid w:val="27383B65"/>
    <w:rsid w:val="27860978"/>
    <w:rsid w:val="28435011"/>
    <w:rsid w:val="28A228B9"/>
    <w:rsid w:val="290A1D11"/>
    <w:rsid w:val="291259B4"/>
    <w:rsid w:val="29CD67C1"/>
    <w:rsid w:val="2ABA67F3"/>
    <w:rsid w:val="2B7B675B"/>
    <w:rsid w:val="2B9A7BA5"/>
    <w:rsid w:val="2D903E0E"/>
    <w:rsid w:val="2EA17431"/>
    <w:rsid w:val="2F466894"/>
    <w:rsid w:val="2F597E59"/>
    <w:rsid w:val="310012D0"/>
    <w:rsid w:val="314C5D95"/>
    <w:rsid w:val="31EB6E8E"/>
    <w:rsid w:val="34DB1869"/>
    <w:rsid w:val="35161460"/>
    <w:rsid w:val="36205059"/>
    <w:rsid w:val="368623BD"/>
    <w:rsid w:val="369E3E1F"/>
    <w:rsid w:val="38947B4A"/>
    <w:rsid w:val="38F94553"/>
    <w:rsid w:val="391843BD"/>
    <w:rsid w:val="39ED56BF"/>
    <w:rsid w:val="3A5250E3"/>
    <w:rsid w:val="3B8C52A5"/>
    <w:rsid w:val="3BAA6F15"/>
    <w:rsid w:val="3CEFE974"/>
    <w:rsid w:val="3D2231B2"/>
    <w:rsid w:val="3E6C5AE9"/>
    <w:rsid w:val="3E8244A6"/>
    <w:rsid w:val="3EA00DA2"/>
    <w:rsid w:val="3EB03C26"/>
    <w:rsid w:val="3EF75621"/>
    <w:rsid w:val="3FE79C89"/>
    <w:rsid w:val="407070A2"/>
    <w:rsid w:val="41356554"/>
    <w:rsid w:val="414F52C6"/>
    <w:rsid w:val="417A526D"/>
    <w:rsid w:val="41CC7669"/>
    <w:rsid w:val="41FD359E"/>
    <w:rsid w:val="42DC702D"/>
    <w:rsid w:val="42F52511"/>
    <w:rsid w:val="43F12AE7"/>
    <w:rsid w:val="44457920"/>
    <w:rsid w:val="447712DD"/>
    <w:rsid w:val="472F6522"/>
    <w:rsid w:val="47A701A8"/>
    <w:rsid w:val="49102C34"/>
    <w:rsid w:val="4B01170F"/>
    <w:rsid w:val="4B763ADA"/>
    <w:rsid w:val="4D27359B"/>
    <w:rsid w:val="4E643B07"/>
    <w:rsid w:val="4ECF479E"/>
    <w:rsid w:val="4EFE0184"/>
    <w:rsid w:val="4F79086C"/>
    <w:rsid w:val="4FCB060B"/>
    <w:rsid w:val="516A4898"/>
    <w:rsid w:val="520C7ABE"/>
    <w:rsid w:val="521560B8"/>
    <w:rsid w:val="52701C72"/>
    <w:rsid w:val="53B64F25"/>
    <w:rsid w:val="55691AE9"/>
    <w:rsid w:val="55946C17"/>
    <w:rsid w:val="561903E1"/>
    <w:rsid w:val="58132F27"/>
    <w:rsid w:val="5B804D5D"/>
    <w:rsid w:val="5BC23F5F"/>
    <w:rsid w:val="5BC73EC9"/>
    <w:rsid w:val="5C8D58D0"/>
    <w:rsid w:val="5D3D41C0"/>
    <w:rsid w:val="5D7CD819"/>
    <w:rsid w:val="5F670621"/>
    <w:rsid w:val="5F6B5A39"/>
    <w:rsid w:val="5F867CB5"/>
    <w:rsid w:val="5FF64227"/>
    <w:rsid w:val="60363345"/>
    <w:rsid w:val="60467853"/>
    <w:rsid w:val="60BC0176"/>
    <w:rsid w:val="60C12DAC"/>
    <w:rsid w:val="62147A8F"/>
    <w:rsid w:val="625D29E9"/>
    <w:rsid w:val="62842717"/>
    <w:rsid w:val="62DF2A10"/>
    <w:rsid w:val="646D7022"/>
    <w:rsid w:val="647F21AA"/>
    <w:rsid w:val="65015B09"/>
    <w:rsid w:val="650F1298"/>
    <w:rsid w:val="67922DF5"/>
    <w:rsid w:val="67DC5984"/>
    <w:rsid w:val="67E23850"/>
    <w:rsid w:val="680E048D"/>
    <w:rsid w:val="6B655B82"/>
    <w:rsid w:val="6B880A98"/>
    <w:rsid w:val="6B8C0E76"/>
    <w:rsid w:val="6BAE6ED7"/>
    <w:rsid w:val="6C386A4C"/>
    <w:rsid w:val="6CB82989"/>
    <w:rsid w:val="6D0D4471"/>
    <w:rsid w:val="6D1401AD"/>
    <w:rsid w:val="6D9878B9"/>
    <w:rsid w:val="6EAC2D71"/>
    <w:rsid w:val="6F1A23CB"/>
    <w:rsid w:val="6F3F8A2C"/>
    <w:rsid w:val="6FB74547"/>
    <w:rsid w:val="705274FB"/>
    <w:rsid w:val="70785271"/>
    <w:rsid w:val="71AE7E81"/>
    <w:rsid w:val="72B834EB"/>
    <w:rsid w:val="732954E6"/>
    <w:rsid w:val="735B5854"/>
    <w:rsid w:val="73991C5A"/>
    <w:rsid w:val="75006F8C"/>
    <w:rsid w:val="760A2881"/>
    <w:rsid w:val="766B05BB"/>
    <w:rsid w:val="76A33AA3"/>
    <w:rsid w:val="76BD6728"/>
    <w:rsid w:val="76F81981"/>
    <w:rsid w:val="772A4E01"/>
    <w:rsid w:val="77ED4E91"/>
    <w:rsid w:val="780409DB"/>
    <w:rsid w:val="783720B5"/>
    <w:rsid w:val="792063C8"/>
    <w:rsid w:val="796B565C"/>
    <w:rsid w:val="79900035"/>
    <w:rsid w:val="7B844066"/>
    <w:rsid w:val="7C814D08"/>
    <w:rsid w:val="7DB75D34"/>
    <w:rsid w:val="7DBE6FB2"/>
    <w:rsid w:val="7DEFAAF2"/>
    <w:rsid w:val="7E4C2B9F"/>
    <w:rsid w:val="7E726C36"/>
    <w:rsid w:val="7ECFBC53"/>
    <w:rsid w:val="7FBF2246"/>
    <w:rsid w:val="7FF07A99"/>
    <w:rsid w:val="7FFFA814"/>
    <w:rsid w:val="9F3F7126"/>
    <w:rsid w:val="BBDF3B44"/>
    <w:rsid w:val="BBEBCBD9"/>
    <w:rsid w:val="BDFF698E"/>
    <w:rsid w:val="BFEF6C48"/>
    <w:rsid w:val="C6FED9B1"/>
    <w:rsid w:val="C87542EF"/>
    <w:rsid w:val="EF1D1B7D"/>
    <w:rsid w:val="F7EF528B"/>
    <w:rsid w:val="F9E6D57A"/>
    <w:rsid w:val="FBE6DA6F"/>
    <w:rsid w:val="FBF2D3AE"/>
    <w:rsid w:val="FCEF68AA"/>
    <w:rsid w:val="FF5DF228"/>
    <w:rsid w:val="FF7AE930"/>
    <w:rsid w:val="FFFA7AFA"/>
    <w:rsid w:val="FFFC17C1"/>
    <w:rsid w:val="FFFFFE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13</Pages>
  <Words>5275</Words>
  <Characters>6068</Characters>
  <Lines>41</Lines>
  <Paragraphs>11</Paragraphs>
  <TotalTime>20</TotalTime>
  <ScaleCrop>false</ScaleCrop>
  <LinksUpToDate>false</LinksUpToDate>
  <CharactersWithSpaces>6074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2014-11-03T20:08:00Z</dcterms:created>
  <dc:creator>Administrator</dc:creator>
  <cp:lastModifiedBy>user</cp:lastModifiedBy>
  <cp:lastPrinted>2025-09-11T08:38:39Z</cp:lastPrinted>
  <dcterms:modified xsi:type="dcterms:W3CDTF">2025-09-11T08:41:34Z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5B5C2AFDE1B026D99486BF680E7A0690</vt:lpwstr>
  </property>
</Properties>
</file>