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color w:val="auto"/>
          <w:kern w:val="0"/>
          <w:sz w:val="32"/>
          <w:szCs w:val="32"/>
          <w:lang w:val="en-US" w:eastAsia="zh-CN" w:bidi="ar"/>
        </w:rPr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  <w:lang w:val="en-US" w:eastAsia="zh-CN" w:bidi="ar"/>
        </w:rPr>
        <w:t>附件</w:t>
      </w:r>
    </w:p>
    <w:p>
      <w:pPr>
        <w:pStyle w:val="2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val="en-US" w:eastAsia="zh-CN"/>
        </w:rPr>
        <w:t>2022年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  <w:t>崇明区蔬菜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eastAsia="zh-CN"/>
        </w:rPr>
        <w:t>水溶肥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  <w:t>推广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  <w:lang w:eastAsia="zh-CN"/>
        </w:rPr>
        <w:t>工作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4"/>
          <w:szCs w:val="44"/>
        </w:rPr>
        <w:t>实施方案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ascii="仿宋_GB2312" w:hAnsi="仿宋_GB2312" w:eastAsia="仿宋_GB2312" w:cs="Times New Roman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随着农业现代化快速发展，上海设施菜田建设稳步推进，生产水平不断提升，蔬菜质量</w:t>
      </w:r>
      <w:r>
        <w:rPr>
          <w:rFonts w:hint="eastAsia" w:ascii="仿宋_GB2312" w:hAnsi="仿宋_GB2312" w:eastAsia="仿宋_GB2312" w:cs="仿宋_GB2312"/>
          <w:sz w:val="32"/>
          <w:szCs w:val="32"/>
        </w:rPr>
        <w:t>要求不断提高。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根据市农业农村委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每年下达任务要求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为提高规模化蔬菜基地科学生产水平，推广水溶肥的应用，实现水肥均衡、节水省肥、改善土壤结构的效果，特制定本实施方案。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一、指导思想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ascii="仿宋_GB2312" w:hAnsi="仿宋_GB2312" w:eastAsia="仿宋_GB2312" w:cs="Times New Roman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以保障蔬菜安全和有效供给为目标，以农业绿色发展为主线，以现代生态农业产业化为总抓手，依靠科技进步，推进工程与农艺相结合、水分与养分相耦合，推进蔬菜水肥一体化水溶肥使用的普及化、规模化，节约水资源，减少化肥用量，实现蔬菜产业的节本增效、提质增效、绿色增效，促进可持续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ascii="黑体" w:hAnsi="黑体" w:eastAsia="黑体" w:cs="Times New Roman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二、目标任务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推广应用水溶肥5280亩，有效防止土壤次生盐渍化，实现示范区节肥</w:t>
      </w:r>
      <w:r>
        <w:rPr>
          <w:rFonts w:ascii="仿宋_GB2312" w:hAnsi="仿宋_GB2312" w:eastAsia="仿宋_GB2312" w:cs="仿宋_GB2312"/>
          <w:sz w:val="32"/>
          <w:szCs w:val="32"/>
        </w:rPr>
        <w:t>20%</w:t>
      </w:r>
      <w:r>
        <w:rPr>
          <w:rFonts w:hint="eastAsia" w:ascii="仿宋_GB2312" w:hAnsi="仿宋_GB2312" w:eastAsia="仿宋_GB2312" w:cs="仿宋_GB2312"/>
          <w:sz w:val="32"/>
          <w:szCs w:val="32"/>
        </w:rPr>
        <w:t>，节水</w:t>
      </w:r>
      <w:r>
        <w:rPr>
          <w:rFonts w:ascii="仿宋_GB2312" w:hAnsi="仿宋_GB2312" w:eastAsia="仿宋_GB2312" w:cs="仿宋_GB2312"/>
          <w:sz w:val="32"/>
          <w:szCs w:val="32"/>
        </w:rPr>
        <w:t>40%</w:t>
      </w:r>
      <w:r>
        <w:rPr>
          <w:rFonts w:hint="eastAsia" w:ascii="仿宋_GB2312" w:hAnsi="仿宋_GB2312" w:eastAsia="仿宋_GB2312" w:cs="仿宋_GB2312"/>
          <w:sz w:val="32"/>
          <w:szCs w:val="32"/>
        </w:rPr>
        <w:t>，水肥控制管理省工</w:t>
      </w:r>
      <w:r>
        <w:rPr>
          <w:rFonts w:ascii="仿宋_GB2312" w:hAnsi="仿宋_GB2312" w:eastAsia="仿宋_GB2312" w:cs="仿宋_GB2312"/>
          <w:sz w:val="32"/>
          <w:szCs w:val="32"/>
        </w:rPr>
        <w:t>60%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三、实施范围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Times New Roman"/>
          <w:sz w:val="32"/>
          <w:szCs w:val="32"/>
        </w:rPr>
      </w:pPr>
      <w:r>
        <w:rPr>
          <w:rFonts w:hint="eastAsia" w:ascii="仿宋_GB2312" w:hAnsi="仿宋_GB2312" w:eastAsia="仿宋_GB2312" w:cs="Times New Roman"/>
          <w:sz w:val="32"/>
          <w:szCs w:val="32"/>
          <w:lang w:eastAsia="zh-CN"/>
        </w:rPr>
        <w:t>在</w:t>
      </w:r>
      <w:r>
        <w:rPr>
          <w:rFonts w:hint="eastAsia" w:ascii="仿宋_GB2312" w:hAnsi="仿宋_GB2312" w:eastAsia="仿宋_GB2312" w:cs="Times New Roman"/>
          <w:sz w:val="32"/>
          <w:szCs w:val="32"/>
        </w:rPr>
        <w:t>蔬菜规模化签约基地</w:t>
      </w:r>
      <w:r>
        <w:rPr>
          <w:rFonts w:ascii="仿宋_GB2312" w:hAnsi="仿宋_GB2312" w:eastAsia="仿宋_GB2312" w:cs="Times New Roman"/>
          <w:sz w:val="32"/>
          <w:szCs w:val="32"/>
        </w:rPr>
        <w:t>中具有能正常运行的水肥一体化设施设备的</w:t>
      </w:r>
      <w:r>
        <w:rPr>
          <w:rFonts w:hint="eastAsia" w:ascii="仿宋_GB2312" w:hAnsi="仿宋_GB2312" w:eastAsia="仿宋_GB2312" w:cs="Times New Roman"/>
          <w:sz w:val="32"/>
          <w:szCs w:val="32"/>
          <w:lang w:eastAsia="zh-CN"/>
        </w:rPr>
        <w:t>蔬菜</w:t>
      </w:r>
      <w:r>
        <w:rPr>
          <w:rFonts w:ascii="仿宋_GB2312" w:hAnsi="仿宋_GB2312" w:eastAsia="仿宋_GB2312" w:cs="Times New Roman"/>
          <w:sz w:val="32"/>
          <w:szCs w:val="32"/>
        </w:rPr>
        <w:t>种植面积中遴选</w:t>
      </w:r>
      <w:r>
        <w:rPr>
          <w:rFonts w:hint="eastAsia" w:ascii="仿宋_GB2312" w:hAnsi="仿宋_GB2312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ascii="黑体" w:hAnsi="黑体" w:eastAsia="黑体" w:cs="Times New Roman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四、实施内容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outlineLvl w:val="9"/>
        <w:rPr>
          <w:rFonts w:ascii="楷体_GB2312" w:hAnsi="楷体_GB2312" w:eastAsia="楷体_GB2312" w:cs="Times New Roman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</w:rPr>
        <w:t>（一）遴选实施基地，开展技术示范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ascii="仿宋_GB2312" w:hAnsi="仿宋_GB2312" w:eastAsia="仿宋_GB2312" w:cs="Times New Roman"/>
          <w:color w:val="000000"/>
          <w:sz w:val="32"/>
          <w:szCs w:val="32"/>
        </w:rPr>
      </w:pPr>
      <w:r>
        <w:rPr>
          <w:rFonts w:ascii="仿宋_GB2312" w:hAnsi="仿宋_GB2312" w:eastAsia="仿宋_GB2312" w:cs="Times New Roman"/>
          <w:sz w:val="32"/>
          <w:szCs w:val="32"/>
        </w:rPr>
        <w:t>在</w:t>
      </w:r>
      <w:r>
        <w:rPr>
          <w:rFonts w:hint="eastAsia" w:ascii="仿宋_GB2312" w:hAnsi="仿宋_GB2312" w:eastAsia="仿宋_GB2312" w:cs="Times New Roman"/>
          <w:sz w:val="32"/>
          <w:szCs w:val="32"/>
        </w:rPr>
        <w:t>蔬菜规模化签约基地</w:t>
      </w:r>
      <w:r>
        <w:rPr>
          <w:rFonts w:ascii="仿宋_GB2312" w:hAnsi="仿宋_GB2312" w:eastAsia="仿宋_GB2312" w:cs="Times New Roman"/>
          <w:sz w:val="32"/>
          <w:szCs w:val="32"/>
        </w:rPr>
        <w:t>中具有能正常运行的水肥一体化设施设备的</w:t>
      </w:r>
      <w:r>
        <w:rPr>
          <w:rFonts w:hint="eastAsia" w:ascii="仿宋_GB2312" w:hAnsi="仿宋_GB2312" w:eastAsia="仿宋_GB2312" w:cs="Times New Roman"/>
          <w:sz w:val="32"/>
          <w:szCs w:val="32"/>
          <w:lang w:eastAsia="zh-CN"/>
        </w:rPr>
        <w:t>蔬菜</w:t>
      </w:r>
      <w:r>
        <w:rPr>
          <w:rFonts w:ascii="仿宋_GB2312" w:hAnsi="仿宋_GB2312" w:eastAsia="仿宋_GB2312" w:cs="Times New Roman"/>
          <w:sz w:val="32"/>
          <w:szCs w:val="32"/>
        </w:rPr>
        <w:t>种植面积中遴选技术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应用示范基地，发挥示范带动作用，推进绿色蔬菜水溶肥推广应用。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outlineLvl w:val="9"/>
        <w:rPr>
          <w:rFonts w:hint="eastAsia" w:ascii="楷体_GB2312" w:hAnsi="楷体_GB2312" w:eastAsia="楷体_GB2312" w:cs="Times New Roman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</w:rPr>
        <w:t>（二）按照生产需求，科学应用水溶肥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5" w:firstLineChars="200"/>
        <w:jc w:val="both"/>
        <w:textAlignment w:val="auto"/>
        <w:outlineLvl w:val="9"/>
        <w:rPr>
          <w:rFonts w:ascii="仿宋_GB2312" w:hAnsi="仿宋_GB2312" w:eastAsia="仿宋_GB2312" w:cs="Times New Roman"/>
          <w:b/>
          <w:bCs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333333"/>
          <w:spacing w:val="8"/>
          <w:sz w:val="32"/>
          <w:szCs w:val="32"/>
          <w:shd w:val="clear" w:color="auto" w:fill="FFFFFF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b/>
          <w:bCs/>
          <w:color w:val="333333"/>
          <w:spacing w:val="8"/>
          <w:sz w:val="32"/>
          <w:szCs w:val="32"/>
          <w:shd w:val="clear" w:color="auto" w:fill="FFFFFF"/>
        </w:rPr>
        <w:t>水分管理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ascii="仿宋_GB2312" w:hAnsi="仿宋_GB2312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根据不同蔬菜品种根系分布、需水规律、土壤墒情、土壤理化性状、设施条件和技术措施，制定灌溉制度，内容包括作物全生育期的灌水量、灌水次数、灌溉时间和单次灌水量等。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5" w:firstLineChars="200"/>
        <w:jc w:val="both"/>
        <w:textAlignment w:val="auto"/>
        <w:outlineLvl w:val="9"/>
        <w:rPr>
          <w:rFonts w:ascii="仿宋_GB2312" w:hAnsi="仿宋_GB2312" w:eastAsia="仿宋_GB2312" w:cs="Times New Roman"/>
          <w:b/>
          <w:bCs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333333"/>
          <w:spacing w:val="8"/>
          <w:sz w:val="32"/>
          <w:szCs w:val="32"/>
          <w:shd w:val="clear" w:color="auto" w:fill="FFFFFF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b/>
          <w:bCs/>
          <w:color w:val="333333"/>
          <w:spacing w:val="8"/>
          <w:sz w:val="32"/>
          <w:szCs w:val="32"/>
          <w:shd w:val="clear" w:color="auto" w:fill="FFFFFF"/>
        </w:rPr>
        <w:t>养分管理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ascii="仿宋_GB2312" w:hAnsi="仿宋_GB2312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选择溶解度高、溶解速度较快、腐蚀性小、与灌溉水相互作用小、满足蔬菜不同生育期养分需求的水溶性肥料。包括有机水溶肥、氨基酸肥料、腐殖酸肥料等。按照蔬菜作物目标产量、需肥规律、土壤养分含量和灌溉特点制定施肥制度，确定施肥总量、施肥次数、施肥时间和单次施肥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5" w:firstLineChars="200"/>
        <w:jc w:val="both"/>
        <w:textAlignment w:val="auto"/>
        <w:outlineLvl w:val="9"/>
        <w:rPr>
          <w:rFonts w:ascii="仿宋_GB2312" w:hAnsi="仿宋_GB2312" w:eastAsia="仿宋_GB2312" w:cs="Times New Roman"/>
          <w:b/>
          <w:bCs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333333"/>
          <w:spacing w:val="8"/>
          <w:sz w:val="32"/>
          <w:szCs w:val="32"/>
          <w:shd w:val="clear" w:color="auto" w:fill="FFFFFF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b/>
          <w:bCs/>
          <w:color w:val="333333"/>
          <w:spacing w:val="8"/>
          <w:sz w:val="32"/>
          <w:szCs w:val="32"/>
          <w:shd w:val="clear" w:color="auto" w:fill="FFFFFF"/>
        </w:rPr>
        <w:t>水肥耦合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按照肥随水走、少量多次、分阶段拟合的原则，将作物总灌溉水量和总施肥量根据不同的生育阶段分配，制定灌溉施肥制度，包括基肥与追肥比例、不同生育期的灌溉施肥的次数、时间、灌水量、施肥量等，以满足作物不同生育期水分和养分需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五、</w:t>
      </w: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eastAsia="zh-CN"/>
        </w:rPr>
        <w:t>采购方式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区农业农村委与区供销社签订委托合同，由区供销社组织采购。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实施面积5280亩，补贴标准</w:t>
      </w:r>
      <w:r>
        <w:rPr>
          <w:rFonts w:ascii="仿宋_GB2312" w:hAnsi="仿宋_GB2312" w:eastAsia="仿宋_GB2312" w:cs="仿宋_GB2312"/>
          <w:kern w:val="0"/>
          <w:sz w:val="32"/>
          <w:szCs w:val="32"/>
        </w:rPr>
        <w:t>240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元</w:t>
      </w:r>
      <w:r>
        <w:rPr>
          <w:rFonts w:ascii="仿宋_GB2312" w:hAnsi="仿宋_GB2312" w:eastAsia="仿宋_GB2312" w:cs="仿宋_GB2312"/>
          <w:kern w:val="0"/>
          <w:sz w:val="32"/>
          <w:szCs w:val="32"/>
        </w:rPr>
        <w:t>/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亩，补贴资金126.72万元，区级以上财政100%。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区农业农村委按照“预拨+清算”的方式进行资金拨付，合同签订后按合同约定将合同资金的30%拨付至区供销社，采购事项完成后拨付至合同金额的70%，剩余30%部分按审计结果清算拨付。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outlineLvl w:val="9"/>
        <w:rPr>
          <w:rFonts w:ascii="黑体" w:hAnsi="黑体" w:eastAsia="黑体" w:cs="Times New Roman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color w:val="333333"/>
          <w:spacing w:val="8"/>
          <w:sz w:val="32"/>
          <w:szCs w:val="32"/>
          <w:shd w:val="clear" w:color="auto" w:fill="FFFFFF"/>
        </w:rPr>
        <w:t>六、保障措施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outlineLvl w:val="9"/>
        <w:rPr>
          <w:rFonts w:hint="eastAsia" w:ascii="楷体_GB2312" w:hAnsi="楷体_GB2312" w:eastAsia="楷体_GB2312" w:cs="Times New Roman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</w:rPr>
        <w:t>（一）加强组织领导，落实资金保障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ascii="仿宋_GB2312" w:hAnsi="仿宋_GB2312" w:eastAsia="仿宋_GB2312" w:cs="Times New Roman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区农业农村委负责统筹协调工作，区农业技术部门提前做好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强化技术指导服务，把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土壤保育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技术各项工作落到实处。各乡镇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（园区）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及时掌握种植主体的生产需求，加强与区农业技术部门、区供销社沟通协作，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确保各项工作有效落实。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区供销社切实发挥好供销系统资源优势，提升农资供应的管控和服务能力，确保供应及时、有效。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outlineLvl w:val="9"/>
        <w:rPr>
          <w:rFonts w:ascii="楷体_GB2312" w:hAnsi="楷体_GB2312" w:eastAsia="楷体_GB2312" w:cs="Times New Roman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</w:rPr>
        <w:t>（二）完善技术指导，确保推广效果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成立由区技术部门、乡镇（园区）、肥料生产企业等单位参加的工作组和技术专家组，加强技术指导和服务，结合当地实际，开展水肥一体化技术试验、示范、培训、指导、绩效评价等工作，提高水肥一体化技术推广的效果、效率和效益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</w:rPr>
        <w:t>做好现场抽查，加强验收考核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区农业农村委和区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农业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技术部门对乡镇（园区）开展验收工作， 并抽取一定比例进行现场核查，确保水肥一体化技术推广工作有效落实。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both"/>
        <w:textAlignment w:val="auto"/>
        <w:outlineLvl w:val="9"/>
        <w:rPr>
          <w:rFonts w:ascii="楷体_GB2312" w:hAnsi="楷体_GB2312" w:eastAsia="楷体_GB2312" w:cs="Times New Roman"/>
          <w:color w:val="333333"/>
          <w:spacing w:val="8"/>
          <w:sz w:val="32"/>
          <w:szCs w:val="32"/>
          <w:shd w:val="clear" w:color="auto" w:fill="FFFFFF"/>
        </w:rPr>
      </w:pPr>
      <w:r>
        <w:rPr>
          <w:rFonts w:hint="eastAsia" w:ascii="楷体_GB2312" w:hAnsi="楷体_GB2312" w:eastAsia="楷体_GB2312" w:cs="楷体_GB2312"/>
          <w:color w:val="333333"/>
          <w:spacing w:val="8"/>
          <w:sz w:val="32"/>
          <w:szCs w:val="32"/>
          <w:shd w:val="clear" w:color="auto" w:fill="FFFFFF"/>
        </w:rPr>
        <w:t>（四）严格电子档案记录，加强档案管理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各实施基地在推广应用过程中及时、精准做好“神农口袋”数据录入，并加强原始数据档案记录，特别是记录台账要做到基地全覆盖，所有档案确保真实、完整。要建立严格的项目资金管理制度，严格执行相关财政纪律，确保专款专用。</w:t>
      </w:r>
    </w:p>
    <w:p>
      <w:pPr>
        <w:pStyle w:val="2"/>
        <w:rPr>
          <w:rFonts w:hint="eastAsia"/>
        </w:rPr>
      </w:pPr>
    </w:p>
    <w:p>
      <w:pPr>
        <w:keepNext w:val="0"/>
        <w:keepLines w:val="0"/>
        <w:pageBreakBefore w:val="0"/>
        <w:widowControl w:val="0"/>
        <w:tabs>
          <w:tab w:val="center" w:pos="4422"/>
        </w:tabs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left"/>
        <w:textAlignment w:val="auto"/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  <w:lang w:eastAsia="zh-CN"/>
        </w:rPr>
        <w:t>附件</w:t>
      </w:r>
      <w:r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  <w:t>：2022年崇明区蔬菜水溶肥推广工作明细表</w:t>
      </w:r>
    </w:p>
    <w:p>
      <w:pPr>
        <w:keepNext w:val="0"/>
        <w:keepLines w:val="0"/>
        <w:pageBreakBefore w:val="0"/>
        <w:widowControl w:val="0"/>
        <w:tabs>
          <w:tab w:val="center" w:pos="4422"/>
        </w:tabs>
        <w:kinsoku/>
        <w:wordWrap/>
        <w:topLinePunct w:val="0"/>
        <w:autoSpaceDE/>
        <w:autoSpaceDN/>
        <w:bidi w:val="0"/>
        <w:adjustRightInd/>
        <w:snapToGrid/>
        <w:spacing w:line="560" w:lineRule="exact"/>
        <w:ind w:firstLine="672" w:firstLineChars="200"/>
        <w:jc w:val="left"/>
        <w:textAlignment w:val="auto"/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</w:pPr>
    </w:p>
    <w:p>
      <w:pPr>
        <w:keepNext w:val="0"/>
        <w:keepLines w:val="0"/>
        <w:pageBreakBefore w:val="0"/>
        <w:widowControl w:val="0"/>
        <w:tabs>
          <w:tab w:val="center" w:pos="4422"/>
        </w:tabs>
        <w:kinsoku/>
        <w:wordWrap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</w:pPr>
    </w:p>
    <w:p>
      <w:pPr>
        <w:pStyle w:val="2"/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</w:pPr>
    </w:p>
    <w:p>
      <w:pPr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</w:pPr>
    </w:p>
    <w:p>
      <w:pPr>
        <w:pStyle w:val="2"/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</w:pPr>
    </w:p>
    <w:p>
      <w:pPr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</w:pPr>
    </w:p>
    <w:p>
      <w:pPr>
        <w:pStyle w:val="2"/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</w:pPr>
    </w:p>
    <w:p>
      <w:pPr>
        <w:rPr>
          <w:rFonts w:hint="eastAsia"/>
        </w:rPr>
      </w:pPr>
    </w:p>
    <w:p>
      <w:pPr>
        <w:tabs>
          <w:tab w:val="center" w:pos="4422"/>
        </w:tabs>
        <w:spacing w:line="560" w:lineRule="exact"/>
        <w:jc w:val="left"/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</w:pPr>
    </w:p>
    <w:p>
      <w:pPr>
        <w:tabs>
          <w:tab w:val="center" w:pos="4422"/>
        </w:tabs>
        <w:spacing w:line="560" w:lineRule="exact"/>
        <w:jc w:val="left"/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</w:pPr>
    </w:p>
    <w:p>
      <w:pPr>
        <w:tabs>
          <w:tab w:val="center" w:pos="4422"/>
        </w:tabs>
        <w:spacing w:line="560" w:lineRule="exact"/>
        <w:jc w:val="left"/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</w:pPr>
    </w:p>
    <w:p>
      <w:pPr>
        <w:tabs>
          <w:tab w:val="center" w:pos="4422"/>
        </w:tabs>
        <w:spacing w:line="560" w:lineRule="exact"/>
        <w:jc w:val="left"/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</w:pPr>
    </w:p>
    <w:p>
      <w:pPr>
        <w:tabs>
          <w:tab w:val="center" w:pos="4422"/>
        </w:tabs>
        <w:spacing w:line="560" w:lineRule="exact"/>
        <w:jc w:val="left"/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</w:pPr>
    </w:p>
    <w:p>
      <w:pPr>
        <w:tabs>
          <w:tab w:val="center" w:pos="4422"/>
        </w:tabs>
        <w:spacing w:line="560" w:lineRule="exact"/>
        <w:jc w:val="left"/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</w:pPr>
    </w:p>
    <w:p>
      <w:pPr>
        <w:tabs>
          <w:tab w:val="center" w:pos="4422"/>
        </w:tabs>
        <w:spacing w:line="560" w:lineRule="exact"/>
        <w:jc w:val="left"/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</w:pPr>
    </w:p>
    <w:p>
      <w:pPr>
        <w:tabs>
          <w:tab w:val="center" w:pos="4422"/>
        </w:tabs>
        <w:spacing w:line="560" w:lineRule="exact"/>
        <w:jc w:val="left"/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</w:pPr>
    </w:p>
    <w:p>
      <w:pPr>
        <w:tabs>
          <w:tab w:val="center" w:pos="4422"/>
        </w:tabs>
        <w:spacing w:line="560" w:lineRule="exact"/>
        <w:jc w:val="left"/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</w:pPr>
    </w:p>
    <w:p>
      <w:pPr>
        <w:tabs>
          <w:tab w:val="center" w:pos="4422"/>
        </w:tabs>
        <w:spacing w:line="560" w:lineRule="exact"/>
        <w:jc w:val="left"/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</w:pPr>
    </w:p>
    <w:p>
      <w:pPr>
        <w:tabs>
          <w:tab w:val="center" w:pos="4422"/>
        </w:tabs>
        <w:spacing w:line="560" w:lineRule="exact"/>
        <w:jc w:val="left"/>
        <w:rPr>
          <w:rFonts w:hint="eastAsia" w:ascii="黑体" w:hAnsi="黑体" w:eastAsia="黑体" w:cs="黑体"/>
          <w:spacing w:val="8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spacing w:val="8"/>
          <w:sz w:val="32"/>
          <w:szCs w:val="32"/>
          <w:shd w:val="clear" w:color="auto" w:fill="FFFFFF"/>
        </w:rPr>
        <w:t>附</w:t>
      </w:r>
      <w:r>
        <w:rPr>
          <w:rFonts w:hint="eastAsia" w:ascii="黑体" w:hAnsi="黑体" w:eastAsia="黑体" w:cs="黑体"/>
          <w:spacing w:val="8"/>
          <w:sz w:val="32"/>
          <w:szCs w:val="32"/>
          <w:shd w:val="clear" w:color="auto" w:fill="FFFFFF"/>
          <w:lang w:eastAsia="zh-CN"/>
        </w:rPr>
        <w:t>件</w:t>
      </w:r>
    </w:p>
    <w:p>
      <w:pPr>
        <w:tabs>
          <w:tab w:val="center" w:pos="4422"/>
        </w:tabs>
        <w:spacing w:line="560" w:lineRule="exact"/>
        <w:jc w:val="center"/>
        <w:rPr>
          <w:rFonts w:hint="eastAsia" w:ascii="黑体" w:hAnsi="黑体" w:eastAsia="黑体" w:cs="黑体"/>
          <w:spacing w:val="8"/>
          <w:sz w:val="36"/>
          <w:szCs w:val="36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spacing w:val="8"/>
          <w:sz w:val="36"/>
          <w:szCs w:val="36"/>
          <w:shd w:val="clear" w:color="auto" w:fill="FFFFFF"/>
        </w:rPr>
        <w:t>2022年崇明区蔬菜</w:t>
      </w:r>
      <w:r>
        <w:rPr>
          <w:rFonts w:hint="eastAsia" w:ascii="方正小标宋简体" w:hAnsi="方正小标宋简体" w:eastAsia="方正小标宋简体" w:cs="方正小标宋简体"/>
          <w:spacing w:val="8"/>
          <w:sz w:val="36"/>
          <w:szCs w:val="36"/>
          <w:shd w:val="clear" w:color="auto" w:fill="FFFFFF"/>
          <w:lang w:eastAsia="zh-CN"/>
        </w:rPr>
        <w:t>水溶肥</w:t>
      </w:r>
      <w:r>
        <w:rPr>
          <w:rFonts w:hint="eastAsia" w:ascii="方正小标宋简体" w:hAnsi="方正小标宋简体" w:eastAsia="方正小标宋简体" w:cs="方正小标宋简体"/>
          <w:spacing w:val="8"/>
          <w:sz w:val="36"/>
          <w:szCs w:val="36"/>
          <w:shd w:val="clear" w:color="auto" w:fill="FFFFFF"/>
        </w:rPr>
        <w:t>推广</w:t>
      </w:r>
      <w:r>
        <w:rPr>
          <w:rFonts w:hint="eastAsia" w:ascii="方正小标宋简体" w:hAnsi="方正小标宋简体" w:eastAsia="方正小标宋简体" w:cs="方正小标宋简体"/>
          <w:spacing w:val="8"/>
          <w:sz w:val="36"/>
          <w:szCs w:val="36"/>
          <w:shd w:val="clear" w:color="auto" w:fill="FFFFFF"/>
          <w:lang w:eastAsia="zh-CN"/>
        </w:rPr>
        <w:t>工作</w:t>
      </w:r>
      <w:r>
        <w:rPr>
          <w:rFonts w:hint="eastAsia" w:ascii="方正小标宋简体" w:hAnsi="方正小标宋简体" w:eastAsia="方正小标宋简体" w:cs="方正小标宋简体"/>
          <w:spacing w:val="8"/>
          <w:sz w:val="36"/>
          <w:szCs w:val="36"/>
          <w:shd w:val="clear" w:color="auto" w:fill="FFFFFF"/>
        </w:rPr>
        <w:t>明细表</w:t>
      </w:r>
    </w:p>
    <w:tbl>
      <w:tblPr>
        <w:tblStyle w:val="3"/>
        <w:tblW w:w="913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6"/>
        <w:gridCol w:w="1113"/>
        <w:gridCol w:w="3427"/>
        <w:gridCol w:w="1185"/>
        <w:gridCol w:w="1365"/>
        <w:gridCol w:w="130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4" w:hRule="atLeast"/>
          <w:tblHeader/>
          <w:jc w:val="center"/>
        </w:trPr>
        <w:tc>
          <w:tcPr>
            <w:tcW w:w="7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  <w:t>乡镇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  <w:t>合作社</w:t>
            </w:r>
          </w:p>
        </w:tc>
        <w:tc>
          <w:tcPr>
            <w:tcW w:w="11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  <w:t>面积</w:t>
            </w:r>
          </w:p>
          <w:p>
            <w:pPr>
              <w:widowControl/>
              <w:jc w:val="center"/>
              <w:rPr>
                <w:rFonts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  <w:t>（亩）</w:t>
            </w:r>
          </w:p>
        </w:tc>
        <w:tc>
          <w:tcPr>
            <w:tcW w:w="13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  <w:t>单价</w:t>
            </w:r>
          </w:p>
          <w:p>
            <w:pPr>
              <w:widowControl/>
              <w:jc w:val="center"/>
              <w:rPr>
                <w:rFonts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  <w:t>（元/亩）</w:t>
            </w:r>
          </w:p>
        </w:tc>
        <w:tc>
          <w:tcPr>
            <w:tcW w:w="13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  <w:t>金额</w:t>
            </w:r>
          </w:p>
          <w:p>
            <w:pPr>
              <w:widowControl/>
              <w:jc w:val="center"/>
              <w:rPr>
                <w:rFonts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 w:val="0"/>
                <w:bCs/>
                <w:color w:val="000000"/>
                <w:kern w:val="0"/>
                <w:sz w:val="24"/>
                <w:szCs w:val="24"/>
              </w:rPr>
              <w:t>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1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三星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上海绿瑞蔬果专业合作社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24000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2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三星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上海长清农业种植专业合作社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28800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3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庙镇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上海好客农业科技发展有限公司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110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26400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4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庙镇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上海致臻生态农业专业合作社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28800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5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港西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上海冠华粮食专业合作社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80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19200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6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港西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上海玉英蔬果专业合作社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24000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7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港西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上海王波果园专业合作社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130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31200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8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港西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上海泛信农业种植专业合作社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130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31200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9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建设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上海建星蔬菜专业合作社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24000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10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建设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上海谷伯果蔬种植专业合作社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16800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11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建设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上海文祥蔬菜专业合作社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16800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12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新河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上海健禾果蔬专业合作社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24000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13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新河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上海雅趣果蔬专业合作社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80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19200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14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新河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上海欣苑葡萄专业合作社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21600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15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bCs/>
              </w:rPr>
            </w:pPr>
            <w:r>
              <w:rPr>
                <w:rFonts w:hint="eastAsia" w:ascii="宋体" w:hAnsi="宋体"/>
                <w:bCs/>
              </w:rPr>
              <w:t>新河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bCs/>
              </w:rPr>
            </w:pPr>
            <w:r>
              <w:rPr>
                <w:rFonts w:hint="eastAsia" w:ascii="宋体" w:hAnsi="宋体"/>
                <w:bCs/>
              </w:rPr>
              <w:t>上海瀛旭蔬果专业合作社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80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19200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16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竖新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上海兴胜蔬菜专业合作社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21600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17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竖新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上海静捷蔬菜专业合作社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320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76800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18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竖新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上海正禾农业科技有限公司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24000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19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竖新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上海岛丰蔬果专业合作社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14400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20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堡镇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上海锦英果蔬专业合作社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250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60000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21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堡镇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上海怡思田蔬菜专业合作社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320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76800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22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bCs/>
              </w:rPr>
            </w:pPr>
            <w:r>
              <w:rPr>
                <w:rFonts w:hint="eastAsia" w:ascii="宋体" w:hAnsi="宋体"/>
                <w:bCs/>
              </w:rPr>
              <w:t>堡镇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bCs/>
              </w:rPr>
            </w:pPr>
            <w:r>
              <w:rPr>
                <w:rFonts w:hint="eastAsia" w:ascii="宋体" w:hAnsi="宋体"/>
                <w:bCs/>
              </w:rPr>
              <w:t>上海宜加粮食专业合作社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30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7200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23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bCs/>
              </w:rPr>
            </w:pPr>
            <w:r>
              <w:rPr>
                <w:rFonts w:hint="eastAsia" w:ascii="宋体" w:hAnsi="宋体"/>
                <w:bCs/>
              </w:rPr>
              <w:t>堡镇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bCs/>
              </w:rPr>
            </w:pPr>
            <w:r>
              <w:rPr>
                <w:rFonts w:hint="eastAsia" w:ascii="宋体" w:hAnsi="宋体"/>
                <w:bCs/>
              </w:rPr>
              <w:t>上海春河果蔬专业合作社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40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9600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24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港沿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上海小生蔬菜专业合作社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280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67200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25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港沿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上海日鑫农业种植专业合作社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320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76800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26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向化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上海享农果蔬专业合作社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180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43200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27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向化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上海壹亩田果蔬专业合作社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180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43200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28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中兴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上海霁雨蔬菜专业合作社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48000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29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中兴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上海乡风园果蔬专业合作社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48000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30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中兴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上海万禾果蔬专业合作社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48000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31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中兴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上海丰绿粮食专业合作社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14400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32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/>
              </w:rPr>
              <w:t>陈家</w:t>
            </w:r>
            <w:r>
              <w:rPr>
                <w:rFonts w:hint="eastAsia" w:ascii="宋体" w:hAnsi="宋体"/>
                <w:lang w:eastAsia="zh-CN"/>
              </w:rPr>
              <w:t>镇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上海杨氏蔬果专业合作社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80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19200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33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长兴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上海净达蔬菜专业合作社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280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67200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34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长兴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上海正泰农业科技有限公司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24000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35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园区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上海中新农业有限公司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21600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36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园区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上海晟槟果蔬专业合作社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21600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37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园区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上海由由农业科技有限公司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200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48000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" w:hRule="atLeast"/>
          <w:jc w:val="center"/>
        </w:trPr>
        <w:tc>
          <w:tcPr>
            <w:tcW w:w="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38</w:t>
            </w:r>
          </w:p>
        </w:tc>
        <w:tc>
          <w:tcPr>
            <w:tcW w:w="11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园区</w:t>
            </w:r>
          </w:p>
        </w:tc>
        <w:tc>
          <w:tcPr>
            <w:tcW w:w="34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</w:rPr>
            </w:pPr>
            <w:r>
              <w:rPr>
                <w:rFonts w:hint="eastAsia" w:ascii="宋体" w:hAnsi="宋体"/>
              </w:rPr>
              <w:t>上海崇明生态农业发展有限公司</w:t>
            </w: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130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_GB2312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31200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exact"/>
          <w:jc w:val="center"/>
        </w:trPr>
        <w:tc>
          <w:tcPr>
            <w:tcW w:w="184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  <w:r>
              <w:rPr>
                <w:rFonts w:hint="eastAsia" w:ascii="宋体" w:hAnsi="宋体" w:cs="宋体"/>
                <w:color w:val="000000"/>
                <w:kern w:val="0"/>
              </w:rPr>
              <w:t>合计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kern w:val="0"/>
              </w:rPr>
            </w:pPr>
          </w:p>
        </w:tc>
        <w:tc>
          <w:tcPr>
            <w:tcW w:w="34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5280</w:t>
            </w:r>
          </w:p>
        </w:tc>
        <w:tc>
          <w:tcPr>
            <w:tcW w:w="13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outlineLvl w:val="9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1267200</w:t>
            </w:r>
          </w:p>
        </w:tc>
      </w:tr>
    </w:tbl>
    <w:p>
      <w:pPr>
        <w:tabs>
          <w:tab w:val="center" w:pos="4422"/>
        </w:tabs>
        <w:spacing w:line="560" w:lineRule="exact"/>
        <w:jc w:val="left"/>
        <w:rPr>
          <w:rFonts w:hint="eastAsia" w:ascii="仿宋_GB2312" w:hAnsi="仿宋_GB2312" w:eastAsia="仿宋_GB2312" w:cs="Times New Roman"/>
          <w:spacing w:val="8"/>
          <w:sz w:val="32"/>
          <w:szCs w:val="32"/>
          <w:shd w:val="clear" w:color="auto" w:fill="FFFFFF"/>
        </w:rPr>
      </w:pPr>
    </w:p>
    <w:p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9F912CF"/>
    <w:multiLevelType w:val="singleLevel"/>
    <w:tmpl w:val="E9F912CF"/>
    <w:lvl w:ilvl="0" w:tentative="0">
      <w:start w:val="3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NhZjBjNmE5YjU5ZDU0OTE5YTU5OGJiNzg3ZWY0NzcifQ=="/>
  </w:docVars>
  <w:rsids>
    <w:rsidRoot w:val="6779531B"/>
    <w:rsid w:val="6779531B"/>
    <w:rsid w:val="7C6A5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before="0" w:line="240" w:lineRule="auto"/>
      <w:ind w:firstLine="0" w:firstLineChars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上海市崇明区农业农村委员会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2022-10-26T09:32:00Z</dcterms:created>
  <dc:creator>Adobe.Lu</dc:creator>
  <cp:lastModifiedBy>Adobe.Lu</cp:lastModifiedBy>
  <dcterms:modified xsi:type="dcterms:W3CDTF">2022-10-26T09:33:03Z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A48E152ADBBC40A79594B97352871521</vt:lpwstr>
  </property>
</Properties>
</file>