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 w:lineRule="exact"/>
        <w:ind w:firstLine="720"/>
        <w:rPr>
          <w:rFonts w:hint="eastAsia" w:eastAsia="仿宋_GB2312"/>
          <w:spacing w:val="100"/>
          <w:sz w:val="72"/>
        </w:rPr>
      </w:pPr>
    </w:p>
    <w:p>
      <w:pPr>
        <w:spacing w:line="280" w:lineRule="exact"/>
        <w:ind w:firstLine="720"/>
        <w:rPr>
          <w:rFonts w:hint="eastAsia" w:eastAsia="仿宋_GB2312"/>
          <w:spacing w:val="100"/>
          <w:sz w:val="72"/>
        </w:rPr>
      </w:pPr>
    </w:p>
    <w:p>
      <w:pPr>
        <w:spacing w:line="280" w:lineRule="exact"/>
        <w:ind w:firstLine="720"/>
        <w:rPr>
          <w:rFonts w:hint="eastAsia" w:eastAsia="仿宋_GB2312"/>
          <w:spacing w:val="100"/>
          <w:sz w:val="72"/>
        </w:rPr>
      </w:pPr>
    </w:p>
    <w:p>
      <w:pPr>
        <w:spacing w:line="280" w:lineRule="exact"/>
        <w:ind w:firstLine="720"/>
        <w:rPr>
          <w:rFonts w:hint="eastAsia" w:eastAsia="仿宋_GB2312"/>
          <w:spacing w:val="100"/>
          <w:sz w:val="72"/>
        </w:rPr>
      </w:pPr>
    </w:p>
    <w:p>
      <w:pPr>
        <w:spacing w:line="280" w:lineRule="exact"/>
        <w:ind w:firstLine="720"/>
        <w:rPr>
          <w:rFonts w:hint="eastAsia" w:eastAsia="仿宋_GB2312"/>
          <w:spacing w:val="100"/>
          <w:sz w:val="72"/>
        </w:rPr>
      </w:pPr>
    </w:p>
    <w:p>
      <w:pPr>
        <w:spacing w:line="720" w:lineRule="exact"/>
        <w:jc w:val="center"/>
        <w:rPr>
          <w:rFonts w:hint="eastAsia" w:ascii="方正小标宋简体" w:eastAsia="方正小标宋简体"/>
          <w:b/>
          <w:bCs/>
          <w:color w:val="FF0000"/>
          <w:w w:val="80"/>
          <w:sz w:val="68"/>
          <w:szCs w:val="66"/>
        </w:rPr>
      </w:pPr>
      <w:r>
        <w:rPr>
          <w:rFonts w:hint="eastAsia" w:ascii="方正小标宋简体" w:eastAsia="方正小标宋简体"/>
          <w:b/>
          <w:bCs/>
          <w:color w:val="FF0000"/>
          <w:w w:val="80"/>
          <w:sz w:val="68"/>
          <w:szCs w:val="66"/>
        </w:rPr>
        <w:t>上海市崇明区发展和改革委员会文件</w:t>
      </w:r>
    </w:p>
    <w:p>
      <w:pPr>
        <w:spacing w:line="400" w:lineRule="exact"/>
        <w:rPr>
          <w:rFonts w:hint="eastAsia" w:eastAsia="仿宋_GB2312"/>
          <w:color w:val="FF0000"/>
          <w:spacing w:val="-30"/>
          <w:sz w:val="44"/>
          <w:szCs w:val="44"/>
        </w:rPr>
      </w:pPr>
    </w:p>
    <w:p>
      <w:pPr>
        <w:spacing w:line="400" w:lineRule="exact"/>
        <w:rPr>
          <w:rFonts w:hint="eastAsia" w:eastAsia="仿宋_GB2312"/>
          <w:sz w:val="32"/>
        </w:rPr>
      </w:pPr>
    </w:p>
    <w:p>
      <w:pPr>
        <w:spacing w:line="360" w:lineRule="auto"/>
        <w:jc w:val="center"/>
        <w:rPr>
          <w:rFonts w:hint="default" w:ascii="仿宋_GB2312" w:eastAsia="仿宋_GB2312"/>
          <w:sz w:val="32"/>
          <w:lang w:val="en-US" w:eastAsia="zh-CN"/>
        </w:rPr>
      </w:pPr>
      <w:r>
        <w:rPr>
          <w:rFonts w:hint="eastAsia" w:ascii="仿宋_GB2312" w:eastAsia="仿宋_GB2312"/>
          <w:sz w:val="32"/>
        </w:rPr>
        <w:t>沪崇发改</w:t>
      </w:r>
      <w:r>
        <w:rPr>
          <w:rFonts w:hint="eastAsia" w:ascii="仿宋_GB2312" w:eastAsia="仿宋_GB2312"/>
          <w:sz w:val="32"/>
          <w:lang w:val="en-US" w:eastAsia="zh-CN"/>
        </w:rPr>
        <w:t>价</w:t>
      </w:r>
      <w:r>
        <w:rPr>
          <w:rFonts w:hint="eastAsia" w:ascii="仿宋_GB2312" w:eastAsia="仿宋_GB2312"/>
          <w:sz w:val="32"/>
        </w:rPr>
        <w:t>〔20</w:t>
      </w:r>
      <w:r>
        <w:rPr>
          <w:rFonts w:hint="eastAsia" w:ascii="仿宋_GB2312" w:eastAsia="仿宋_GB2312"/>
          <w:sz w:val="32"/>
          <w:lang w:val="en-US" w:eastAsia="zh-CN"/>
        </w:rPr>
        <w:t>23</w:t>
      </w:r>
      <w:r>
        <w:rPr>
          <w:rFonts w:hint="eastAsia" w:ascii="仿宋_GB2312" w:eastAsia="仿宋_GB2312"/>
          <w:sz w:val="32"/>
        </w:rPr>
        <w:t>〕</w:t>
      </w:r>
      <w:r>
        <w:rPr>
          <w:rFonts w:hint="eastAsia" w:ascii="仿宋_GB2312" w:eastAsia="仿宋_GB2312"/>
          <w:sz w:val="32"/>
          <w:lang w:val="en-US" w:eastAsia="zh-CN"/>
        </w:rPr>
        <w:t>6</w:t>
      </w:r>
      <w:r>
        <w:rPr>
          <w:rFonts w:hint="eastAsia" w:ascii="仿宋_GB2312" w:eastAsia="仿宋_GB2312"/>
          <w:sz w:val="32"/>
        </w:rPr>
        <w:t>号</w:t>
      </w:r>
      <w:r>
        <w:rPr>
          <w:rFonts w:hint="eastAsia" w:ascii="仿宋_GB2312" w:eastAsia="仿宋_GB2312"/>
          <w:sz w:val="32"/>
          <w:lang w:val="en-US" w:eastAsia="zh-CN"/>
        </w:rPr>
        <w:t xml:space="preserve">                    </w:t>
      </w:r>
    </w:p>
    <w:p>
      <w:pPr>
        <w:spacing w:line="400" w:lineRule="exact"/>
        <w:rPr>
          <w:rFonts w:hint="eastAsia" w:eastAsia="仿宋_GB2312"/>
          <w:sz w:val="32"/>
        </w:rPr>
      </w:pPr>
      <w:r>
        <w:rPr>
          <w:rFonts w:hint="eastAsia" w:eastAsia="仿宋_GB2312"/>
          <w:sz w:val="32"/>
        </w:rPr>
        <mc:AlternateContent>
          <mc:Choice Requires="wps">
            <w:drawing>
              <wp:anchor distT="0" distB="0" distL="114300" distR="114300" simplePos="0" relativeHeight="251660288" behindDoc="0" locked="0" layoutInCell="1" allowOverlap="1">
                <wp:simplePos x="0" y="0"/>
                <wp:positionH relativeFrom="column">
                  <wp:posOffset>-103505</wp:posOffset>
                </wp:positionH>
                <wp:positionV relativeFrom="paragraph">
                  <wp:posOffset>101600</wp:posOffset>
                </wp:positionV>
                <wp:extent cx="5886450" cy="0"/>
                <wp:effectExtent l="0" t="9525" r="6350" b="15875"/>
                <wp:wrapNone/>
                <wp:docPr id="3" name="直接连接符 3"/>
                <wp:cNvGraphicFramePr/>
                <a:graphic xmlns:a="http://schemas.openxmlformats.org/drawingml/2006/main">
                  <a:graphicData uri="http://schemas.microsoft.com/office/word/2010/wordprocessingShape">
                    <wps:wsp>
                      <wps:cNvCnPr/>
                      <wps:spPr>
                        <a:xfrm>
                          <a:off x="0" y="0"/>
                          <a:ext cx="588645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5pt;margin-top:8pt;height:0pt;width:463.5pt;z-index:251660288;mso-width-relative:page;mso-height-relative:page;" filled="f" stroked="t" coordsize="21600,21600" o:gfxdata="UEsDBAoAAAAAAIdO4kAAAAAAAAAAAAAAAAAEAAAAZHJzL1BLAwQUAAAACACHTuJAvh9he9cAAAAJ&#10;AQAADwAAAGRycy9kb3ducmV2LnhtbE2PzU7DMBCE70i8g7VI3FrbILkQ4vQQCZUDUtXAAW5uvCQR&#10;/olitwlvzyIOcNyZT7Mz5Xbxjp1xSkMMGuRaAMPQRjuETsPry+PqDljKJljjYkANX5hgW11elKaw&#10;cQ4HPDe5YxQSUmE09DmPBeep7dGbtI4jBvI+4uRNpnPquJ3MTOHe8RshFPdmCPShNyPWPbafzclr&#10;eNvv9uNzXav49L6bl07J5rBxWl9fSfEALOOS/2D4qU/VoaJOx3gKNjGnYSXVLaFkKNpEwL0UG2DH&#10;X4FXJf+/oPoGUEsDBBQAAAAIAIdO4kCiPSod9wEAAOUDAAAOAAAAZHJzL2Uyb0RvYy54bWytU82O&#10;0zAQviPxDpbvNOkuuypR0z1sKRcElYAHmDpOYsl/8rhN+xK8ABI3OHHkztuwPAZjp9uF5dIDOThj&#10;z/ib+b4Zz2/2RrOdDKicrfl0UnImrXCNsl3NP7xfPZtxhhFsA9pZWfODRH6zePpkPvhKXrje6UYG&#10;RiAWq8HXvI/RV0WBopcGcOK8tORsXTAQaRu6ogkwELrRxUVZXheDC40PTkhEOl2OTn5EDOcAurZV&#10;Qi6d2Bpp44gapIZIlLBXHvkiV9u2UsS3bYsyMl1zYhrzSknI3qS1WMyh6gL4XoljCXBOCY84GVCW&#10;kp6glhCBbYP6B8ooERy6Nk6EM8VIJCtCLKblI23e9eBl5kJSoz+Jjv8PVrzZrQNTTc0vObNgqOF3&#10;n77//Pjl14/PtN59+8ouk0iDx4pib+06HHfo1yEx3rfBpD9xYfss7OEkrNxHJujwaja7fn5Fmot7&#10;X/Fw0QeMr6QzLBk118omzlDB7jVGSkah9yHpWFs20Ny+KDMe0AS21HmCNp5YoO3yZXRaNSuldbqC&#10;odvc6sB2QFOwWpX0JU4E/FdYyrIE7Me47Brno5fQvLQNiwdP+lh6FjzVYGTDmZb0ipJFgFBFUPqc&#10;SEqtLVWQZB2FTNbGNQfqxtYH1fUkxTRXmTzU/VzvcVLTeP25z0gPr3P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4fYXvXAAAACQEAAA8AAAAAAAAAAQAgAAAAIgAAAGRycy9kb3ducmV2LnhtbFBL&#10;AQIUABQAAAAIAIdO4kCiPSod9wEAAOUDAAAOAAAAAAAAAAEAIAAAACYBAABkcnMvZTJvRG9jLnht&#10;bFBLBQYAAAAABgAGAFkBAACP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关于调整本区供排水企业服务区域</w:t>
      </w:r>
    </w:p>
    <w:p>
      <w:pPr>
        <w:pStyle w:val="2"/>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非居民用户水价的复函</w:t>
      </w:r>
    </w:p>
    <w:p>
      <w:pPr>
        <w:pStyle w:val="2"/>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上海市崇明区水务局：</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你局《上海市崇明区水务局关于调整本区水价有关事宜的函》（沪崇水务〔2023〕86号）收悉。</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进一步发挥价格杠杆的调节作用，促进水资源节约和可持续利用，保障饮用水水质，控制污水和污泥排放，切实改善世界级生态岛水环境，并促进供排水企业健康可持续发展，根据政府定价的有关规定，经听取社会各方面意见，并经区政府同意，决定调整崇明区非居民用户水价。现将有关事项函复如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一、非居民用户综合水价</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非居民用户综合水价每立方米上调1.29元,即由现行的每立方米4.70元调整为5.99元，其中，供水价格每立方米上调0.80元，由每立方米2.89元调整为3.69元;实际污水处理费每立方米上调0.49元，由每立方米1.81元调整为2.30元。特种用水中，桑拿、足浴合并为洗浴，综合水价每立方米上调1.29元，调整为每立方米11.29元；洗车综合水价调整为每立方米9.54元；饮料综合水价保持不变，为每立方米7.20元；高尔夫球场用水综合水价为每立方米19.04元。馈水价格由现行的每立方米1.60元调整为1.97元（详见下表）。</w:t>
      </w:r>
    </w:p>
    <w:p>
      <w:pPr>
        <w:pStyle w:val="2"/>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本区非居民用户综合水价调整表</w:t>
      </w:r>
    </w:p>
    <w:p>
      <w:pPr>
        <w:jc w:val="right"/>
        <w:rPr>
          <w:rFonts w:hint="eastAsia"/>
          <w:lang w:val="en-US" w:eastAsia="zh-CN"/>
        </w:rPr>
      </w:pPr>
      <w:r>
        <w:rPr>
          <w:rFonts w:hint="eastAsia" w:ascii="宋体" w:hAnsi="宋体" w:eastAsia="宋体" w:cs="宋体"/>
          <w:lang w:eastAsia="zh-CN"/>
        </w:rPr>
        <w:t>单位：元</w:t>
      </w:r>
      <w:r>
        <w:rPr>
          <w:rFonts w:hint="eastAsia" w:ascii="宋体" w:hAnsi="宋体"/>
          <w:lang w:eastAsia="zh-CN"/>
        </w:rPr>
        <w:t>/</w:t>
      </w:r>
      <w:r>
        <w:rPr>
          <w:rFonts w:hint="eastAsia" w:ascii="宋体" w:hAnsi="宋体" w:eastAsia="宋体" w:cs="宋体"/>
          <w:lang w:eastAsia="zh-CN"/>
        </w:rPr>
        <w:t>立方米</w:t>
      </w:r>
    </w:p>
    <w:tbl>
      <w:tblPr>
        <w:tblStyle w:val="3"/>
        <w:tblW w:w="8640" w:type="dxa"/>
        <w:tblInd w:w="0" w:type="dxa"/>
        <w:tblLayout w:type="fixed"/>
        <w:tblCellMar>
          <w:top w:w="15" w:type="dxa"/>
          <w:left w:w="15" w:type="dxa"/>
          <w:bottom w:w="15" w:type="dxa"/>
          <w:right w:w="15" w:type="dxa"/>
        </w:tblCellMar>
      </w:tblPr>
      <w:tblGrid>
        <w:gridCol w:w="362"/>
        <w:gridCol w:w="718"/>
        <w:gridCol w:w="1079"/>
        <w:gridCol w:w="1079"/>
        <w:gridCol w:w="1080"/>
        <w:gridCol w:w="332"/>
        <w:gridCol w:w="750"/>
        <w:gridCol w:w="1080"/>
        <w:gridCol w:w="1080"/>
        <w:gridCol w:w="1080"/>
      </w:tblGrid>
      <w:tr>
        <w:tblPrEx>
          <w:tblCellMar>
            <w:top w:w="15" w:type="dxa"/>
            <w:left w:w="15" w:type="dxa"/>
            <w:bottom w:w="15" w:type="dxa"/>
            <w:right w:w="15" w:type="dxa"/>
          </w:tblCellMar>
        </w:tblPrEx>
        <w:trPr>
          <w:trHeight w:val="170" w:hRule="atLeast"/>
        </w:trPr>
        <w:tc>
          <w:tcPr>
            <w:tcW w:w="1080" w:type="dxa"/>
            <w:gridSpan w:val="2"/>
            <w:vMerge w:val="restart"/>
            <w:tcBorders>
              <w:top w:val="single" w:color="000000" w:sz="4" w:space="0"/>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cstheme="minorEastAsia"/>
                <w:b/>
                <w:sz w:val="22"/>
                <w:szCs w:val="22"/>
                <w:highlight w:val="none"/>
                <w:lang w:val="en-US" w:eastAsia="zh-CN"/>
              </w:rPr>
            </w:pPr>
            <w:r>
              <w:rPr>
                <w:rFonts w:hint="eastAsia" w:asciiTheme="minorEastAsia" w:hAnsiTheme="minorEastAsia" w:cstheme="minorEastAsia"/>
                <w:b/>
                <w:sz w:val="22"/>
                <w:szCs w:val="22"/>
                <w:highlight w:val="none"/>
                <w:lang w:val="en-US" w:eastAsia="zh-CN"/>
              </w:rPr>
              <w:t>现行</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sz w:val="22"/>
                <w:szCs w:val="22"/>
                <w:highlight w:val="none"/>
                <w:lang w:eastAsia="zh-CN"/>
              </w:rPr>
            </w:pPr>
            <w:r>
              <w:rPr>
                <w:rFonts w:hint="eastAsia" w:asciiTheme="minorEastAsia" w:hAnsiTheme="minorEastAsia" w:eastAsiaTheme="minorEastAsia" w:cstheme="minorEastAsia"/>
                <w:b/>
                <w:sz w:val="22"/>
                <w:szCs w:val="22"/>
                <w:highlight w:val="none"/>
                <w:lang w:eastAsia="zh-CN"/>
              </w:rPr>
              <w:t>用水类别</w:t>
            </w:r>
          </w:p>
        </w:tc>
        <w:tc>
          <w:tcPr>
            <w:tcW w:w="3238"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lang w:eastAsia="zh-CN"/>
              </w:rPr>
              <w:t>现行水价</w:t>
            </w:r>
          </w:p>
        </w:tc>
        <w:tc>
          <w:tcPr>
            <w:tcW w:w="1082" w:type="dxa"/>
            <w:gridSpan w:val="2"/>
            <w:vMerge w:val="restart"/>
            <w:tcBorders>
              <w:top w:val="single" w:color="000000" w:sz="4" w:space="0"/>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cstheme="minorEastAsia"/>
                <w:b/>
                <w:sz w:val="22"/>
                <w:szCs w:val="22"/>
                <w:highlight w:val="none"/>
                <w:lang w:val="en-US" w:eastAsia="zh-CN"/>
              </w:rPr>
            </w:pPr>
            <w:r>
              <w:rPr>
                <w:rFonts w:hint="eastAsia" w:asciiTheme="minorEastAsia" w:hAnsiTheme="minorEastAsia" w:cstheme="minorEastAsia"/>
                <w:b/>
                <w:sz w:val="22"/>
                <w:szCs w:val="22"/>
                <w:highlight w:val="none"/>
                <w:lang w:val="en-US" w:eastAsia="zh-CN"/>
              </w:rPr>
              <w:t>调价后</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sz w:val="22"/>
                <w:szCs w:val="22"/>
                <w:highlight w:val="none"/>
                <w:lang w:val="en-US" w:eastAsia="zh-CN"/>
              </w:rPr>
            </w:pPr>
            <w:r>
              <w:rPr>
                <w:rFonts w:hint="eastAsia" w:asciiTheme="minorEastAsia" w:hAnsiTheme="minorEastAsia" w:eastAsiaTheme="minorEastAsia" w:cstheme="minorEastAsia"/>
                <w:b/>
                <w:sz w:val="22"/>
                <w:szCs w:val="22"/>
                <w:highlight w:val="none"/>
                <w:lang w:val="en-US" w:eastAsia="zh-CN"/>
              </w:rPr>
              <w:t>用水类别</w:t>
            </w:r>
          </w:p>
        </w:tc>
        <w:tc>
          <w:tcPr>
            <w:tcW w:w="32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sz w:val="22"/>
                <w:szCs w:val="22"/>
                <w:highlight w:val="none"/>
                <w:lang w:eastAsia="zh-CN"/>
              </w:rPr>
            </w:pPr>
            <w:r>
              <w:rPr>
                <w:rFonts w:hint="eastAsia" w:asciiTheme="minorEastAsia" w:hAnsiTheme="minorEastAsia" w:eastAsiaTheme="minorEastAsia" w:cstheme="minorEastAsia"/>
                <w:b/>
                <w:sz w:val="22"/>
                <w:szCs w:val="22"/>
                <w:highlight w:val="none"/>
                <w:lang w:eastAsia="zh-CN"/>
              </w:rPr>
              <w:t>调价后水价</w:t>
            </w:r>
          </w:p>
        </w:tc>
      </w:tr>
      <w:tr>
        <w:tblPrEx>
          <w:tblCellMar>
            <w:top w:w="15" w:type="dxa"/>
            <w:left w:w="15" w:type="dxa"/>
            <w:bottom w:w="15" w:type="dxa"/>
            <w:right w:w="15" w:type="dxa"/>
          </w:tblCellMar>
        </w:tblPrEx>
        <w:trPr>
          <w:trHeight w:val="170" w:hRule="atLeast"/>
        </w:trPr>
        <w:tc>
          <w:tcPr>
            <w:tcW w:w="1080" w:type="dxa"/>
            <w:gridSpan w:val="2"/>
            <w:vMerge w:val="continue"/>
            <w:tcBorders>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sz w:val="22"/>
                <w:szCs w:val="22"/>
                <w:highlight w:val="none"/>
              </w:rPr>
            </w:pPr>
          </w:p>
        </w:tc>
        <w:tc>
          <w:tcPr>
            <w:tcW w:w="107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供水价格</w:t>
            </w:r>
          </w:p>
        </w:tc>
        <w:tc>
          <w:tcPr>
            <w:tcW w:w="107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0"/>
                <w:szCs w:val="20"/>
                <w:highlight w:val="none"/>
                <w:lang w:eastAsia="zh-CN"/>
              </w:rPr>
              <w:t>污水处理费</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综合水价</w:t>
            </w:r>
          </w:p>
        </w:tc>
        <w:tc>
          <w:tcPr>
            <w:tcW w:w="1082" w:type="dxa"/>
            <w:gridSpan w:val="2"/>
            <w:vMerge w:val="continue"/>
            <w:tcBorders>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sz w:val="22"/>
                <w:szCs w:val="22"/>
                <w:highlight w:val="none"/>
              </w:rPr>
            </w:pP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eastAsia="zh-CN"/>
              </w:rPr>
              <w:t>供水价格</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1"/>
                <w:szCs w:val="21"/>
                <w:highlight w:val="none"/>
                <w:lang w:eastAsia="zh-CN"/>
              </w:rPr>
              <w:t>污水处理费</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综合水价</w:t>
            </w:r>
          </w:p>
        </w:tc>
      </w:tr>
      <w:tr>
        <w:tblPrEx>
          <w:tblCellMar>
            <w:top w:w="15" w:type="dxa"/>
            <w:left w:w="15" w:type="dxa"/>
            <w:bottom w:w="15" w:type="dxa"/>
            <w:right w:w="15" w:type="dxa"/>
          </w:tblCellMar>
        </w:tblPrEx>
        <w:trPr>
          <w:trHeight w:val="170" w:hRule="atLeast"/>
        </w:trPr>
        <w:tc>
          <w:tcPr>
            <w:tcW w:w="1080" w:type="dxa"/>
            <w:gridSpan w:val="2"/>
            <w:vMerge w:val="restart"/>
            <w:tcBorders>
              <w:top w:val="single" w:color="000000" w:sz="4" w:space="0"/>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非居民</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用水</w:t>
            </w:r>
          </w:p>
        </w:tc>
        <w:tc>
          <w:tcPr>
            <w:tcW w:w="107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 xml:space="preserve">2.89 </w:t>
            </w:r>
          </w:p>
        </w:tc>
        <w:tc>
          <w:tcPr>
            <w:tcW w:w="107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工商业2.01</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 xml:space="preserve">4.70 </w:t>
            </w:r>
          </w:p>
        </w:tc>
        <w:tc>
          <w:tcPr>
            <w:tcW w:w="1082" w:type="dxa"/>
            <w:gridSpan w:val="2"/>
            <w:vMerge w:val="restart"/>
            <w:tcBorders>
              <w:top w:val="single" w:color="000000" w:sz="4" w:space="0"/>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非居民</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用水</w:t>
            </w:r>
          </w:p>
        </w:tc>
        <w:tc>
          <w:tcPr>
            <w:tcW w:w="1080" w:type="dxa"/>
            <w:vMerge w:val="restart"/>
            <w:tcBorders>
              <w:top w:val="single" w:color="000000" w:sz="4" w:space="0"/>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3.69</w:t>
            </w:r>
          </w:p>
        </w:tc>
        <w:tc>
          <w:tcPr>
            <w:tcW w:w="1080" w:type="dxa"/>
            <w:vMerge w:val="restart"/>
            <w:tcBorders>
              <w:top w:val="single" w:color="000000" w:sz="4" w:space="0"/>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2.56</w:t>
            </w:r>
            <w:r>
              <w:rPr>
                <w:rFonts w:hint="eastAsia" w:asciiTheme="minorEastAsia" w:hAnsiTheme="minorEastAsia" w:eastAsiaTheme="minorEastAsia" w:cstheme="minorEastAsia"/>
                <w:sz w:val="22"/>
                <w:szCs w:val="22"/>
                <w:highlight w:val="none"/>
                <w:lang w:eastAsia="zh-CN"/>
              </w:rPr>
              <w:t xml:space="preserve"> </w:t>
            </w:r>
          </w:p>
        </w:tc>
        <w:tc>
          <w:tcPr>
            <w:tcW w:w="108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 xml:space="preserve">5.99 </w:t>
            </w:r>
          </w:p>
        </w:tc>
      </w:tr>
      <w:tr>
        <w:tblPrEx>
          <w:tblCellMar>
            <w:top w:w="15" w:type="dxa"/>
            <w:left w:w="15" w:type="dxa"/>
            <w:bottom w:w="15" w:type="dxa"/>
            <w:right w:w="15" w:type="dxa"/>
          </w:tblCellMar>
        </w:tblPrEx>
        <w:trPr>
          <w:trHeight w:val="170" w:hRule="atLeast"/>
        </w:trPr>
        <w:tc>
          <w:tcPr>
            <w:tcW w:w="1080" w:type="dxa"/>
            <w:gridSpan w:val="2"/>
            <w:vMerge w:val="continue"/>
            <w:tcBorders>
              <w:left w:val="single" w:color="000000" w:sz="4" w:space="0"/>
              <w:bottom w:val="single" w:color="000000" w:sz="4" w:space="0"/>
              <w:right w:val="single" w:color="000000" w:sz="4" w:space="0"/>
              <w:tl2br w:val="nil"/>
              <w:tr2bl w:val="nil"/>
            </w:tcBorders>
            <w:vAlign w:val="center"/>
          </w:tcPr>
          <w:p>
            <w:pPr>
              <w:jc w:val="center"/>
              <w:rPr>
                <w:rFonts w:hint="eastAsia" w:asciiTheme="minorEastAsia" w:hAnsiTheme="minorEastAsia" w:eastAsiaTheme="minorEastAsia" w:cstheme="minorEastAsia"/>
                <w:sz w:val="22"/>
                <w:szCs w:val="22"/>
                <w:highlight w:val="none"/>
              </w:rPr>
            </w:pPr>
          </w:p>
        </w:tc>
        <w:tc>
          <w:tcPr>
            <w:tcW w:w="10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Theme="minorEastAsia" w:hAnsiTheme="minorEastAsia" w:eastAsiaTheme="minorEastAsia" w:cstheme="minorEastAsia"/>
                <w:sz w:val="22"/>
                <w:szCs w:val="22"/>
                <w:highlight w:val="none"/>
              </w:rPr>
            </w:pPr>
          </w:p>
        </w:tc>
        <w:tc>
          <w:tcPr>
            <w:tcW w:w="107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hint="default" w:asciiTheme="minorEastAsia" w:hAnsiTheme="minorEastAsia" w:eastAsiaTheme="minorEastAsia" w:cstheme="minorEastAsia"/>
                <w:sz w:val="22"/>
                <w:szCs w:val="22"/>
                <w:highlight w:val="none"/>
                <w:lang w:val="en-US"/>
              </w:rPr>
            </w:pPr>
            <w:r>
              <w:rPr>
                <w:rFonts w:hint="eastAsia" w:asciiTheme="minorEastAsia" w:hAnsiTheme="minorEastAsia" w:eastAsiaTheme="minorEastAsia" w:cstheme="minorEastAsia"/>
                <w:sz w:val="22"/>
                <w:szCs w:val="22"/>
                <w:highlight w:val="none"/>
                <w:lang w:eastAsia="zh-CN"/>
              </w:rPr>
              <w:t>行政事业</w:t>
            </w:r>
            <w:r>
              <w:rPr>
                <w:rFonts w:hint="eastAsia" w:asciiTheme="minorEastAsia" w:hAnsiTheme="minorEastAsia" w:eastAsiaTheme="minorEastAsia" w:cstheme="minorEastAsia"/>
                <w:sz w:val="22"/>
                <w:szCs w:val="22"/>
                <w:highlight w:val="none"/>
                <w:lang w:val="en-US" w:eastAsia="zh-CN"/>
              </w:rPr>
              <w:t>2.01</w:t>
            </w: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textAlignment w:val="center"/>
              <w:rPr>
                <w:rFonts w:hint="default" w:asciiTheme="minorEastAsia" w:hAnsiTheme="minorEastAsia" w:eastAsiaTheme="minorEastAsia" w:cstheme="minorEastAsia"/>
                <w:sz w:val="22"/>
                <w:szCs w:val="22"/>
                <w:highlight w:val="none"/>
                <w:lang w:val="en-US"/>
              </w:rPr>
            </w:pPr>
            <w:r>
              <w:rPr>
                <w:rFonts w:hint="eastAsia" w:asciiTheme="minorEastAsia" w:hAnsiTheme="minorEastAsia" w:eastAsiaTheme="minorEastAsia" w:cstheme="minorEastAsia"/>
                <w:sz w:val="22"/>
                <w:szCs w:val="22"/>
                <w:highlight w:val="none"/>
                <w:lang w:val="en-US" w:eastAsia="zh-CN"/>
              </w:rPr>
              <w:t>4.70</w:t>
            </w:r>
          </w:p>
        </w:tc>
        <w:tc>
          <w:tcPr>
            <w:tcW w:w="1082" w:type="dxa"/>
            <w:gridSpan w:val="2"/>
            <w:vMerge w:val="continue"/>
            <w:tcBorders>
              <w:left w:val="single" w:color="000000" w:sz="4" w:space="0"/>
              <w:bottom w:val="single" w:color="auto" w:sz="4" w:space="0"/>
              <w:right w:val="single" w:color="000000" w:sz="4" w:space="0"/>
              <w:tl2br w:val="nil"/>
              <w:tr2bl w:val="nil"/>
            </w:tcBorders>
            <w:vAlign w:val="center"/>
          </w:tcPr>
          <w:p>
            <w:pPr>
              <w:jc w:val="center"/>
              <w:rPr>
                <w:rFonts w:hint="eastAsia" w:asciiTheme="minorEastAsia" w:hAnsiTheme="minorEastAsia" w:eastAsiaTheme="minorEastAsia" w:cstheme="minorEastAsia"/>
                <w:sz w:val="22"/>
                <w:szCs w:val="22"/>
                <w:highlight w:val="none"/>
              </w:rPr>
            </w:pPr>
          </w:p>
        </w:tc>
        <w:tc>
          <w:tcPr>
            <w:tcW w:w="1080" w:type="dxa"/>
            <w:vMerge w:val="continue"/>
            <w:tcBorders>
              <w:left w:val="single" w:color="000000" w:sz="4" w:space="0"/>
              <w:bottom w:val="single" w:color="auto" w:sz="4" w:space="0"/>
              <w:right w:val="single" w:color="000000" w:sz="4" w:space="0"/>
              <w:tl2br w:val="nil"/>
              <w:tr2bl w:val="nil"/>
            </w:tcBorders>
            <w:vAlign w:val="center"/>
          </w:tcPr>
          <w:p>
            <w:pPr>
              <w:jc w:val="center"/>
              <w:rPr>
                <w:rFonts w:hint="eastAsia" w:asciiTheme="minorEastAsia" w:hAnsiTheme="minorEastAsia" w:eastAsiaTheme="minorEastAsia" w:cstheme="minorEastAsia"/>
                <w:kern w:val="2"/>
                <w:sz w:val="22"/>
                <w:szCs w:val="22"/>
                <w:highlight w:val="none"/>
                <w:lang w:val="en-US" w:eastAsia="zh-CN" w:bidi="ar-SA"/>
              </w:rPr>
            </w:pPr>
          </w:p>
        </w:tc>
        <w:tc>
          <w:tcPr>
            <w:tcW w:w="1080" w:type="dxa"/>
            <w:vMerge w:val="continue"/>
            <w:tcBorders>
              <w:left w:val="single" w:color="000000" w:sz="4" w:space="0"/>
              <w:right w:val="single" w:color="000000" w:sz="4" w:space="0"/>
              <w:tl2br w:val="nil"/>
              <w:tr2bl w:val="nil"/>
            </w:tcBorders>
            <w:vAlign w:val="center"/>
          </w:tcPr>
          <w:p>
            <w:pPr>
              <w:jc w:val="center"/>
              <w:rPr>
                <w:rFonts w:hint="eastAsia" w:asciiTheme="minorEastAsia" w:hAnsiTheme="minorEastAsia" w:eastAsiaTheme="minorEastAsia" w:cstheme="minorEastAsia"/>
                <w:sz w:val="22"/>
                <w:szCs w:val="22"/>
                <w:highlight w:val="none"/>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Theme="minorEastAsia" w:hAnsiTheme="minorEastAsia" w:eastAsiaTheme="minorEastAsia" w:cstheme="minorEastAsia"/>
                <w:sz w:val="22"/>
                <w:szCs w:val="22"/>
                <w:highlight w:val="none"/>
              </w:rPr>
            </w:pPr>
          </w:p>
        </w:tc>
      </w:tr>
      <w:tr>
        <w:tblPrEx>
          <w:tblCellMar>
            <w:top w:w="15" w:type="dxa"/>
            <w:left w:w="15" w:type="dxa"/>
            <w:bottom w:w="15" w:type="dxa"/>
            <w:right w:w="15" w:type="dxa"/>
          </w:tblCellMar>
        </w:tblPrEx>
        <w:trPr>
          <w:trHeight w:val="170" w:hRule="atLeast"/>
        </w:trPr>
        <w:tc>
          <w:tcPr>
            <w:tcW w:w="362" w:type="dxa"/>
            <w:vMerge w:val="restart"/>
            <w:tcBorders>
              <w:top w:val="single" w:color="000000" w:sz="4" w:space="0"/>
              <w:left w:val="single" w:color="000000" w:sz="4" w:space="0"/>
              <w:right w:val="single" w:color="auto" w:sz="4" w:space="0"/>
              <w:tl2br w:val="nil"/>
              <w:tr2bl w:val="nil"/>
            </w:tcBorders>
            <w:vAlign w:val="center"/>
          </w:tcPr>
          <w:p>
            <w:pPr>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特种用水</w:t>
            </w: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桑拿</w:t>
            </w:r>
          </w:p>
        </w:tc>
        <w:tc>
          <w:tcPr>
            <w:tcW w:w="1079" w:type="dxa"/>
            <w:tcBorders>
              <w:top w:val="single" w:color="000000" w:sz="4" w:space="0"/>
              <w:left w:val="single" w:color="auto"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8.19</w:t>
            </w:r>
          </w:p>
        </w:tc>
        <w:tc>
          <w:tcPr>
            <w:tcW w:w="1079" w:type="dxa"/>
            <w:vMerge w:val="restart"/>
            <w:tcBorders>
              <w:top w:val="single" w:color="000000" w:sz="4" w:space="0"/>
              <w:left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outlineLvl w:val="9"/>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2.01</w:t>
            </w:r>
          </w:p>
        </w:tc>
        <w:tc>
          <w:tcPr>
            <w:tcW w:w="1080"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10.00</w:t>
            </w:r>
          </w:p>
        </w:tc>
        <w:tc>
          <w:tcPr>
            <w:tcW w:w="332" w:type="dxa"/>
            <w:vMerge w:val="restart"/>
            <w:tcBorders>
              <w:top w:val="single" w:color="auto" w:sz="4" w:space="0"/>
              <w:left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kern w:val="2"/>
                <w:sz w:val="22"/>
                <w:szCs w:val="22"/>
                <w:highlight w:val="none"/>
                <w:lang w:val="en-US" w:eastAsia="zh-CN" w:bidi="ar-SA"/>
              </w:rPr>
              <w:t>特种用水</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kern w:val="2"/>
                <w:sz w:val="22"/>
                <w:szCs w:val="22"/>
                <w:highlight w:val="none"/>
                <w:lang w:val="en-US" w:eastAsia="zh-CN" w:bidi="ar-SA"/>
              </w:rPr>
              <w:t>洗浴</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kern w:val="2"/>
                <w:sz w:val="22"/>
                <w:szCs w:val="22"/>
                <w:highlight w:val="none"/>
                <w:lang w:val="en-US" w:eastAsia="zh-CN" w:bidi="ar-SA"/>
              </w:rPr>
              <w:t>8.99</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sz w:val="22"/>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sz w:val="22"/>
                <w:szCs w:val="22"/>
                <w:highlight w:val="none"/>
                <w:lang w:val="en-US"/>
              </w:rPr>
            </w:pPr>
            <w:r>
              <w:rPr>
                <w:rFonts w:hint="eastAsia" w:asciiTheme="minorEastAsia" w:hAnsiTheme="minorEastAsia" w:eastAsiaTheme="minorEastAsia" w:cstheme="minorEastAsia"/>
                <w:sz w:val="22"/>
                <w:szCs w:val="22"/>
                <w:highlight w:val="none"/>
                <w:lang w:val="en-US" w:eastAsia="zh-CN"/>
              </w:rPr>
              <w:t>11.29</w:t>
            </w:r>
          </w:p>
        </w:tc>
      </w:tr>
      <w:tr>
        <w:tblPrEx>
          <w:tblCellMar>
            <w:top w:w="15" w:type="dxa"/>
            <w:left w:w="15" w:type="dxa"/>
            <w:bottom w:w="15" w:type="dxa"/>
            <w:right w:w="15" w:type="dxa"/>
          </w:tblCellMar>
        </w:tblPrEx>
        <w:trPr>
          <w:trHeight w:val="170" w:hRule="atLeast"/>
        </w:trPr>
        <w:tc>
          <w:tcPr>
            <w:tcW w:w="362" w:type="dxa"/>
            <w:vMerge w:val="continue"/>
            <w:tcBorders>
              <w:left w:val="single" w:color="000000" w:sz="4" w:space="0"/>
              <w:right w:val="single" w:color="auto" w:sz="4" w:space="0"/>
              <w:tl2br w:val="nil"/>
              <w:tr2bl w:val="nil"/>
            </w:tcBorders>
            <w:vAlign w:val="center"/>
          </w:tcPr>
          <w:p>
            <w:pPr>
              <w:jc w:val="center"/>
              <w:rPr>
                <w:rFonts w:hint="eastAsia" w:asciiTheme="minorEastAsia" w:hAnsiTheme="minorEastAsia" w:eastAsiaTheme="minorEastAsia" w:cstheme="minorEastAsia"/>
                <w:sz w:val="22"/>
                <w:szCs w:val="22"/>
                <w:highlight w:val="none"/>
              </w:rPr>
            </w:pP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足浴</w:t>
            </w:r>
          </w:p>
        </w:tc>
        <w:tc>
          <w:tcPr>
            <w:tcW w:w="1079" w:type="dxa"/>
            <w:tcBorders>
              <w:top w:val="single" w:color="000000" w:sz="4" w:space="0"/>
              <w:left w:val="single" w:color="auto"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11.59</w:t>
            </w:r>
          </w:p>
        </w:tc>
        <w:tc>
          <w:tcPr>
            <w:tcW w:w="1079" w:type="dxa"/>
            <w:vMerge w:val="continue"/>
            <w:tcBorders>
              <w:left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outlineLvl w:val="9"/>
              <w:rPr>
                <w:rFonts w:hint="eastAsia" w:asciiTheme="minorEastAsia" w:hAnsiTheme="minorEastAsia" w:eastAsiaTheme="minorEastAsia" w:cstheme="minorEastAsia"/>
                <w:sz w:val="22"/>
                <w:szCs w:val="22"/>
                <w:highlight w:val="none"/>
                <w:lang w:eastAsia="zh-CN"/>
              </w:rPr>
            </w:pPr>
          </w:p>
        </w:tc>
        <w:tc>
          <w:tcPr>
            <w:tcW w:w="1080"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13.40</w:t>
            </w:r>
          </w:p>
        </w:tc>
        <w:tc>
          <w:tcPr>
            <w:tcW w:w="332" w:type="dxa"/>
            <w:vMerge w:val="continue"/>
            <w:tcBorders>
              <w:left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kern w:val="2"/>
                <w:sz w:val="22"/>
                <w:szCs w:val="22"/>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洗车</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kern w:val="2"/>
                <w:sz w:val="22"/>
                <w:szCs w:val="22"/>
                <w:highlight w:val="none"/>
                <w:lang w:val="en-US" w:eastAsia="zh-CN" w:bidi="ar-SA"/>
              </w:rPr>
              <w:t>7.24</w:t>
            </w:r>
          </w:p>
        </w:tc>
        <w:tc>
          <w:tcPr>
            <w:tcW w:w="1080" w:type="dxa"/>
            <w:vMerge w:val="continue"/>
            <w:tcBorders>
              <w:top w:val="single" w:color="auto" w:sz="4" w:space="0"/>
              <w:left w:val="single" w:color="auto" w:sz="4" w:space="0"/>
              <w:right w:val="single" w:color="000000" w:sz="4" w:space="0"/>
              <w:tl2br w:val="nil"/>
              <w:tr2bl w:val="nil"/>
            </w:tcBorders>
            <w:vAlign w:val="center"/>
          </w:tcPr>
          <w:p>
            <w:pPr>
              <w:jc w:val="center"/>
              <w:rPr>
                <w:rFonts w:hint="eastAsia" w:asciiTheme="minorEastAsia" w:hAnsiTheme="minorEastAsia" w:eastAsiaTheme="minorEastAsia" w:cstheme="minorEastAsia"/>
                <w:sz w:val="22"/>
                <w:szCs w:val="22"/>
                <w:highlight w:val="none"/>
              </w:rPr>
            </w:pPr>
          </w:p>
        </w:tc>
        <w:tc>
          <w:tcPr>
            <w:tcW w:w="1080" w:type="dxa"/>
            <w:tcBorders>
              <w:top w:val="single" w:color="auto" w:sz="4" w:space="0"/>
              <w:left w:val="single" w:color="000000" w:sz="4" w:space="0"/>
              <w:bottom w:val="single" w:color="000000" w:sz="4" w:space="0"/>
              <w:right w:val="single" w:color="000000" w:sz="4" w:space="0"/>
              <w:tl2br w:val="nil"/>
              <w:tr2bl w:val="nil"/>
            </w:tcBorders>
            <w:vAlign w:val="center"/>
          </w:tcPr>
          <w:p>
            <w:pPr>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9.54</w:t>
            </w:r>
          </w:p>
        </w:tc>
      </w:tr>
      <w:tr>
        <w:tblPrEx>
          <w:tblCellMar>
            <w:top w:w="15" w:type="dxa"/>
            <w:left w:w="15" w:type="dxa"/>
            <w:bottom w:w="15" w:type="dxa"/>
            <w:right w:w="15" w:type="dxa"/>
          </w:tblCellMar>
        </w:tblPrEx>
        <w:trPr>
          <w:trHeight w:val="170" w:hRule="atLeast"/>
        </w:trPr>
        <w:tc>
          <w:tcPr>
            <w:tcW w:w="362" w:type="dxa"/>
            <w:vMerge w:val="continue"/>
            <w:tcBorders>
              <w:left w:val="single" w:color="000000" w:sz="4" w:space="0"/>
              <w:right w:val="single" w:color="auto" w:sz="4" w:space="0"/>
              <w:tl2br w:val="nil"/>
              <w:tr2bl w:val="nil"/>
            </w:tcBorders>
            <w:vAlign w:val="center"/>
          </w:tcPr>
          <w:p>
            <w:pPr>
              <w:jc w:val="center"/>
              <w:rPr>
                <w:rFonts w:hint="eastAsia" w:asciiTheme="minorEastAsia" w:hAnsiTheme="minorEastAsia" w:eastAsiaTheme="minorEastAsia" w:cstheme="minorEastAsia"/>
                <w:sz w:val="22"/>
                <w:szCs w:val="22"/>
                <w:highlight w:val="none"/>
              </w:rPr>
            </w:pP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洗车</w:t>
            </w:r>
          </w:p>
        </w:tc>
        <w:tc>
          <w:tcPr>
            <w:tcW w:w="1079" w:type="dxa"/>
            <w:tcBorders>
              <w:top w:val="single" w:color="000000" w:sz="4" w:space="0"/>
              <w:left w:val="single" w:color="auto"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6.59</w:t>
            </w:r>
          </w:p>
        </w:tc>
        <w:tc>
          <w:tcPr>
            <w:tcW w:w="1079" w:type="dxa"/>
            <w:vMerge w:val="continue"/>
            <w:tcBorders>
              <w:left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outlineLvl w:val="9"/>
              <w:rPr>
                <w:rFonts w:hint="eastAsia" w:asciiTheme="minorEastAsia" w:hAnsiTheme="minorEastAsia" w:eastAsiaTheme="minorEastAsia" w:cstheme="minorEastAsia"/>
                <w:sz w:val="22"/>
                <w:szCs w:val="22"/>
                <w:highlight w:val="none"/>
                <w:lang w:eastAsia="zh-CN"/>
              </w:rPr>
            </w:pPr>
          </w:p>
        </w:tc>
        <w:tc>
          <w:tcPr>
            <w:tcW w:w="1080"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8.40</w:t>
            </w:r>
          </w:p>
        </w:tc>
        <w:tc>
          <w:tcPr>
            <w:tcW w:w="332" w:type="dxa"/>
            <w:vMerge w:val="continue"/>
            <w:tcBorders>
              <w:left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kern w:val="2"/>
                <w:sz w:val="22"/>
                <w:szCs w:val="22"/>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饮料</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kern w:val="2"/>
                <w:sz w:val="22"/>
                <w:szCs w:val="22"/>
                <w:highlight w:val="none"/>
                <w:lang w:val="en-US" w:eastAsia="zh-CN" w:bidi="ar-SA"/>
              </w:rPr>
              <w:t>4.90</w:t>
            </w:r>
          </w:p>
        </w:tc>
        <w:tc>
          <w:tcPr>
            <w:tcW w:w="1080" w:type="dxa"/>
            <w:vMerge w:val="continue"/>
            <w:tcBorders>
              <w:left w:val="single" w:color="auto" w:sz="4" w:space="0"/>
              <w:right w:val="single" w:color="000000" w:sz="4" w:space="0"/>
              <w:tl2br w:val="nil"/>
              <w:tr2bl w:val="nil"/>
            </w:tcBorders>
            <w:vAlign w:val="center"/>
          </w:tcPr>
          <w:p>
            <w:pPr>
              <w:jc w:val="center"/>
              <w:rPr>
                <w:rFonts w:hint="eastAsia" w:asciiTheme="minorEastAsia" w:hAnsiTheme="minorEastAsia" w:eastAsiaTheme="minorEastAsia" w:cstheme="minorEastAsia"/>
                <w:sz w:val="22"/>
                <w:szCs w:val="22"/>
                <w:highlight w:val="none"/>
              </w:rPr>
            </w:pP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7.20</w:t>
            </w:r>
          </w:p>
        </w:tc>
      </w:tr>
      <w:tr>
        <w:tblPrEx>
          <w:tblCellMar>
            <w:top w:w="15" w:type="dxa"/>
            <w:left w:w="15" w:type="dxa"/>
            <w:bottom w:w="15" w:type="dxa"/>
            <w:right w:w="15" w:type="dxa"/>
          </w:tblCellMar>
        </w:tblPrEx>
        <w:trPr>
          <w:trHeight w:val="170" w:hRule="atLeast"/>
        </w:trPr>
        <w:tc>
          <w:tcPr>
            <w:tcW w:w="362" w:type="dxa"/>
            <w:vMerge w:val="continue"/>
            <w:tcBorders>
              <w:left w:val="single" w:color="000000" w:sz="4" w:space="0"/>
              <w:bottom w:val="single" w:color="000000" w:sz="4" w:space="0"/>
              <w:right w:val="single" w:color="auto" w:sz="4" w:space="0"/>
              <w:tl2br w:val="nil"/>
              <w:tr2bl w:val="nil"/>
            </w:tcBorders>
            <w:vAlign w:val="center"/>
          </w:tcPr>
          <w:p>
            <w:pPr>
              <w:jc w:val="center"/>
              <w:rPr>
                <w:rFonts w:hint="eastAsia" w:asciiTheme="minorEastAsia" w:hAnsiTheme="minorEastAsia" w:eastAsiaTheme="minorEastAsia" w:cstheme="minorEastAsia"/>
                <w:sz w:val="22"/>
                <w:szCs w:val="22"/>
                <w:highlight w:val="none"/>
              </w:rPr>
            </w:pP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饮料</w:t>
            </w:r>
          </w:p>
        </w:tc>
        <w:tc>
          <w:tcPr>
            <w:tcW w:w="1079" w:type="dxa"/>
            <w:tcBorders>
              <w:top w:val="single" w:color="000000" w:sz="4" w:space="0"/>
              <w:left w:val="single" w:color="auto"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5.39</w:t>
            </w:r>
          </w:p>
        </w:tc>
        <w:tc>
          <w:tcPr>
            <w:tcW w:w="1079" w:type="dxa"/>
            <w:vMerge w:val="continue"/>
            <w:tcBorders>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outlineLvl w:val="9"/>
              <w:rPr>
                <w:rFonts w:hint="eastAsia" w:asciiTheme="minorEastAsia" w:hAnsiTheme="minorEastAsia" w:eastAsiaTheme="minorEastAsia" w:cstheme="minorEastAsia"/>
                <w:sz w:val="22"/>
                <w:szCs w:val="22"/>
                <w:highlight w:val="none"/>
                <w:lang w:eastAsia="zh-CN"/>
              </w:rPr>
            </w:pPr>
          </w:p>
        </w:tc>
        <w:tc>
          <w:tcPr>
            <w:tcW w:w="1080"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7.20</w:t>
            </w:r>
          </w:p>
        </w:tc>
        <w:tc>
          <w:tcPr>
            <w:tcW w:w="332" w:type="dxa"/>
            <w:vMerge w:val="continue"/>
            <w:tcBorders>
              <w:left w:val="single" w:color="auto" w:sz="4" w:space="0"/>
              <w:bottom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kern w:val="2"/>
                <w:sz w:val="22"/>
                <w:szCs w:val="22"/>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cstheme="minorEastAsia"/>
                <w:kern w:val="2"/>
                <w:sz w:val="22"/>
                <w:szCs w:val="22"/>
                <w:highlight w:val="none"/>
                <w:lang w:val="en-US" w:eastAsia="zh-CN" w:bidi="ar-SA"/>
              </w:rPr>
              <w:t>高尔夫球场</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cstheme="minorEastAsia"/>
                <w:kern w:val="2"/>
                <w:sz w:val="22"/>
                <w:szCs w:val="22"/>
                <w:highlight w:val="none"/>
                <w:lang w:val="en-US" w:eastAsia="zh-CN" w:bidi="ar-SA"/>
              </w:rPr>
              <w:t>16.74</w:t>
            </w:r>
          </w:p>
        </w:tc>
        <w:tc>
          <w:tcPr>
            <w:tcW w:w="1080" w:type="dxa"/>
            <w:vMerge w:val="continue"/>
            <w:tcBorders>
              <w:left w:val="single" w:color="auto" w:sz="4" w:space="0"/>
              <w:bottom w:val="single" w:color="000000" w:sz="4" w:space="0"/>
              <w:right w:val="single" w:color="000000" w:sz="4" w:space="0"/>
              <w:tl2br w:val="nil"/>
              <w:tr2bl w:val="nil"/>
            </w:tcBorders>
            <w:vAlign w:val="center"/>
          </w:tcPr>
          <w:p>
            <w:pPr>
              <w:jc w:val="center"/>
              <w:rPr>
                <w:rFonts w:hint="eastAsia" w:asciiTheme="minorEastAsia" w:hAnsiTheme="minorEastAsia" w:eastAsiaTheme="minorEastAsia" w:cstheme="minorEastAsia"/>
                <w:sz w:val="22"/>
                <w:szCs w:val="22"/>
                <w:highlight w:val="none"/>
              </w:rPr>
            </w:pPr>
          </w:p>
        </w:tc>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heme="minorEastAsia" w:hAnsiTheme="minorEastAsia" w:eastAsiaTheme="minorEastAsia" w:cstheme="minorEastAsia"/>
                <w:sz w:val="22"/>
                <w:szCs w:val="22"/>
                <w:highlight w:val="none"/>
                <w:lang w:val="en-US" w:eastAsia="zh-CN"/>
              </w:rPr>
            </w:pPr>
            <w:r>
              <w:rPr>
                <w:rFonts w:hint="eastAsia" w:asciiTheme="minorEastAsia" w:hAnsiTheme="minorEastAsia" w:cstheme="minorEastAsia"/>
                <w:sz w:val="22"/>
                <w:szCs w:val="22"/>
                <w:highlight w:val="none"/>
                <w:lang w:val="en-US" w:eastAsia="zh-CN"/>
              </w:rPr>
              <w:t>19.04</w:t>
            </w:r>
          </w:p>
        </w:tc>
      </w:tr>
      <w:tr>
        <w:tblPrEx>
          <w:tblCellMar>
            <w:top w:w="15" w:type="dxa"/>
            <w:left w:w="15" w:type="dxa"/>
            <w:bottom w:w="15" w:type="dxa"/>
            <w:right w:w="15" w:type="dxa"/>
          </w:tblCellMar>
        </w:tblPrEx>
        <w:trPr>
          <w:trHeight w:val="540" w:hRule="atLeast"/>
        </w:trPr>
        <w:tc>
          <w:tcPr>
            <w:tcW w:w="1080" w:type="dxa"/>
            <w:gridSpan w:val="2"/>
            <w:tcBorders>
              <w:left w:val="single" w:color="000000" w:sz="4" w:space="0"/>
              <w:bottom w:val="single" w:color="000000" w:sz="4" w:space="0"/>
              <w:right w:val="single" w:color="auto" w:sz="4" w:space="0"/>
              <w:tl2br w:val="nil"/>
              <w:tr2bl w:val="nil"/>
            </w:tcBorders>
            <w:vAlign w:val="center"/>
          </w:tcPr>
          <w:p>
            <w:pPr>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馈水</w:t>
            </w:r>
          </w:p>
        </w:tc>
        <w:tc>
          <w:tcPr>
            <w:tcW w:w="3238" w:type="dxa"/>
            <w:gridSpan w:val="3"/>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1.60</w:t>
            </w:r>
          </w:p>
        </w:tc>
        <w:tc>
          <w:tcPr>
            <w:tcW w:w="1082" w:type="dxa"/>
            <w:gridSpan w:val="2"/>
            <w:tcBorders>
              <w:left w:val="single" w:color="auto" w:sz="4" w:space="0"/>
              <w:bottom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馈水</w:t>
            </w:r>
          </w:p>
        </w:tc>
        <w:tc>
          <w:tcPr>
            <w:tcW w:w="3240" w:type="dxa"/>
            <w:gridSpan w:val="3"/>
            <w:tcBorders>
              <w:top w:val="single" w:color="auto" w:sz="4" w:space="0"/>
              <w:left w:val="single" w:color="auto" w:sz="4" w:space="0"/>
              <w:bottom w:val="single" w:color="auto" w:sz="4" w:space="0"/>
              <w:right w:val="single" w:color="000000" w:sz="4" w:space="0"/>
              <w:tl2br w:val="nil"/>
              <w:tr2bl w:val="nil"/>
            </w:tcBorders>
            <w:vAlign w:val="center"/>
          </w:tcPr>
          <w:p>
            <w:pPr>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1.97</w:t>
            </w:r>
          </w:p>
        </w:tc>
      </w:tr>
      <w:tr>
        <w:tblPrEx>
          <w:tblCellMar>
            <w:top w:w="15" w:type="dxa"/>
            <w:left w:w="15" w:type="dxa"/>
            <w:bottom w:w="15" w:type="dxa"/>
            <w:right w:w="15" w:type="dxa"/>
          </w:tblCellMar>
        </w:tblPrEx>
        <w:trPr>
          <w:trHeight w:val="286" w:hRule="atLeast"/>
        </w:trPr>
        <w:tc>
          <w:tcPr>
            <w:tcW w:w="8640" w:type="dxa"/>
            <w:gridSpan w:val="10"/>
            <w:tcBorders>
              <w:top w:val="nil"/>
              <w:left w:val="nil"/>
              <w:bottom w:val="nil"/>
              <w:righ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注：应缴纳污水处理费=</w:t>
            </w:r>
            <w:r>
              <w:rPr>
                <w:rFonts w:hint="eastAsia" w:asciiTheme="minorEastAsia" w:hAnsiTheme="minorEastAsia" w:eastAsiaTheme="minorEastAsia" w:cstheme="minorEastAsia"/>
                <w:sz w:val="22"/>
                <w:szCs w:val="22"/>
                <w:highlight w:val="none"/>
                <w:lang w:val="en-US" w:eastAsia="zh-CN"/>
              </w:rPr>
              <w:t>污水处理费</w:t>
            </w:r>
            <w:r>
              <w:rPr>
                <w:rFonts w:hint="eastAsia" w:asciiTheme="minorEastAsia" w:hAnsiTheme="minorEastAsia" w:eastAsiaTheme="minorEastAsia" w:cstheme="minorEastAsia"/>
                <w:sz w:val="22"/>
                <w:szCs w:val="22"/>
                <w:highlight w:val="none"/>
                <w:lang w:eastAsia="zh-CN"/>
              </w:rPr>
              <w:t>征收标准×</w:t>
            </w:r>
            <w:r>
              <w:rPr>
                <w:rFonts w:hint="eastAsia" w:asciiTheme="minorEastAsia" w:hAnsiTheme="minorEastAsia" w:eastAsiaTheme="minorEastAsia" w:cstheme="minorEastAsia"/>
                <w:sz w:val="22"/>
                <w:szCs w:val="22"/>
                <w:highlight w:val="none"/>
                <w:lang w:val="en-US" w:eastAsia="zh-CN"/>
              </w:rPr>
              <w:t>用水量×</w:t>
            </w:r>
            <w:r>
              <w:rPr>
                <w:rFonts w:hint="eastAsia" w:asciiTheme="minorEastAsia" w:hAnsiTheme="minorEastAsia" w:eastAsiaTheme="minorEastAsia" w:cstheme="minorEastAsia"/>
                <w:sz w:val="22"/>
                <w:szCs w:val="22"/>
                <w:highlight w:val="none"/>
                <w:lang w:eastAsia="zh-CN"/>
              </w:rPr>
              <w:t>0.9。</w:t>
            </w:r>
          </w:p>
        </w:tc>
      </w:tr>
    </w:tbl>
    <w:p>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kern w:val="2"/>
          <w:sz w:val="32"/>
          <w:szCs w:val="32"/>
          <w:lang w:val="en-US" w:eastAsia="zh-CN" w:bidi="ar-SA"/>
        </w:rPr>
        <w:t>二、相关事项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1.统一“桑拿、足浴等用水”名称为“洗浴用水”。大众化便民浴室用水继续执行非居民用水价格标准。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高尔夫球场用水综合水价为每立方米19.04元，其中，供水价格为每立方米16.74元，污水处理费为每立方米2.56元。相关会所、餐饮等配套设施用水继续执行非居民用水价格标准，即每立方米5.99元，其中，供水价格为每立方米3.69元,污水处理费为每立方米2.56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3.在上述综合水价基础上，对经测定所排放的污（废）水指标超过</w:t>
      </w:r>
      <w:r>
        <w:rPr>
          <w:rFonts w:hint="eastAsia" w:ascii="仿宋_GB2312" w:hAnsi="仿宋_GB2312" w:eastAsia="仿宋_GB2312" w:cs="仿宋_GB2312"/>
          <w:color w:val="auto"/>
          <w:sz w:val="32"/>
          <w:szCs w:val="32"/>
          <w:highlight w:val="none"/>
          <w:lang w:val="en-US" w:eastAsia="zh-CN"/>
        </w:rPr>
        <w:t>《污水综合排放标准》(DB3 1/199-2018)的重点污染户，继续加收污水处理费每立方米0.80元。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有不同用水性质、共用一只水表（户名）计量的混合用水户，应主动与供水单位联系办理单独装表计量事宜。不具备单独装表条件的，经供水单位认定，可安装二级计量水表分别计量收费。凡不单独装表（或二级表）的混合用水户，供水单位按水价从高的原则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5.加强特种用水定额管理，严格执行非居民用水超定额累进加价政策。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6.本区</w:t>
      </w:r>
      <w:r>
        <w:rPr>
          <w:rFonts w:hint="eastAsia" w:ascii="仿宋_GB2312" w:hAnsi="仿宋_GB2312" w:eastAsia="仿宋_GB2312" w:cs="仿宋_GB2312"/>
          <w:color w:val="auto"/>
          <w:sz w:val="32"/>
          <w:szCs w:val="32"/>
          <w:highlight w:val="none"/>
          <w:lang w:val="en-US" w:eastAsia="zh-CN"/>
        </w:rPr>
        <w:t>各相关部门要继续加强对供排水企业的成本规制，加强调价收入监管，确保调价收入规范使用，采取有力措施督促企业降本增效。</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7.供排水企业要进一步加强经营管理，落实各项成本管控和提升服务质量措施，持续深化管网改造和精细化管理，切实降低产销差率和管网漏损率。不断完善和提高供排水抢修、服务响应速度，</w:t>
      </w:r>
      <w:r>
        <w:rPr>
          <w:rFonts w:hint="eastAsia" w:ascii="仿宋_GB2312" w:hAnsi="仿宋_GB2312" w:eastAsia="仿宋_GB2312" w:cs="仿宋_GB2312"/>
          <w:sz w:val="32"/>
          <w:szCs w:val="32"/>
          <w:lang w:val="en-US" w:eastAsia="zh-CN" w:bidi="ar-SA"/>
        </w:rPr>
        <w:t>继续保持水质安全、服务质量和管理效率水平。</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本方案自</w:t>
      </w:r>
      <w:r>
        <w:rPr>
          <w:rFonts w:hint="eastAsia" w:ascii="仿宋_GB2312" w:hAnsi="仿宋_GB2312" w:eastAsia="仿宋_GB2312" w:cs="仿宋_GB2312"/>
          <w:sz w:val="32"/>
          <w:szCs w:val="32"/>
          <w:highlight w:val="none"/>
          <w:lang w:val="en-US" w:eastAsia="zh-CN" w:bidi="ar-SA"/>
        </w:rPr>
        <w:t>2023年11月1日</w:t>
      </w:r>
      <w:r>
        <w:rPr>
          <w:rFonts w:hint="eastAsia" w:ascii="仿宋_GB2312" w:hAnsi="仿宋_GB2312" w:eastAsia="仿宋_GB2312" w:cs="仿宋_GB2312"/>
          <w:sz w:val="32"/>
          <w:szCs w:val="32"/>
          <w:lang w:val="en-US" w:eastAsia="zh-CN" w:bidi="ar-SA"/>
        </w:rPr>
        <w:t>起实施。请你局抓紧组织和督促本区供排水企业等有关单位落实好非居民用户水价调整及各项配套措施，做好相关政策解释和服务工作，妥善处理好实施中的有关问题，确保调价方案平稳实施。</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bidi="ar-SA"/>
        </w:rPr>
        <w:t>特此复函</w:t>
      </w:r>
      <w:r>
        <w:rPr>
          <w:rFonts w:hint="eastAsia" w:ascii="仿宋_GB2312" w:hAnsi="仿宋_GB2312" w:eastAsia="仿宋_GB2312" w:cs="仿宋_GB2312"/>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pacing w:line="560" w:lineRule="exact"/>
        <w:ind w:firstLine="4160" w:firstLineChars="1300"/>
        <w:jc w:val="both"/>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ind w:firstLine="4160" w:firstLineChars="13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上海市崇明区发展和改革委员会</w:t>
      </w:r>
    </w:p>
    <w:p>
      <w:pPr>
        <w:pStyle w:val="2"/>
        <w:keepNext w:val="0"/>
        <w:keepLines w:val="0"/>
        <w:pageBreakBefore w:val="0"/>
        <w:widowControl w:val="0"/>
        <w:kinsoku/>
        <w:wordWrap/>
        <w:overflowPunct/>
        <w:topLinePunct w:val="0"/>
        <w:autoSpaceDE/>
        <w:autoSpaceDN/>
        <w:bidi w:val="0"/>
        <w:adjustRightInd/>
        <w:spacing w:line="560" w:lineRule="exact"/>
        <w:ind w:firstLine="5440" w:firstLineChars="17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2023年9月19日</w:t>
      </w:r>
    </w:p>
    <w:p/>
    <w:p/>
    <w:p/>
    <w:p/>
    <w:p/>
    <w:p/>
    <w:p/>
    <w:p/>
    <w:p/>
    <w:p/>
    <w:p/>
    <w:p/>
    <w:p/>
    <w:p/>
    <w:p/>
    <w:p>
      <w:bookmarkStart w:id="0" w:name="_GoBack"/>
      <w:bookmarkEnd w:id="0"/>
    </w:p>
    <w:p/>
    <w:p>
      <w:pPr>
        <w:keepNext w:val="0"/>
        <w:keepLines w:val="0"/>
        <w:pageBreakBefore w:val="0"/>
        <w:widowControl w:val="0"/>
        <w:kinsoku/>
        <w:wordWrap/>
        <w:overflowPunct/>
        <w:topLinePunct w:val="0"/>
        <w:autoSpaceDE/>
        <w:autoSpaceDN/>
        <w:bidi w:val="0"/>
        <w:adjustRightInd/>
        <w:snapToGrid/>
        <w:spacing w:line="400" w:lineRule="exact"/>
        <w:ind w:left="0" w:hanging="840" w:hangingChars="3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eastAsia="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29210</wp:posOffset>
                </wp:positionV>
                <wp:extent cx="5715000" cy="0"/>
                <wp:effectExtent l="0" t="9525" r="0" b="1587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pt;margin-top:2.3pt;height:0pt;width:450pt;z-index:251664384;mso-width-relative:page;mso-height-relative:page;" filled="f" stroked="t" coordsize="21600,21600" o:gfxdata="UEsDBAoAAAAAAIdO4kAAAAAAAAAAAAAAAAAEAAAAZHJzL1BLAwQUAAAACACHTuJAw9g6NtMAAAAG&#10;AQAADwAAAGRycy9kb3ducmV2LnhtbE2OwU7DMBBE70j8g7WVuLVOUKjcEKcSlbj0RqgKx21skqjx&#10;OordtPl7Fi5w29GM3r5ie3O9mOwYOk8a0lUCwlLtTUeNhsP761KBCBHJYO/JaphtgG15f1dgbvyV&#10;3uxUxUYwhEKOGtoYh1zKULfWYVj5wRJ3X350GDmOjTQjXhnuevmYJGvpsCP+0OJgd62tz9XFMeXp&#10;Q73sUR3mua8+N9nuuJ/Iaf2wSJNnENHe4t8YfvRZHUp2OvkLmSB6Dcs046WGbA2Ca7VRfJx+sywL&#10;+V+//AZQSwMEFAAAAAgAh07iQEWF2dDzAQAA5QMAAA4AAABkcnMvZTJvRG9jLnhtbK1TS44TMRDd&#10;I3EHy3vSnUjh00pnFhOGDYJIwAEqtrvbkn9yOb9LcAEkdrBiyZ7bMByDsjuTgWGTBb1wl13lV/Ve&#10;lRdXB2vYTkXU3rV8Oqk5U054qV3f8g/vb5485wwTOAnGO9Xyo0J+tXz8aLEPjZr5wRupIiMQh80+&#10;tHxIKTRVhWJQFnDig3Lk7Hy0kGgb+0pG2BO6NdWsrp9Wex9liF4oRDpdjU5+QoyXAPqu00KtvNha&#10;5dKIGpWBRJRw0AH5slTbdUqkt12HKjHTcmKaykpJyN7ktVouoOkjhEGLUwlwSQkPOFnQjpKeoVaQ&#10;gG2j/gfKahE9+i5NhLfVSKQoQiym9QNt3g0QVOFCUmM4i47/D1a82a0j07LlM84cWGr47afvPz9+&#10;+fXjM623376yWRZpH7Ch2Gu3jqcdhnXMjA9dtPlPXNihCHs8C6sOiQk6nD+bzuuaNBd3vur+YoiY&#10;XilvWTZabrTLnKGB3WtMlIxC70LysXFsT3P7op5nPKAJ7KjzZNpALND15TJ6o+WNNiZfwdhvrk1k&#10;O8hTUL7MiYD/CstZVoDDGFdc43wMCuRLJ1k6BtLH0bPguQarJGdG0SvKFgFCk0CbSyIptXFUQZZ1&#10;FDJbGy+P1I1tiLofSIppqTJ7qPul3tOk5vH6c1+Q7l/n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D2Do20wAAAAYBAAAPAAAAAAAAAAEAIAAAACIAAABkcnMvZG93bnJldi54bWxQSwECFAAUAAAA&#10;CACHTuJARYXZ0PMBAADlAwAADgAAAAAAAAABACAAAAAiAQAAZHJzL2Uyb0RvYy54bWxQSwUGAAAA&#10;AAYABgBZAQAAhwUAAAAA&#10;">
                <v:fill on="f" focussize="0,0"/>
                <v:stroke weight="1.5pt" color="#000000" joinstyle="round"/>
                <v:imagedata o:title=""/>
                <o:lock v:ext="edit" aspectratio="f"/>
              </v:line>
            </w:pict>
          </mc:Fallback>
        </mc:AlternateContent>
      </w:r>
      <w:r>
        <w:rPr>
          <w:rFonts w:hint="eastAsia" w:ascii="仿宋_GB2312" w:eastAsia="仿宋_GB2312"/>
          <w:sz w:val="28"/>
          <w:szCs w:val="28"/>
          <w:lang w:val="en-US" w:eastAsia="zh-CN"/>
        </w:rPr>
        <w:t>抄送：市发展改革委，区政府办公室，区财政局，区住房保障房屋管理局，区建设管理委，区生态环境局，区经委，区国资委，区统计局，区市场监管局，各乡镇人民政府，生态城建集团，市北宝山自来水有限公司。</w:t>
      </w:r>
    </w:p>
    <w:p>
      <w:pPr>
        <w:spacing w:line="400" w:lineRule="exact"/>
        <w:ind w:left="1121" w:leftChars="134" w:hanging="840" w:hangingChars="300"/>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263525</wp:posOffset>
                </wp:positionV>
                <wp:extent cx="5715000" cy="0"/>
                <wp:effectExtent l="0" t="9525" r="0" b="15875"/>
                <wp:wrapNone/>
                <wp:docPr id="7" name="直接连接符 7"/>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pt;margin-top:20.75pt;height:0pt;width:450pt;z-index:251663360;mso-width-relative:page;mso-height-relative:page;" filled="f" stroked="t" coordsize="21600,21600" o:gfxdata="UEsDBAoAAAAAAIdO4kAAAAAAAAAAAAAAAAAEAAAAZHJzL1BLAwQUAAAACACHTuJALLXSNNIAAAAG&#10;AQAADwAAAGRycy9kb3ducmV2LnhtbE2OwU7DMBBE70j8g7VI3KidqkVpiFOJSlx6I1SF4zY2SYS9&#10;jmI3bf6eRRzguDOjt6/cXr0Tkx1jH0hDtlAgLDXB9NRqOLy9POQgYkIy6AJZDbONsK1ub0osTLjQ&#10;q53q1AqGUCxQQ5fSUEgZm856jIswWOLuM4weE59jK82IF4Z7J5dKPUqPPfGHDge762zzVZ89U9bv&#10;+fMe88M8u/pjs9od9xN5re/vMvUEItlr+hvDjz6rQ8VOp3AmE4XTsOSdhlW2BsHtRikOTr+BrEr5&#10;X7/6BlBLAwQUAAAACACHTuJA+dUAyvUBAADlAwAADgAAAGRycy9lMm9Eb2MueG1srVPNjtMwEL4j&#10;8Q6W7zTpSqUQNd3DluWCoBLwAFPHSSz5Tx63aV+CF0DiBieO3Hkbdh+DsdPtwu6lh83BGXvG38z3&#10;zXhxuTea7WRA5WzNp5OSM2mFa5Ttav750/WLV5xhBNuAdlbW/CCRXy6fP1sMvpIXrne6kYERiMVq&#10;8DXvY/RVUaDopQGcOC8tOVsXDETahq5oAgyEbnRxUZYvi8GFxgcnJCKdrkYnPyKGcwBd2yohV05s&#10;jbRxRA1SQyRK2CuPfJmrbVsp4oe2RRmZrjkxjXmlJGRv0losF1B1AXyvxLEEOKeEB5wMKEtJT1Ar&#10;iMC2QT2CMkoEh66NE+FMMRLJihCLaflAm489eJm5kNToT6Lj08GK97t1YKqp+ZwzC4YafvP1158v&#10;329/f6P15ucPNk8iDR4rir2y63DcoV+HxHjfBpP+xIXts7CHk7ByH5mgw9l8OitL0lzc+Yr7iz5g&#10;fCudYcmouVY2cYYKdu8wUjIKvQtJx9qygeb2dTlLeEAT2FLnyTSeWKDt8mV0WjXXSut0BUO3udKB&#10;7SBNQf4SJwL+LyxlWQH2Y1x2jfPRS2je2IbFgyd9LD0LnmowsuFMS3pFySJAqCIofU4kpdaWKkiy&#10;jkIma+OaA3Vj64PqepJimqtMHup+rvc4qWm8/t1npPvXufw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LXSNNIAAAAGAQAADwAAAAAAAAABACAAAAAiAAAAZHJzL2Rvd25yZXYueG1sUEsBAhQAFAAA&#10;AAgAh07iQPnVAMr1AQAA5QMAAA4AAAAAAAAAAQAgAAAAIQEAAGRycy9lMm9Eb2MueG1sUEsFBgAA&#10;AAAGAAYAWQEAAIgFAAAAAA==&#10;">
                <v:fill on="f" focussize="0,0"/>
                <v:stroke weight="1.5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150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1500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50pt;z-index:251661312;mso-width-relative:page;mso-height-relative:page;" filled="f" stroked="t" coordsize="21600,21600" o:gfxdata="UEsDBAoAAAAAAIdO4kAAAAAAAAAAAAAAAAAEAAAAZHJzL1BLAwQUAAAACACHTuJAcwWowc4AAAAC&#10;AQAADwAAAGRycy9kb3ducmV2LnhtbE2PwUrEMBCG74LvEEbw5iYVKlqb7kGoePHgKp6zzdgWk0lJ&#10;ZpvVpzfrRS8DH//wzzft9uidWDGmOZCGaqNAIA3BzjRqeHvtr25BJDZkjQuEGr4wwbY7P2tNY0Om&#10;F1x3PIpSQqkxGibmpZEyDRN6kzZhQSrZR4jecME4ShtNLuXeyWulbqQ3M5ULk1nwYcLhc3fwGqji&#10;d5cz5zV+1491VfdP6rnX+vKiUvcgGI/8twwn/aIOXXHahwPZJJyG8gj/zpLdKVVwf0LZtfK/evcD&#10;UEsDBBQAAAAIAIdO4kDyUzJ79AEAAOQDAAAOAAAAZHJzL2Uyb0RvYy54bWytU82O0zAQviPxDpbv&#10;NOmiFhQ13cOW5YKgEvAAU8dJLPlPHrdpX4IXQOIGJ47ceRt2H4Ox0+3C7qWHzcEZe8bfzPfNeHG5&#10;N5rtZEDlbM2nk5IzaYVrlO1q/vnT9YvXnGEE24B2Vtb8IJFfLp8/Wwy+kheud7qRgRGIxWrwNe9j&#10;9FVRoOilAZw4Ly05WxcMRNqGrmgCDIRudHFRlvNicKHxwQmJSKer0cmPiOEcQNe2SsiVE1sjbRxR&#10;g9QQiRL2yiNf5mrbVor4oW1RRqZrTkxjXikJ2Zu0FssFVF0A3ytxLAHOKeEBJwPKUtIT1AoisG1Q&#10;j6CMEsGha+NEOFOMRLIixGJaPtDmYw9eZi4kNfqT6Ph0sOL9bh2Yamo+58yCoYbffP3158v329/f&#10;aL35+YPNk0iDx4pir+w6HHfo1yEx3rfBpD9xYfss7OEkrNxHJuhw9mo6K0vSXNz5ivuLPmB8K51h&#10;yai5VjZxhgp27zBSMgq9C0nH2rKBqn05S3BAA9hS48k0nkig7fJddFo110rrdANDt7nSge0gDUH+&#10;EiXC/S8sJVkB9mNcdo3j0Uto3tiGxYMneSy9Cp5KMLLhTEt6RMkiQKgiKH1OJKXWlipIqo46Jmvj&#10;mgM1Y+uD6npSYpqrTB5qfq73OKhpuv7dZ6T7x7n8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MF&#10;qMHOAAAAAgEAAA8AAAAAAAAAAQAgAAAAIgAAAGRycy9kb3ducmV2LnhtbFBLAQIUABQAAAAIAIdO&#10;4kDyUzJ79AEAAOQDAAAOAAAAAAAAAAEAIAAAAB0BAABkcnMvZTJvRG9jLnhtbFBLBQYAAAAABgAG&#10;AFkBAACDBQAAAAA=&#10;">
                <v:fill on="f" focussize="0,0"/>
                <v:stroke weight="0.5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7150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50pt;z-index:251662336;mso-width-relative:page;mso-height-relative:page;" filled="f" stroked="t" coordsize="21600,21600" o:gfxdata="UEsDBAoAAAAAAIdO4kAAAAAAAAAAAAAAAAAEAAAAZHJzL1BLAwQUAAAACACHTuJAKofTdNAAAAAC&#10;AQAADwAAAGRycy9kb3ducmV2LnhtbE2PTU/DMAyG70j7D5EncZm2ZENC0DXdYaM3Lowhrl5j2orG&#10;6ZrsA349Hhe4WHr0Wq8f56uL79SJhtgGtjCfGVDEVXAt1xZ2r+X0AVRMyA67wGThiyKsitFNjpkL&#10;Z36h0zbVSko4ZmihSanPtI5VQx7jLPTEkn2EwWMSHGrtBjxLue/0wph77bFludBgT+uGqs/t0VuI&#10;5Rsdyu9JNTHvd3WgxWHz/ITW3o7nZgkq0SX9LcNVX9ShEKd9OLKLqrMgj6TfKdmjMYL7K+oi1//V&#10;ix9QSwMEFAAAAAgAh07iQOta7IT0AQAA5AMAAA4AAABkcnMvZTJvRG9jLnhtbK1TzY7TMBC+I/EO&#10;lu80aaXwEzXdw5blgqAS8ABTx0ks+U8et2lfghdA4gYnjtx5G5bHYOx0u7BceiAHZ+wZfzPfN+Pl&#10;1cFotpcBlbMNn89KzqQVrlW2b/iH9zdPnnOGEWwL2lnZ8KNEfrV6/Gg5+lou3OB0KwMjEIv16Bs+&#10;xOjrokAxSAM4c15acnYuGIi0DX3RBhgJ3ehiUZZPi9GF1gcnJCKdricnPyGGSwBd1ykh107sjLRx&#10;Qg1SQyRKOCiPfJWr7Top4tuuQxmZbjgxjXmlJGRv01qsllD3AfygxKkEuKSEB5wMKEtJz1BriMB2&#10;Qf0DZZQIDl0XZ8KZYiKSFSEW8/KBNu8G8DJzIanRn0XH/wcr3uw3gam24RVnFgw1/PbT958fv/z6&#10;8ZnW229fWZVEGj3WFHttN+G0Q78JifGhCyb9iQs7ZGGPZ2HlITJBh9WzeVWWpLm48xX3F33A+Eo6&#10;w5LRcK1s4gw17F9jpGQUeheSjrVlY8NfVAsqWAANYEeNJ9N4IoG2z3fRadXeKK3TDQz99loHtoc0&#10;BPlLlAj3r7CUZA04THHZNY3HIKF9aVsWj57ksfQqeCrByJYzLekRJYsAoY6g9CWRlFpbqiCpOumY&#10;rK1rj9SMnQ+qH0iJea4yeaj5ud7ToKbp+nOfke4f5+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ofTdNAAAAACAQAADwAAAAAAAAABACAAAAAiAAAAZHJzL2Rvd25yZXYueG1sUEsBAhQAFAAAAAgA&#10;h07iQOta7IT0AQAA5AMAAA4AAAAAAAAAAQAgAAAAHwEAAGRycy9lMm9Eb2MueG1sUEsFBgAAAAAG&#10;AAYAWQEAAIUFAAAAAA==&#10;">
                <v:fill on="f" focussize="0,0"/>
                <v:stroke color="#000000" joinstyle="round"/>
                <v:imagedata o:title=""/>
                <o:lock v:ext="edit" aspectratio="f"/>
              </v:line>
            </w:pict>
          </mc:Fallback>
        </mc:AlternateContent>
      </w:r>
      <w:r>
        <w:rPr>
          <w:rFonts w:hint="eastAsia" w:ascii="仿宋_GB2312" w:eastAsia="仿宋_GB2312"/>
          <w:sz w:val="28"/>
          <w:szCs w:val="28"/>
        </w:rPr>
        <w:t>上海市崇明区发展和改革委员会办公室       2</w:t>
      </w:r>
      <w:r>
        <w:rPr>
          <w:rFonts w:hint="eastAsia" w:ascii="仿宋_GB2312" w:eastAsia="仿宋_GB2312"/>
          <w:sz w:val="28"/>
          <w:szCs w:val="28"/>
          <w:lang w:val="en-US" w:eastAsia="zh-CN"/>
        </w:rPr>
        <w:t>023</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20</w:t>
      </w:r>
      <w:r>
        <w:rPr>
          <w:rFonts w:hint="eastAsia" w:ascii="仿宋_GB2312" w:eastAsia="仿宋_GB2312"/>
          <w:sz w:val="28"/>
          <w:szCs w:val="28"/>
        </w:rPr>
        <w:t>日印发</w:t>
      </w: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NmUyN2M1NDExYWQ2NTIwYWUyZTMzYWRkNjUxZDMifQ=="/>
  </w:docVars>
  <w:rsids>
    <w:rsidRoot w:val="35DA4632"/>
    <w:rsid w:val="0C7E07F7"/>
    <w:rsid w:val="35DA4632"/>
    <w:rsid w:val="452B74A9"/>
    <w:rsid w:val="4FEC0032"/>
    <w:rsid w:val="61D4389A"/>
    <w:rsid w:val="6A274640"/>
    <w:rsid w:val="70143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2023-09-19T06:39:00Z</dcterms:created>
  <dc:creator>零食行人</dc:creator>
  <cp:lastModifiedBy>零食行人</cp:lastModifiedBy>
  <dcterms:modified xsi:type="dcterms:W3CDTF">2023-09-20T06:25:03Z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9C6C12ECCE534F2C8C584DEB42CA7721_13</vt:lpwstr>
  </property>
</Properties>
</file>