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_GB2312" w:hAnsi="Times New Roman" w:eastAsia="宋体" w:cs="Times New Roman"/>
          <w:b/>
          <w:color w:val="FF0000"/>
          <w:w w:val="90"/>
        </w:rPr>
      </w:pPr>
    </w:p>
    <w:p>
      <w:pPr>
        <w:pStyle w:val="6"/>
        <w:rPr>
          <w:rFonts w:hint="eastAsia"/>
        </w:rPr>
      </w:pPr>
    </w:p>
    <w:p>
      <w:pPr>
        <w:keepNext w:val="0"/>
        <w:keepLines w:val="0"/>
        <w:pageBreakBefore w:val="0"/>
        <w:kinsoku/>
        <w:wordWrap/>
        <w:overflowPunct/>
        <w:topLinePunct w:val="0"/>
        <w:autoSpaceDE/>
        <w:autoSpaceDN/>
        <w:bidi w:val="0"/>
        <w:adjustRightInd/>
        <w:snapToGrid/>
        <w:spacing w:line="600" w:lineRule="exact"/>
        <w:ind w:left="0" w:leftChars="0" w:firstLine="0" w:firstLineChars="0"/>
        <w:jc w:val="center"/>
        <w:textAlignment w:val="auto"/>
        <w:rPr>
          <w:rFonts w:hint="eastAsia" w:ascii="方正小标宋简体" w:eastAsia="方正小标宋简体"/>
          <w:color w:val="FF0000"/>
          <w:spacing w:val="0"/>
          <w:sz w:val="60"/>
          <w:szCs w:val="60"/>
        </w:rPr>
      </w:pPr>
      <w:r>
        <w:rPr>
          <w:rFonts w:hint="eastAsia" w:ascii="方正小标宋简体" w:eastAsia="方正小标宋简体"/>
          <w:b/>
          <w:bCs/>
          <w:color w:val="FF0000"/>
          <w:spacing w:val="-20"/>
          <w:sz w:val="60"/>
          <w:szCs w:val="60"/>
        </w:rPr>
        <w:t>上海市崇明区安全生产委员会文件</w:t>
      </w: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_GB2312" w:eastAsia="宋体"/>
          <w:b/>
          <w:color w:val="FF0000"/>
          <w:w w:val="90"/>
        </w:rPr>
      </w:pPr>
    </w:p>
    <w:p>
      <w:pPr>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_GB2312" w:eastAsia="宋体"/>
          <w:b/>
          <w:color w:val="FF0000"/>
          <w:w w:val="90"/>
        </w:rPr>
      </w:pPr>
    </w:p>
    <w:p>
      <w:pPr>
        <w:keepNext w:val="0"/>
        <w:keepLines w:val="0"/>
        <w:pageBreakBefore w:val="0"/>
        <w:widowControl/>
        <w:kinsoku/>
        <w:wordWrap/>
        <w:overflowPunct/>
        <w:topLinePunct w:val="0"/>
        <w:autoSpaceDE/>
        <w:autoSpaceDN/>
        <w:bidi w:val="0"/>
        <w:adjustRightInd/>
        <w:snapToGrid/>
        <w:spacing w:line="560" w:lineRule="exact"/>
        <w:ind w:firstLine="0" w:firstLineChars="0"/>
        <w:jc w:val="center"/>
        <w:textAlignment w:val="auto"/>
        <w:outlineLvl w:val="9"/>
        <w:rPr>
          <w:rFonts w:hint="eastAsia" w:ascii="仿宋_GB2312" w:hAnsi="Times" w:eastAsia="仿宋_GB2312"/>
          <w:kern w:val="2"/>
          <w:sz w:val="32"/>
          <w:szCs w:val="32"/>
        </w:rPr>
      </w:pPr>
      <w:r>
        <w:rPr>
          <w:rFonts w:hint="eastAsia" w:ascii="仿宋_GB2312" w:hAnsi="Times" w:eastAsia="仿宋_GB2312"/>
          <w:kern w:val="2"/>
          <w:sz w:val="32"/>
          <w:szCs w:val="32"/>
        </w:rPr>
        <w:t>沪崇安委会〔</w:t>
      </w:r>
      <w:r>
        <w:rPr>
          <w:rFonts w:hint="eastAsia" w:ascii="仿宋_GB2312" w:hAnsi="Times" w:eastAsia="仿宋_GB2312"/>
          <w:kern w:val="2"/>
          <w:sz w:val="32"/>
          <w:szCs w:val="32"/>
          <w:lang w:val="en-US" w:eastAsia="zh-CN"/>
        </w:rPr>
        <w:t>2021</w:t>
      </w:r>
      <w:r>
        <w:rPr>
          <w:rFonts w:hint="eastAsia" w:ascii="仿宋_GB2312" w:hAnsi="Times" w:eastAsia="仿宋_GB2312"/>
          <w:kern w:val="2"/>
          <w:sz w:val="32"/>
          <w:szCs w:val="32"/>
        </w:rPr>
        <w:t>〕</w:t>
      </w:r>
      <w:r>
        <w:rPr>
          <w:rFonts w:hint="eastAsia" w:ascii="仿宋_GB2312" w:hAnsi="Times" w:eastAsia="仿宋_GB2312"/>
          <w:kern w:val="2"/>
          <w:sz w:val="32"/>
          <w:szCs w:val="32"/>
          <w:lang w:val="en-US" w:eastAsia="zh-CN"/>
        </w:rPr>
        <w:t>8</w:t>
      </w:r>
      <w:r>
        <w:rPr>
          <w:rFonts w:hint="eastAsia" w:ascii="仿宋_GB2312" w:hAnsi="Times" w:eastAsia="仿宋_GB2312"/>
          <w:kern w:val="2"/>
          <w:sz w:val="32"/>
          <w:szCs w:val="32"/>
        </w:rPr>
        <w:t>号</w:t>
      </w:r>
    </w:p>
    <w:p>
      <w:pPr>
        <w:keepNext w:val="0"/>
        <w:keepLines w:val="0"/>
        <w:pageBreakBefore w:val="0"/>
        <w:kinsoku/>
        <w:wordWrap/>
        <w:overflowPunct/>
        <w:topLinePunct w:val="0"/>
        <w:autoSpaceDE/>
        <w:autoSpaceDN/>
        <w:bidi w:val="0"/>
        <w:adjustRightInd/>
        <w:snapToGrid/>
        <w:spacing w:after="156" w:line="560" w:lineRule="exact"/>
        <w:jc w:val="center"/>
        <w:textAlignment w:val="auto"/>
        <w:rPr>
          <w:rFonts w:ascii="方正小标宋简体" w:hAnsi="方正小标宋简体" w:eastAsia="方正小标宋简体" w:cs="方正小标宋简体"/>
          <w:sz w:val="44"/>
          <w:szCs w:val="44"/>
        </w:rPr>
      </w:pPr>
      <w:r>
        <w:rPr>
          <w:rFonts w:hint="eastAsia" w:ascii="方正大标宋简体" w:eastAsia="方正大标宋简体"/>
          <w:color w:val="FF0000"/>
          <w:spacing w:val="4"/>
          <w:sz w:val="52"/>
          <w:u w:val="single"/>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74295</wp:posOffset>
                </wp:positionV>
                <wp:extent cx="5715000" cy="0"/>
                <wp:effectExtent l="0" t="9525" r="0" b="9525"/>
                <wp:wrapNone/>
                <wp:docPr id="3" name="直接连接符 3"/>
                <wp:cNvGraphicFramePr/>
                <a:graphic xmlns:a="http://schemas.openxmlformats.org/drawingml/2006/main">
                  <a:graphicData uri="http://schemas.microsoft.com/office/word/2010/wordprocessingShape">
                    <wps:wsp>
                      <wps:cNvCnPr/>
                      <wps:spPr>
                        <a:xfrm>
                          <a:off x="0" y="0"/>
                          <a:ext cx="5715000" cy="0"/>
                        </a:xfrm>
                        <a:prstGeom prst="line">
                          <a:avLst/>
                        </a:prstGeom>
                        <a:ln w="19050" cap="flat" cmpd="sng">
                          <a:solidFill>
                            <a:srgbClr val="FF0000"/>
                          </a:solidFill>
                          <a:prstDash val="solid"/>
                          <a:headEnd type="none" w="med" len="med"/>
                          <a:tailEnd type="none" w="med" len="med"/>
                        </a:ln>
                        <a:effectLst/>
                      </wps:spPr>
                      <wps:bodyPr upright="1"/>
                    </wps:wsp>
                  </a:graphicData>
                </a:graphic>
              </wp:anchor>
            </w:drawing>
          </mc:Choice>
          <mc:Fallback>
            <w:pict>
              <v:line id="_x0000_s1026" o:spid="_x0000_s1026" o:spt="20" style="position:absolute;left:0pt;margin-left:0pt;margin-top:5.85pt;height:0pt;width:450pt;z-index:251659264;mso-width-relative:page;mso-height-relative:page;" filled="f" stroked="t" coordsize="21600,21600" o:gfxdata="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">
                <v:fill on="f" focussize="0,0"/>
                <v:stroke weight="1.5pt" color="#FF0000" joinstyle="round"/>
                <v:imagedata o:title=""/>
                <o:lock v:ext="edit" aspectratio="f"/>
              </v:line>
            </w:pict>
          </mc:Fallback>
        </mc:AlternateContent>
      </w:r>
    </w:p>
    <w:p>
      <w:pPr>
        <w:pStyle w:val="12"/>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color w:val="auto"/>
          <w:sz w:val="44"/>
          <w:szCs w:val="44"/>
          <w:lang w:val="en-US" w:eastAsia="zh-CN"/>
        </w:rPr>
        <w:t>上海市崇明区安全生产委员会关于印发《</w:t>
      </w:r>
      <w:r>
        <w:rPr>
          <w:rFonts w:hint="eastAsia" w:ascii="方正小标宋简体" w:hAnsi="方正小标宋简体" w:eastAsia="方正小标宋简体" w:cs="方正小标宋简体"/>
          <w:sz w:val="44"/>
          <w:szCs w:val="44"/>
        </w:rPr>
        <w:t>崇明区消防事业发展“十四五”规划</w:t>
      </w:r>
      <w:r>
        <w:rPr>
          <w:rFonts w:hint="eastAsia" w:ascii="方正小标宋简体" w:hAnsi="方正小标宋简体" w:eastAsia="方正小标宋简体" w:cs="方正小标宋简体"/>
          <w:color w:val="auto"/>
          <w:sz w:val="44"/>
          <w:szCs w:val="44"/>
          <w:lang w:val="en-US" w:eastAsia="zh-CN"/>
        </w:rPr>
        <w:t>》的通知</w:t>
      </w:r>
    </w:p>
    <w:p>
      <w:pPr>
        <w:pStyle w:val="12"/>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方正小标宋简体" w:hAnsi="方正小标宋简体" w:eastAsia="方正小标宋简体" w:cs="方正小标宋简体"/>
          <w:sz w:val="44"/>
          <w:szCs w:val="44"/>
        </w:rPr>
      </w:pPr>
    </w:p>
    <w:p>
      <w:pPr>
        <w:pStyle w:val="2"/>
        <w:keepNext w:val="0"/>
        <w:keepLines w:val="0"/>
        <w:pageBreakBefore w:val="0"/>
        <w:widowControl w:val="0"/>
        <w:kinsoku/>
        <w:wordWrap/>
        <w:overflowPunct/>
        <w:topLinePunct w:val="0"/>
        <w:autoSpaceDE w:val="0"/>
        <w:autoSpaceDN w:val="0"/>
        <w:bidi w:val="0"/>
        <w:adjustRightInd w:val="0"/>
        <w:snapToGrid/>
        <w:spacing w:line="580" w:lineRule="exact"/>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各乡镇人民政府、区安委会各成员单位、区消防委员会各成员单位、区直属单位：</w:t>
      </w:r>
    </w:p>
    <w:p>
      <w:pPr>
        <w:pStyle w:val="12"/>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《崇明区</w:t>
      </w:r>
      <w:r>
        <w:rPr>
          <w:rFonts w:hint="eastAsia" w:ascii="仿宋_GB2312" w:hAnsi="仿宋_GB2312" w:eastAsia="仿宋_GB2312" w:cs="仿宋_GB2312"/>
          <w:color w:val="auto"/>
          <w:kern w:val="0"/>
          <w:sz w:val="32"/>
          <w:szCs w:val="32"/>
          <w:lang w:val="en-US" w:eastAsia="zh-CN" w:bidi="ar-SA"/>
        </w:rPr>
        <w:t>消防事业发展“十四五”规划</w:t>
      </w:r>
      <w:r>
        <w:rPr>
          <w:rFonts w:hint="eastAsia" w:ascii="仿宋_GB2312" w:hAnsi="仿宋_GB2312" w:eastAsia="仿宋_GB2312" w:cs="仿宋_GB2312"/>
          <w:color w:val="auto"/>
          <w:sz w:val="32"/>
          <w:szCs w:val="32"/>
          <w:lang w:val="en-US" w:eastAsia="zh-CN"/>
        </w:rPr>
        <w:t>》已经区政府同意，现印发给你们，请认真贯彻落实。</w:t>
      </w:r>
    </w:p>
    <w:p>
      <w:pPr>
        <w:pStyle w:val="2"/>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outlineLvl w:val="9"/>
        <w:rPr>
          <w:rFonts w:hint="eastAsia" w:ascii="仿宋_GB2312" w:hAnsi="仿宋_GB2312" w:eastAsia="仿宋_GB2312" w:cs="仿宋_GB2312"/>
          <w:color w:val="auto"/>
          <w:sz w:val="32"/>
          <w:szCs w:val="32"/>
          <w:lang w:val="en-US" w:eastAsia="zh-CN"/>
        </w:rPr>
      </w:pPr>
    </w:p>
    <w:p>
      <w:pPr>
        <w:pStyle w:val="2"/>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textAlignment w:val="auto"/>
        <w:outlineLvl w:val="9"/>
        <w:rPr>
          <w:rFonts w:hint="eastAsia" w:ascii="仿宋_GB2312" w:hAnsi="仿宋_GB2312" w:eastAsia="仿宋_GB2312" w:cs="仿宋_GB2312"/>
          <w:color w:val="auto"/>
          <w:sz w:val="32"/>
          <w:szCs w:val="32"/>
          <w:lang w:val="en-US" w:eastAsia="zh-CN"/>
        </w:rPr>
      </w:pPr>
    </w:p>
    <w:p>
      <w:pPr>
        <w:pStyle w:val="2"/>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right"/>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上海市崇明区安全生产委员会</w:t>
      </w:r>
    </w:p>
    <w:p>
      <w:pPr>
        <w:pStyle w:val="2"/>
        <w:keepNext w:val="0"/>
        <w:keepLines w:val="0"/>
        <w:pageBreakBefore w:val="0"/>
        <w:widowControl w:val="0"/>
        <w:kinsoku/>
        <w:wordWrap/>
        <w:overflowPunct/>
        <w:topLinePunct w:val="0"/>
        <w:autoSpaceDE w:val="0"/>
        <w:autoSpaceDN w:val="0"/>
        <w:bidi w:val="0"/>
        <w:adjustRightInd w:val="0"/>
        <w:snapToGrid/>
        <w:spacing w:line="580" w:lineRule="exact"/>
        <w:ind w:firstLine="640" w:firstLineChars="200"/>
        <w:jc w:val="center"/>
        <w:textAlignment w:val="auto"/>
        <w:outlineLvl w:val="9"/>
        <w:rPr>
          <w:rFonts w:hint="default"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 xml:space="preserve">                          2021年12月8日</w:t>
      </w:r>
    </w:p>
    <w:p>
      <w:pPr>
        <w:pStyle w:val="12"/>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方正小标宋简体" w:hAnsi="方正小标宋简体" w:eastAsia="方正小标宋简体" w:cs="方正小标宋简体"/>
          <w:sz w:val="44"/>
          <w:szCs w:val="44"/>
        </w:rPr>
      </w:pPr>
    </w:p>
    <w:p>
      <w:pPr>
        <w:pStyle w:val="12"/>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方正小标宋简体" w:hAnsi="方正小标宋简体" w:eastAsia="方正小标宋简体" w:cs="方正小标宋简体"/>
          <w:sz w:val="44"/>
          <w:szCs w:val="44"/>
        </w:rPr>
        <w:sectPr>
          <w:pgSz w:w="11906" w:h="16838"/>
          <w:pgMar w:top="2098" w:right="1474" w:bottom="1984" w:left="1587" w:header="851" w:footer="992" w:gutter="0"/>
          <w:pgNumType w:fmt="numberInDash"/>
          <w:cols w:space="425" w:num="1"/>
          <w:docGrid w:type="lines" w:linePitch="312" w:charSpace="0"/>
        </w:sectPr>
      </w:pPr>
    </w:p>
    <w:p>
      <w:pPr>
        <w:pStyle w:val="12"/>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方正小标宋简体" w:hAnsi="方正小标宋简体" w:eastAsia="方正小标宋简体" w:cs="方正小标宋简体"/>
          <w:sz w:val="44"/>
          <w:szCs w:val="44"/>
        </w:rPr>
      </w:pPr>
    </w:p>
    <w:p>
      <w:pPr>
        <w:pStyle w:val="12"/>
        <w:keepNext w:val="0"/>
        <w:keepLines w:val="0"/>
        <w:pageBreakBefore w:val="0"/>
        <w:widowControl w:val="0"/>
        <w:kinsoku/>
        <w:wordWrap/>
        <w:overflowPunct/>
        <w:topLinePunct w:val="0"/>
        <w:autoSpaceDE/>
        <w:autoSpaceDN/>
        <w:bidi w:val="0"/>
        <w:adjustRightInd/>
        <w:snapToGrid/>
        <w:spacing w:line="580" w:lineRule="exact"/>
        <w:jc w:val="center"/>
        <w:textAlignment w:val="auto"/>
        <w:outlineLvl w:val="9"/>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崇明区消防事业发展“十四五”规划</w:t>
      </w:r>
    </w:p>
    <w:p>
      <w:pPr>
        <w:pStyle w:val="12"/>
        <w:keepNext w:val="0"/>
        <w:keepLines w:val="0"/>
        <w:pageBreakBefore w:val="0"/>
        <w:widowControl w:val="0"/>
        <w:kinsoku/>
        <w:wordWrap/>
        <w:overflowPunct/>
        <w:topLinePunct w:val="0"/>
        <w:autoSpaceDE/>
        <w:autoSpaceDN/>
        <w:bidi w:val="0"/>
        <w:adjustRightInd/>
        <w:snapToGrid/>
        <w:spacing w:line="580" w:lineRule="exact"/>
        <w:ind w:firstLine="600" w:firstLineChars="200"/>
        <w:jc w:val="left"/>
        <w:textAlignment w:val="auto"/>
        <w:rPr>
          <w:rFonts w:eastAsia="仿宋_GB2312"/>
          <w:sz w:val="30"/>
          <w:szCs w:val="30"/>
        </w:rPr>
      </w:pPr>
    </w:p>
    <w:p>
      <w:pPr>
        <w:pStyle w:val="12"/>
        <w:spacing w:line="560" w:lineRule="exact"/>
        <w:ind w:firstLine="640" w:firstLineChars="200"/>
        <w:jc w:val="left"/>
        <w:rPr>
          <w:rFonts w:ascii="方正小标宋简体" w:hAnsi="方正小标宋简体" w:eastAsia="方正小标宋简体" w:cs="方正小标宋简体"/>
          <w:sz w:val="32"/>
          <w:szCs w:val="32"/>
        </w:rPr>
      </w:pPr>
      <w:r>
        <w:rPr>
          <w:rFonts w:hint="eastAsia" w:eastAsia="仿宋_GB2312"/>
          <w:sz w:val="32"/>
          <w:szCs w:val="32"/>
        </w:rPr>
        <w:t>为进一步推进崇明区“十四五”时期消防事业发展，全面提升公共消防安全管理水平，更好防范化解重大消防安全风险、应对处置各类灾害事故，保护人民生命财产安全和维护社会稳定，根据《中华人民共和国消防法》《上海市消防条例》等法律法规和《上海市消防事业发展“十四五”规划》《崇明区</w:t>
      </w:r>
      <w:r>
        <w:rPr>
          <w:rFonts w:hint="eastAsia" w:ascii="仿宋_GB2312" w:hAnsi="仿宋_GB2312" w:eastAsia="仿宋_GB2312" w:cs="仿宋_GB2312"/>
          <w:kern w:val="0"/>
          <w:sz w:val="32"/>
          <w:szCs w:val="32"/>
        </w:rPr>
        <w:t>国民经济和社会发展第十四个五年规划和二〇三五年远景目标纲要</w:t>
      </w:r>
      <w:r>
        <w:rPr>
          <w:rFonts w:hint="eastAsia" w:eastAsia="仿宋_GB2312"/>
          <w:sz w:val="32"/>
          <w:szCs w:val="32"/>
        </w:rPr>
        <w:t>》等文件，制定本规划。</w:t>
      </w:r>
    </w:p>
    <w:p>
      <w:pPr>
        <w:widowControl w:val="0"/>
        <w:spacing w:line="560" w:lineRule="exact"/>
        <w:ind w:firstLine="640" w:firstLineChars="200"/>
        <w:rPr>
          <w:rFonts w:ascii="黑体" w:hAnsi="黑体" w:eastAsia="黑体" w:cs="方正小标宋简体"/>
          <w:sz w:val="32"/>
          <w:szCs w:val="32"/>
        </w:rPr>
      </w:pPr>
      <w:bookmarkStart w:id="0" w:name="_Toc8468"/>
      <w:bookmarkStart w:id="1" w:name="_Toc13460"/>
      <w:bookmarkStart w:id="2" w:name="_Toc31317"/>
      <w:bookmarkStart w:id="3" w:name="_Toc3801"/>
      <w:bookmarkStart w:id="4" w:name="_Toc21536"/>
      <w:bookmarkStart w:id="5" w:name="_Toc13833"/>
      <w:bookmarkStart w:id="6" w:name="_Toc10744"/>
      <w:bookmarkStart w:id="7" w:name="_Toc14363"/>
      <w:r>
        <w:rPr>
          <w:rFonts w:hint="eastAsia" w:ascii="黑体" w:hAnsi="黑体" w:eastAsia="黑体" w:cs="方正小标宋简体"/>
          <w:sz w:val="32"/>
          <w:szCs w:val="32"/>
        </w:rPr>
        <w:t>一、</w:t>
      </w:r>
      <w:bookmarkEnd w:id="0"/>
      <w:bookmarkEnd w:id="1"/>
      <w:bookmarkEnd w:id="2"/>
      <w:bookmarkEnd w:id="3"/>
      <w:bookmarkEnd w:id="4"/>
      <w:bookmarkEnd w:id="5"/>
      <w:bookmarkEnd w:id="6"/>
      <w:bookmarkEnd w:id="7"/>
      <w:r>
        <w:rPr>
          <w:rFonts w:hint="eastAsia" w:ascii="黑体" w:hAnsi="黑体" w:eastAsia="黑体" w:cs="方正小标宋简体"/>
          <w:sz w:val="32"/>
          <w:szCs w:val="32"/>
        </w:rPr>
        <w:t>“十三五”期间崇明消防工作现状</w:t>
      </w:r>
    </w:p>
    <w:p>
      <w:pPr>
        <w:spacing w:line="560" w:lineRule="exact"/>
        <w:ind w:firstLine="640" w:firstLineChars="200"/>
        <w:rPr>
          <w:rFonts w:eastAsia="仿宋_GB2312"/>
          <w:sz w:val="32"/>
          <w:szCs w:val="32"/>
        </w:rPr>
      </w:pPr>
      <w:r>
        <w:rPr>
          <w:rFonts w:hint="eastAsia" w:eastAsia="仿宋_GB2312"/>
          <w:sz w:val="32"/>
          <w:szCs w:val="32"/>
        </w:rPr>
        <w:t>“十三五”期间，崇明区坚决贯彻落实党中央、国务院和上海市委市政府有关消防事业发展决策部署，以及相关法律法规要求，围绕崇明世界级生态岛建设，全面提升公共消防安全管理水平，全区“十三五”期间消防安全形势总体向好，为下一步工作奠定了基础。</w:t>
      </w:r>
    </w:p>
    <w:p>
      <w:pPr>
        <w:spacing w:line="560" w:lineRule="exact"/>
        <w:ind w:firstLine="643" w:firstLineChars="200"/>
        <w:rPr>
          <w:rFonts w:ascii="楷体_GB2312" w:hAnsi="楷体_GB2312" w:eastAsia="楷体_GB2312" w:cs="楷体_GB2312"/>
          <w:b/>
          <w:kern w:val="2"/>
          <w:sz w:val="32"/>
          <w:szCs w:val="32"/>
        </w:rPr>
      </w:pPr>
      <w:r>
        <w:rPr>
          <w:rFonts w:hint="eastAsia" w:ascii="楷体" w:hAnsi="楷体" w:eastAsia="楷体" w:cs="楷体_GB2312"/>
          <w:b/>
          <w:kern w:val="2"/>
          <w:sz w:val="32"/>
          <w:szCs w:val="32"/>
        </w:rPr>
        <w:t>消防安全责任体系持续夯实</w:t>
      </w:r>
      <w:r>
        <w:rPr>
          <w:rFonts w:hint="eastAsia" w:ascii="楷体" w:hAnsi="楷体" w:eastAsia="楷体" w:cs="仿宋_GB2312"/>
          <w:bCs/>
          <w:kern w:val="2"/>
          <w:sz w:val="32"/>
          <w:szCs w:val="32"/>
        </w:rPr>
        <w:t>。</w:t>
      </w:r>
      <w:r>
        <w:rPr>
          <w:rFonts w:hint="eastAsia" w:ascii="仿宋_GB2312" w:hAnsi="仿宋_GB2312" w:eastAsia="仿宋_GB2312" w:cs="仿宋_GB2312"/>
          <w:bCs/>
          <w:kern w:val="2"/>
          <w:sz w:val="32"/>
          <w:szCs w:val="32"/>
        </w:rPr>
        <w:t>深入宣贯落实《消防安全责任制实施办法》《上海市消防安全责任制实施办法》，制定出台《上海市崇明区消防安全责任制实施办法》。消防安全工作联席会议、联合检查、协调督办、评价考核等工作机制不断规范，社会单位消防安全标准化、户籍化管理工作稳步推进。</w:t>
      </w:r>
    </w:p>
    <w:p>
      <w:pPr>
        <w:spacing w:line="560" w:lineRule="exact"/>
        <w:ind w:firstLine="643" w:firstLineChars="200"/>
        <w:rPr>
          <w:rFonts w:ascii="仿宋_GB2312" w:hAnsi="仿宋_GB2312" w:eastAsia="仿宋_GB2312" w:cs="仿宋_GB2312"/>
          <w:bCs/>
          <w:kern w:val="2"/>
          <w:sz w:val="32"/>
          <w:szCs w:val="32"/>
        </w:rPr>
      </w:pPr>
      <w:r>
        <w:rPr>
          <w:rFonts w:hint="eastAsia" w:ascii="楷体" w:hAnsi="楷体" w:eastAsia="楷体" w:cs="楷体_GB2312"/>
          <w:b/>
          <w:kern w:val="2"/>
          <w:sz w:val="32"/>
          <w:szCs w:val="32"/>
        </w:rPr>
        <w:t>区域消防安全环境持续净化。</w:t>
      </w:r>
      <w:r>
        <w:rPr>
          <w:rFonts w:hint="eastAsia" w:ascii="仿宋_GB2312" w:hAnsi="仿宋_GB2312" w:eastAsia="仿宋_GB2312" w:cs="仿宋_GB2312"/>
          <w:bCs/>
          <w:kern w:val="2"/>
          <w:sz w:val="32"/>
          <w:szCs w:val="32"/>
        </w:rPr>
        <w:t>依托区消防委和联勤防火平台，强化联勤联动，对沿街商铺“三类场所”、物流仓储等开展全面排查，对教育培训机构、养老机构、农家乐、民宿等场所实施专项检查，对高层建筑、电动自行车进楼入户违规充电、地下空间和易燃易爆危险品场所、出租屋、小门面、小作坊进行集中检查，并积极配合乡镇政府和职能部门开展区域隐患综合整治工作。</w:t>
      </w:r>
    </w:p>
    <w:p>
      <w:pPr>
        <w:spacing w:line="560" w:lineRule="exact"/>
        <w:ind w:firstLine="643" w:firstLineChars="200"/>
        <w:rPr>
          <w:rFonts w:ascii="楷体_GB2312" w:hAnsi="楷体_GB2312" w:eastAsia="楷体_GB2312" w:cs="楷体_GB2312"/>
          <w:b/>
          <w:kern w:val="2"/>
          <w:sz w:val="32"/>
          <w:szCs w:val="32"/>
        </w:rPr>
      </w:pPr>
      <w:r>
        <w:rPr>
          <w:rFonts w:hint="eastAsia" w:ascii="楷体" w:hAnsi="楷体" w:eastAsia="楷体" w:cs="楷体_GB2312"/>
          <w:b/>
          <w:kern w:val="2"/>
          <w:sz w:val="32"/>
          <w:szCs w:val="32"/>
        </w:rPr>
        <w:t>群众消防安全意识普遍提高。</w:t>
      </w:r>
      <w:r>
        <w:rPr>
          <w:rFonts w:hint="eastAsia" w:ascii="仿宋_GB2312" w:hAnsi="仿宋_GB2312" w:eastAsia="仿宋_GB2312" w:cs="仿宋_GB2312"/>
          <w:bCs/>
          <w:kern w:val="2"/>
          <w:sz w:val="32"/>
          <w:szCs w:val="32"/>
        </w:rPr>
        <w:t>每年扎实举办消防宣传月活动，组织全区172个居民小区开展疏散演练，完成全区494个微型消防站建设和人员培训，组织消防安全网格管理人员消防业务培训500余次；深入宣贯《全民消防</w:t>
      </w:r>
      <w:bookmarkStart w:id="8" w:name="_Toc23373"/>
      <w:bookmarkStart w:id="9" w:name="_Toc22746"/>
      <w:bookmarkStart w:id="10" w:name="_Toc26102"/>
      <w:bookmarkStart w:id="11" w:name="_Toc27954"/>
      <w:bookmarkStart w:id="12" w:name="_Toc26855"/>
      <w:bookmarkStart w:id="13" w:name="_Toc43543359"/>
      <w:bookmarkStart w:id="14" w:name="_Toc897"/>
      <w:bookmarkStart w:id="15" w:name="_Toc26229"/>
      <w:bookmarkStart w:id="16" w:name="_Toc4630"/>
      <w:r>
        <w:rPr>
          <w:rFonts w:hint="eastAsia" w:ascii="仿宋_GB2312" w:hAnsi="仿宋_GB2312" w:eastAsia="仿宋_GB2312" w:cs="仿宋_GB2312"/>
          <w:bCs/>
          <w:kern w:val="2"/>
          <w:sz w:val="32"/>
          <w:szCs w:val="32"/>
        </w:rPr>
        <w:t>安全宣传教育纲要》，提升传统媒体与微博、微信等新平台宣传成效，充分发挥消防站和消防体验馆阵地宣传作用，努力提高宣传教育的覆盖面和受众度。</w:t>
      </w:r>
    </w:p>
    <w:p>
      <w:pPr>
        <w:spacing w:line="560" w:lineRule="exact"/>
        <w:ind w:firstLine="643" w:firstLineChars="200"/>
        <w:rPr>
          <w:rFonts w:ascii="仿宋_GB2312" w:hAnsi="仿宋_GB2312" w:eastAsia="仿宋_GB2312" w:cs="仿宋_GB2312"/>
          <w:bCs/>
          <w:kern w:val="2"/>
          <w:sz w:val="32"/>
          <w:szCs w:val="32"/>
        </w:rPr>
      </w:pPr>
      <w:r>
        <w:rPr>
          <w:rFonts w:hint="eastAsia" w:ascii="楷体" w:hAnsi="楷体" w:eastAsia="楷体" w:cs="楷体_GB2312"/>
          <w:b/>
          <w:kern w:val="2"/>
          <w:sz w:val="32"/>
          <w:szCs w:val="32"/>
        </w:rPr>
        <w:t>公共消防基础建设不断巩固。</w:t>
      </w:r>
      <w:r>
        <w:rPr>
          <w:rFonts w:hint="eastAsia" w:ascii="仿宋_GB2312" w:hAnsi="仿宋_GB2312" w:eastAsia="仿宋_GB2312" w:cs="仿宋_GB2312"/>
          <w:bCs/>
          <w:kern w:val="2"/>
          <w:sz w:val="32"/>
          <w:szCs w:val="32"/>
        </w:rPr>
        <w:t>积极推进消防站点建设，区消防站点总数达11座，城桥站、新海站完成迁建，东平站建成投用，东门站、三星站改造投用，长兴站、横沙站实施营房大修改造。完成岱山站用地划拨及规划许可,完成圆沙消防站规划选址。在全市率先出台《崇明区消火栓管理规定》，推动新建市政消火栓430只。</w:t>
      </w:r>
    </w:p>
    <w:p>
      <w:pPr>
        <w:spacing w:line="560" w:lineRule="exact"/>
        <w:ind w:firstLine="643" w:firstLineChars="200"/>
        <w:rPr>
          <w:rFonts w:ascii="楷体_GB2312" w:hAnsi="楷体_GB2312" w:eastAsia="楷体_GB2312" w:cs="楷体_GB2312"/>
          <w:b/>
          <w:kern w:val="2"/>
          <w:sz w:val="32"/>
          <w:szCs w:val="32"/>
        </w:rPr>
      </w:pPr>
      <w:r>
        <w:rPr>
          <w:rFonts w:hint="eastAsia" w:ascii="楷体" w:hAnsi="楷体" w:eastAsia="楷体" w:cs="楷体_GB2312"/>
          <w:b/>
          <w:kern w:val="2"/>
          <w:sz w:val="32"/>
          <w:szCs w:val="32"/>
        </w:rPr>
        <w:t>综合应急救援能力稳步提升。</w:t>
      </w:r>
      <w:r>
        <w:rPr>
          <w:rFonts w:hint="eastAsia" w:ascii="仿宋_GB2312" w:hAnsi="仿宋_GB2312" w:eastAsia="仿宋_GB2312" w:cs="仿宋_GB2312"/>
          <w:bCs/>
          <w:kern w:val="2"/>
          <w:sz w:val="32"/>
          <w:szCs w:val="32"/>
        </w:rPr>
        <w:t>“十三五”期间，消防救援队伍实现从现役体制向地方管理转变，对标“全灾种、大应急”要求和崇明应急救援实际需求，进一步强化应急救援能力建设。按照“一站一专”建设要求，打造7支“尖刀”力量，并定期开展高温浓烟、车辆破拆、高空救援等实训，实战响应能力得到显著提升。加强消防攻坚专业队“高、精、尖”作战、训练装备建设，配置无人侦察机、消防机器人、大流量消防炮、特级化学防护服等特种装备器材。“十三五”期间，区消防救援支队共接警出动3670起，出动车辆10409台次，出动指战员40800人次，抢救被困人员1238人，疏散被困人员1080人，抢救保护财产价值73999.77万元；出色完成多项重大消防保卫任务。</w:t>
      </w:r>
    </w:p>
    <w:p>
      <w:pPr>
        <w:snapToGrid w:val="0"/>
        <w:spacing w:line="560" w:lineRule="exact"/>
        <w:ind w:firstLine="640" w:firstLineChars="200"/>
        <w:rPr>
          <w:rFonts w:ascii="黑体" w:hAnsi="黑体" w:eastAsia="黑体" w:cs="方正小标宋简体"/>
          <w:sz w:val="32"/>
          <w:szCs w:val="32"/>
        </w:rPr>
      </w:pPr>
      <w:r>
        <w:rPr>
          <w:rFonts w:hint="eastAsia" w:ascii="黑体" w:hAnsi="黑体" w:eastAsia="黑体" w:cs="方正小标宋简体"/>
          <w:sz w:val="32"/>
          <w:szCs w:val="32"/>
        </w:rPr>
        <w:t>二、“十四五”期间崇明消防工作面临的新形势</w:t>
      </w:r>
    </w:p>
    <w:p>
      <w:pPr>
        <w:spacing w:line="560" w:lineRule="exact"/>
        <w:ind w:firstLine="643" w:firstLineChars="200"/>
        <w:rPr>
          <w:rFonts w:ascii="黑体" w:hAnsi="黑体" w:eastAsia="黑体" w:cs="黑体"/>
          <w:sz w:val="32"/>
          <w:szCs w:val="32"/>
        </w:rPr>
      </w:pPr>
      <w:r>
        <w:rPr>
          <w:rFonts w:hint="eastAsia" w:ascii="楷体" w:hAnsi="楷体" w:eastAsia="楷体" w:cs="楷体_GB2312"/>
          <w:b/>
          <w:kern w:val="2"/>
          <w:sz w:val="32"/>
          <w:szCs w:val="32"/>
        </w:rPr>
        <w:t>消防安全治理仍面临较大压力。</w:t>
      </w:r>
      <w:r>
        <w:rPr>
          <w:rFonts w:hint="eastAsia" w:ascii="仿宋_GB2312" w:hAnsi="仿宋_GB2312" w:eastAsia="仿宋_GB2312" w:cs="仿宋_GB2312"/>
          <w:sz w:val="32"/>
          <w:szCs w:val="32"/>
        </w:rPr>
        <w:t>近5年来全区火灾形势虽然保持了平稳的态势，但火灾损失居高不下，“小火亡人”不容忽视。</w:t>
      </w:r>
      <w:r>
        <w:rPr>
          <w:rFonts w:hint="eastAsia" w:ascii="仿宋_GB2312" w:hAnsi="仿宋" w:eastAsia="仿宋_GB2312"/>
          <w:sz w:val="32"/>
          <w:szCs w:val="32"/>
        </w:rPr>
        <w:t>部分社会单位主体责任意识不强，消防工作缺少主动性，部分</w:t>
      </w:r>
      <w:r>
        <w:rPr>
          <w:rFonts w:hint="eastAsia" w:ascii="仿宋_GB2312" w:hAnsi="仿宋_GB2312" w:eastAsia="仿宋_GB2312" w:cs="仿宋_GB2312"/>
          <w:sz w:val="32"/>
          <w:szCs w:val="32"/>
        </w:rPr>
        <w:t>弱势群体消防意识淡薄</w:t>
      </w:r>
      <w:r>
        <w:rPr>
          <w:rFonts w:hint="eastAsia" w:ascii="仿宋_GB2312" w:hAnsi="仿宋" w:eastAsia="仿宋_GB2312"/>
          <w:sz w:val="32"/>
          <w:szCs w:val="32"/>
        </w:rPr>
        <w:t>等问题导致</w:t>
      </w:r>
      <w:r>
        <w:rPr>
          <w:rFonts w:hint="eastAsia" w:ascii="仿宋_GB2312" w:hAnsi="仿宋_GB2312" w:eastAsia="仿宋_GB2312" w:cs="仿宋_GB2312"/>
          <w:sz w:val="32"/>
          <w:szCs w:val="32"/>
        </w:rPr>
        <w:t>电动自行车违规充电、液化气钢瓶使用等造成的典型火灾隐患突出。</w:t>
      </w:r>
      <w:r>
        <w:rPr>
          <w:rFonts w:hint="eastAsia" w:ascii="仿宋_GB2312" w:hAnsi="仿宋" w:eastAsia="仿宋_GB2312"/>
          <w:sz w:val="32"/>
          <w:szCs w:val="32"/>
        </w:rPr>
        <w:t>农家乐(民宿)场所、养老机构、船舶类、隧桥类、天然气管道、风力发电等重点行业领域以及农业配套设施等消防监管标准不明确的新业态，消防安全管理水平与行业快速发展不相适应。</w:t>
      </w:r>
    </w:p>
    <w:p>
      <w:pPr>
        <w:spacing w:line="560" w:lineRule="exact"/>
        <w:ind w:firstLine="643" w:firstLineChars="200"/>
        <w:rPr>
          <w:rFonts w:ascii="楷体_GB2312" w:hAnsi="仿宋_GB2312" w:eastAsia="楷体_GB2312" w:cs="仿宋_GB2312"/>
          <w:b/>
          <w:bCs/>
          <w:sz w:val="32"/>
          <w:szCs w:val="32"/>
        </w:rPr>
      </w:pPr>
      <w:r>
        <w:rPr>
          <w:rFonts w:hint="eastAsia" w:ascii="楷体" w:hAnsi="楷体" w:eastAsia="楷体" w:cs="楷体_GB2312"/>
          <w:b/>
          <w:kern w:val="2"/>
          <w:sz w:val="32"/>
          <w:szCs w:val="32"/>
        </w:rPr>
        <w:t>世界级生态岛建设带来新挑战。</w:t>
      </w:r>
      <w:r>
        <w:rPr>
          <w:rFonts w:hint="eastAsia" w:ascii="仿宋_GB2312" w:hAnsi="仿宋_GB2312" w:eastAsia="仿宋_GB2312" w:cs="仿宋_GB2312"/>
          <w:sz w:val="32"/>
          <w:szCs w:val="32"/>
        </w:rPr>
        <w:t>随着崇明世界级生态岛建设和“花博会”举办后带来旅游热度效应，全岛旅游链发展迅速，交通枢纽、宾馆饭店、旅游景点等重点领域呈现“大车流”“大客流”，周末、假日经济现象明显。区域内消防站点、装备的发展难以与城乡空间布局的优化和产业结构的调整同步。面对城区“高质量发展、高品质生活”发展目标对消防安全提出的新需求，如何完善公共消防安全应急机制，提高应急处置能力；如何完善现代消防责任体系，提高消防安全管理水平；如何完善全民消防教育制度，提升群众消防安全素质，对消防工作提出了新要求。</w:t>
      </w:r>
    </w:p>
    <w:p>
      <w:pPr>
        <w:spacing w:line="560" w:lineRule="exact"/>
        <w:ind w:firstLine="643" w:firstLineChars="200"/>
        <w:rPr>
          <w:rFonts w:ascii="楷体_GB2312" w:hAnsi="仿宋_GB2312" w:eastAsia="楷体_GB2312" w:cs="仿宋_GB2312"/>
          <w:b/>
          <w:bCs/>
          <w:sz w:val="32"/>
          <w:szCs w:val="32"/>
        </w:rPr>
      </w:pPr>
      <w:r>
        <w:rPr>
          <w:rFonts w:hint="eastAsia" w:ascii="楷体" w:hAnsi="楷体" w:eastAsia="楷体" w:cs="楷体_GB2312"/>
          <w:b/>
          <w:kern w:val="2"/>
          <w:sz w:val="32"/>
          <w:szCs w:val="32"/>
        </w:rPr>
        <w:t>职能拓展催生高质量发展要求。</w:t>
      </w:r>
      <w:r>
        <w:rPr>
          <w:rFonts w:hint="eastAsia" w:ascii="仿宋_GB2312" w:hAnsi="仿宋_GB2312" w:eastAsia="仿宋_GB2312" w:cs="仿宋_GB2312"/>
          <w:sz w:val="32"/>
          <w:szCs w:val="32"/>
        </w:rPr>
        <w:t>区消防救援队伍人员不足矛盾突出，</w:t>
      </w:r>
      <w:r>
        <w:rPr>
          <w:rFonts w:hint="eastAsia" w:ascii="仿宋_GB2312" w:hAnsi="仿宋" w:eastAsia="仿宋_GB2312"/>
          <w:sz w:val="32"/>
          <w:szCs w:val="32"/>
        </w:rPr>
        <w:t>专业技术人才数量短缺，应急救援指挥机制、联动机制和战勤保障机制尚不完善。近年来抢险救援和社会救助类警情数量急剧增加</w:t>
      </w:r>
      <w:r>
        <w:rPr>
          <w:rFonts w:hint="eastAsia" w:ascii="仿宋_GB2312" w:hAnsi="仿宋_GB2312" w:eastAsia="仿宋_GB2312" w:cs="仿宋_GB2312"/>
          <w:sz w:val="32"/>
          <w:szCs w:val="32"/>
        </w:rPr>
        <w:t>，乡镇在网格化管理、志愿消防队伍和宣传阵地建设等方面还存有盲区，政务服务普惠便捷和部门之间信息融合程度不高。面对人民群众对消防服务工作的新期待，如何处理好更加优质、便捷、高效的消防服务和营造安全的消防环境，对消防部门提出了更高要求。</w:t>
      </w:r>
    </w:p>
    <w:p>
      <w:pPr>
        <w:snapToGrid w:val="0"/>
        <w:spacing w:line="560" w:lineRule="exact"/>
        <w:ind w:firstLine="640" w:firstLineChars="200"/>
        <w:rPr>
          <w:rFonts w:ascii="黑体" w:hAnsi="黑体" w:eastAsia="黑体" w:cs="方正小标宋简体"/>
          <w:sz w:val="32"/>
          <w:szCs w:val="32"/>
        </w:rPr>
      </w:pPr>
      <w:r>
        <w:rPr>
          <w:rFonts w:hint="eastAsia" w:ascii="黑体" w:hAnsi="黑体" w:eastAsia="黑体" w:cs="方正小标宋简体"/>
          <w:sz w:val="32"/>
          <w:szCs w:val="32"/>
        </w:rPr>
        <w:t>三、总体要求</w:t>
      </w:r>
    </w:p>
    <w:p>
      <w:pPr>
        <w:snapToGrid w:val="0"/>
        <w:spacing w:line="560" w:lineRule="exact"/>
        <w:ind w:firstLine="643" w:firstLineChars="200"/>
        <w:rPr>
          <w:rFonts w:ascii="楷体" w:hAnsi="楷体" w:eastAsia="楷体" w:cs="楷体_GB2312"/>
          <w:b/>
          <w:kern w:val="2"/>
          <w:sz w:val="32"/>
          <w:szCs w:val="32"/>
        </w:rPr>
      </w:pPr>
      <w:r>
        <w:rPr>
          <w:rFonts w:hint="eastAsia" w:ascii="楷体" w:hAnsi="楷体" w:eastAsia="楷体" w:cs="楷体_GB2312"/>
          <w:b/>
          <w:kern w:val="2"/>
          <w:sz w:val="32"/>
          <w:szCs w:val="32"/>
        </w:rPr>
        <w:t>（一）指导思想</w:t>
      </w:r>
    </w:p>
    <w:p>
      <w:pPr>
        <w:spacing w:line="560" w:lineRule="exact"/>
        <w:ind w:firstLine="640" w:firstLineChars="200"/>
        <w:rPr>
          <w:rFonts w:eastAsia="仿宋_GB2312"/>
          <w:sz w:val="32"/>
          <w:szCs w:val="32"/>
        </w:rPr>
      </w:pPr>
      <w:r>
        <w:rPr>
          <w:rFonts w:hint="eastAsia" w:eastAsia="仿宋_GB2312"/>
          <w:sz w:val="32"/>
          <w:szCs w:val="32"/>
        </w:rPr>
        <w:t>坚持以习近平新时代中国特色社会主义思想为指导，深入贯彻落实党的十九大精神，统筹推进“五位一体”总体布局、协调推进“四个全面”战略布局，全面落实习近平总书记考察上海及纪念浦东开</w:t>
      </w:r>
      <w:r>
        <w:rPr>
          <w:rFonts w:hint="eastAsia" w:ascii="仿宋_GB2312" w:hAnsi="仿宋_GB2312" w:eastAsia="仿宋_GB2312" w:cs="仿宋_GB2312"/>
          <w:sz w:val="32"/>
          <w:szCs w:val="32"/>
        </w:rPr>
        <w:t>发开放30周年的</w:t>
      </w:r>
      <w:r>
        <w:rPr>
          <w:rFonts w:hint="eastAsia" w:eastAsia="仿宋_GB2312"/>
          <w:sz w:val="32"/>
          <w:szCs w:val="32"/>
        </w:rPr>
        <w:t>重要讲话精神，深入践行“人民城市人民建，人民城市为人民”重要理念，围绕崇明世界级生态岛建设，紧盯防范化解重大安全风险、应对处置各类灾害事故，着力抓重点、补短板、强弱项，推动落实消防安全责任，防范化解消防安全风险，积极推进消防安全治理体系和治理能力现代化。</w:t>
      </w:r>
    </w:p>
    <w:p>
      <w:pPr>
        <w:snapToGrid w:val="0"/>
        <w:spacing w:line="560" w:lineRule="exact"/>
        <w:ind w:firstLine="643" w:firstLineChars="200"/>
        <w:rPr>
          <w:rFonts w:ascii="楷体" w:hAnsi="楷体" w:eastAsia="楷体" w:cs="楷体_GB2312"/>
          <w:b/>
          <w:kern w:val="2"/>
          <w:sz w:val="32"/>
          <w:szCs w:val="32"/>
        </w:rPr>
      </w:pPr>
      <w:r>
        <w:rPr>
          <w:rFonts w:hint="eastAsia" w:ascii="楷体" w:hAnsi="楷体" w:eastAsia="楷体" w:cs="楷体_GB2312"/>
          <w:b/>
          <w:kern w:val="2"/>
          <w:sz w:val="32"/>
          <w:szCs w:val="32"/>
        </w:rPr>
        <w:t>（二）规划思路</w:t>
      </w:r>
    </w:p>
    <w:p>
      <w:pPr>
        <w:spacing w:line="560" w:lineRule="exact"/>
        <w:ind w:firstLine="640" w:firstLineChars="200"/>
        <w:rPr>
          <w:rFonts w:ascii="楷体" w:hAnsi="楷体" w:eastAsia="楷体" w:cs="楷体"/>
          <w:sz w:val="32"/>
          <w:szCs w:val="32"/>
        </w:rPr>
      </w:pPr>
      <w:r>
        <w:rPr>
          <w:rFonts w:hint="eastAsia" w:ascii="仿宋_GB2312" w:hAnsi="仿宋_GB2312" w:eastAsia="仿宋_GB2312" w:cs="仿宋_GB2312"/>
          <w:sz w:val="32"/>
          <w:szCs w:val="32"/>
        </w:rPr>
        <w:t xml:space="preserve"> “十四五”期间，形成与城乡发展格局相匹配的新时期消防安全治理体系，消防安全责任制全面落实，公共消防基础设施建设不断完善，城乡火灾防控和应急救援体系有效增强，社会防御火灾整体能力和群众消防安全素质大幅提升，公共消防环境明显优化，新时期消防救援队伍职业保障逐步建立。</w:t>
      </w:r>
    </w:p>
    <w:p>
      <w:pPr>
        <w:snapToGrid w:val="0"/>
        <w:spacing w:line="560" w:lineRule="exact"/>
        <w:ind w:firstLine="643" w:firstLineChars="200"/>
        <w:rPr>
          <w:rFonts w:ascii="楷体" w:hAnsi="楷体" w:eastAsia="楷体" w:cs="楷体_GB2312"/>
          <w:b/>
          <w:kern w:val="2"/>
          <w:sz w:val="32"/>
          <w:szCs w:val="32"/>
        </w:rPr>
      </w:pPr>
      <w:r>
        <w:rPr>
          <w:rFonts w:hint="eastAsia" w:ascii="楷体" w:hAnsi="楷体" w:eastAsia="楷体" w:cs="楷体_GB2312"/>
          <w:b/>
          <w:kern w:val="2"/>
          <w:sz w:val="32"/>
          <w:szCs w:val="32"/>
        </w:rPr>
        <w:t>（三）规划目标</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1.消防安全责任体系全面落实。</w:t>
      </w:r>
      <w:r>
        <w:rPr>
          <w:rFonts w:hint="eastAsia" w:ascii="仿宋_GB2312" w:hAnsi="仿宋_GB2312" w:eastAsia="仿宋_GB2312" w:cs="仿宋_GB2312"/>
          <w:sz w:val="32"/>
          <w:szCs w:val="32"/>
        </w:rPr>
        <w:t>深入贯彻落实各级消防安全责任制要求，将消防安全纳入国民经济和社会发展规划，将消防工作纳入重要议事日程，定期研究部署消防重点工作。加强属地消防工作监管，将消防安全纳入社区平安、城乡大联动、社区综合管理等基层管理平台。督促社会单位落实消防安全主体责任，建立组织机构、健全制度规程、突出安全培训、加强日常管理，全面实施消防标准化管理。</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2.消防综合治理能力持续加强。</w:t>
      </w:r>
      <w:r>
        <w:rPr>
          <w:rFonts w:hint="eastAsia" w:ascii="仿宋_GB2312" w:hAnsi="仿宋_GB2312" w:eastAsia="仿宋_GB2312" w:cs="仿宋_GB2312"/>
          <w:sz w:val="32"/>
          <w:szCs w:val="32"/>
        </w:rPr>
        <w:t>时刻秉承防范化解重大风险隐患的职责使命，深入开展打通消防生命通道、重点场所治理、突出风险整治、乡村火灾防控、重点行业管理等五项“攻坚治理”，实施信息化管理能力和消防安全素质两项“提升工程”，持续改善本区消防安全环境。</w:t>
      </w:r>
    </w:p>
    <w:p>
      <w:pPr>
        <w:snapToGrid w:val="0"/>
        <w:spacing w:line="560" w:lineRule="exact"/>
        <w:ind w:firstLine="643" w:firstLineChars="200"/>
        <w:rPr>
          <w:rFonts w:ascii="仿宋_GB2312" w:eastAsia="仿宋_GB2312"/>
          <w:sz w:val="32"/>
          <w:szCs w:val="32"/>
        </w:rPr>
      </w:pPr>
      <w:r>
        <w:rPr>
          <w:rFonts w:hint="eastAsia" w:ascii="仿宋_GB2312" w:eastAsia="仿宋_GB2312"/>
          <w:b/>
          <w:sz w:val="32"/>
          <w:szCs w:val="32"/>
        </w:rPr>
        <w:t>3.群众消防安全素质普遍提高。</w:t>
      </w:r>
      <w:r>
        <w:rPr>
          <w:rFonts w:hint="eastAsia" w:ascii="仿宋_GB2312" w:eastAsia="仿宋_GB2312"/>
          <w:sz w:val="32"/>
          <w:szCs w:val="32"/>
        </w:rPr>
        <w:t>广泛开展以普及消防安全基本常识和自救逃生技能为主的消防宣传“进企业、进农村、进社区、进学校、进家庭”活动，大力开展消防安全培训演练，社会单位对员工培训率达到100%，乡镇、村（居）对群众消防安全教育率不低于95%。</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4.综合应急救援水平不断提升。</w:t>
      </w:r>
      <w:r>
        <w:rPr>
          <w:rFonts w:hint="eastAsia" w:ascii="仿宋_GB2312" w:hAnsi="仿宋_GB2312" w:eastAsia="仿宋_GB2312" w:cs="仿宋_GB2312"/>
          <w:sz w:val="32"/>
          <w:szCs w:val="32"/>
        </w:rPr>
        <w:t>对标“主力军、国家队”建设标准，逐步提升综合应急救援能力和水平，努力应对处置各类灾害事故，保持枕戈待旦、快速反应的备战状态，练就科学高效、专业精准的过硬本领；全区不发生较大以上火灾事故，“小火亡人”得到有效遏制，火灾形势平稳受控；覆盖城乡的灭火和应急救援力量体系逐步稳定。</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5.消防基层基础建设快速发展。</w:t>
      </w:r>
      <w:r>
        <w:rPr>
          <w:rFonts w:hint="eastAsia" w:ascii="仿宋_GB2312" w:hAnsi="仿宋_GB2312" w:eastAsia="仿宋_GB2312" w:cs="仿宋_GB2312"/>
          <w:sz w:val="32"/>
          <w:szCs w:val="32"/>
        </w:rPr>
        <w:t>优化消防站点建设，结合崇明公共消防站专项规划，逐步启动规划消防站点建设，并将公共消防站点建设用地纳入地区控制性详细规划；提升基层消防救援力量，确保政府专职队、微型消防站“有人员、有器材、有战斗力”，落实统一接警和调度指挥，确保每日24小时值班备勤，完善消防救援装备按需更新升级配备机制。</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6.消防信息科技含量显著提升。</w:t>
      </w:r>
      <w:r>
        <w:rPr>
          <w:rFonts w:hint="eastAsia" w:ascii="仿宋_GB2312" w:hAnsi="仿宋_GB2312" w:eastAsia="仿宋_GB2312" w:cs="仿宋_GB2312"/>
          <w:sz w:val="32"/>
          <w:szCs w:val="32"/>
        </w:rPr>
        <w:t>基于5G技术，打造微型消防站可视化运行管理平台，动态掌握各微站的基础信息和实时人员、装备状态；结合区消防智能综合管理运行中心平台建设，深入开展社会单位火灾防控信息化和大数据采集运用，持续推动社会单位消防物联网建设及智能消防社区建设。</w:t>
      </w:r>
    </w:p>
    <w:p>
      <w:pPr>
        <w:spacing w:line="560" w:lineRule="exact"/>
        <w:ind w:firstLine="640" w:firstLineChars="200"/>
        <w:rPr>
          <w:rFonts w:ascii="黑体" w:hAnsi="黑体" w:eastAsia="黑体" w:cs="方正小标宋简体"/>
          <w:sz w:val="32"/>
          <w:szCs w:val="32"/>
        </w:rPr>
      </w:pPr>
      <w:r>
        <w:rPr>
          <w:rFonts w:hint="eastAsia" w:ascii="黑体" w:hAnsi="黑体" w:eastAsia="黑体" w:cs="方正小标宋简体"/>
          <w:sz w:val="32"/>
          <w:szCs w:val="32"/>
        </w:rPr>
        <w:t>四、主要任务和重点工程</w:t>
      </w:r>
    </w:p>
    <w:p>
      <w:pPr>
        <w:spacing w:line="560" w:lineRule="exact"/>
        <w:ind w:firstLine="640" w:firstLineChars="200"/>
        <w:rPr>
          <w:rFonts w:ascii="仿宋_GB2312" w:eastAsia="仿宋_GB2312"/>
          <w:sz w:val="32"/>
          <w:szCs w:val="32"/>
        </w:rPr>
      </w:pPr>
      <w:r>
        <w:rPr>
          <w:rFonts w:hint="eastAsia" w:ascii="仿宋_GB2312" w:eastAsia="仿宋_GB2312"/>
          <w:sz w:val="32"/>
          <w:szCs w:val="32"/>
        </w:rPr>
        <w:t>根据“十三五”期间消防救援体系、消防基础设施、消防安全治理、科技信息化等方面存在的短板以及“十四五”期间的趋势研判，对区消防事业的发展提出切实可行的方案。</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（一）应急救援综合能力建设</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1.构建应急救援高效指挥体系。</w:t>
      </w:r>
      <w:r>
        <w:rPr>
          <w:rFonts w:hint="eastAsia" w:ascii="仿宋_GB2312" w:hAnsi="仿宋_GB2312" w:eastAsia="仿宋_GB2312" w:cs="仿宋_GB2312"/>
          <w:sz w:val="32"/>
          <w:szCs w:val="32"/>
        </w:rPr>
        <w:t>立足“全灾种、大应急”，充分发挥区消防救援支队指挥中心各项职能，强化人才培养与管理，形成长效机制，最大化发挥区消防救援支队指挥中心的实战化效能。建立标准化指挥调度工作程序,服务长三角区域发展需求，建立“崇启海”区域指挥调度和协同联动机制，推进构建多主体、跨地域、跨领域、全天候的城域应急救援协作方案。以区城运中心平台为支撑，搜集各类灾情，利用“大数据”进行分析，做到灾情预判、分析研判、决策部署，实现指挥实时辅助、作战实时可见、安全实时提示。</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2.研究新兴产业应急救援对策。</w:t>
      </w:r>
      <w:r>
        <w:rPr>
          <w:rFonts w:hint="eastAsia" w:ascii="仿宋_GB2312" w:hAnsi="仿宋_GB2312" w:eastAsia="仿宋_GB2312" w:cs="仿宋_GB2312"/>
          <w:sz w:val="32"/>
          <w:szCs w:val="32"/>
        </w:rPr>
        <w:t>积极应对城乡经济创新发展及建设管理过程中的新挑战、新要求。借鉴市消防救援总队大型综合体、城市交通、隧桥等新兴产业应急救援措施和方法，研究制定符合崇明实际的应急处置预案。研究各类新兴产业灾害事故特点，认真分析难点，精细化排兵布阵。常态化开展实战演练和无预案拉动，提升应急救援能力，在实战中总结提高。</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3.打造应急救援专业攻坚力量。</w:t>
      </w:r>
      <w:r>
        <w:rPr>
          <w:rFonts w:hint="eastAsia" w:ascii="仿宋_GB2312" w:hAnsi="仿宋_GB2312" w:eastAsia="仿宋_GB2312" w:cs="仿宋_GB2312"/>
          <w:sz w:val="32"/>
          <w:szCs w:val="32"/>
        </w:rPr>
        <w:t>打造一支覆盖全灾种、全专业的</w:t>
      </w:r>
      <w:r>
        <w:rPr>
          <w:rFonts w:hint="eastAsia" w:eastAsia="仿宋_GB2312" w:cs="仿宋_GB2312"/>
          <w:sz w:val="32"/>
          <w:szCs w:val="32"/>
        </w:rPr>
        <w:t>应急救援</w:t>
      </w:r>
      <w:r>
        <w:rPr>
          <w:rFonts w:hint="eastAsia" w:ascii="仿宋_GB2312" w:hAnsi="仿宋_GB2312" w:eastAsia="仿宋_GB2312" w:cs="仿宋_GB2312"/>
          <w:sz w:val="32"/>
          <w:szCs w:val="32"/>
        </w:rPr>
        <w:t>专业队伍体系。突出体现“一专多能”的思路，重点打造地震、抗洪抢险、低温冰冻雨雪灾害救援等全灾种的应急救援专业队。从人员配置上，遴选出优秀队员组成，实行全程退出淘汰机制。在硬件配备上，配备涵盖地震、抗洪抢险、低温冰冻雨雪灾害等自然灾害事故处置的高精尖装备。在能力建设上，通过专业培训、定期组织实战轮训和实战拉动等方式提升处置自然灾害事故的软实力。</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（二）公共消防基础设施建设</w:t>
      </w:r>
    </w:p>
    <w:p>
      <w:pPr>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4.消防站点建设。</w:t>
      </w:r>
      <w:r>
        <w:rPr>
          <w:rFonts w:hint="eastAsia" w:ascii="仿宋_GB2312" w:hAnsi="仿宋_GB2312" w:eastAsia="仿宋_GB2312" w:cs="仿宋_GB2312"/>
          <w:sz w:val="32"/>
          <w:szCs w:val="32"/>
        </w:rPr>
        <w:t>“十四五”期间完成岱山战勤保障消防站建设，新建圆沙消防救援站,增加区消防救援支队训练基地建设布点，完成区消防救援支队机关、江帆站、堡镇站、陈家镇站、后保站老旧营房维修改造，完善多灾种救援、训练和保障功能。</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5.消防水源建设。</w:t>
      </w:r>
      <w:r>
        <w:rPr>
          <w:rFonts w:hint="eastAsia" w:ascii="仿宋_GB2312" w:hAnsi="仿宋_GB2312" w:eastAsia="仿宋_GB2312" w:cs="仿宋_GB2312"/>
          <w:sz w:val="32"/>
          <w:szCs w:val="32"/>
        </w:rPr>
        <w:t>加强市政给水管网和市政消火栓建设，严格做到消防水网和消火栓与市政道路同规划、同建设，新建、补建市政消火栓600个以上，推进天然水源合理化建设，建设完成180个消防取水点。</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6.消防通道建设。</w:t>
      </w:r>
      <w:r>
        <w:rPr>
          <w:rFonts w:hint="eastAsia" w:ascii="仿宋_GB2312" w:hAnsi="仿宋_GB2312" w:eastAsia="仿宋_GB2312" w:cs="仿宋_GB2312"/>
          <w:sz w:val="32"/>
          <w:szCs w:val="32"/>
        </w:rPr>
        <w:t>结合城市路网建设，推进交通枢纽站点应急通道开辟，满足车辆装备灭火救援行动需求</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持续深化打通“生命通道”工作，联合相关部门和乡镇加大对住宅小区消防通道占用、堵塞现象的整治力度，建立长效机制。</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7.消防科普教育基地建设。</w:t>
      </w:r>
      <w:r>
        <w:rPr>
          <w:rFonts w:hint="eastAsia" w:ascii="仿宋_GB2312" w:hAnsi="仿宋_GB2312" w:eastAsia="仿宋_GB2312" w:cs="仿宋_GB2312"/>
          <w:sz w:val="32"/>
          <w:szCs w:val="32"/>
        </w:rPr>
        <w:t>将消防科普教育基地建设纳入城乡公共安全整体规划。完成新海镇消防体验馆升级改造，在城桥镇、陈家镇地区规划各建一处消防体验馆；完善东平青少年活动基地消防科普教育馆软硬件设施建设；长兴、横沙区域分别增设消防科普教育馆；推进消防主题公园建设，力争实现消防主题公园乡镇全覆盖。</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（三）装备和保障体系建设</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8.消防车辆建设。</w:t>
      </w:r>
      <w:r>
        <w:rPr>
          <w:rFonts w:eastAsia="仿宋_GB2312"/>
          <w:sz w:val="32"/>
          <w:szCs w:val="32"/>
        </w:rPr>
        <w:t>围绕</w:t>
      </w:r>
      <w:r>
        <w:rPr>
          <w:rFonts w:hint="eastAsia" w:eastAsia="仿宋_GB2312"/>
          <w:sz w:val="32"/>
          <w:szCs w:val="20"/>
        </w:rPr>
        <w:t>船舶、隧桥</w:t>
      </w:r>
      <w:r>
        <w:rPr>
          <w:rFonts w:eastAsia="仿宋_GB2312"/>
          <w:sz w:val="32"/>
          <w:szCs w:val="20"/>
        </w:rPr>
        <w:t>、大型综合体、地下空间</w:t>
      </w:r>
      <w:r>
        <w:rPr>
          <w:rFonts w:eastAsia="仿宋_GB2312"/>
          <w:sz w:val="32"/>
          <w:szCs w:val="32"/>
        </w:rPr>
        <w:t>等高风险场所和区域，结合</w:t>
      </w:r>
      <w:r>
        <w:rPr>
          <w:rFonts w:hint="eastAsia" w:eastAsia="仿宋_GB2312"/>
          <w:sz w:val="32"/>
          <w:szCs w:val="32"/>
        </w:rPr>
        <w:t>现有车辆装备</w:t>
      </w:r>
      <w:r>
        <w:rPr>
          <w:rFonts w:eastAsia="仿宋_GB2312"/>
          <w:sz w:val="32"/>
          <w:szCs w:val="32"/>
        </w:rPr>
        <w:t>配置实际，突出区域</w:t>
      </w:r>
      <w:r>
        <w:rPr>
          <w:rFonts w:hint="eastAsia" w:eastAsia="仿宋_GB2312"/>
          <w:sz w:val="32"/>
          <w:szCs w:val="32"/>
        </w:rPr>
        <w:t>车辆</w:t>
      </w:r>
      <w:r>
        <w:rPr>
          <w:rFonts w:eastAsia="仿宋_GB2312"/>
          <w:sz w:val="32"/>
          <w:szCs w:val="32"/>
        </w:rPr>
        <w:t>装备配置重点，强化装备配置优势</w:t>
      </w:r>
      <w:r>
        <w:rPr>
          <w:rFonts w:hint="eastAsia" w:eastAsia="仿宋_GB2312"/>
          <w:sz w:val="32"/>
          <w:szCs w:val="32"/>
        </w:rPr>
        <w:t>，增加</w:t>
      </w:r>
      <w:r>
        <w:rPr>
          <w:rFonts w:hint="eastAsia" w:ascii="仿宋_GB2312" w:eastAsia="仿宋_GB2312"/>
          <w:sz w:val="32"/>
          <w:szCs w:val="32"/>
        </w:rPr>
        <w:t>大功率灭火救援车辆、城市灭火主战车排烟和器材保障、</w:t>
      </w:r>
      <w:r>
        <w:rPr>
          <w:rFonts w:hint="eastAsia" w:eastAsia="仿宋_GB2312"/>
          <w:sz w:val="32"/>
          <w:szCs w:val="20"/>
        </w:rPr>
        <w:t>饮食保障等</w:t>
      </w:r>
      <w:r>
        <w:rPr>
          <w:rFonts w:hint="eastAsia" w:ascii="仿宋_GB2312" w:eastAsia="仿宋_GB2312"/>
          <w:sz w:val="32"/>
          <w:szCs w:val="32"/>
        </w:rPr>
        <w:t>特种车辆。按照《上海消防总队车辆管理规定》，逐年报废更新服役到期消防车辆，逐步完成消防车辆更新工作。</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9.消防装备建设。</w:t>
      </w:r>
      <w:r>
        <w:rPr>
          <w:rFonts w:hint="eastAsia" w:eastAsia="仿宋_GB2312" w:cs="Microsoft JhengHei"/>
          <w:sz w:val="32"/>
          <w:szCs w:val="20"/>
        </w:rPr>
        <w:t>强化</w:t>
      </w:r>
      <w:r>
        <w:rPr>
          <w:rFonts w:hint="eastAsia" w:ascii="Microsoft JhengHei" w:hAnsi="Microsoft JhengHei" w:eastAsia="仿宋_GB2312" w:cs="Microsoft JhengHei"/>
          <w:sz w:val="32"/>
          <w:szCs w:val="20"/>
        </w:rPr>
        <w:t>日常装备经费保障</w:t>
      </w:r>
      <w:r>
        <w:rPr>
          <w:rFonts w:hint="eastAsia" w:eastAsia="仿宋_GB2312" w:cs="Microsoft JhengHei"/>
          <w:sz w:val="32"/>
          <w:szCs w:val="20"/>
        </w:rPr>
        <w:t>，</w:t>
      </w:r>
      <w:r>
        <w:rPr>
          <w:rFonts w:eastAsia="仿宋_GB2312"/>
          <w:sz w:val="32"/>
          <w:szCs w:val="20"/>
        </w:rPr>
        <w:t>加强</w:t>
      </w:r>
      <w:r>
        <w:rPr>
          <w:rFonts w:hint="eastAsia" w:eastAsia="仿宋_GB2312"/>
          <w:sz w:val="32"/>
          <w:szCs w:val="20"/>
        </w:rPr>
        <w:t>地震、抗洪抢险专业队</w:t>
      </w:r>
      <w:r>
        <w:rPr>
          <w:rFonts w:eastAsia="仿宋_GB2312"/>
          <w:sz w:val="32"/>
          <w:szCs w:val="20"/>
        </w:rPr>
        <w:t>装备配置</w:t>
      </w:r>
      <w:r>
        <w:rPr>
          <w:rFonts w:hint="eastAsia" w:ascii="仿宋_GB2312" w:hAnsi="仿宋_GB2312" w:eastAsia="仿宋_GB2312" w:cs="仿宋_GB2312"/>
          <w:b/>
          <w:sz w:val="32"/>
          <w:szCs w:val="32"/>
        </w:rPr>
        <w:t>，</w:t>
      </w:r>
      <w:r>
        <w:rPr>
          <w:rFonts w:hint="eastAsia" w:eastAsia="仿宋_GB2312"/>
          <w:sz w:val="32"/>
          <w:szCs w:val="20"/>
        </w:rPr>
        <w:t>统筹推进个人防护装备优化升级</w:t>
      </w:r>
      <w:r>
        <w:rPr>
          <w:rFonts w:hint="eastAsia" w:ascii="仿宋_GB2312" w:eastAsia="仿宋_GB2312"/>
          <w:sz w:val="32"/>
          <w:szCs w:val="32"/>
        </w:rPr>
        <w:t>。聚焦</w:t>
      </w:r>
      <w:r>
        <w:rPr>
          <w:rFonts w:eastAsia="仿宋_GB2312"/>
          <w:sz w:val="32"/>
          <w:szCs w:val="20"/>
        </w:rPr>
        <w:t>本</w:t>
      </w:r>
      <w:r>
        <w:rPr>
          <w:rFonts w:hint="eastAsia" w:eastAsia="仿宋_GB2312"/>
          <w:sz w:val="32"/>
          <w:szCs w:val="20"/>
        </w:rPr>
        <w:t>区</w:t>
      </w:r>
      <w:r>
        <w:rPr>
          <w:rFonts w:hint="eastAsia" w:eastAsia="仿宋_GB2312"/>
          <w:sz w:val="32"/>
          <w:szCs w:val="32"/>
        </w:rPr>
        <w:t>船舶、隧桥</w:t>
      </w:r>
      <w:r>
        <w:rPr>
          <w:rFonts w:eastAsia="仿宋_GB2312"/>
          <w:sz w:val="32"/>
          <w:szCs w:val="32"/>
        </w:rPr>
        <w:t>、水域等高风险场所和区域灭火救援</w:t>
      </w:r>
      <w:r>
        <w:rPr>
          <w:rFonts w:hint="eastAsia" w:eastAsia="仿宋_GB2312"/>
          <w:sz w:val="32"/>
          <w:szCs w:val="32"/>
        </w:rPr>
        <w:t>所需</w:t>
      </w:r>
      <w:r>
        <w:rPr>
          <w:rFonts w:eastAsia="仿宋_GB2312"/>
          <w:sz w:val="32"/>
          <w:szCs w:val="32"/>
        </w:rPr>
        <w:t>，</w:t>
      </w:r>
      <w:r>
        <w:rPr>
          <w:rFonts w:hint="eastAsia" w:eastAsia="仿宋_GB2312" w:cs="Microsoft JhengHei"/>
          <w:sz w:val="32"/>
          <w:szCs w:val="32"/>
        </w:rPr>
        <w:t>加强</w:t>
      </w:r>
      <w:r>
        <w:rPr>
          <w:rFonts w:eastAsia="仿宋_GB2312"/>
          <w:sz w:val="32"/>
          <w:szCs w:val="32"/>
        </w:rPr>
        <w:t>大流量灭火机器人、移动遥控炮</w:t>
      </w:r>
      <w:r>
        <w:rPr>
          <w:rFonts w:hint="eastAsia" w:eastAsia="仿宋_GB2312"/>
          <w:sz w:val="32"/>
          <w:szCs w:val="32"/>
        </w:rPr>
        <w:t>、</w:t>
      </w:r>
      <w:r>
        <w:rPr>
          <w:rFonts w:hint="eastAsia" w:ascii="仿宋_GB2312" w:eastAsia="仿宋_GB2312"/>
          <w:sz w:val="32"/>
          <w:szCs w:val="32"/>
        </w:rPr>
        <w:t>大功率排烟设备、雷达生命探测仪等救援攻坚装备采购，</w:t>
      </w:r>
      <w:r>
        <w:rPr>
          <w:rFonts w:hint="eastAsia" w:eastAsia="仿宋_GB2312"/>
          <w:sz w:val="32"/>
          <w:szCs w:val="20"/>
        </w:rPr>
        <w:t>增设卫星便携站、无人机、指挥会议系统等应急通信保障器材，升级灾害现场宣传器材装备，适当配备平板运输车以及具有挖掘、推土、装载等功能的工程机械，提升灭火救援攻坚能力。</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10.战勤保障体系建设。</w:t>
      </w:r>
      <w:r>
        <w:rPr>
          <w:rFonts w:hint="eastAsia" w:ascii="仿宋_GB2312" w:hAnsi="仿宋_GB2312" w:eastAsia="仿宋_GB2312" w:cs="仿宋_GB2312"/>
          <w:sz w:val="32"/>
          <w:szCs w:val="32"/>
        </w:rPr>
        <w:t>继续推进岱山战勤保障消防站建设，提高物资储备科学合理化水平。完善联勤建设，进一步扩大社会联勤保障单位范围、数量，动态掌握本区社会面物资储备信息。建立健全重特大灾害事故救援装备现场保障社会联动机制，构筑正向激励战勤保障岗位人员培养模式。</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（四）消防安全治理体系建设</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11.构建消防安全责任体系。</w:t>
      </w:r>
      <w:r>
        <w:rPr>
          <w:rFonts w:ascii="仿宋_GB2312" w:hAnsi="仿宋_GB2312" w:eastAsia="仿宋_GB2312" w:cs="仿宋_GB2312"/>
          <w:sz w:val="32"/>
          <w:szCs w:val="32"/>
        </w:rPr>
        <w:t>贯彻“党政同责、一岗双责”要求，推动明确乡镇政府主要负责人为消防工作第一</w:t>
      </w:r>
      <w:r>
        <w:rPr>
          <w:rFonts w:hint="eastAsia" w:ascii="仿宋_GB2312" w:hAnsi="仿宋_GB2312" w:eastAsia="仿宋_GB2312" w:cs="仿宋_GB2312"/>
          <w:sz w:val="32"/>
          <w:szCs w:val="32"/>
        </w:rPr>
        <w:t>责任</w:t>
      </w:r>
      <w:r>
        <w:rPr>
          <w:rFonts w:ascii="仿宋_GB2312" w:hAnsi="仿宋_GB2312" w:eastAsia="仿宋_GB2312" w:cs="仿宋_GB2312"/>
          <w:sz w:val="32"/>
          <w:szCs w:val="32"/>
        </w:rPr>
        <w:t>人，分管负责人为主要责任人，班子其他成员对分管范围内的消防工作负领导责任</w:t>
      </w:r>
      <w:r>
        <w:rPr>
          <w:rFonts w:hint="eastAsia" w:ascii="仿宋_GB2312" w:hAnsi="仿宋_GB2312" w:eastAsia="仿宋_GB2312" w:cs="仿宋_GB2312"/>
          <w:sz w:val="32"/>
          <w:szCs w:val="32"/>
        </w:rPr>
        <w:t>，强化党委政府对消防工作的领导，定期分析研判形势，审议消防工作。建立行业部门消防安全责任体系，按照“管行业必须管安全、管业务必须管安全、管生产经营必须管安全”的要求，健全消防工作行业部门分析评估、定期会商、联合执法等工作机制，针对突出隐患问题，集中开展整治。建立社会单位消防安全责任体系，全面推进单位风险隐患“自知、自查、自改”和公示承诺制度，培养一批单位消防安全管理“明白人”。</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12.健全消防隐患防范体系。</w:t>
      </w:r>
      <w:r>
        <w:rPr>
          <w:rFonts w:hint="eastAsia" w:ascii="仿宋_GB2312" w:hAnsi="仿宋_GB2312" w:eastAsia="仿宋_GB2312" w:cs="仿宋_GB2312"/>
          <w:sz w:val="32"/>
          <w:szCs w:val="32"/>
        </w:rPr>
        <w:t>精准打击火灾隐患，建立常态化火灾隐患排查机制，加强源头治理、系统治理、靶向治理，提升区域消防安全整体水平。深化消防专项治理，深入推进消防安全专项整治三年行动、电动自行车、打通生命通道等消防专项整治行动，紧盯易燃易爆、大型商业综合体等重点场所，加强集中整治和常态监管。夯实消防基础设施建设，持续推进消防实事项目建设，落实老旧居民小区消防设施增配或改造，安装电动自行车集中充电装置，在缺水地区建设消防取水点等措施，进一步提升火灾预警防控能效。</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13.打造新型消防治理体系。</w:t>
      </w:r>
      <w:r>
        <w:rPr>
          <w:rFonts w:hint="eastAsia" w:ascii="仿宋_GB2312" w:hAnsi="仿宋_GB2312" w:eastAsia="仿宋_GB2312" w:cs="仿宋_GB2312"/>
          <w:sz w:val="32"/>
          <w:szCs w:val="32"/>
        </w:rPr>
        <w:t>创新消防监管模式，全面推行“双随机、一公开”监管、重点监管、信用监管、“互联网+监管”、火灾事故责任调查处理“五位一体”新型监管模式。深化消防科技应用，开发拓展消防综合监管系统，嵌入区城运中心“一网统管”工作平台，深度运用消防安全大数据库，加强火灾风险形势分析研判、监测预警，精准治理高风险区域场所。优化便民利企服务，积极落实放管服改革要求，革新升级业务流程，全面推行告知承诺制、容缺后补、绿色通道、邮寄送达等措施。</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（五）社会消防力量建设</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14.志愿消防队伍建设。</w:t>
      </w:r>
      <w:r>
        <w:rPr>
          <w:rFonts w:hint="eastAsia" w:ascii="仿宋_GB2312" w:hAnsi="仿宋_GB2312" w:eastAsia="仿宋_GB2312" w:cs="仿宋_GB2312"/>
          <w:sz w:val="32"/>
          <w:szCs w:val="32"/>
        </w:rPr>
        <w:t>指导推动乡镇因地制宜建设乡镇专职、志愿消防队，并</w:t>
      </w:r>
      <w:r>
        <w:rPr>
          <w:rFonts w:ascii="仿宋_GB2312" w:hAnsi="仿宋_GB2312" w:eastAsia="仿宋_GB2312" w:cs="仿宋_GB2312"/>
          <w:sz w:val="32"/>
          <w:szCs w:val="32"/>
        </w:rPr>
        <w:t>纳入消防救援队伍统一管理，</w:t>
      </w:r>
      <w:r>
        <w:rPr>
          <w:rFonts w:hint="eastAsia" w:ascii="仿宋_GB2312" w:hAnsi="仿宋_GB2312" w:eastAsia="仿宋_GB2312" w:cs="仿宋_GB2312"/>
          <w:sz w:val="32"/>
          <w:szCs w:val="32"/>
        </w:rPr>
        <w:t>建立联勤联训、联战联调机制，承担</w:t>
      </w:r>
      <w:r>
        <w:rPr>
          <w:rFonts w:ascii="仿宋_GB2312" w:hAnsi="仿宋_GB2312" w:eastAsia="仿宋_GB2312" w:cs="仿宋_GB2312"/>
          <w:sz w:val="32"/>
          <w:szCs w:val="32"/>
        </w:rPr>
        <w:t>灭火救援、</w:t>
      </w:r>
      <w:r>
        <w:rPr>
          <w:rFonts w:hint="eastAsia" w:ascii="仿宋_GB2312" w:hAnsi="仿宋_GB2312" w:eastAsia="仿宋_GB2312" w:cs="仿宋_GB2312"/>
          <w:sz w:val="32"/>
          <w:szCs w:val="32"/>
        </w:rPr>
        <w:t>防火巡查、</w:t>
      </w:r>
      <w:r>
        <w:rPr>
          <w:rFonts w:ascii="仿宋_GB2312" w:hAnsi="仿宋_GB2312" w:eastAsia="仿宋_GB2312" w:cs="仿宋_GB2312"/>
          <w:sz w:val="32"/>
          <w:szCs w:val="32"/>
        </w:rPr>
        <w:t>消防宣传</w:t>
      </w:r>
      <w:r>
        <w:rPr>
          <w:rFonts w:hint="eastAsia" w:ascii="仿宋_GB2312" w:hAnsi="仿宋_GB2312" w:eastAsia="仿宋_GB2312" w:cs="仿宋_GB2312"/>
          <w:sz w:val="32"/>
          <w:szCs w:val="32"/>
        </w:rPr>
        <w:t>等工作。</w:t>
      </w:r>
      <w:r>
        <w:rPr>
          <w:rFonts w:ascii="仿宋_GB2312" w:hAnsi="仿宋_GB2312" w:eastAsia="仿宋_GB2312" w:cs="仿宋_GB2312"/>
          <w:sz w:val="32"/>
          <w:szCs w:val="32"/>
        </w:rPr>
        <w:t>消防救援队伍</w:t>
      </w:r>
      <w:r>
        <w:rPr>
          <w:rFonts w:hint="eastAsia" w:ascii="仿宋_GB2312" w:hAnsi="仿宋_GB2312" w:eastAsia="仿宋_GB2312" w:cs="仿宋_GB2312"/>
          <w:sz w:val="32"/>
          <w:szCs w:val="32"/>
        </w:rPr>
        <w:t>加强</w:t>
      </w:r>
      <w:r>
        <w:rPr>
          <w:rFonts w:ascii="仿宋_GB2312" w:hAnsi="仿宋_GB2312" w:eastAsia="仿宋_GB2312" w:cs="仿宋_GB2312"/>
          <w:sz w:val="32"/>
          <w:szCs w:val="32"/>
        </w:rPr>
        <w:t>乡镇</w:t>
      </w:r>
      <w:r>
        <w:rPr>
          <w:rFonts w:hint="eastAsia" w:ascii="仿宋_GB2312" w:hAnsi="仿宋_GB2312" w:eastAsia="仿宋_GB2312" w:cs="仿宋_GB2312"/>
          <w:sz w:val="32"/>
          <w:szCs w:val="32"/>
        </w:rPr>
        <w:t>专职</w:t>
      </w:r>
      <w:r>
        <w:rPr>
          <w:rFonts w:ascii="仿宋_GB2312" w:hAnsi="仿宋_GB2312" w:eastAsia="仿宋_GB2312" w:cs="仿宋_GB2312"/>
          <w:sz w:val="32"/>
          <w:szCs w:val="32"/>
        </w:rPr>
        <w:t>消防队</w:t>
      </w:r>
      <w:r>
        <w:rPr>
          <w:rFonts w:hint="eastAsia" w:ascii="仿宋_GB2312" w:hAnsi="仿宋_GB2312" w:eastAsia="仿宋_GB2312" w:cs="仿宋_GB2312"/>
          <w:sz w:val="32"/>
          <w:szCs w:val="32"/>
        </w:rPr>
        <w:t>业务指导和拉动演练，发生火灾及时调动，确保快速处置初起火灾。</w:t>
      </w:r>
    </w:p>
    <w:p>
      <w:pPr>
        <w:snapToGrid w:val="0"/>
        <w:spacing w:line="560" w:lineRule="exact"/>
        <w:ind w:firstLine="643" w:firstLineChars="200"/>
        <w:rPr>
          <w:rFonts w:ascii="仿宋_GB2312" w:hAnsi="仿宋_GB2312" w:eastAsia="仿宋_GB2312" w:cs="仿宋_GB2312"/>
          <w:sz w:val="32"/>
          <w:szCs w:val="32"/>
        </w:rPr>
      </w:pPr>
      <w:r>
        <w:rPr>
          <w:rFonts w:hint="eastAsia" w:ascii="仿宋_GB2312" w:hAnsi="仿宋_GB2312" w:eastAsia="仿宋_GB2312" w:cs="仿宋_GB2312"/>
          <w:b/>
          <w:bCs/>
          <w:sz w:val="32"/>
          <w:szCs w:val="32"/>
        </w:rPr>
        <w:t>15.消防基层网格力量。</w:t>
      </w:r>
      <w:r>
        <w:rPr>
          <w:rFonts w:hint="eastAsia" w:ascii="仿宋_GB2312" w:hAnsi="仿宋_GB2312" w:eastAsia="仿宋_GB2312" w:cs="仿宋_GB2312"/>
          <w:sz w:val="32"/>
          <w:szCs w:val="32"/>
        </w:rPr>
        <w:t>结合各乡镇经济发展、基层治理体系、管理机制实际和火灾防范特点，采取多种形式加强乡镇消防工作机构建设。健全完善基层消防安全综合治理运作机制，将消防安全管理模块纳入区城运中心网格化防火巡查检查范围，及时发现消防隐患关键线索和火灾风险动态信息。</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16.消防公益事业发展。</w:t>
      </w:r>
      <w:r>
        <w:rPr>
          <w:rFonts w:hint="eastAsia" w:ascii="仿宋_GB2312" w:hAnsi="仿宋_GB2312" w:eastAsia="仿宋_GB2312" w:cs="仿宋_GB2312"/>
          <w:snapToGrid w:val="0"/>
          <w:sz w:val="32"/>
          <w:szCs w:val="32"/>
        </w:rPr>
        <w:t>积极招募发展消防志愿者，动员群众注册中国消防志愿者，人数不少于本地区常住人口数量的2%</w:t>
      </w:r>
      <w:r>
        <w:rPr>
          <w:rFonts w:hint="eastAsia" w:ascii="仿宋_GB2312" w:hAnsi="仿宋_GB2312" w:eastAsia="仿宋_GB2312" w:cs="仿宋_GB2312"/>
          <w:bCs/>
          <w:snapToGrid w:val="0"/>
          <w:sz w:val="32"/>
          <w:szCs w:val="32"/>
        </w:rPr>
        <w:t>；</w:t>
      </w:r>
      <w:r>
        <w:rPr>
          <w:rFonts w:hint="eastAsia" w:ascii="仿宋_GB2312" w:hAnsi="仿宋_GB2312" w:eastAsia="仿宋_GB2312" w:cs="仿宋_GB2312"/>
          <w:snapToGrid w:val="0"/>
          <w:sz w:val="32"/>
          <w:szCs w:val="32"/>
        </w:rPr>
        <w:t>对在消防工作中有突出贡献的单位和个人，按有关规定适当给予表彰和奖励</w:t>
      </w:r>
      <w:r>
        <w:rPr>
          <w:rFonts w:hint="eastAsia" w:ascii="仿宋_GB2312" w:hAnsi="仿宋_GB2312" w:eastAsia="仿宋_GB2312" w:cs="仿宋_GB2312"/>
          <w:bCs/>
          <w:snapToGrid w:val="0"/>
          <w:sz w:val="32"/>
          <w:szCs w:val="32"/>
        </w:rPr>
        <w:t>；</w:t>
      </w:r>
      <w:r>
        <w:rPr>
          <w:rFonts w:hint="eastAsia" w:ascii="仿宋_GB2312" w:hAnsi="仿宋_GB2312" w:eastAsia="仿宋_GB2312" w:cs="仿宋_GB2312"/>
          <w:snapToGrid w:val="0"/>
          <w:sz w:val="32"/>
          <w:szCs w:val="32"/>
        </w:rPr>
        <w:t>鼓励组建有特色、有专长的消防志愿服务队，组织开展消防实践活动。</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（六）消防宣传教育培训建设</w:t>
      </w:r>
    </w:p>
    <w:p>
      <w:pPr>
        <w:adjustRightInd w:val="0"/>
        <w:snapToGrid w:val="0"/>
        <w:spacing w:line="560" w:lineRule="exact"/>
        <w:ind w:firstLine="643" w:firstLineChars="200"/>
        <w:outlineLvl w:val="2"/>
        <w:rPr>
          <w:rFonts w:ascii="楷体_GB2312" w:hAnsi="楷体_GB2312" w:eastAsia="楷体_GB2312" w:cs="楷体_GB2312"/>
          <w:b/>
          <w:bCs/>
          <w:snapToGrid w:val="0"/>
          <w:sz w:val="32"/>
          <w:szCs w:val="32"/>
        </w:rPr>
      </w:pPr>
      <w:r>
        <w:rPr>
          <w:rFonts w:hint="eastAsia" w:ascii="仿宋_GB2312" w:hAnsi="仿宋_GB2312" w:eastAsia="仿宋_GB2312" w:cs="仿宋_GB2312"/>
          <w:b/>
          <w:bCs/>
          <w:sz w:val="32"/>
          <w:szCs w:val="32"/>
        </w:rPr>
        <w:t>17.创新消防宣传方式。</w:t>
      </w:r>
      <w:r>
        <w:rPr>
          <w:rFonts w:hint="eastAsia" w:eastAsia="方正仿宋_GBK"/>
          <w:sz w:val="32"/>
          <w:szCs w:val="32"/>
        </w:rPr>
        <w:t>深入推进消防安全宣传“五进”工作，落实各方消防安全教育职责，推动将消防安全宣传教育纳入文明村镇创建、社会治安综合治理和普法教育、科普推广内容，广泛普及消防知识。</w:t>
      </w:r>
      <w:r>
        <w:rPr>
          <w:rFonts w:hint="eastAsia" w:ascii="仿宋_GB2312" w:hAnsi="仿宋_GB2312" w:eastAsia="仿宋_GB2312" w:cs="仿宋_GB2312"/>
          <w:snapToGrid w:val="0"/>
          <w:sz w:val="32"/>
          <w:szCs w:val="32"/>
        </w:rPr>
        <w:t>推广使用全民消防学习云平台、中国消防志愿者管理平台、各类媒体平台和宣传栏、标语海报、演出活动等，开展贴近基层实际的经常性消防宣传活动。</w:t>
      </w:r>
    </w:p>
    <w:p>
      <w:pPr>
        <w:pStyle w:val="8"/>
        <w:snapToGrid w:val="0"/>
        <w:spacing w:before="0" w:beforeAutospacing="0" w:after="0" w:afterAutospacing="0" w:line="600" w:lineRule="exact"/>
        <w:ind w:firstLine="643" w:firstLineChars="200"/>
        <w:rPr>
          <w:rFonts w:ascii="仿宋_GB2312" w:hAnsi="仿宋_GB2312" w:eastAsia="仿宋_GB2312" w:cs="仿宋_GB2312"/>
          <w:snapToGrid w:val="0"/>
          <w:sz w:val="32"/>
          <w:szCs w:val="32"/>
        </w:rPr>
      </w:pPr>
      <w:r>
        <w:rPr>
          <w:rFonts w:hint="eastAsia" w:ascii="仿宋_GB2312" w:hAnsi="仿宋_GB2312" w:eastAsia="仿宋_GB2312" w:cs="仿宋_GB2312"/>
          <w:b/>
          <w:bCs/>
          <w:sz w:val="32"/>
          <w:szCs w:val="32"/>
          <w:lang w:val="en-US" w:eastAsia="zh-CN" w:bidi="ar-SA"/>
        </w:rPr>
        <w:t>18.加强消防教育培训。</w:t>
      </w:r>
      <w:r>
        <w:rPr>
          <w:rFonts w:hint="eastAsia" w:ascii="仿宋_GB2312" w:hAnsi="仿宋_GB2312" w:eastAsia="仿宋_GB2312" w:cs="仿宋_GB2312"/>
          <w:snapToGrid w:val="0"/>
          <w:sz w:val="32"/>
          <w:szCs w:val="32"/>
        </w:rPr>
        <w:t>鼓励将涉及公共消防安全领域的培训纳入政府购买服务项目内容。加强</w:t>
      </w:r>
      <w:r>
        <w:rPr>
          <w:rFonts w:ascii="仿宋_GB2312" w:hAnsi="仿宋_GB2312" w:eastAsia="仿宋_GB2312" w:cs="仿宋_GB2312"/>
          <w:snapToGrid w:val="0"/>
          <w:sz w:val="32"/>
          <w:szCs w:val="32"/>
        </w:rPr>
        <w:t>村（社区）“两委”</w:t>
      </w:r>
      <w:r>
        <w:rPr>
          <w:rFonts w:hint="eastAsia" w:ascii="仿宋_GB2312" w:hAnsi="仿宋_GB2312" w:eastAsia="仿宋_GB2312" w:cs="仿宋_GB2312"/>
          <w:snapToGrid w:val="0"/>
          <w:sz w:val="32"/>
          <w:szCs w:val="32"/>
        </w:rPr>
        <w:t>成员、网格员、物业管理人员以及人员密集场所负责人消防培训，提高消防安全能力素质。督促乡镇企业单位建立常态化全员消防培训制度，落实入职必训、定期培训、转岗轮训等要求，提升火灾防范意识。积极推进消防救援站实训列入教育教学计划，将全区初一学生全部纳入课程安排。</w:t>
      </w:r>
    </w:p>
    <w:p>
      <w:pPr>
        <w:adjustRightInd w:val="0"/>
        <w:snapToGrid w:val="0"/>
        <w:spacing w:line="560" w:lineRule="exact"/>
        <w:ind w:firstLine="643" w:firstLineChars="200"/>
        <w:outlineLvl w:val="2"/>
        <w:rPr>
          <w:rFonts w:ascii="楷体_GB2312" w:hAnsi="楷体_GB2312" w:eastAsia="楷体_GB2312" w:cs="楷体_GB2312"/>
          <w:b/>
          <w:bCs/>
          <w:snapToGrid w:val="0"/>
          <w:sz w:val="32"/>
          <w:szCs w:val="32"/>
        </w:rPr>
      </w:pPr>
      <w:r>
        <w:rPr>
          <w:rFonts w:hint="eastAsia" w:ascii="仿宋_GB2312" w:hAnsi="仿宋_GB2312" w:eastAsia="仿宋_GB2312" w:cs="仿宋_GB2312"/>
          <w:b/>
          <w:bCs/>
          <w:sz w:val="32"/>
          <w:szCs w:val="32"/>
        </w:rPr>
        <w:t>19.促进消防文化传播。</w:t>
      </w:r>
      <w:r>
        <w:rPr>
          <w:rFonts w:hint="eastAsia" w:ascii="仿宋_GB2312" w:hAnsi="仿宋_GB2312" w:eastAsia="仿宋_GB2312" w:cs="仿宋_GB2312"/>
          <w:snapToGrid w:val="0"/>
          <w:sz w:val="32"/>
          <w:szCs w:val="32"/>
        </w:rPr>
        <w:t>依托各级媒体平台，大力宣扬消防英烈（英模）精神，弘扬消防正能量。创作一批特色鲜明的宣传作品，提升消防宣传水平，营造全社会对消防救援队伍的职业认可与尊重。</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（七）科技信息化水平建设</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20.搭建消防数据体系。</w:t>
      </w:r>
      <w:r>
        <w:rPr>
          <w:rFonts w:hint="eastAsia" w:ascii="仿宋_GB2312" w:hAnsi="仿宋_GB2312" w:eastAsia="仿宋_GB2312" w:cs="仿宋_GB2312"/>
          <w:sz w:val="32"/>
          <w:szCs w:val="32"/>
        </w:rPr>
        <w:t>完善消防“一网统管”平台，做好与属地政府及有关部门数据的横向共享</w:t>
      </w:r>
      <w:r>
        <w:rPr>
          <w:rFonts w:hint="eastAsia" w:ascii="仿宋_GB2312" w:hAnsi="仿宋_GB2312" w:eastAsia="仿宋_GB2312" w:cs="仿宋_GB2312"/>
          <w:b/>
          <w:bCs/>
          <w:sz w:val="32"/>
          <w:szCs w:val="32"/>
        </w:rPr>
        <w:t>。</w:t>
      </w:r>
      <w:r>
        <w:rPr>
          <w:rFonts w:hint="eastAsia" w:ascii="仿宋_GB2312" w:hAnsi="仿宋_GB2312" w:eastAsia="仿宋_GB2312" w:cs="仿宋_GB2312"/>
          <w:sz w:val="32"/>
          <w:szCs w:val="32"/>
        </w:rPr>
        <w:t>升级改造区消防救援支队指挥中心，建强信息收集前端和事件处置末端，实现高效精准感知风险、预警风险、化解风险。</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21.深化智能场景应用。</w:t>
      </w:r>
      <w:r>
        <w:rPr>
          <w:rFonts w:hint="eastAsia" w:ascii="仿宋_GB2312" w:hAnsi="仿宋_GB2312" w:eastAsia="仿宋_GB2312" w:cs="仿宋_GB2312"/>
          <w:sz w:val="32"/>
          <w:szCs w:val="32"/>
        </w:rPr>
        <w:t>助力火灾防控，引入物联网、大数据等技术，打造分布式、广覆盖的物联网平台，实现“三合一”等消防安全防控重点领域物联感知，建立动态监测、融合分析、分色预警、智能推送的消防安全管理闭环。依托 5G、人工智能等前沿科技成果，建设基于“一张图”的智能接处警和智能指挥系统。通过推进“绿色上网管理”“智能安防”等项目建设，逐步实现人、车、物及行为等数据自动采集和全面管控。</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22.加大科技创新力度。</w:t>
      </w:r>
      <w:r>
        <w:rPr>
          <w:rFonts w:hint="eastAsia" w:ascii="仿宋_GB2312" w:hAnsi="仿宋_GB2312" w:eastAsia="仿宋_GB2312" w:cs="仿宋_GB2312"/>
          <w:sz w:val="32"/>
          <w:szCs w:val="32"/>
        </w:rPr>
        <w:t>依托科研院所（机构）、高等院校、高新企业等机构，加强长江隧桥、船舶海洋装备企业等消防救援重点难点对象开展火灾风险防控、综合应急救援等课题攻关。深化器材革新工程，加快推进科技防范和综合救援效能成果转化成实际应用。</w:t>
      </w:r>
    </w:p>
    <w:p>
      <w:pPr>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（八）消防救援队伍建设</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23.壮大救援队伍。</w:t>
      </w:r>
      <w:r>
        <w:rPr>
          <w:rFonts w:hint="eastAsia" w:ascii="仿宋_GB2312" w:hAnsi="仿宋_GB2312" w:eastAsia="仿宋_GB2312" w:cs="仿宋_GB2312"/>
          <w:sz w:val="32"/>
          <w:szCs w:val="32"/>
        </w:rPr>
        <w:t>区消防救援支队政府专职消防员缺配率达到33.2%，“十四五”期间完成300名政府专职消防员招录，补充政府专职消防员执勤力量空缺。</w:t>
      </w:r>
    </w:p>
    <w:p>
      <w:pPr>
        <w:snapToGrid w:val="0"/>
        <w:spacing w:line="560" w:lineRule="exact"/>
        <w:ind w:firstLine="643" w:firstLineChars="200"/>
        <w:jc w:val="left"/>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24.人才队伍建设。</w:t>
      </w:r>
      <w:r>
        <w:rPr>
          <w:rFonts w:hint="eastAsia" w:ascii="仿宋_GB2312" w:hAnsi="仿宋_GB2312" w:eastAsia="仿宋_GB2312" w:cs="仿宋_GB2312"/>
          <w:sz w:val="32"/>
          <w:szCs w:val="32"/>
        </w:rPr>
        <w:t>拓宽培训渠道，抓好在职人员培训、学历提升；建立完善消防宣传工作“专家库”和“资源池”；建强“梯次培育、专业过硬”信息化人才队伍；推行“聚焦实战、以战领训”的体系练兵模式，将集中培训和轮值轮训相结合，锤炼岗位能力。</w:t>
      </w:r>
    </w:p>
    <w:p>
      <w:pPr>
        <w:snapToGrid w:val="0"/>
        <w:spacing w:line="560" w:lineRule="exact"/>
        <w:ind w:firstLine="643" w:firstLineChars="200"/>
        <w:rPr>
          <w:rFonts w:ascii="楷体_GB2312" w:hAnsi="楷体_GB2312" w:eastAsia="楷体_GB2312" w:cs="楷体_GB2312"/>
          <w:b/>
          <w:bCs/>
          <w:sz w:val="32"/>
          <w:szCs w:val="32"/>
        </w:rPr>
      </w:pPr>
      <w:r>
        <w:rPr>
          <w:rFonts w:hint="eastAsia" w:ascii="仿宋_GB2312" w:hAnsi="仿宋_GB2312" w:eastAsia="仿宋_GB2312" w:cs="仿宋_GB2312"/>
          <w:b/>
          <w:bCs/>
          <w:sz w:val="32"/>
          <w:szCs w:val="32"/>
        </w:rPr>
        <w:t>25.消防职业保障。</w:t>
      </w:r>
      <w:r>
        <w:rPr>
          <w:rFonts w:hint="eastAsia" w:ascii="仿宋_GB2312" w:hAnsi="仿宋_GB2312" w:eastAsia="仿宋_GB2312" w:cs="仿宋_GB2312"/>
          <w:sz w:val="32"/>
          <w:szCs w:val="32"/>
        </w:rPr>
        <w:t>关心支持消防救援队伍建设，完善符合消防救援队伍特点的工资待遇、子女入学、家属落户、随调随迁、住房保障、就业就医、重大节日慰问、疗休养等政策。大力开展共建共育活动，全力保障区消防救援队伍正规化、专业化、职业化建设。</w:t>
      </w:r>
      <w:bookmarkEnd w:id="8"/>
      <w:bookmarkEnd w:id="9"/>
      <w:bookmarkEnd w:id="10"/>
      <w:bookmarkEnd w:id="11"/>
      <w:bookmarkEnd w:id="12"/>
      <w:bookmarkEnd w:id="13"/>
      <w:bookmarkEnd w:id="14"/>
      <w:bookmarkEnd w:id="15"/>
      <w:bookmarkEnd w:id="16"/>
    </w:p>
    <w:p>
      <w:pPr>
        <w:spacing w:line="560" w:lineRule="exact"/>
        <w:ind w:firstLine="640" w:firstLineChars="200"/>
        <w:rPr>
          <w:rFonts w:ascii="黑体" w:hAnsi="黑体" w:eastAsia="黑体" w:cs="方正小标宋简体"/>
          <w:sz w:val="32"/>
          <w:szCs w:val="32"/>
        </w:rPr>
      </w:pPr>
      <w:r>
        <w:rPr>
          <w:rFonts w:hint="eastAsia" w:ascii="黑体" w:hAnsi="黑体" w:eastAsia="黑体" w:cs="方正小标宋简体"/>
          <w:sz w:val="32"/>
          <w:szCs w:val="32"/>
        </w:rPr>
        <w:t>五、规划实施与保障</w:t>
      </w:r>
    </w:p>
    <w:p>
      <w:pPr>
        <w:snapToGrid w:val="0"/>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（一）坚持政府主导，强化责任落实</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坚持政府统一领导下的消防工作责任制，各级、各部门要依法落实消防工作责任，充分发挥区消防安全委员会消防工作的组织协调作用，强化消防工作领导，各乡镇政府要将消防规划内容纳入区域经济社会发展规划和各级国土空间规范范畴，统筹协调发展。</w:t>
      </w:r>
    </w:p>
    <w:p>
      <w:pPr>
        <w:snapToGrid w:val="0"/>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（二）加大政策扶持，落实经费保障</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落实消防事业与经济建设和社会发展相同步，各级政府应完善消防业务经费保障标准，提高保障水平，对消防站、消防装备、消防水源、消防通讯建设和火灾隐患排查整治、重大应急救援、多种形式消防队伍、社会消防公益宣传等要安排专项经费，健全经费保障长效机制，切实为本区消防救援队伍发展建设提供强有力的经费保障。</w:t>
      </w:r>
    </w:p>
    <w:p>
      <w:pPr>
        <w:snapToGrid w:val="0"/>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（三）健全工作机制，完善评估考核</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建立健全科学的规划落实评估机制，制定详细的年度实施计划和细则，分解落实规划任务，明确目标和责任，完善规划实施考核机制，保障规划有效实施，将消防规划推进落实纳入领导班子绩效考核，并结合年度消防工作考核，全面规范和检查规划实施效果及各项政策措施落实情况。</w:t>
      </w:r>
    </w:p>
    <w:p>
      <w:pPr>
        <w:snapToGrid w:val="0"/>
        <w:spacing w:line="560" w:lineRule="exact"/>
        <w:ind w:firstLine="643" w:firstLineChars="200"/>
        <w:rPr>
          <w:rFonts w:ascii="楷体" w:hAnsi="楷体" w:eastAsia="楷体" w:cs="黑体"/>
          <w:b/>
          <w:sz w:val="32"/>
          <w:szCs w:val="32"/>
        </w:rPr>
      </w:pPr>
      <w:r>
        <w:rPr>
          <w:rFonts w:hint="eastAsia" w:ascii="楷体" w:hAnsi="楷体" w:eastAsia="楷体" w:cs="黑体"/>
          <w:b/>
          <w:sz w:val="32"/>
          <w:szCs w:val="32"/>
        </w:rPr>
        <w:t>（四）广泛宣传发动，营造实施氛围</w:t>
      </w:r>
    </w:p>
    <w:p>
      <w:pPr>
        <w:snapToGrid w:val="0"/>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深入学习宣传消防事业发展“十四五”规划，领会规划精神和消防事业发展方向，明确工作责任。要开展形式多样的宣传，营造规划实施的良好氛围，促进构建政府统一领导、部门依法监管、单位全面负责、群众积极参与的消防工作格局。</w:t>
      </w:r>
    </w:p>
    <w:p>
      <w:pPr>
        <w:pStyle w:val="6"/>
      </w:pPr>
    </w:p>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pPr>
    </w:p>
    <w:p>
      <w:pPr>
        <w:pStyle w:val="2"/>
        <w:keepNext w:val="0"/>
        <w:keepLines w:val="0"/>
        <w:pageBreakBefore w:val="0"/>
        <w:widowControl w:val="0"/>
        <w:kinsoku/>
        <w:wordWrap/>
        <w:overflowPunct/>
        <w:topLinePunct w:val="0"/>
        <w:autoSpaceDE w:val="0"/>
        <w:autoSpaceDN w:val="0"/>
        <w:bidi w:val="0"/>
        <w:adjustRightInd w:val="0"/>
        <w:snapToGrid/>
        <w:spacing w:line="560" w:lineRule="exact"/>
        <w:textAlignment w:val="auto"/>
        <w:outlineLvl w:val="9"/>
        <w:rPr>
          <w:rFonts w:hint="eastAsia" w:ascii="仿宋_GB2312" w:hAnsi="仿宋_GB2312" w:eastAsia="仿宋_GB2312" w:cs="仿宋_GB2312"/>
          <w:color w:val="auto"/>
          <w:kern w:val="2"/>
          <w:sz w:val="32"/>
          <w:szCs w:val="32"/>
          <w:lang w:val="en-US" w:eastAsia="zh-CN" w:bidi="ar-SA"/>
        </w:rPr>
      </w:pPr>
      <w:bookmarkStart w:id="17" w:name="_GoBack"/>
      <w:bookmarkEnd w:id="17"/>
    </w:p>
    <w:tbl>
      <w:tblPr>
        <w:tblStyle w:val="11"/>
        <w:tblpPr w:leftFromText="180" w:rightFromText="180" w:vertAnchor="text" w:horzAnchor="page" w:tblpX="1615" w:tblpY="606"/>
        <w:tblW w:w="9060" w:type="dxa"/>
        <w:tblInd w:w="0" w:type="dxa"/>
        <w:tblBorders>
          <w:top w:val="single" w:color="auto" w:sz="12" w:space="0"/>
          <w:left w:val="none" w:color="auto" w:sz="0" w:space="0"/>
          <w:bottom w:val="single" w:color="auto" w:sz="12" w:space="0"/>
          <w:right w:val="none" w:color="auto" w:sz="0" w:space="0"/>
          <w:insideH w:val="single" w:color="auto" w:sz="12" w:space="0"/>
          <w:insideV w:val="single" w:color="auto" w:sz="12" w:space="0"/>
        </w:tblBorders>
        <w:tblLayout w:type="fixed"/>
        <w:tblCellMar>
          <w:top w:w="0" w:type="dxa"/>
          <w:left w:w="108" w:type="dxa"/>
          <w:bottom w:w="0" w:type="dxa"/>
          <w:right w:w="108" w:type="dxa"/>
        </w:tblCellMar>
      </w:tblPr>
      <w:tblGrid>
        <w:gridCol w:w="9060"/>
      </w:tblGrid>
      <w:tr>
        <w:tblPrEx>
          <w:tblBorders>
            <w:top w:val="single" w:color="auto" w:sz="12" w:space="0"/>
            <w:left w:val="none" w:color="auto" w:sz="0" w:space="0"/>
            <w:bottom w:val="single" w:color="auto" w:sz="12" w:space="0"/>
            <w:right w:val="none" w:color="auto" w:sz="0" w:space="0"/>
            <w:insideH w:val="single" w:color="auto" w:sz="12" w:space="0"/>
            <w:insideV w:val="single" w:color="auto" w:sz="12" w:space="0"/>
          </w:tblBorders>
          <w:tblLayout w:type="fixed"/>
          <w:tblCellMar>
            <w:top w:w="0" w:type="dxa"/>
            <w:left w:w="108" w:type="dxa"/>
            <w:bottom w:w="0" w:type="dxa"/>
            <w:right w:w="108" w:type="dxa"/>
          </w:tblCellMar>
        </w:tblPrEx>
        <w:tc>
          <w:tcPr>
            <w:tcW w:w="9060" w:type="dxa"/>
            <w:vAlign w:val="center"/>
          </w:tcPr>
          <w:p>
            <w:pPr>
              <w:keepNext w:val="0"/>
              <w:keepLines w:val="0"/>
              <w:pageBreakBefore w:val="0"/>
              <w:kinsoku/>
              <w:wordWrap/>
              <w:overflowPunct/>
              <w:topLinePunct w:val="0"/>
              <w:autoSpaceDE/>
              <w:autoSpaceDN/>
              <w:bidi w:val="0"/>
              <w:adjustRightInd/>
              <w:snapToGrid/>
              <w:spacing w:line="600" w:lineRule="exact"/>
              <w:ind w:firstLine="140" w:firstLineChars="50"/>
              <w:textAlignment w:val="auto"/>
              <w:rPr>
                <w:rFonts w:hint="eastAsia" w:ascii="仿宋_GB2312"/>
                <w:sz w:val="28"/>
                <w:szCs w:val="28"/>
              </w:rPr>
            </w:pPr>
            <w:r>
              <w:rPr>
                <w:rFonts w:hint="eastAsia" w:ascii="仿宋_GB2312" w:hAnsi="仿宋_GB2312" w:eastAsia="仿宋_GB2312" w:cs="仿宋_GB2312"/>
                <w:sz w:val="28"/>
                <w:szCs w:val="28"/>
              </w:rPr>
              <w:t xml:space="preserve">上海市崇明区安全生产委员会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w:t>
            </w:r>
            <w:r>
              <w:rPr>
                <w:rFonts w:hint="eastAsia" w:ascii="仿宋_GB2312" w:hAnsi="仿宋_GB2312" w:eastAsia="仿宋_GB2312" w:cs="仿宋_GB2312"/>
                <w:sz w:val="28"/>
                <w:szCs w:val="28"/>
                <w:lang w:val="en-US" w:eastAsia="zh-CN"/>
              </w:rPr>
              <w:t xml:space="preserve">     </w:t>
            </w:r>
            <w:r>
              <w:rPr>
                <w:rFonts w:hint="eastAsia" w:ascii="仿宋_GB2312" w:hAnsi="仿宋_GB2312" w:eastAsia="仿宋_GB2312" w:cs="仿宋_GB2312"/>
                <w:sz w:val="28"/>
                <w:szCs w:val="28"/>
              </w:rPr>
              <w:t xml:space="preserve"> 20</w:t>
            </w:r>
            <w:r>
              <w:rPr>
                <w:rFonts w:hint="eastAsia" w:ascii="仿宋_GB2312" w:hAnsi="仿宋_GB2312" w:eastAsia="仿宋_GB2312" w:cs="仿宋_GB2312"/>
                <w:sz w:val="28"/>
                <w:szCs w:val="28"/>
                <w:lang w:val="en-US" w:eastAsia="zh-CN"/>
              </w:rPr>
              <w:t>21</w:t>
            </w:r>
            <w:r>
              <w:rPr>
                <w:rFonts w:hint="eastAsia" w:ascii="仿宋_GB2312" w:hAnsi="仿宋_GB2312" w:eastAsia="仿宋_GB2312" w:cs="仿宋_GB2312"/>
                <w:sz w:val="28"/>
                <w:szCs w:val="28"/>
              </w:rPr>
              <w:t>年</w:t>
            </w:r>
            <w:r>
              <w:rPr>
                <w:rFonts w:hint="eastAsia" w:ascii="仿宋_GB2312" w:hAnsi="仿宋_GB2312" w:eastAsia="仿宋_GB2312" w:cs="仿宋_GB2312"/>
                <w:sz w:val="28"/>
                <w:szCs w:val="28"/>
                <w:lang w:val="en-US" w:eastAsia="zh-CN"/>
              </w:rPr>
              <w:t>12</w:t>
            </w:r>
            <w:r>
              <w:rPr>
                <w:rFonts w:hint="eastAsia" w:ascii="仿宋_GB2312" w:hAnsi="仿宋_GB2312" w:eastAsia="仿宋_GB2312" w:cs="仿宋_GB2312"/>
                <w:sz w:val="28"/>
                <w:szCs w:val="28"/>
              </w:rPr>
              <w:t>月</w:t>
            </w:r>
            <w:r>
              <w:rPr>
                <w:rFonts w:hint="eastAsia" w:ascii="仿宋_GB2312" w:hAnsi="仿宋_GB2312" w:eastAsia="仿宋_GB2312" w:cs="仿宋_GB2312"/>
                <w:sz w:val="28"/>
                <w:szCs w:val="28"/>
                <w:lang w:val="en-US" w:eastAsia="zh-CN"/>
              </w:rPr>
              <w:t>8</w:t>
            </w:r>
            <w:r>
              <w:rPr>
                <w:rFonts w:hint="eastAsia" w:ascii="仿宋_GB2312" w:hAnsi="仿宋_GB2312" w:eastAsia="仿宋_GB2312" w:cs="仿宋_GB2312"/>
                <w:sz w:val="28"/>
                <w:szCs w:val="28"/>
              </w:rPr>
              <w:t>日印发</w:t>
            </w:r>
          </w:p>
        </w:tc>
      </w:tr>
    </w:tbl>
    <w:p>
      <w:pPr>
        <w:pStyle w:val="2"/>
        <w:keepNext w:val="0"/>
        <w:keepLines w:val="0"/>
        <w:pageBreakBefore w:val="0"/>
        <w:widowControl w:val="0"/>
        <w:kinsoku/>
        <w:wordWrap/>
        <w:overflowPunct/>
        <w:topLinePunct w:val="0"/>
        <w:autoSpaceDE w:val="0"/>
        <w:autoSpaceDN w:val="0"/>
        <w:bidi w:val="0"/>
        <w:adjustRightInd w:val="0"/>
        <w:snapToGrid/>
        <w:spacing w:line="560" w:lineRule="exact"/>
        <w:textAlignment w:val="auto"/>
        <w:outlineLvl w:val="9"/>
        <w:rPr>
          <w:rFonts w:hint="eastAsia" w:ascii="仿宋_GB2312" w:hAnsi="仿宋_GB2312" w:eastAsia="仿宋_GB2312" w:cs="仿宋_GB2312"/>
          <w:color w:val="auto"/>
          <w:kern w:val="2"/>
          <w:sz w:val="32"/>
          <w:szCs w:val="32"/>
          <w:lang w:val="en-US" w:eastAsia="zh-CN" w:bidi="ar-SA"/>
        </w:rPr>
      </w:pPr>
      <w:r>
        <w:rPr>
          <w:rFonts w:hint="eastAsia" w:ascii="仿宋_GB2312" w:hAnsi="仿宋_GB2312" w:eastAsia="仿宋_GB2312" w:cs="仿宋_GB2312"/>
          <w:color w:val="auto"/>
          <w:kern w:val="2"/>
          <w:sz w:val="32"/>
          <w:szCs w:val="32"/>
          <w:lang w:val="en-US" w:eastAsia="zh-CN" w:bidi="ar-SA"/>
        </w:rPr>
        <w:t>（信息公开形式：主动公开）</w:t>
      </w:r>
    </w:p>
    <w:sectPr>
      <w:footerReference r:id="rId3" w:type="default"/>
      <w:pgSz w:w="11906" w:h="16838"/>
      <w:pgMar w:top="2098" w:right="1474" w:bottom="1984" w:left="1587" w:header="851" w:footer="992" w:gutter="0"/>
      <w:pgNumType w:fmt="numberInDash"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BEDC8FCA-9171-4B3B-B20B-5646CCAE0FC2}"/>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2" w:fontKey="{72700A78-8E82-4EB9-ABC5-4752983DC0AF}"/>
  </w:font>
  <w:font w:name="*SimHei-5594">
    <w:altName w:val="宋体"/>
    <w:panose1 w:val="00000000000000000000"/>
    <w:charset w:val="86"/>
    <w:family w:val="swiss"/>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embedRegular r:id="rId3" w:fontKey="{D996F357-D4BB-4F6D-9113-0E4AAB1CF3A7}"/>
  </w:font>
  <w:font w:name="方正小标宋简体">
    <w:panose1 w:val="03000509000000000000"/>
    <w:charset w:val="86"/>
    <w:family w:val="script"/>
    <w:pitch w:val="default"/>
    <w:sig w:usb0="00000001" w:usb1="080E0000" w:usb2="00000000" w:usb3="00000000" w:csb0="00040000" w:csb1="00000000"/>
    <w:embedRegular r:id="rId4" w:fontKey="{6770480E-E8F5-4F89-918F-28C44157B197}"/>
  </w:font>
  <w:font w:name="Times">
    <w:altName w:val="Times New Roman"/>
    <w:panose1 w:val="02020603050405020304"/>
    <w:charset w:val="00"/>
    <w:family w:val="roman"/>
    <w:pitch w:val="default"/>
    <w:sig w:usb0="00000000" w:usb1="00000000" w:usb2="00000009" w:usb3="00000000" w:csb0="000001FF" w:csb1="00000000"/>
    <w:embedRegular r:id="rId5" w:fontKey="{1E850829-263C-4AE6-8744-8BFD235F4DC4}"/>
  </w:font>
  <w:font w:name="方正大标宋简体">
    <w:panose1 w:val="02010601030101010101"/>
    <w:charset w:val="86"/>
    <w:family w:val="auto"/>
    <w:pitch w:val="default"/>
    <w:sig w:usb0="00000000" w:usb1="00000000" w:usb2="00000000" w:usb3="00000000" w:csb0="00000000" w:csb1="00000000"/>
    <w:embedRegular r:id="rId6" w:fontKey="{C6266304-889A-4DE9-A1F2-D98BC88D81ED}"/>
  </w:font>
  <w:font w:name="楷体_GB2312">
    <w:panose1 w:val="02010609030101010101"/>
    <w:charset w:val="86"/>
    <w:family w:val="modern"/>
    <w:pitch w:val="default"/>
    <w:sig w:usb0="00000001" w:usb1="080E0000" w:usb2="00000000" w:usb3="00000000" w:csb0="00040000" w:csb1="00000000"/>
    <w:embedRegular r:id="rId7" w:fontKey="{39A61797-5B5F-4948-9A97-5FD14E6DEC21}"/>
  </w:font>
  <w:font w:name="楷体">
    <w:panose1 w:val="02010609060101010101"/>
    <w:charset w:val="86"/>
    <w:family w:val="modern"/>
    <w:pitch w:val="default"/>
    <w:sig w:usb0="800002BF" w:usb1="38CF7CFA" w:usb2="00000016" w:usb3="00000000" w:csb0="00040001" w:csb1="00000000"/>
    <w:embedRegular r:id="rId8" w:fontKey="{9F34C2A4-AF53-4237-A8A0-70E8B7518D6F}"/>
  </w:font>
  <w:font w:name="仿宋">
    <w:panose1 w:val="02010609060101010101"/>
    <w:charset w:val="86"/>
    <w:family w:val="modern"/>
    <w:pitch w:val="default"/>
    <w:sig w:usb0="800002BF" w:usb1="38CF7CFA" w:usb2="00000016" w:usb3="00000000" w:csb0="00040001" w:csb1="00000000"/>
    <w:embedRegular r:id="rId9" w:fontKey="{C28318F7-65AD-4115-958F-0F2E6574A52D}"/>
  </w:font>
  <w:font w:name="Microsoft JhengHei">
    <w:panose1 w:val="020B0604030504040204"/>
    <w:charset w:val="88"/>
    <w:family w:val="swiss"/>
    <w:pitch w:val="default"/>
    <w:sig w:usb0="00000087" w:usb1="28AF4000" w:usb2="00000016" w:usb3="00000000" w:csb0="00100009" w:csb1="00000000"/>
    <w:embedRegular r:id="rId10" w:fontKey="{51F7CE02-A6A7-4A61-8A31-0958D655BA04}"/>
  </w:font>
  <w:font w:name="方正仿宋_GBK">
    <w:panose1 w:val="02000000000000000000"/>
    <w:charset w:val="86"/>
    <w:family w:val="auto"/>
    <w:pitch w:val="default"/>
    <w:sig w:usb0="00000000" w:usb1="00000000" w:usb2="00000000" w:usb3="00000000" w:csb0="00000000" w:csb1="00000000"/>
    <w:embedRegular r:id="rId11" w:fontKey="{5A8DE7FB-507C-4ADB-BB0D-6A7E89FFAE4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825439822"/>
      <w:docPartObj>
        <w:docPartGallery w:val="autotext"/>
      </w:docPartObj>
    </w:sdtPr>
    <w:sdtEndPr>
      <w:rPr>
        <w:rFonts w:hint="eastAsia" w:ascii="仿宋_GB2312" w:eastAsia="仿宋_GB2312"/>
        <w:sz w:val="32"/>
        <w:szCs w:val="32"/>
      </w:rPr>
    </w:sdtEndPr>
    <w:sdtContent>
      <w:p>
        <w:pPr>
          <w:pStyle w:val="6"/>
          <w:jc w:val="center"/>
          <w:rPr>
            <w:rFonts w:ascii="仿宋_GB2312" w:eastAsia="仿宋_GB2312"/>
            <w:sz w:val="32"/>
            <w:szCs w:val="32"/>
          </w:rPr>
        </w:pPr>
        <w:r>
          <w:rPr>
            <w:rFonts w:hint="eastAsia" w:ascii="仿宋_GB2312" w:eastAsia="仿宋_GB2312"/>
            <w:sz w:val="32"/>
            <w:szCs w:val="32"/>
          </w:rPr>
          <w:fldChar w:fldCharType="begin"/>
        </w:r>
        <w:r>
          <w:rPr>
            <w:rFonts w:hint="eastAsia" w:ascii="仿宋_GB2312" w:eastAsia="仿宋_GB2312"/>
            <w:sz w:val="32"/>
            <w:szCs w:val="32"/>
          </w:rPr>
          <w:instrText xml:space="preserve">PAGE   \* MERGEFORMAT</w:instrText>
        </w:r>
        <w:r>
          <w:rPr>
            <w:rFonts w:hint="eastAsia" w:ascii="仿宋_GB2312" w:eastAsia="仿宋_GB2312"/>
            <w:sz w:val="32"/>
            <w:szCs w:val="32"/>
          </w:rPr>
          <w:fldChar w:fldCharType="separate"/>
        </w:r>
        <w:r>
          <w:rPr>
            <w:rFonts w:ascii="仿宋_GB2312" w:eastAsia="仿宋_GB2312"/>
            <w:sz w:val="32"/>
            <w:szCs w:val="32"/>
            <w:lang w:val="zh-CN"/>
          </w:rPr>
          <w:t>-</w:t>
        </w:r>
        <w:r>
          <w:rPr>
            <w:rFonts w:ascii="仿宋_GB2312" w:eastAsia="仿宋_GB2312"/>
            <w:sz w:val="32"/>
            <w:szCs w:val="32"/>
          </w:rPr>
          <w:t xml:space="preserve"> 8 -</w:t>
        </w:r>
        <w:r>
          <w:rPr>
            <w:rFonts w:hint="eastAsia" w:ascii="仿宋_GB2312" w:eastAsia="仿宋_GB2312"/>
            <w:sz w:val="32"/>
            <w:szCs w:val="32"/>
          </w:rPr>
          <w:fldChar w:fldCharType="end"/>
        </w:r>
      </w:p>
    </w:sdtContent>
  </w:sdt>
  <w:p>
    <w:pPr>
      <w:pStyle w:val="6"/>
      <w:rPr>
        <w:rFonts w:ascii="仿宋_GB2312" w:eastAsia="仿宋_GB2312"/>
        <w:sz w:val="32"/>
        <w:szCs w:val="32"/>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790F"/>
    <w:rsid w:val="00041CA2"/>
    <w:rsid w:val="00045860"/>
    <w:rsid w:val="00047579"/>
    <w:rsid w:val="00047C2A"/>
    <w:rsid w:val="00073374"/>
    <w:rsid w:val="0008722D"/>
    <w:rsid w:val="000E096D"/>
    <w:rsid w:val="000E2366"/>
    <w:rsid w:val="00127DAF"/>
    <w:rsid w:val="00130ABB"/>
    <w:rsid w:val="00171C04"/>
    <w:rsid w:val="00177A5A"/>
    <w:rsid w:val="00196556"/>
    <w:rsid w:val="001A6971"/>
    <w:rsid w:val="001B332A"/>
    <w:rsid w:val="001C7708"/>
    <w:rsid w:val="001D3E16"/>
    <w:rsid w:val="002221A7"/>
    <w:rsid w:val="00232F23"/>
    <w:rsid w:val="00234B6B"/>
    <w:rsid w:val="00237D70"/>
    <w:rsid w:val="002B637D"/>
    <w:rsid w:val="00300B25"/>
    <w:rsid w:val="00306244"/>
    <w:rsid w:val="00350143"/>
    <w:rsid w:val="00365EEE"/>
    <w:rsid w:val="0038713F"/>
    <w:rsid w:val="003E7B2F"/>
    <w:rsid w:val="0040062C"/>
    <w:rsid w:val="00437552"/>
    <w:rsid w:val="004573B9"/>
    <w:rsid w:val="004820FF"/>
    <w:rsid w:val="004E515B"/>
    <w:rsid w:val="004F2C16"/>
    <w:rsid w:val="00506CC1"/>
    <w:rsid w:val="00560F4C"/>
    <w:rsid w:val="005855A3"/>
    <w:rsid w:val="0058648A"/>
    <w:rsid w:val="005B5035"/>
    <w:rsid w:val="005D41DE"/>
    <w:rsid w:val="005F26AD"/>
    <w:rsid w:val="005F55BD"/>
    <w:rsid w:val="006934E6"/>
    <w:rsid w:val="006E2DE2"/>
    <w:rsid w:val="006F1371"/>
    <w:rsid w:val="006F3908"/>
    <w:rsid w:val="00706145"/>
    <w:rsid w:val="007115F9"/>
    <w:rsid w:val="00752CDA"/>
    <w:rsid w:val="00774546"/>
    <w:rsid w:val="00786E34"/>
    <w:rsid w:val="007B5856"/>
    <w:rsid w:val="007D790F"/>
    <w:rsid w:val="007E524B"/>
    <w:rsid w:val="0081651B"/>
    <w:rsid w:val="00827ADA"/>
    <w:rsid w:val="00832160"/>
    <w:rsid w:val="00837016"/>
    <w:rsid w:val="00842BFE"/>
    <w:rsid w:val="0084315C"/>
    <w:rsid w:val="00860305"/>
    <w:rsid w:val="008A3836"/>
    <w:rsid w:val="009150F8"/>
    <w:rsid w:val="00970608"/>
    <w:rsid w:val="00993488"/>
    <w:rsid w:val="009B445A"/>
    <w:rsid w:val="009E022C"/>
    <w:rsid w:val="009F222D"/>
    <w:rsid w:val="00A02357"/>
    <w:rsid w:val="00A075E6"/>
    <w:rsid w:val="00A46057"/>
    <w:rsid w:val="00A619D7"/>
    <w:rsid w:val="00A7465A"/>
    <w:rsid w:val="00A74ADD"/>
    <w:rsid w:val="00A82ED0"/>
    <w:rsid w:val="00A87F4E"/>
    <w:rsid w:val="00AC3EBC"/>
    <w:rsid w:val="00B65908"/>
    <w:rsid w:val="00B72814"/>
    <w:rsid w:val="00B82750"/>
    <w:rsid w:val="00B96392"/>
    <w:rsid w:val="00BB2D00"/>
    <w:rsid w:val="00C16336"/>
    <w:rsid w:val="00C8529B"/>
    <w:rsid w:val="00CB0B40"/>
    <w:rsid w:val="00CB7D2A"/>
    <w:rsid w:val="00CD3056"/>
    <w:rsid w:val="00CE4671"/>
    <w:rsid w:val="00CF0753"/>
    <w:rsid w:val="00CF28A7"/>
    <w:rsid w:val="00D20C27"/>
    <w:rsid w:val="00D210C5"/>
    <w:rsid w:val="00D25C47"/>
    <w:rsid w:val="00D658B4"/>
    <w:rsid w:val="00D92B6E"/>
    <w:rsid w:val="00E06ECF"/>
    <w:rsid w:val="00E10F8A"/>
    <w:rsid w:val="00E141F7"/>
    <w:rsid w:val="00E31DDA"/>
    <w:rsid w:val="00E3497C"/>
    <w:rsid w:val="00E3687E"/>
    <w:rsid w:val="00E659EB"/>
    <w:rsid w:val="00E9731C"/>
    <w:rsid w:val="00EF033C"/>
    <w:rsid w:val="00EF3107"/>
    <w:rsid w:val="00F02E00"/>
    <w:rsid w:val="00F25F94"/>
    <w:rsid w:val="00F44309"/>
    <w:rsid w:val="00F614F4"/>
    <w:rsid w:val="00F83210"/>
    <w:rsid w:val="00F90342"/>
    <w:rsid w:val="00F90A59"/>
    <w:rsid w:val="00FA2236"/>
    <w:rsid w:val="00FB2DBF"/>
    <w:rsid w:val="00FE709B"/>
    <w:rsid w:val="00FF7DB8"/>
    <w:rsid w:val="24491075"/>
    <w:rsid w:val="2786150E"/>
    <w:rsid w:val="369E6DAF"/>
    <w:rsid w:val="3A693A3D"/>
    <w:rsid w:val="46005446"/>
    <w:rsid w:val="56545F69"/>
    <w:rsid w:val="56923A44"/>
    <w:rsid w:val="59E040A1"/>
    <w:rsid w:val="62513A26"/>
    <w:rsid w:val="63200A19"/>
    <w:rsid w:val="72A12E1F"/>
    <w:rsid w:val="75157F83"/>
    <w:rsid w:val="7923201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jc w:val="both"/>
    </w:pPr>
    <w:rPr>
      <w:rFonts w:ascii="Times New Roman" w:hAnsi="Times New Roman" w:eastAsia="宋体" w:cs="Times New Roman"/>
      <w:sz w:val="21"/>
      <w:szCs w:val="21"/>
      <w:lang w:val="en-US" w:eastAsia="zh-CN" w:bidi="ar-SA"/>
    </w:rPr>
  </w:style>
  <w:style w:type="character" w:default="1" w:styleId="9">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customStyle="1" w:styleId="2">
    <w:name w:val="Default"/>
    <w:unhideWhenUsed/>
    <w:qFormat/>
    <w:uiPriority w:val="0"/>
    <w:pPr>
      <w:widowControl w:val="0"/>
      <w:autoSpaceDE w:val="0"/>
      <w:autoSpaceDN w:val="0"/>
      <w:adjustRightInd w:val="0"/>
    </w:pPr>
    <w:rPr>
      <w:rFonts w:hint="eastAsia" w:ascii="*SimHei-5594" w:hAnsi="Calibri" w:eastAsia="*SimHei-5594" w:cs="Times New Roman"/>
      <w:color w:val="000000"/>
      <w:sz w:val="24"/>
      <w:lang w:val="en-US" w:eastAsia="zh-CN" w:bidi="ar-SA"/>
    </w:rPr>
  </w:style>
  <w:style w:type="paragraph" w:styleId="3">
    <w:name w:val="annotation subject"/>
    <w:basedOn w:val="4"/>
    <w:next w:val="4"/>
    <w:link w:val="14"/>
    <w:qFormat/>
    <w:uiPriority w:val="0"/>
    <w:rPr>
      <w:b/>
      <w:bCs/>
    </w:rPr>
  </w:style>
  <w:style w:type="paragraph" w:styleId="4">
    <w:name w:val="annotation text"/>
    <w:basedOn w:val="1"/>
    <w:link w:val="13"/>
    <w:qFormat/>
    <w:uiPriority w:val="0"/>
    <w:pPr>
      <w:jc w:val="left"/>
    </w:pPr>
  </w:style>
  <w:style w:type="paragraph" w:styleId="5">
    <w:name w:val="Balloon Text"/>
    <w:basedOn w:val="1"/>
    <w:link w:val="15"/>
    <w:qFormat/>
    <w:uiPriority w:val="0"/>
    <w:rPr>
      <w:sz w:val="18"/>
      <w:szCs w:val="18"/>
    </w:rPr>
  </w:style>
  <w:style w:type="paragraph" w:styleId="6">
    <w:name w:val="footer"/>
    <w:basedOn w:val="1"/>
    <w:next w:val="1"/>
    <w:link w:val="17"/>
    <w:qFormat/>
    <w:uiPriority w:val="99"/>
    <w:pPr>
      <w:tabs>
        <w:tab w:val="center" w:pos="4153"/>
        <w:tab w:val="right" w:pos="8306"/>
      </w:tabs>
      <w:snapToGrid w:val="0"/>
      <w:jc w:val="left"/>
    </w:pPr>
    <w:rPr>
      <w:sz w:val="18"/>
      <w:szCs w:val="18"/>
    </w:rPr>
  </w:style>
  <w:style w:type="paragraph" w:styleId="7">
    <w:name w:val="header"/>
    <w:basedOn w:val="1"/>
    <w:link w:val="16"/>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widowControl w:val="0"/>
      <w:spacing w:before="100" w:beforeAutospacing="1" w:after="100" w:afterAutospacing="1"/>
      <w:jc w:val="left"/>
    </w:pPr>
    <w:rPr>
      <w:rFonts w:ascii="Calibri" w:hAnsi="Calibri"/>
      <w:sz w:val="24"/>
      <w:szCs w:val="24"/>
    </w:rPr>
  </w:style>
  <w:style w:type="character" w:styleId="10">
    <w:name w:val="annotation reference"/>
    <w:basedOn w:val="9"/>
    <w:qFormat/>
    <w:uiPriority w:val="0"/>
    <w:rPr>
      <w:sz w:val="21"/>
      <w:szCs w:val="21"/>
    </w:rPr>
  </w:style>
  <w:style w:type="paragraph" w:styleId="12">
    <w:name w:val="No Spacing"/>
    <w:qFormat/>
    <w:uiPriority w:val="1"/>
    <w:pPr>
      <w:widowControl w:val="0"/>
      <w:jc w:val="both"/>
    </w:pPr>
    <w:rPr>
      <w:rFonts w:ascii="Calibri" w:hAnsi="Calibri" w:eastAsia="宋体" w:cs="Times New Roman"/>
      <w:kern w:val="2"/>
      <w:sz w:val="21"/>
      <w:szCs w:val="22"/>
      <w:lang w:val="en-US" w:eastAsia="zh-CN" w:bidi="ar-SA"/>
    </w:rPr>
  </w:style>
  <w:style w:type="character" w:customStyle="1" w:styleId="13">
    <w:name w:val="批注文字 Char"/>
    <w:basedOn w:val="9"/>
    <w:link w:val="4"/>
    <w:qFormat/>
    <w:uiPriority w:val="0"/>
    <w:rPr>
      <w:rFonts w:ascii="Times New Roman" w:hAnsi="Times New Roman" w:eastAsia="宋体" w:cs="Times New Roman"/>
      <w:sz w:val="21"/>
      <w:szCs w:val="21"/>
    </w:rPr>
  </w:style>
  <w:style w:type="character" w:customStyle="1" w:styleId="14">
    <w:name w:val="批注主题 Char"/>
    <w:basedOn w:val="13"/>
    <w:link w:val="3"/>
    <w:qFormat/>
    <w:uiPriority w:val="0"/>
    <w:rPr>
      <w:rFonts w:ascii="Times New Roman" w:hAnsi="Times New Roman" w:eastAsia="宋体" w:cs="Times New Roman"/>
      <w:b/>
      <w:bCs/>
      <w:sz w:val="21"/>
      <w:szCs w:val="21"/>
    </w:rPr>
  </w:style>
  <w:style w:type="character" w:customStyle="1" w:styleId="15">
    <w:name w:val="批注框文本 Char"/>
    <w:basedOn w:val="9"/>
    <w:link w:val="5"/>
    <w:qFormat/>
    <w:uiPriority w:val="0"/>
    <w:rPr>
      <w:rFonts w:ascii="Times New Roman" w:hAnsi="Times New Roman" w:eastAsia="宋体" w:cs="Times New Roman"/>
      <w:sz w:val="18"/>
      <w:szCs w:val="18"/>
    </w:rPr>
  </w:style>
  <w:style w:type="character" w:customStyle="1" w:styleId="16">
    <w:name w:val="页眉 Char"/>
    <w:basedOn w:val="9"/>
    <w:link w:val="7"/>
    <w:qFormat/>
    <w:uiPriority w:val="0"/>
    <w:rPr>
      <w:rFonts w:ascii="Times New Roman" w:hAnsi="Times New Roman" w:eastAsia="宋体" w:cs="Times New Roman"/>
      <w:sz w:val="18"/>
      <w:szCs w:val="18"/>
    </w:rPr>
  </w:style>
  <w:style w:type="character" w:customStyle="1" w:styleId="17">
    <w:name w:val="页脚 Char"/>
    <w:basedOn w:val="9"/>
    <w:link w:val="6"/>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15</Pages>
  <Words>1180</Words>
  <Characters>6728</Characters>
  <Lines>56</Lines>
  <Paragraphs>15</Paragraphs>
  <TotalTime>0</TotalTime>
  <ScaleCrop>false</ScaleCrop>
  <LinksUpToDate>false</LinksUpToDate>
  <CharactersWithSpaces>7893</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2021-11-18T01:05:00Z</dcterms:created>
  <dc:creator>Administrator</dc:creator>
  <cp:lastModifiedBy>Administrator</cp:lastModifiedBy>
  <cp:lastPrinted>2021-12-01T11:55:00Z</cp:lastPrinted>
  <dcterms:modified xsi:type="dcterms:W3CDTF">2021-12-08T07:07:54Z</dcterms:modified>
  <cp:revision>78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y fmtid="{D5CDD505-2E9C-101B-9397-08002B2CF9AE}" pid="3" name="ICV">
    <vt:lpwstr>C0F177A49F7441C2B0E41452BCA22F73</vt:lpwstr>
  </property>
</Properties>
</file>