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overflowPunct w:val="0"/>
        <w:adjustRightInd w:val="0"/>
        <w:snapToGrid w:val="0"/>
        <w:rPr>
          <w:rFonts w:ascii="黑体" w:eastAsia="黑体"/>
          <w:szCs w:val="30"/>
        </w:rPr>
      </w:pPr>
      <w:r>
        <w:rPr>
          <w:rFonts w:hint="eastAsia" w:ascii="黑体" w:eastAsia="黑体"/>
          <w:szCs w:val="30"/>
        </w:rPr>
        <w:t>附件2</w:t>
      </w:r>
    </w:p>
    <w:p>
      <w:pPr>
        <w:tabs>
          <w:tab w:val="left" w:pos="790"/>
        </w:tabs>
        <w:overflowPunct w:val="0"/>
        <w:adjustRightInd w:val="0"/>
        <w:snapToGrid w:val="0"/>
        <w:jc w:val="center"/>
        <w:rPr>
          <w:rFonts w:ascii="方正小标宋简体" w:hAnsi="宋体" w:eastAsia="方正小标宋简体"/>
          <w:sz w:val="44"/>
          <w:szCs w:val="44"/>
        </w:rPr>
      </w:pPr>
      <w:r>
        <w:rPr>
          <w:rFonts w:hint="eastAsia" w:ascii="方正小标宋简体" w:hAnsi="宋体" w:eastAsia="方正小标宋简体"/>
          <w:sz w:val="44"/>
          <w:szCs w:val="44"/>
        </w:rPr>
        <w:t>市场监管部门无证经营活动查处依据目录（2019版）</w:t>
      </w:r>
    </w:p>
    <w:p>
      <w:pPr>
        <w:tabs>
          <w:tab w:val="left" w:pos="790"/>
          <w:tab w:val="left" w:pos="1264"/>
        </w:tabs>
        <w:overflowPunct w:val="0"/>
        <w:adjustRightInd w:val="0"/>
        <w:snapToGrid w:val="0"/>
        <w:rPr>
          <w:rFonts w:hAnsi="宋体"/>
          <w:sz w:val="24"/>
          <w:szCs w:val="24"/>
        </w:rPr>
      </w:pPr>
    </w:p>
    <w:tbl>
      <w:tblPr>
        <w:tblStyle w:val="2"/>
        <w:tblW w:w="12874"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57" w:type="dxa"/>
          <w:bottom w:w="0" w:type="dxa"/>
          <w:right w:w="57" w:type="dxa"/>
        </w:tblCellMar>
      </w:tblPr>
      <w:tblGrid>
        <w:gridCol w:w="566"/>
        <w:gridCol w:w="1134"/>
        <w:gridCol w:w="1134"/>
        <w:gridCol w:w="3889"/>
        <w:gridCol w:w="3823"/>
        <w:gridCol w:w="2328"/>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cantSplit/>
          <w:trHeight w:val="454" w:hRule="atLeast"/>
          <w:tblHeader/>
          <w:jc w:val="center"/>
        </w:trPr>
        <w:tc>
          <w:tcPr>
            <w:tcW w:w="566" w:type="dxa"/>
            <w:vAlign w:val="center"/>
          </w:tcPr>
          <w:p>
            <w:pPr>
              <w:tabs>
                <w:tab w:val="left" w:pos="790"/>
                <w:tab w:val="left" w:pos="1264"/>
              </w:tabs>
              <w:overflowPunct w:val="0"/>
              <w:adjustRightInd w:val="0"/>
              <w:snapToGrid w:val="0"/>
              <w:ind w:left="-57" w:right="-57"/>
              <w:jc w:val="center"/>
              <w:rPr>
                <w:rFonts w:ascii="黑体" w:hAnsi="黑体" w:eastAsia="黑体"/>
                <w:sz w:val="24"/>
                <w:szCs w:val="24"/>
              </w:rPr>
            </w:pPr>
            <w:r>
              <w:rPr>
                <w:rFonts w:hint="eastAsia" w:ascii="黑体" w:hAnsi="黑体" w:eastAsia="黑体"/>
                <w:sz w:val="24"/>
                <w:szCs w:val="24"/>
              </w:rPr>
              <w:t>序号</w:t>
            </w:r>
          </w:p>
        </w:tc>
        <w:tc>
          <w:tcPr>
            <w:tcW w:w="1134" w:type="dxa"/>
            <w:vAlign w:val="center"/>
          </w:tcPr>
          <w:p>
            <w:pPr>
              <w:tabs>
                <w:tab w:val="left" w:pos="790"/>
                <w:tab w:val="left" w:pos="1264"/>
              </w:tabs>
              <w:overflowPunct w:val="0"/>
              <w:adjustRightInd w:val="0"/>
              <w:snapToGrid w:val="0"/>
              <w:jc w:val="center"/>
              <w:rPr>
                <w:rFonts w:ascii="黑体" w:hAnsi="黑体" w:eastAsia="黑体"/>
                <w:sz w:val="24"/>
                <w:szCs w:val="24"/>
              </w:rPr>
            </w:pPr>
            <w:r>
              <w:rPr>
                <w:rFonts w:hint="eastAsia" w:ascii="黑体" w:hAnsi="黑体" w:eastAsia="黑体"/>
                <w:sz w:val="24"/>
                <w:szCs w:val="24"/>
              </w:rPr>
              <w:t>案由</w:t>
            </w:r>
          </w:p>
        </w:tc>
        <w:tc>
          <w:tcPr>
            <w:tcW w:w="1134" w:type="dxa"/>
            <w:vAlign w:val="center"/>
          </w:tcPr>
          <w:p>
            <w:pPr>
              <w:tabs>
                <w:tab w:val="left" w:pos="790"/>
                <w:tab w:val="left" w:pos="1264"/>
              </w:tabs>
              <w:overflowPunct w:val="0"/>
              <w:adjustRightInd w:val="0"/>
              <w:snapToGrid w:val="0"/>
              <w:jc w:val="center"/>
              <w:rPr>
                <w:rFonts w:ascii="黑体" w:hAnsi="黑体" w:eastAsia="黑体"/>
                <w:sz w:val="24"/>
                <w:szCs w:val="24"/>
              </w:rPr>
            </w:pPr>
            <w:r>
              <w:rPr>
                <w:rFonts w:hint="eastAsia" w:ascii="黑体" w:hAnsi="黑体" w:eastAsia="黑体"/>
                <w:sz w:val="24"/>
                <w:szCs w:val="24"/>
              </w:rPr>
              <w:t>无证无照项目</w:t>
            </w:r>
          </w:p>
        </w:tc>
        <w:tc>
          <w:tcPr>
            <w:tcW w:w="3889" w:type="dxa"/>
            <w:vAlign w:val="center"/>
          </w:tcPr>
          <w:p>
            <w:pPr>
              <w:tabs>
                <w:tab w:val="left" w:pos="790"/>
                <w:tab w:val="left" w:pos="1264"/>
              </w:tabs>
              <w:overflowPunct w:val="0"/>
              <w:adjustRightInd w:val="0"/>
              <w:snapToGrid w:val="0"/>
              <w:jc w:val="center"/>
              <w:rPr>
                <w:rFonts w:ascii="黑体" w:hAnsi="黑体" w:eastAsia="黑体"/>
                <w:sz w:val="24"/>
                <w:szCs w:val="24"/>
              </w:rPr>
            </w:pPr>
            <w:r>
              <w:rPr>
                <w:rFonts w:hint="eastAsia" w:ascii="黑体" w:hAnsi="黑体" w:eastAsia="黑体"/>
                <w:sz w:val="24"/>
                <w:szCs w:val="24"/>
              </w:rPr>
              <w:t>无证无照查处依据</w:t>
            </w:r>
          </w:p>
        </w:tc>
        <w:tc>
          <w:tcPr>
            <w:tcW w:w="3823" w:type="dxa"/>
            <w:vAlign w:val="center"/>
          </w:tcPr>
          <w:p>
            <w:pPr>
              <w:tabs>
                <w:tab w:val="left" w:pos="790"/>
                <w:tab w:val="left" w:pos="1264"/>
              </w:tabs>
              <w:overflowPunct w:val="0"/>
              <w:adjustRightInd w:val="0"/>
              <w:snapToGrid w:val="0"/>
              <w:jc w:val="center"/>
              <w:rPr>
                <w:rFonts w:ascii="黑体" w:hAnsi="黑体" w:eastAsia="黑体"/>
                <w:sz w:val="24"/>
                <w:szCs w:val="24"/>
              </w:rPr>
            </w:pPr>
            <w:r>
              <w:rPr>
                <w:rFonts w:hint="eastAsia" w:ascii="黑体" w:hAnsi="黑体" w:eastAsia="黑体"/>
                <w:sz w:val="24"/>
                <w:szCs w:val="24"/>
              </w:rPr>
              <w:t>行政处罚依据</w:t>
            </w:r>
          </w:p>
        </w:tc>
        <w:tc>
          <w:tcPr>
            <w:tcW w:w="2328" w:type="dxa"/>
            <w:vAlign w:val="center"/>
          </w:tcPr>
          <w:p>
            <w:pPr>
              <w:tabs>
                <w:tab w:val="left" w:pos="790"/>
                <w:tab w:val="left" w:pos="1264"/>
              </w:tabs>
              <w:overflowPunct w:val="0"/>
              <w:adjustRightInd w:val="0"/>
              <w:snapToGrid w:val="0"/>
              <w:jc w:val="center"/>
              <w:rPr>
                <w:rFonts w:ascii="黑体" w:hAnsi="黑体" w:eastAsia="黑体"/>
                <w:sz w:val="24"/>
                <w:szCs w:val="24"/>
              </w:rPr>
            </w:pPr>
            <w:r>
              <w:rPr>
                <w:rFonts w:hint="eastAsia" w:ascii="黑体" w:hAnsi="黑体" w:eastAsia="黑体"/>
                <w:sz w:val="24"/>
                <w:szCs w:val="24"/>
              </w:rPr>
              <w:t>业务科室</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cantSplit/>
          <w:trHeight w:val="5306" w:hRule="atLeast"/>
          <w:jc w:val="center"/>
        </w:trPr>
        <w:tc>
          <w:tcPr>
            <w:tcW w:w="566" w:type="dxa"/>
            <w:vAlign w:val="center"/>
          </w:tcPr>
          <w:p>
            <w:pPr>
              <w:tabs>
                <w:tab w:val="left" w:pos="790"/>
                <w:tab w:val="left" w:pos="1264"/>
              </w:tabs>
              <w:overflowPunct w:val="0"/>
              <w:adjustRightInd w:val="0"/>
              <w:snapToGrid w:val="0"/>
              <w:jc w:val="center"/>
              <w:rPr>
                <w:rFonts w:hAnsi="宋体"/>
                <w:sz w:val="24"/>
                <w:szCs w:val="24"/>
              </w:rPr>
            </w:pPr>
            <w:r>
              <w:rPr>
                <w:rFonts w:hint="eastAsia" w:hAnsi="宋体"/>
                <w:sz w:val="24"/>
                <w:szCs w:val="24"/>
              </w:rPr>
              <w:t>1</w:t>
            </w:r>
          </w:p>
        </w:tc>
        <w:tc>
          <w:tcPr>
            <w:tcW w:w="1134" w:type="dxa"/>
            <w:vAlign w:val="center"/>
          </w:tcPr>
          <w:p>
            <w:pPr>
              <w:tabs>
                <w:tab w:val="left" w:pos="790"/>
                <w:tab w:val="left" w:pos="1264"/>
              </w:tabs>
              <w:overflowPunct w:val="0"/>
              <w:adjustRightInd w:val="0"/>
              <w:snapToGrid w:val="0"/>
              <w:jc w:val="center"/>
              <w:rPr>
                <w:rFonts w:hAnsi="宋体"/>
                <w:sz w:val="24"/>
                <w:szCs w:val="24"/>
              </w:rPr>
            </w:pPr>
            <w:r>
              <w:rPr>
                <w:rFonts w:hint="eastAsia" w:hAnsi="宋体"/>
                <w:sz w:val="24"/>
                <w:szCs w:val="24"/>
              </w:rPr>
              <w:t>无证生产特殊食品</w:t>
            </w:r>
          </w:p>
        </w:tc>
        <w:tc>
          <w:tcPr>
            <w:tcW w:w="1134" w:type="dxa"/>
            <w:vMerge w:val="restart"/>
            <w:vAlign w:val="center"/>
          </w:tcPr>
          <w:p>
            <w:pPr>
              <w:tabs>
                <w:tab w:val="left" w:pos="790"/>
                <w:tab w:val="left" w:pos="1264"/>
              </w:tabs>
              <w:overflowPunct w:val="0"/>
              <w:adjustRightInd w:val="0"/>
              <w:snapToGrid w:val="0"/>
              <w:jc w:val="center"/>
              <w:rPr>
                <w:rFonts w:hAnsi="宋体"/>
                <w:sz w:val="24"/>
                <w:szCs w:val="24"/>
              </w:rPr>
            </w:pPr>
            <w:r>
              <w:rPr>
                <w:rFonts w:hint="eastAsia" w:hAnsi="宋体"/>
                <w:sz w:val="24"/>
                <w:szCs w:val="24"/>
              </w:rPr>
              <w:t>食品生产许可证</w:t>
            </w:r>
          </w:p>
        </w:tc>
        <w:tc>
          <w:tcPr>
            <w:tcW w:w="3889" w:type="dxa"/>
            <w:vAlign w:val="center"/>
          </w:tcPr>
          <w:p>
            <w:pPr>
              <w:tabs>
                <w:tab w:val="left" w:pos="790"/>
                <w:tab w:val="left" w:pos="1264"/>
              </w:tabs>
              <w:overflowPunct w:val="0"/>
              <w:adjustRightInd w:val="0"/>
              <w:snapToGrid w:val="0"/>
              <w:rPr>
                <w:rFonts w:hAnsi="宋体"/>
                <w:sz w:val="24"/>
                <w:szCs w:val="24"/>
              </w:rPr>
            </w:pPr>
            <w:r>
              <w:rPr>
                <w:rFonts w:hint="eastAsia" w:hAnsi="宋体"/>
                <w:sz w:val="24"/>
                <w:szCs w:val="24"/>
              </w:rPr>
              <w:t>《食品安全法》第三十五条</w:t>
            </w:r>
          </w:p>
          <w:p>
            <w:pPr>
              <w:tabs>
                <w:tab w:val="left" w:pos="790"/>
                <w:tab w:val="left" w:pos="1264"/>
              </w:tabs>
              <w:overflowPunct w:val="0"/>
              <w:adjustRightInd w:val="0"/>
              <w:snapToGrid w:val="0"/>
              <w:rPr>
                <w:rFonts w:hAnsi="宋体"/>
                <w:sz w:val="24"/>
                <w:szCs w:val="24"/>
              </w:rPr>
            </w:pPr>
            <w:r>
              <w:rPr>
                <w:rFonts w:hint="eastAsia" w:hAnsi="宋体"/>
                <w:sz w:val="24"/>
                <w:szCs w:val="24"/>
              </w:rPr>
              <w:t>国家对食品生产经营实行许可制度。从事食品生产、食品销售、餐饮服务，应当依法取得许可。但是，销售食用农产品，不需要取得许可。</w:t>
            </w:r>
          </w:p>
          <w:p>
            <w:pPr>
              <w:tabs>
                <w:tab w:val="left" w:pos="790"/>
                <w:tab w:val="left" w:pos="1264"/>
              </w:tabs>
              <w:overflowPunct w:val="0"/>
              <w:adjustRightInd w:val="0"/>
              <w:snapToGrid w:val="0"/>
              <w:rPr>
                <w:rFonts w:hAnsi="宋体"/>
                <w:sz w:val="24"/>
                <w:szCs w:val="24"/>
              </w:rPr>
            </w:pPr>
            <w:r>
              <w:rPr>
                <w:rFonts w:hint="eastAsia" w:hAnsi="宋体"/>
                <w:sz w:val="24"/>
                <w:szCs w:val="24"/>
              </w:rPr>
              <w:t>《食品生产许可管理办法》第七条</w:t>
            </w:r>
          </w:p>
          <w:p>
            <w:pPr>
              <w:tabs>
                <w:tab w:val="left" w:pos="790"/>
                <w:tab w:val="left" w:pos="1264"/>
              </w:tabs>
              <w:overflowPunct w:val="0"/>
              <w:adjustRightInd w:val="0"/>
              <w:snapToGrid w:val="0"/>
              <w:rPr>
                <w:rFonts w:hAnsi="宋体"/>
                <w:sz w:val="24"/>
                <w:szCs w:val="24"/>
              </w:rPr>
            </w:pPr>
            <w:r>
              <w:rPr>
                <w:rFonts w:hint="eastAsia" w:hAnsi="宋体"/>
                <w:sz w:val="24"/>
                <w:szCs w:val="24"/>
              </w:rPr>
              <w:t>省、自治区、直辖市食品药品监督管理部门可以根据食品类别和食品安全风险状况，确定市、县级食品药品监督管理部门的食品生产许可管理权限。保健食品、特殊医学用途配方食品、婴幼儿配方食品的生产许可由省、自治区、直辖市食品药品监督管理部门负责。</w:t>
            </w:r>
          </w:p>
        </w:tc>
        <w:tc>
          <w:tcPr>
            <w:tcW w:w="3823" w:type="dxa"/>
            <w:vAlign w:val="center"/>
          </w:tcPr>
          <w:p>
            <w:pPr>
              <w:tabs>
                <w:tab w:val="left" w:pos="790"/>
                <w:tab w:val="left" w:pos="1264"/>
              </w:tabs>
              <w:overflowPunct w:val="0"/>
              <w:adjustRightInd w:val="0"/>
              <w:snapToGrid w:val="0"/>
              <w:rPr>
                <w:rFonts w:hAnsi="宋体"/>
                <w:sz w:val="24"/>
                <w:szCs w:val="24"/>
              </w:rPr>
            </w:pPr>
            <w:r>
              <w:rPr>
                <w:rFonts w:hint="eastAsia" w:hAnsi="宋体"/>
                <w:sz w:val="24"/>
                <w:szCs w:val="24"/>
              </w:rPr>
              <w:t>《食品安全法》一百二十二条</w:t>
            </w:r>
          </w:p>
          <w:p>
            <w:pPr>
              <w:tabs>
                <w:tab w:val="left" w:pos="790"/>
                <w:tab w:val="left" w:pos="1264"/>
              </w:tabs>
              <w:overflowPunct w:val="0"/>
              <w:adjustRightInd w:val="0"/>
              <w:snapToGrid w:val="0"/>
              <w:rPr>
                <w:rFonts w:hAnsi="宋体"/>
                <w:sz w:val="24"/>
                <w:szCs w:val="24"/>
              </w:rPr>
            </w:pPr>
            <w:r>
              <w:rPr>
                <w:rFonts w:hAnsi="宋体"/>
                <w:sz w:val="24"/>
                <w:szCs w:val="24"/>
              </w:rPr>
              <w:t>违反本法规定，未取得食品生产经营许可从事食品生产经营活动，或者未取得食品添加剂生产许可从事食品添加剂生产活动的，由县级以上人民政府食品药品监督管理部门没收违法所得和违法生产经营的食品、食品添加剂以及用于违法生产经营的工具、设备、原料等物品；违法生产经营的食品、食品添加剂货值金额不足一万元的，并处五万元以上十万元以下罚款；货值金额一万元以上的，并处货值金额十倍以上二十倍以下罚款。</w:t>
            </w:r>
          </w:p>
        </w:tc>
        <w:tc>
          <w:tcPr>
            <w:tcW w:w="2328" w:type="dxa"/>
            <w:vAlign w:val="center"/>
          </w:tcPr>
          <w:p>
            <w:pPr>
              <w:tabs>
                <w:tab w:val="left" w:pos="790"/>
                <w:tab w:val="left" w:pos="1264"/>
              </w:tabs>
              <w:overflowPunct w:val="0"/>
              <w:adjustRightInd w:val="0"/>
              <w:snapToGrid w:val="0"/>
              <w:jc w:val="center"/>
              <w:rPr>
                <w:rFonts w:hAnsi="宋体"/>
                <w:sz w:val="24"/>
                <w:szCs w:val="24"/>
              </w:rPr>
            </w:pPr>
            <w:r>
              <w:rPr>
                <w:rFonts w:hint="eastAsia" w:hAnsi="宋体"/>
                <w:sz w:val="24"/>
                <w:szCs w:val="24"/>
              </w:rPr>
              <w:t>食品生产监督管理科</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cantSplit/>
          <w:trHeight w:val="4031" w:hRule="atLeast"/>
          <w:jc w:val="center"/>
        </w:trPr>
        <w:tc>
          <w:tcPr>
            <w:tcW w:w="566" w:type="dxa"/>
            <w:vAlign w:val="center"/>
          </w:tcPr>
          <w:p>
            <w:pPr>
              <w:tabs>
                <w:tab w:val="left" w:pos="790"/>
                <w:tab w:val="left" w:pos="1264"/>
              </w:tabs>
              <w:overflowPunct w:val="0"/>
              <w:adjustRightInd w:val="0"/>
              <w:snapToGrid w:val="0"/>
              <w:jc w:val="center"/>
              <w:rPr>
                <w:rFonts w:hAnsi="宋体"/>
                <w:sz w:val="24"/>
                <w:szCs w:val="24"/>
              </w:rPr>
            </w:pPr>
            <w:r>
              <w:rPr>
                <w:rFonts w:hint="eastAsia" w:hAnsi="宋体"/>
                <w:sz w:val="24"/>
                <w:szCs w:val="24"/>
              </w:rPr>
              <w:t>2</w:t>
            </w:r>
          </w:p>
        </w:tc>
        <w:tc>
          <w:tcPr>
            <w:tcW w:w="1134" w:type="dxa"/>
            <w:vAlign w:val="center"/>
          </w:tcPr>
          <w:p>
            <w:pPr>
              <w:tabs>
                <w:tab w:val="left" w:pos="790"/>
                <w:tab w:val="left" w:pos="1264"/>
              </w:tabs>
              <w:overflowPunct w:val="0"/>
              <w:adjustRightInd w:val="0"/>
              <w:snapToGrid w:val="0"/>
              <w:jc w:val="center"/>
              <w:rPr>
                <w:rFonts w:hAnsi="宋体"/>
                <w:sz w:val="24"/>
                <w:szCs w:val="24"/>
              </w:rPr>
            </w:pPr>
            <w:r>
              <w:rPr>
                <w:rFonts w:hint="eastAsia" w:hAnsi="宋体"/>
                <w:sz w:val="24"/>
                <w:szCs w:val="24"/>
              </w:rPr>
              <w:t>无证生产普通食品</w:t>
            </w:r>
          </w:p>
        </w:tc>
        <w:tc>
          <w:tcPr>
            <w:tcW w:w="1134" w:type="dxa"/>
            <w:vMerge w:val="continue"/>
            <w:vAlign w:val="center"/>
          </w:tcPr>
          <w:p>
            <w:pPr>
              <w:tabs>
                <w:tab w:val="left" w:pos="790"/>
                <w:tab w:val="left" w:pos="1264"/>
              </w:tabs>
              <w:overflowPunct w:val="0"/>
              <w:adjustRightInd w:val="0"/>
              <w:snapToGrid w:val="0"/>
              <w:jc w:val="center"/>
              <w:rPr>
                <w:rFonts w:hAnsi="宋体"/>
                <w:sz w:val="24"/>
                <w:szCs w:val="24"/>
              </w:rPr>
            </w:pPr>
          </w:p>
        </w:tc>
        <w:tc>
          <w:tcPr>
            <w:tcW w:w="3889" w:type="dxa"/>
            <w:vAlign w:val="center"/>
          </w:tcPr>
          <w:p>
            <w:pPr>
              <w:tabs>
                <w:tab w:val="left" w:pos="790"/>
                <w:tab w:val="left" w:pos="1264"/>
              </w:tabs>
              <w:overflowPunct w:val="0"/>
              <w:adjustRightInd w:val="0"/>
              <w:snapToGrid w:val="0"/>
              <w:spacing w:line="280" w:lineRule="exact"/>
              <w:rPr>
                <w:rFonts w:hAnsi="宋体"/>
                <w:sz w:val="24"/>
                <w:szCs w:val="24"/>
              </w:rPr>
            </w:pPr>
            <w:r>
              <w:rPr>
                <w:rFonts w:hint="eastAsia" w:hAnsi="宋体"/>
                <w:sz w:val="24"/>
                <w:szCs w:val="24"/>
              </w:rPr>
              <w:t>《食品安全法》第三十五条</w:t>
            </w:r>
          </w:p>
          <w:p>
            <w:pPr>
              <w:tabs>
                <w:tab w:val="left" w:pos="790"/>
                <w:tab w:val="left" w:pos="1264"/>
              </w:tabs>
              <w:overflowPunct w:val="0"/>
              <w:adjustRightInd w:val="0"/>
              <w:snapToGrid w:val="0"/>
              <w:spacing w:line="280" w:lineRule="exact"/>
              <w:rPr>
                <w:rFonts w:hAnsi="宋体"/>
                <w:sz w:val="24"/>
                <w:szCs w:val="24"/>
              </w:rPr>
            </w:pPr>
            <w:r>
              <w:rPr>
                <w:rFonts w:hint="eastAsia" w:hAnsi="宋体"/>
                <w:sz w:val="24"/>
                <w:szCs w:val="24"/>
              </w:rPr>
              <w:t>国家对食品生产经营实行许可制度。从事食品生产、食品销售、餐饮服务，应当依法取得许可。但是，销售食用农产品，不需要取得许可。</w:t>
            </w:r>
          </w:p>
          <w:p>
            <w:pPr>
              <w:tabs>
                <w:tab w:val="left" w:pos="790"/>
                <w:tab w:val="left" w:pos="1264"/>
              </w:tabs>
              <w:overflowPunct w:val="0"/>
              <w:adjustRightInd w:val="0"/>
              <w:snapToGrid w:val="0"/>
              <w:spacing w:line="280" w:lineRule="exact"/>
              <w:rPr>
                <w:rFonts w:hAnsi="宋体"/>
                <w:sz w:val="24"/>
                <w:szCs w:val="24"/>
              </w:rPr>
            </w:pPr>
            <w:r>
              <w:rPr>
                <w:rFonts w:hint="eastAsia" w:hAnsi="宋体"/>
                <w:sz w:val="24"/>
                <w:szCs w:val="24"/>
              </w:rPr>
              <w:t>《食品生产许可管理办法》第七条</w:t>
            </w:r>
          </w:p>
          <w:p>
            <w:pPr>
              <w:tabs>
                <w:tab w:val="left" w:pos="790"/>
                <w:tab w:val="left" w:pos="1264"/>
              </w:tabs>
              <w:overflowPunct w:val="0"/>
              <w:adjustRightInd w:val="0"/>
              <w:snapToGrid w:val="0"/>
              <w:spacing w:line="280" w:lineRule="exact"/>
              <w:rPr>
                <w:rFonts w:hAnsi="宋体"/>
                <w:sz w:val="24"/>
                <w:szCs w:val="24"/>
              </w:rPr>
            </w:pPr>
            <w:r>
              <w:rPr>
                <w:rFonts w:hint="eastAsia" w:hAnsi="宋体"/>
                <w:sz w:val="24"/>
                <w:szCs w:val="24"/>
              </w:rPr>
              <w:t>省、自治区、直辖市食品药品监督管理部门可以根据食品类别和食品安全风险状况，确定市、县级食品药品监督管理部门的食品生产许可管理权限。保健食品、特殊医学用途配方食品、婴幼儿配方食品的生产许可由省、自治区、直辖市食品药品监督管理部门负责。</w:t>
            </w:r>
          </w:p>
        </w:tc>
        <w:tc>
          <w:tcPr>
            <w:tcW w:w="3823" w:type="dxa"/>
            <w:vAlign w:val="center"/>
          </w:tcPr>
          <w:p>
            <w:pPr>
              <w:tabs>
                <w:tab w:val="left" w:pos="790"/>
                <w:tab w:val="left" w:pos="1264"/>
              </w:tabs>
              <w:overflowPunct w:val="0"/>
              <w:adjustRightInd w:val="0"/>
              <w:snapToGrid w:val="0"/>
              <w:spacing w:line="280" w:lineRule="exact"/>
              <w:rPr>
                <w:rFonts w:hAnsi="宋体"/>
                <w:sz w:val="24"/>
                <w:szCs w:val="24"/>
              </w:rPr>
            </w:pPr>
            <w:r>
              <w:rPr>
                <w:rFonts w:hint="eastAsia" w:hAnsi="宋体"/>
                <w:sz w:val="24"/>
                <w:szCs w:val="24"/>
              </w:rPr>
              <w:t>《食品安全法》一百二十二条</w:t>
            </w:r>
          </w:p>
          <w:p>
            <w:pPr>
              <w:tabs>
                <w:tab w:val="left" w:pos="790"/>
                <w:tab w:val="left" w:pos="1264"/>
              </w:tabs>
              <w:overflowPunct w:val="0"/>
              <w:adjustRightInd w:val="0"/>
              <w:snapToGrid w:val="0"/>
              <w:spacing w:line="280" w:lineRule="exact"/>
              <w:rPr>
                <w:rFonts w:hAnsi="宋体"/>
                <w:sz w:val="24"/>
                <w:szCs w:val="24"/>
              </w:rPr>
            </w:pPr>
            <w:r>
              <w:rPr>
                <w:rFonts w:hAnsi="宋体"/>
                <w:sz w:val="24"/>
                <w:szCs w:val="24"/>
              </w:rPr>
              <w:t>违反本法规定，未取得食品生产经营许可从事食品生产经营活动，或者未取得食品添加剂生产许可从事食品添加剂生产活动的，由县级以上人民政府食品药品监督管理部门没收违法所得和违法生产经营的食品、食品添加剂以及用于违法生产经营的工具、设备、原料等物品；违法生产经营的食品、食品添加剂货值金额不足一万元的，并处五万元以上十万元以下罚款；货值金额一万元以上的，并</w:t>
            </w:r>
            <w:r>
              <w:rPr>
                <w:rFonts w:hAnsi="宋体"/>
                <w:spacing w:val="-8"/>
                <w:sz w:val="24"/>
                <w:szCs w:val="24"/>
              </w:rPr>
              <w:t>处货值金额十倍以上二十倍以下罚款。</w:t>
            </w:r>
          </w:p>
        </w:tc>
        <w:tc>
          <w:tcPr>
            <w:tcW w:w="2328" w:type="dxa"/>
            <w:vAlign w:val="center"/>
          </w:tcPr>
          <w:p>
            <w:pPr>
              <w:tabs>
                <w:tab w:val="left" w:pos="790"/>
                <w:tab w:val="left" w:pos="1264"/>
              </w:tabs>
              <w:overflowPunct w:val="0"/>
              <w:adjustRightInd w:val="0"/>
              <w:snapToGrid w:val="0"/>
              <w:jc w:val="center"/>
              <w:rPr>
                <w:rFonts w:hAnsi="宋体"/>
                <w:sz w:val="24"/>
                <w:szCs w:val="24"/>
              </w:rPr>
            </w:pPr>
            <w:r>
              <w:rPr>
                <w:rFonts w:hAnsi="宋体"/>
                <w:sz w:val="24"/>
                <w:szCs w:val="24"/>
              </w:rPr>
              <w:t>食品生产监督管理科</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cantSplit/>
          <w:trHeight w:val="4116" w:hRule="atLeast"/>
          <w:jc w:val="center"/>
        </w:trPr>
        <w:tc>
          <w:tcPr>
            <w:tcW w:w="566" w:type="dxa"/>
            <w:vAlign w:val="center"/>
          </w:tcPr>
          <w:p>
            <w:pPr>
              <w:tabs>
                <w:tab w:val="left" w:pos="790"/>
                <w:tab w:val="left" w:pos="1264"/>
              </w:tabs>
              <w:overflowPunct w:val="0"/>
              <w:adjustRightInd w:val="0"/>
              <w:snapToGrid w:val="0"/>
              <w:jc w:val="center"/>
              <w:rPr>
                <w:rFonts w:hAnsi="宋体"/>
                <w:sz w:val="24"/>
                <w:szCs w:val="24"/>
              </w:rPr>
            </w:pPr>
            <w:r>
              <w:rPr>
                <w:rFonts w:hint="eastAsia" w:hAnsi="宋体"/>
                <w:sz w:val="24"/>
                <w:szCs w:val="24"/>
              </w:rPr>
              <w:t>3</w:t>
            </w:r>
          </w:p>
        </w:tc>
        <w:tc>
          <w:tcPr>
            <w:tcW w:w="1134" w:type="dxa"/>
            <w:vAlign w:val="center"/>
          </w:tcPr>
          <w:p>
            <w:pPr>
              <w:tabs>
                <w:tab w:val="left" w:pos="790"/>
                <w:tab w:val="left" w:pos="1264"/>
              </w:tabs>
              <w:overflowPunct w:val="0"/>
              <w:adjustRightInd w:val="0"/>
              <w:snapToGrid w:val="0"/>
              <w:jc w:val="center"/>
              <w:rPr>
                <w:rFonts w:hAnsi="宋体"/>
                <w:sz w:val="24"/>
                <w:szCs w:val="24"/>
              </w:rPr>
            </w:pPr>
            <w:r>
              <w:rPr>
                <w:rFonts w:hint="eastAsia" w:hAnsi="宋体"/>
                <w:sz w:val="24"/>
                <w:szCs w:val="24"/>
              </w:rPr>
              <w:t>无证食品生产加工小作坊</w:t>
            </w:r>
          </w:p>
        </w:tc>
        <w:tc>
          <w:tcPr>
            <w:tcW w:w="1134" w:type="dxa"/>
            <w:vAlign w:val="center"/>
          </w:tcPr>
          <w:p>
            <w:pPr>
              <w:tabs>
                <w:tab w:val="left" w:pos="790"/>
                <w:tab w:val="left" w:pos="1264"/>
              </w:tabs>
              <w:overflowPunct w:val="0"/>
              <w:adjustRightInd w:val="0"/>
              <w:snapToGrid w:val="0"/>
              <w:jc w:val="center"/>
              <w:rPr>
                <w:rFonts w:hAnsi="宋体"/>
                <w:sz w:val="24"/>
                <w:szCs w:val="24"/>
              </w:rPr>
            </w:pPr>
            <w:r>
              <w:rPr>
                <w:rFonts w:hint="eastAsia" w:hAnsi="宋体"/>
                <w:sz w:val="24"/>
                <w:szCs w:val="24"/>
              </w:rPr>
              <w:t>食品生产加工小作坊准许生产证</w:t>
            </w:r>
          </w:p>
        </w:tc>
        <w:tc>
          <w:tcPr>
            <w:tcW w:w="3889" w:type="dxa"/>
            <w:vAlign w:val="center"/>
          </w:tcPr>
          <w:p>
            <w:pPr>
              <w:tabs>
                <w:tab w:val="left" w:pos="790"/>
                <w:tab w:val="left" w:pos="1264"/>
              </w:tabs>
              <w:overflowPunct w:val="0"/>
              <w:adjustRightInd w:val="0"/>
              <w:snapToGrid w:val="0"/>
              <w:rPr>
                <w:rFonts w:hAnsi="宋体"/>
                <w:sz w:val="24"/>
                <w:szCs w:val="24"/>
              </w:rPr>
            </w:pPr>
            <w:r>
              <w:rPr>
                <w:rFonts w:hint="eastAsia" w:hAnsi="宋体"/>
                <w:sz w:val="24"/>
                <w:szCs w:val="24"/>
              </w:rPr>
              <w:t>《上海市食品安全条例》第五十八条第一款</w:t>
            </w:r>
          </w:p>
          <w:p>
            <w:pPr>
              <w:tabs>
                <w:tab w:val="left" w:pos="790"/>
                <w:tab w:val="left" w:pos="1264"/>
              </w:tabs>
              <w:overflowPunct w:val="0"/>
              <w:adjustRightInd w:val="0"/>
              <w:snapToGrid w:val="0"/>
              <w:rPr>
                <w:rFonts w:hAnsi="宋体"/>
                <w:sz w:val="24"/>
                <w:szCs w:val="24"/>
              </w:rPr>
            </w:pPr>
            <w:r>
              <w:rPr>
                <w:rFonts w:hint="eastAsia" w:hAnsi="宋体"/>
                <w:sz w:val="24"/>
                <w:szCs w:val="24"/>
              </w:rPr>
              <w:t>本市对食品生产加工小作坊实行准许生产制度。设立食品生产加工小作坊的，应当符合本条例第五十七条规定的条件，并向所在地的区市场监督管理部门申领《食品生产加工小作坊准许生产证》。</w:t>
            </w:r>
          </w:p>
        </w:tc>
        <w:tc>
          <w:tcPr>
            <w:tcW w:w="3823" w:type="dxa"/>
            <w:vAlign w:val="center"/>
          </w:tcPr>
          <w:p>
            <w:pPr>
              <w:tabs>
                <w:tab w:val="left" w:pos="790"/>
                <w:tab w:val="left" w:pos="1264"/>
              </w:tabs>
              <w:overflowPunct w:val="0"/>
              <w:adjustRightInd w:val="0"/>
              <w:snapToGrid w:val="0"/>
              <w:spacing w:line="280" w:lineRule="exact"/>
              <w:rPr>
                <w:rFonts w:hAnsi="宋体"/>
                <w:sz w:val="24"/>
                <w:szCs w:val="24"/>
              </w:rPr>
            </w:pPr>
            <w:r>
              <w:rPr>
                <w:rFonts w:hint="eastAsia" w:hAnsi="宋体"/>
                <w:sz w:val="24"/>
                <w:szCs w:val="24"/>
              </w:rPr>
              <w:t>《上海市食品安全条例》第一百零四条第一款</w:t>
            </w:r>
          </w:p>
          <w:p>
            <w:pPr>
              <w:tabs>
                <w:tab w:val="left" w:pos="790"/>
                <w:tab w:val="left" w:pos="1264"/>
              </w:tabs>
              <w:overflowPunct w:val="0"/>
              <w:adjustRightInd w:val="0"/>
              <w:snapToGrid w:val="0"/>
              <w:spacing w:line="280" w:lineRule="exact"/>
              <w:rPr>
                <w:rFonts w:hAnsi="宋体"/>
                <w:sz w:val="24"/>
                <w:szCs w:val="24"/>
              </w:rPr>
            </w:pPr>
            <w:r>
              <w:rPr>
                <w:rFonts w:hint="eastAsia" w:hAnsi="宋体"/>
                <w:sz w:val="24"/>
                <w:szCs w:val="24"/>
              </w:rPr>
              <w:t>违反本条例第五十八条第三款规定，食品生产加工小作坊未取得准许生产证或者超出准许生产的食品品种范围，从事食品生产加工活动的，由市食品药品监督管理部门或者区市场监督管理部门没收违法所得、违法生产加工的食品和用于违法生产加工的工具、设备、原料等物品；违法生产加工的食品货值金额不足一万元的，并处五万元以上十万元以下罚款；货值金额一万元以上的，并处货值金额十倍以上二十倍以下罚款。</w:t>
            </w:r>
          </w:p>
        </w:tc>
        <w:tc>
          <w:tcPr>
            <w:tcW w:w="2328" w:type="dxa"/>
            <w:vAlign w:val="center"/>
          </w:tcPr>
          <w:p>
            <w:pPr>
              <w:tabs>
                <w:tab w:val="left" w:pos="790"/>
                <w:tab w:val="left" w:pos="1264"/>
              </w:tabs>
              <w:overflowPunct w:val="0"/>
              <w:adjustRightInd w:val="0"/>
              <w:snapToGrid w:val="0"/>
              <w:jc w:val="center"/>
              <w:rPr>
                <w:rFonts w:hAnsi="宋体"/>
                <w:sz w:val="24"/>
                <w:szCs w:val="24"/>
              </w:rPr>
            </w:pPr>
            <w:r>
              <w:rPr>
                <w:rFonts w:hAnsi="宋体"/>
                <w:sz w:val="24"/>
                <w:szCs w:val="24"/>
              </w:rPr>
              <w:t>食品生产监督管理科</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cantSplit/>
          <w:trHeight w:val="4173" w:hRule="atLeast"/>
          <w:jc w:val="center"/>
        </w:trPr>
        <w:tc>
          <w:tcPr>
            <w:tcW w:w="566" w:type="dxa"/>
            <w:vAlign w:val="center"/>
          </w:tcPr>
          <w:p>
            <w:pPr>
              <w:tabs>
                <w:tab w:val="left" w:pos="790"/>
                <w:tab w:val="left" w:pos="1264"/>
              </w:tabs>
              <w:overflowPunct w:val="0"/>
              <w:adjustRightInd w:val="0"/>
              <w:snapToGrid w:val="0"/>
              <w:jc w:val="center"/>
              <w:rPr>
                <w:rFonts w:hAnsi="宋体"/>
                <w:sz w:val="24"/>
                <w:szCs w:val="24"/>
              </w:rPr>
            </w:pPr>
            <w:r>
              <w:rPr>
                <w:rFonts w:hint="eastAsia" w:hAnsi="宋体"/>
                <w:sz w:val="24"/>
                <w:szCs w:val="24"/>
              </w:rPr>
              <w:t>4</w:t>
            </w:r>
          </w:p>
        </w:tc>
        <w:tc>
          <w:tcPr>
            <w:tcW w:w="1134" w:type="dxa"/>
            <w:vAlign w:val="center"/>
          </w:tcPr>
          <w:p>
            <w:pPr>
              <w:tabs>
                <w:tab w:val="left" w:pos="790"/>
                <w:tab w:val="left" w:pos="1264"/>
              </w:tabs>
              <w:overflowPunct w:val="0"/>
              <w:adjustRightInd w:val="0"/>
              <w:snapToGrid w:val="0"/>
              <w:jc w:val="center"/>
              <w:rPr>
                <w:rFonts w:hAnsi="宋体"/>
                <w:sz w:val="24"/>
                <w:szCs w:val="24"/>
              </w:rPr>
            </w:pPr>
            <w:r>
              <w:rPr>
                <w:rFonts w:hint="eastAsia" w:hAnsi="宋体"/>
                <w:sz w:val="24"/>
                <w:szCs w:val="24"/>
              </w:rPr>
              <w:t>无证销售特殊食品</w:t>
            </w:r>
          </w:p>
        </w:tc>
        <w:tc>
          <w:tcPr>
            <w:tcW w:w="1134" w:type="dxa"/>
            <w:vMerge w:val="restart"/>
            <w:vAlign w:val="center"/>
          </w:tcPr>
          <w:p>
            <w:pPr>
              <w:tabs>
                <w:tab w:val="left" w:pos="790"/>
                <w:tab w:val="left" w:pos="1264"/>
              </w:tabs>
              <w:overflowPunct w:val="0"/>
              <w:adjustRightInd w:val="0"/>
              <w:snapToGrid w:val="0"/>
              <w:jc w:val="center"/>
              <w:rPr>
                <w:rFonts w:hAnsi="宋体"/>
                <w:sz w:val="24"/>
                <w:szCs w:val="24"/>
              </w:rPr>
            </w:pPr>
            <w:r>
              <w:rPr>
                <w:rFonts w:hint="eastAsia" w:hAnsi="宋体"/>
                <w:sz w:val="24"/>
                <w:szCs w:val="24"/>
              </w:rPr>
              <w:t>食品经营许可证</w:t>
            </w:r>
          </w:p>
        </w:tc>
        <w:tc>
          <w:tcPr>
            <w:tcW w:w="3889" w:type="dxa"/>
            <w:vAlign w:val="center"/>
          </w:tcPr>
          <w:p>
            <w:pPr>
              <w:tabs>
                <w:tab w:val="left" w:pos="790"/>
                <w:tab w:val="left" w:pos="1264"/>
              </w:tabs>
              <w:overflowPunct w:val="0"/>
              <w:adjustRightInd w:val="0"/>
              <w:snapToGrid w:val="0"/>
              <w:rPr>
                <w:rFonts w:hAnsi="宋体"/>
                <w:sz w:val="24"/>
                <w:szCs w:val="24"/>
              </w:rPr>
            </w:pPr>
            <w:r>
              <w:rPr>
                <w:rFonts w:hint="eastAsia" w:hAnsi="宋体"/>
                <w:sz w:val="24"/>
                <w:szCs w:val="24"/>
              </w:rPr>
              <w:t>《食品安全法》第三十五条</w:t>
            </w:r>
          </w:p>
          <w:p>
            <w:pPr>
              <w:tabs>
                <w:tab w:val="left" w:pos="790"/>
                <w:tab w:val="left" w:pos="1264"/>
              </w:tabs>
              <w:overflowPunct w:val="0"/>
              <w:adjustRightInd w:val="0"/>
              <w:snapToGrid w:val="0"/>
              <w:rPr>
                <w:rFonts w:hAnsi="宋体"/>
                <w:sz w:val="24"/>
                <w:szCs w:val="24"/>
              </w:rPr>
            </w:pPr>
            <w:r>
              <w:rPr>
                <w:rFonts w:hint="eastAsia" w:hAnsi="宋体"/>
                <w:sz w:val="24"/>
                <w:szCs w:val="24"/>
              </w:rPr>
              <w:t>国家对食品生产经营实行许可制度。从事食品生产、食品销售、餐饮服务，应当依法取得许可。但是，销售食用农产品，不需要取得许可。</w:t>
            </w:r>
          </w:p>
        </w:tc>
        <w:tc>
          <w:tcPr>
            <w:tcW w:w="3823" w:type="dxa"/>
            <w:vAlign w:val="center"/>
          </w:tcPr>
          <w:p>
            <w:pPr>
              <w:tabs>
                <w:tab w:val="left" w:pos="790"/>
                <w:tab w:val="left" w:pos="1264"/>
              </w:tabs>
              <w:overflowPunct w:val="0"/>
              <w:adjustRightInd w:val="0"/>
              <w:snapToGrid w:val="0"/>
              <w:spacing w:line="300" w:lineRule="exact"/>
              <w:rPr>
                <w:rFonts w:hAnsi="宋体"/>
                <w:spacing w:val="-4"/>
                <w:sz w:val="24"/>
                <w:szCs w:val="24"/>
              </w:rPr>
            </w:pPr>
            <w:r>
              <w:rPr>
                <w:rFonts w:hint="eastAsia" w:hAnsi="宋体"/>
                <w:spacing w:val="-4"/>
                <w:sz w:val="24"/>
                <w:szCs w:val="24"/>
              </w:rPr>
              <w:t>《食品安全法》一百二十二条</w:t>
            </w:r>
          </w:p>
          <w:p>
            <w:pPr>
              <w:tabs>
                <w:tab w:val="left" w:pos="790"/>
                <w:tab w:val="left" w:pos="1264"/>
              </w:tabs>
              <w:overflowPunct w:val="0"/>
              <w:adjustRightInd w:val="0"/>
              <w:snapToGrid w:val="0"/>
              <w:spacing w:line="300" w:lineRule="exact"/>
              <w:rPr>
                <w:rFonts w:hAnsi="宋体"/>
                <w:spacing w:val="-4"/>
                <w:sz w:val="24"/>
                <w:szCs w:val="24"/>
              </w:rPr>
            </w:pPr>
            <w:r>
              <w:rPr>
                <w:rFonts w:hAnsi="宋体"/>
                <w:spacing w:val="-4"/>
                <w:sz w:val="24"/>
                <w:szCs w:val="24"/>
              </w:rPr>
              <w:t>违反本法规定，未取得食品生产经营许可从事食品生产经营活动，或者未取得食品添加剂生产许可从事食品添加剂生产活动的，由县级以上人民政府食品药品监督管理部门没收违法所得和违法生产经营的食品、食品添加剂以及用于违法生产经营的工具、设备、原料等物品；违法生产经营的食品、食品添加剂货值金额不足一万元的，并处五万元以上十万元以下罚款；货值金额一万元以上的，并处货值金额十倍以上二十倍以下罚款。</w:t>
            </w:r>
          </w:p>
        </w:tc>
        <w:tc>
          <w:tcPr>
            <w:tcW w:w="2328" w:type="dxa"/>
            <w:vAlign w:val="center"/>
          </w:tcPr>
          <w:p>
            <w:pPr>
              <w:tabs>
                <w:tab w:val="left" w:pos="790"/>
                <w:tab w:val="left" w:pos="1264"/>
              </w:tabs>
              <w:overflowPunct w:val="0"/>
              <w:adjustRightInd w:val="0"/>
              <w:snapToGrid w:val="0"/>
              <w:jc w:val="center"/>
              <w:rPr>
                <w:rFonts w:hAnsi="宋体"/>
                <w:sz w:val="24"/>
                <w:szCs w:val="24"/>
              </w:rPr>
            </w:pPr>
            <w:r>
              <w:rPr>
                <w:rFonts w:hint="eastAsia" w:hAnsi="宋体"/>
                <w:sz w:val="24"/>
                <w:szCs w:val="24"/>
              </w:rPr>
              <w:t>食品经营监督管理科</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cantSplit/>
          <w:trHeight w:val="3962" w:hRule="atLeast"/>
          <w:jc w:val="center"/>
        </w:trPr>
        <w:tc>
          <w:tcPr>
            <w:tcW w:w="566" w:type="dxa"/>
            <w:vAlign w:val="center"/>
          </w:tcPr>
          <w:p>
            <w:pPr>
              <w:tabs>
                <w:tab w:val="left" w:pos="790"/>
                <w:tab w:val="left" w:pos="1264"/>
              </w:tabs>
              <w:overflowPunct w:val="0"/>
              <w:adjustRightInd w:val="0"/>
              <w:snapToGrid w:val="0"/>
              <w:jc w:val="center"/>
              <w:rPr>
                <w:rFonts w:hAnsi="宋体"/>
                <w:sz w:val="24"/>
                <w:szCs w:val="24"/>
              </w:rPr>
            </w:pPr>
            <w:r>
              <w:rPr>
                <w:rFonts w:hint="eastAsia" w:hAnsi="宋体"/>
                <w:sz w:val="24"/>
                <w:szCs w:val="24"/>
              </w:rPr>
              <w:t>5</w:t>
            </w:r>
          </w:p>
        </w:tc>
        <w:tc>
          <w:tcPr>
            <w:tcW w:w="1134" w:type="dxa"/>
            <w:vAlign w:val="center"/>
          </w:tcPr>
          <w:p>
            <w:pPr>
              <w:tabs>
                <w:tab w:val="left" w:pos="790"/>
                <w:tab w:val="left" w:pos="1264"/>
              </w:tabs>
              <w:overflowPunct w:val="0"/>
              <w:adjustRightInd w:val="0"/>
              <w:snapToGrid w:val="0"/>
              <w:jc w:val="center"/>
              <w:rPr>
                <w:rFonts w:hAnsi="宋体"/>
                <w:sz w:val="24"/>
                <w:szCs w:val="24"/>
              </w:rPr>
            </w:pPr>
            <w:r>
              <w:rPr>
                <w:rFonts w:hint="eastAsia" w:hAnsi="宋体"/>
                <w:sz w:val="24"/>
                <w:szCs w:val="24"/>
              </w:rPr>
              <w:t>无证销售普通食品</w:t>
            </w:r>
          </w:p>
        </w:tc>
        <w:tc>
          <w:tcPr>
            <w:tcW w:w="1134" w:type="dxa"/>
            <w:vMerge w:val="continue"/>
            <w:vAlign w:val="center"/>
          </w:tcPr>
          <w:p>
            <w:pPr>
              <w:tabs>
                <w:tab w:val="left" w:pos="790"/>
                <w:tab w:val="left" w:pos="1264"/>
              </w:tabs>
              <w:overflowPunct w:val="0"/>
              <w:adjustRightInd w:val="0"/>
              <w:snapToGrid w:val="0"/>
              <w:jc w:val="center"/>
              <w:rPr>
                <w:rFonts w:hAnsi="宋体"/>
                <w:sz w:val="24"/>
                <w:szCs w:val="24"/>
              </w:rPr>
            </w:pPr>
          </w:p>
        </w:tc>
        <w:tc>
          <w:tcPr>
            <w:tcW w:w="3889" w:type="dxa"/>
            <w:vAlign w:val="center"/>
          </w:tcPr>
          <w:p>
            <w:pPr>
              <w:tabs>
                <w:tab w:val="left" w:pos="790"/>
                <w:tab w:val="left" w:pos="1264"/>
              </w:tabs>
              <w:overflowPunct w:val="0"/>
              <w:adjustRightInd w:val="0"/>
              <w:snapToGrid w:val="0"/>
              <w:rPr>
                <w:rFonts w:hAnsi="宋体"/>
                <w:sz w:val="24"/>
                <w:szCs w:val="24"/>
              </w:rPr>
            </w:pPr>
            <w:r>
              <w:rPr>
                <w:rFonts w:hint="eastAsia" w:hAnsi="宋体"/>
                <w:sz w:val="24"/>
                <w:szCs w:val="24"/>
              </w:rPr>
              <w:t>《食品安全法》第三十五条</w:t>
            </w:r>
          </w:p>
          <w:p>
            <w:pPr>
              <w:tabs>
                <w:tab w:val="left" w:pos="790"/>
                <w:tab w:val="left" w:pos="1264"/>
              </w:tabs>
              <w:overflowPunct w:val="0"/>
              <w:adjustRightInd w:val="0"/>
              <w:snapToGrid w:val="0"/>
              <w:rPr>
                <w:rFonts w:hAnsi="宋体"/>
                <w:sz w:val="24"/>
                <w:szCs w:val="24"/>
              </w:rPr>
            </w:pPr>
            <w:r>
              <w:rPr>
                <w:rFonts w:hint="eastAsia" w:hAnsi="宋体"/>
                <w:sz w:val="24"/>
                <w:szCs w:val="24"/>
              </w:rPr>
              <w:t>国家对食品生产经营实行许可制度。从事食品生产、食品销售、餐饮服务，应当依法取得许可。但是，销售食用农产品，不需要取得许可。</w:t>
            </w:r>
          </w:p>
        </w:tc>
        <w:tc>
          <w:tcPr>
            <w:tcW w:w="3823" w:type="dxa"/>
            <w:vAlign w:val="center"/>
          </w:tcPr>
          <w:p>
            <w:pPr>
              <w:tabs>
                <w:tab w:val="left" w:pos="790"/>
                <w:tab w:val="left" w:pos="1264"/>
              </w:tabs>
              <w:overflowPunct w:val="0"/>
              <w:adjustRightInd w:val="0"/>
              <w:snapToGrid w:val="0"/>
              <w:spacing w:line="300" w:lineRule="exact"/>
              <w:rPr>
                <w:rFonts w:hAnsi="宋体"/>
                <w:spacing w:val="-4"/>
                <w:sz w:val="24"/>
                <w:szCs w:val="24"/>
              </w:rPr>
            </w:pPr>
            <w:r>
              <w:rPr>
                <w:rFonts w:hint="eastAsia" w:hAnsi="宋体"/>
                <w:spacing w:val="-4"/>
                <w:sz w:val="24"/>
                <w:szCs w:val="24"/>
              </w:rPr>
              <w:t>《食品安全法》一百二十二条</w:t>
            </w:r>
          </w:p>
          <w:p>
            <w:pPr>
              <w:tabs>
                <w:tab w:val="left" w:pos="790"/>
                <w:tab w:val="left" w:pos="1264"/>
              </w:tabs>
              <w:overflowPunct w:val="0"/>
              <w:adjustRightInd w:val="0"/>
              <w:snapToGrid w:val="0"/>
              <w:spacing w:line="300" w:lineRule="exact"/>
              <w:rPr>
                <w:rFonts w:hAnsi="宋体"/>
                <w:spacing w:val="-4"/>
                <w:sz w:val="24"/>
                <w:szCs w:val="24"/>
              </w:rPr>
            </w:pPr>
            <w:r>
              <w:rPr>
                <w:rFonts w:hAnsi="宋体"/>
                <w:spacing w:val="-4"/>
                <w:sz w:val="24"/>
                <w:szCs w:val="24"/>
              </w:rPr>
              <w:t>违反本法规定，未取得食品生产经营许可从事食品生产经营活动，或者未取得食品添加剂生产许可从事食品添加剂生产活动的，由县级以上人民政府食品药品监督管理部门没收违法所得和违法生产经营的食品、食品添加剂以及用于违法生产经营的工具、设备、原料等物品；违法生产经营的食品、食品添加剂货值金额不足一万元的，并处五万元以上十万元以下罚款；货值金额一万元以上的，并处货值金额十倍以上二十倍以下罚款。</w:t>
            </w:r>
          </w:p>
        </w:tc>
        <w:tc>
          <w:tcPr>
            <w:tcW w:w="2328" w:type="dxa"/>
            <w:vAlign w:val="center"/>
          </w:tcPr>
          <w:p>
            <w:pPr>
              <w:tabs>
                <w:tab w:val="left" w:pos="790"/>
                <w:tab w:val="left" w:pos="1264"/>
              </w:tabs>
              <w:overflowPunct w:val="0"/>
              <w:adjustRightInd w:val="0"/>
              <w:snapToGrid w:val="0"/>
              <w:jc w:val="center"/>
              <w:rPr>
                <w:rFonts w:hAnsi="宋体"/>
                <w:sz w:val="24"/>
                <w:szCs w:val="24"/>
              </w:rPr>
            </w:pPr>
            <w:r>
              <w:rPr>
                <w:rFonts w:hint="eastAsia" w:hAnsi="宋体"/>
                <w:sz w:val="24"/>
                <w:szCs w:val="24"/>
              </w:rPr>
              <w:t>食品经营监督管理科</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cantSplit/>
          <w:trHeight w:val="3890" w:hRule="atLeast"/>
          <w:jc w:val="center"/>
        </w:trPr>
        <w:tc>
          <w:tcPr>
            <w:tcW w:w="566" w:type="dxa"/>
            <w:vAlign w:val="center"/>
          </w:tcPr>
          <w:p>
            <w:pPr>
              <w:tabs>
                <w:tab w:val="left" w:pos="790"/>
                <w:tab w:val="left" w:pos="1264"/>
              </w:tabs>
              <w:overflowPunct w:val="0"/>
              <w:adjustRightInd w:val="0"/>
              <w:snapToGrid w:val="0"/>
              <w:jc w:val="center"/>
              <w:rPr>
                <w:rFonts w:hAnsi="宋体"/>
                <w:sz w:val="24"/>
                <w:szCs w:val="24"/>
              </w:rPr>
            </w:pPr>
            <w:r>
              <w:rPr>
                <w:rFonts w:hint="eastAsia" w:hAnsi="宋体"/>
                <w:sz w:val="24"/>
                <w:szCs w:val="24"/>
              </w:rPr>
              <w:t>6</w:t>
            </w:r>
          </w:p>
        </w:tc>
        <w:tc>
          <w:tcPr>
            <w:tcW w:w="1134" w:type="dxa"/>
            <w:vAlign w:val="center"/>
          </w:tcPr>
          <w:p>
            <w:pPr>
              <w:tabs>
                <w:tab w:val="left" w:pos="790"/>
                <w:tab w:val="left" w:pos="1264"/>
              </w:tabs>
              <w:overflowPunct w:val="0"/>
              <w:adjustRightInd w:val="0"/>
              <w:snapToGrid w:val="0"/>
              <w:jc w:val="center"/>
              <w:rPr>
                <w:rFonts w:hAnsi="宋体"/>
                <w:sz w:val="24"/>
                <w:szCs w:val="24"/>
              </w:rPr>
            </w:pPr>
            <w:r>
              <w:rPr>
                <w:rFonts w:hAnsi="宋体"/>
                <w:sz w:val="24"/>
                <w:szCs w:val="24"/>
              </w:rPr>
              <w:t>小型餐饮服务提供者</w:t>
            </w:r>
            <w:r>
              <w:rPr>
                <w:rFonts w:hint="eastAsia" w:hAnsi="宋体"/>
                <w:sz w:val="24"/>
                <w:szCs w:val="24"/>
              </w:rPr>
              <w:t>无证从事食品经营</w:t>
            </w:r>
          </w:p>
        </w:tc>
        <w:tc>
          <w:tcPr>
            <w:tcW w:w="1134" w:type="dxa"/>
            <w:vAlign w:val="center"/>
          </w:tcPr>
          <w:p>
            <w:pPr>
              <w:tabs>
                <w:tab w:val="left" w:pos="790"/>
                <w:tab w:val="left" w:pos="1264"/>
              </w:tabs>
              <w:overflowPunct w:val="0"/>
              <w:adjustRightInd w:val="0"/>
              <w:snapToGrid w:val="0"/>
              <w:jc w:val="center"/>
              <w:rPr>
                <w:rFonts w:hAnsi="宋体"/>
                <w:sz w:val="24"/>
                <w:szCs w:val="24"/>
              </w:rPr>
            </w:pPr>
            <w:r>
              <w:rPr>
                <w:rFonts w:hint="eastAsia" w:hAnsi="宋体"/>
                <w:sz w:val="24"/>
                <w:szCs w:val="24"/>
              </w:rPr>
              <w:t>便民饮食店临时备案公示卡</w:t>
            </w:r>
          </w:p>
        </w:tc>
        <w:tc>
          <w:tcPr>
            <w:tcW w:w="3889" w:type="dxa"/>
            <w:vAlign w:val="center"/>
          </w:tcPr>
          <w:p>
            <w:pPr>
              <w:tabs>
                <w:tab w:val="left" w:pos="790"/>
                <w:tab w:val="left" w:pos="1264"/>
              </w:tabs>
              <w:overflowPunct w:val="0"/>
              <w:adjustRightInd w:val="0"/>
              <w:snapToGrid w:val="0"/>
              <w:rPr>
                <w:rFonts w:hAnsi="宋体"/>
                <w:sz w:val="24"/>
                <w:szCs w:val="24"/>
              </w:rPr>
            </w:pPr>
            <w:r>
              <w:rPr>
                <w:rFonts w:hint="eastAsia" w:hAnsi="宋体"/>
                <w:sz w:val="24"/>
                <w:szCs w:val="24"/>
              </w:rPr>
              <w:t>《</w:t>
            </w:r>
            <w:r>
              <w:rPr>
                <w:rFonts w:hAnsi="宋体"/>
                <w:sz w:val="24"/>
                <w:szCs w:val="24"/>
              </w:rPr>
              <w:t>上海市食品安全条例</w:t>
            </w:r>
            <w:r>
              <w:rPr>
                <w:rFonts w:hint="eastAsia" w:hAnsi="宋体"/>
                <w:sz w:val="24"/>
                <w:szCs w:val="24"/>
              </w:rPr>
              <w:t>》第四十三条第三款</w:t>
            </w:r>
          </w:p>
          <w:p>
            <w:pPr>
              <w:tabs>
                <w:tab w:val="left" w:pos="790"/>
                <w:tab w:val="left" w:pos="1264"/>
              </w:tabs>
              <w:overflowPunct w:val="0"/>
              <w:adjustRightInd w:val="0"/>
              <w:snapToGrid w:val="0"/>
              <w:rPr>
                <w:rFonts w:hAnsi="宋体"/>
                <w:sz w:val="24"/>
                <w:szCs w:val="24"/>
              </w:rPr>
            </w:pPr>
            <w:r>
              <w:rPr>
                <w:rFonts w:hAnsi="宋体"/>
                <w:sz w:val="24"/>
                <w:szCs w:val="24"/>
              </w:rPr>
              <w:t>未取得食品经营许可，但经营食品符合食品安全卫生要求、不影响周边居民正常生活的小型餐饮服务提供者，应当向所在地的乡、镇人民政府或者街道办事处办理临时备案。小型餐饮服务提供者办理临时备案的具体要求、标准及相应的退出机制，由市人民政府另行制定。</w:t>
            </w:r>
          </w:p>
        </w:tc>
        <w:tc>
          <w:tcPr>
            <w:tcW w:w="3823" w:type="dxa"/>
            <w:vAlign w:val="center"/>
          </w:tcPr>
          <w:p>
            <w:pPr>
              <w:tabs>
                <w:tab w:val="left" w:pos="790"/>
                <w:tab w:val="left" w:pos="1264"/>
              </w:tabs>
              <w:overflowPunct w:val="0"/>
              <w:adjustRightInd w:val="0"/>
              <w:snapToGrid w:val="0"/>
              <w:rPr>
                <w:rFonts w:hAnsi="宋体"/>
                <w:spacing w:val="-4"/>
                <w:sz w:val="24"/>
                <w:szCs w:val="24"/>
              </w:rPr>
            </w:pPr>
            <w:r>
              <w:rPr>
                <w:rFonts w:hint="eastAsia" w:hAnsi="宋体"/>
                <w:spacing w:val="-4"/>
                <w:sz w:val="24"/>
                <w:szCs w:val="24"/>
              </w:rPr>
              <w:t>《</w:t>
            </w:r>
            <w:r>
              <w:rPr>
                <w:rFonts w:hAnsi="宋体"/>
                <w:spacing w:val="-4"/>
                <w:sz w:val="24"/>
                <w:szCs w:val="24"/>
              </w:rPr>
              <w:t>上海市食品安全条例</w:t>
            </w:r>
            <w:r>
              <w:rPr>
                <w:rFonts w:hint="eastAsia" w:hAnsi="宋体"/>
                <w:spacing w:val="-4"/>
                <w:sz w:val="24"/>
                <w:szCs w:val="24"/>
              </w:rPr>
              <w:t>》</w:t>
            </w:r>
            <w:r>
              <w:rPr>
                <w:rFonts w:hAnsi="宋体"/>
                <w:spacing w:val="-4"/>
                <w:sz w:val="24"/>
                <w:szCs w:val="24"/>
              </w:rPr>
              <w:t>第九十九条</w:t>
            </w:r>
          </w:p>
          <w:p>
            <w:pPr>
              <w:tabs>
                <w:tab w:val="left" w:pos="790"/>
                <w:tab w:val="left" w:pos="1264"/>
              </w:tabs>
              <w:overflowPunct w:val="0"/>
              <w:adjustRightInd w:val="0"/>
              <w:snapToGrid w:val="0"/>
              <w:rPr>
                <w:rFonts w:hAnsi="宋体"/>
                <w:spacing w:val="-4"/>
                <w:sz w:val="24"/>
                <w:szCs w:val="24"/>
              </w:rPr>
            </w:pPr>
            <w:r>
              <w:rPr>
                <w:rFonts w:hAnsi="宋体"/>
                <w:spacing w:val="-4"/>
                <w:sz w:val="24"/>
                <w:szCs w:val="24"/>
              </w:rPr>
              <w:t>违反本条例第四十三条第二款、第三款规定，小型餐饮服务提供者未依法取得食品经营许可或者未办理临时备案从事食品经营活动的，由市食品药品监督管理部门或者区市场监督管理部门没收违法所得、违法经营的食品和用于违法经营的工具、设备、原料等物品；违法经营的食品货值金额不足一万元的，并处一万元以上五万元以下罚款；货值金额一万元以上的，</w:t>
            </w:r>
            <w:r>
              <w:rPr>
                <w:rFonts w:hAnsi="宋体"/>
                <w:spacing w:val="-8"/>
                <w:sz w:val="24"/>
                <w:szCs w:val="24"/>
              </w:rPr>
              <w:t>并处货值金额五倍以上十倍以下罚款。</w:t>
            </w:r>
          </w:p>
        </w:tc>
        <w:tc>
          <w:tcPr>
            <w:tcW w:w="2328" w:type="dxa"/>
            <w:vAlign w:val="center"/>
          </w:tcPr>
          <w:p>
            <w:pPr>
              <w:tabs>
                <w:tab w:val="left" w:pos="790"/>
                <w:tab w:val="left" w:pos="1264"/>
              </w:tabs>
              <w:overflowPunct w:val="0"/>
              <w:adjustRightInd w:val="0"/>
              <w:snapToGrid w:val="0"/>
              <w:jc w:val="center"/>
              <w:rPr>
                <w:rFonts w:hAnsi="宋体"/>
                <w:sz w:val="24"/>
                <w:szCs w:val="24"/>
              </w:rPr>
            </w:pPr>
            <w:r>
              <w:rPr>
                <w:rFonts w:hint="eastAsia" w:hAnsi="宋体"/>
                <w:sz w:val="24"/>
                <w:szCs w:val="24"/>
              </w:rPr>
              <w:t>食品经营监督管理科</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cantSplit/>
          <w:trHeight w:val="4242" w:hRule="atLeast"/>
          <w:jc w:val="center"/>
        </w:trPr>
        <w:tc>
          <w:tcPr>
            <w:tcW w:w="566" w:type="dxa"/>
            <w:vAlign w:val="center"/>
          </w:tcPr>
          <w:p>
            <w:pPr>
              <w:tabs>
                <w:tab w:val="left" w:pos="790"/>
                <w:tab w:val="left" w:pos="1264"/>
              </w:tabs>
              <w:overflowPunct w:val="0"/>
              <w:adjustRightInd w:val="0"/>
              <w:snapToGrid w:val="0"/>
              <w:jc w:val="center"/>
              <w:rPr>
                <w:rFonts w:hAnsi="宋体"/>
                <w:sz w:val="24"/>
                <w:szCs w:val="24"/>
              </w:rPr>
            </w:pPr>
            <w:r>
              <w:rPr>
                <w:rFonts w:hint="eastAsia" w:hAnsi="宋体"/>
                <w:sz w:val="24"/>
                <w:szCs w:val="24"/>
              </w:rPr>
              <w:t>7</w:t>
            </w:r>
          </w:p>
        </w:tc>
        <w:tc>
          <w:tcPr>
            <w:tcW w:w="1134" w:type="dxa"/>
            <w:vAlign w:val="center"/>
          </w:tcPr>
          <w:p>
            <w:pPr>
              <w:tabs>
                <w:tab w:val="left" w:pos="790"/>
                <w:tab w:val="left" w:pos="1264"/>
              </w:tabs>
              <w:overflowPunct w:val="0"/>
              <w:adjustRightInd w:val="0"/>
              <w:snapToGrid w:val="0"/>
              <w:jc w:val="center"/>
              <w:rPr>
                <w:rFonts w:hAnsi="宋体"/>
                <w:sz w:val="24"/>
                <w:szCs w:val="24"/>
              </w:rPr>
            </w:pPr>
            <w:r>
              <w:rPr>
                <w:rFonts w:hint="eastAsia" w:hAnsi="宋体"/>
                <w:sz w:val="24"/>
                <w:szCs w:val="24"/>
              </w:rPr>
              <w:t>无证提供餐饮服务</w:t>
            </w:r>
          </w:p>
        </w:tc>
        <w:tc>
          <w:tcPr>
            <w:tcW w:w="1134" w:type="dxa"/>
            <w:vAlign w:val="center"/>
          </w:tcPr>
          <w:p>
            <w:pPr>
              <w:tabs>
                <w:tab w:val="left" w:pos="790"/>
                <w:tab w:val="left" w:pos="1264"/>
              </w:tabs>
              <w:overflowPunct w:val="0"/>
              <w:adjustRightInd w:val="0"/>
              <w:snapToGrid w:val="0"/>
              <w:jc w:val="center"/>
              <w:rPr>
                <w:rFonts w:hAnsi="宋体"/>
                <w:sz w:val="24"/>
                <w:szCs w:val="24"/>
              </w:rPr>
            </w:pPr>
            <w:r>
              <w:rPr>
                <w:rFonts w:hint="eastAsia" w:hAnsi="宋体"/>
                <w:sz w:val="24"/>
                <w:szCs w:val="24"/>
              </w:rPr>
              <w:t>食品经营许可证</w:t>
            </w:r>
          </w:p>
        </w:tc>
        <w:tc>
          <w:tcPr>
            <w:tcW w:w="3889" w:type="dxa"/>
            <w:vAlign w:val="center"/>
          </w:tcPr>
          <w:p>
            <w:pPr>
              <w:tabs>
                <w:tab w:val="left" w:pos="790"/>
                <w:tab w:val="left" w:pos="1264"/>
              </w:tabs>
              <w:overflowPunct w:val="0"/>
              <w:adjustRightInd w:val="0"/>
              <w:snapToGrid w:val="0"/>
              <w:rPr>
                <w:rFonts w:hAnsi="宋体"/>
                <w:sz w:val="24"/>
                <w:szCs w:val="24"/>
              </w:rPr>
            </w:pPr>
            <w:r>
              <w:rPr>
                <w:rFonts w:hint="eastAsia" w:hAnsi="宋体"/>
                <w:sz w:val="24"/>
                <w:szCs w:val="24"/>
              </w:rPr>
              <w:t>《食品安全法》第三十五条</w:t>
            </w:r>
          </w:p>
          <w:p>
            <w:pPr>
              <w:tabs>
                <w:tab w:val="left" w:pos="790"/>
                <w:tab w:val="left" w:pos="1264"/>
              </w:tabs>
              <w:overflowPunct w:val="0"/>
              <w:adjustRightInd w:val="0"/>
              <w:snapToGrid w:val="0"/>
              <w:rPr>
                <w:rFonts w:hAnsi="宋体"/>
                <w:sz w:val="24"/>
                <w:szCs w:val="24"/>
              </w:rPr>
            </w:pPr>
            <w:r>
              <w:rPr>
                <w:rFonts w:hint="eastAsia" w:hAnsi="宋体"/>
                <w:sz w:val="24"/>
                <w:szCs w:val="24"/>
              </w:rPr>
              <w:t>国家对食品生产经营实行许可制度。从事食品生产、食品销售、餐饮服务，应当依法取得许可。但是，销售食用农产品，不需要取得许可。</w:t>
            </w:r>
          </w:p>
        </w:tc>
        <w:tc>
          <w:tcPr>
            <w:tcW w:w="3823" w:type="dxa"/>
            <w:vAlign w:val="center"/>
          </w:tcPr>
          <w:p>
            <w:pPr>
              <w:tabs>
                <w:tab w:val="left" w:pos="790"/>
                <w:tab w:val="left" w:pos="1264"/>
              </w:tabs>
              <w:overflowPunct w:val="0"/>
              <w:adjustRightInd w:val="0"/>
              <w:snapToGrid w:val="0"/>
              <w:rPr>
                <w:rFonts w:hAnsi="宋体"/>
                <w:spacing w:val="-4"/>
                <w:sz w:val="24"/>
                <w:szCs w:val="24"/>
              </w:rPr>
            </w:pPr>
            <w:r>
              <w:rPr>
                <w:rFonts w:hint="eastAsia" w:hAnsi="宋体"/>
                <w:spacing w:val="-4"/>
                <w:sz w:val="24"/>
                <w:szCs w:val="24"/>
              </w:rPr>
              <w:t>《食品安全法》一百二十二条</w:t>
            </w:r>
          </w:p>
          <w:p>
            <w:pPr>
              <w:tabs>
                <w:tab w:val="left" w:pos="790"/>
                <w:tab w:val="left" w:pos="1264"/>
              </w:tabs>
              <w:overflowPunct w:val="0"/>
              <w:adjustRightInd w:val="0"/>
              <w:snapToGrid w:val="0"/>
              <w:rPr>
                <w:rFonts w:hAnsi="宋体"/>
                <w:spacing w:val="-4"/>
                <w:sz w:val="24"/>
                <w:szCs w:val="24"/>
              </w:rPr>
            </w:pPr>
            <w:r>
              <w:rPr>
                <w:rFonts w:hAnsi="宋体"/>
                <w:spacing w:val="-4"/>
                <w:sz w:val="24"/>
                <w:szCs w:val="24"/>
              </w:rPr>
              <w:t>违反本法规定，未取得食品生产经营许可从事食品生产经营活动，或者未取得食品添加剂生产许可从事食品添加剂生产活动的，由县级以上人民政府食品药品监督管理部门没收违法所得和违法生产经营的食品、食品添加剂以及用于违法生产经营的工具、设备、原料等物品；违法生产经营的食品、食品添加剂货值金额不足一万元的，并处五万元以上十万元以下罚款；货值金额一万元以上的，并处货值金额十倍以上二十倍以下罚款。</w:t>
            </w:r>
          </w:p>
        </w:tc>
        <w:tc>
          <w:tcPr>
            <w:tcW w:w="2328" w:type="dxa"/>
            <w:vAlign w:val="center"/>
          </w:tcPr>
          <w:p>
            <w:pPr>
              <w:tabs>
                <w:tab w:val="left" w:pos="790"/>
                <w:tab w:val="left" w:pos="1264"/>
              </w:tabs>
              <w:overflowPunct w:val="0"/>
              <w:adjustRightInd w:val="0"/>
              <w:snapToGrid w:val="0"/>
              <w:jc w:val="center"/>
              <w:rPr>
                <w:rFonts w:hAnsi="宋体"/>
                <w:sz w:val="24"/>
                <w:szCs w:val="24"/>
              </w:rPr>
            </w:pPr>
            <w:r>
              <w:rPr>
                <w:rFonts w:hint="eastAsia" w:hAnsi="宋体"/>
                <w:sz w:val="24"/>
                <w:szCs w:val="24"/>
              </w:rPr>
              <w:t>食品经营监督管理科</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cantSplit/>
          <w:trHeight w:val="3072" w:hRule="atLeast"/>
          <w:jc w:val="center"/>
        </w:trPr>
        <w:tc>
          <w:tcPr>
            <w:tcW w:w="566" w:type="dxa"/>
            <w:vAlign w:val="center"/>
          </w:tcPr>
          <w:p>
            <w:pPr>
              <w:tabs>
                <w:tab w:val="left" w:pos="790"/>
                <w:tab w:val="left" w:pos="1264"/>
              </w:tabs>
              <w:overflowPunct w:val="0"/>
              <w:adjustRightInd w:val="0"/>
              <w:snapToGrid w:val="0"/>
              <w:jc w:val="center"/>
              <w:rPr>
                <w:rFonts w:hAnsi="宋体"/>
                <w:sz w:val="24"/>
                <w:szCs w:val="24"/>
              </w:rPr>
            </w:pPr>
            <w:r>
              <w:rPr>
                <w:rFonts w:hint="eastAsia" w:hAnsi="宋体"/>
                <w:sz w:val="24"/>
                <w:szCs w:val="24"/>
              </w:rPr>
              <w:t>8</w:t>
            </w:r>
          </w:p>
        </w:tc>
        <w:tc>
          <w:tcPr>
            <w:tcW w:w="1134" w:type="dxa"/>
            <w:vAlign w:val="center"/>
          </w:tcPr>
          <w:p>
            <w:pPr>
              <w:tabs>
                <w:tab w:val="left" w:pos="790"/>
                <w:tab w:val="left" w:pos="1264"/>
              </w:tabs>
              <w:overflowPunct w:val="0"/>
              <w:adjustRightInd w:val="0"/>
              <w:snapToGrid w:val="0"/>
              <w:jc w:val="center"/>
              <w:rPr>
                <w:rFonts w:hAnsi="宋体"/>
                <w:sz w:val="24"/>
                <w:szCs w:val="24"/>
              </w:rPr>
            </w:pPr>
            <w:r>
              <w:rPr>
                <w:rFonts w:hint="eastAsia" w:hAnsi="宋体"/>
                <w:sz w:val="24"/>
                <w:szCs w:val="24"/>
              </w:rPr>
              <w:t>无证发布广告</w:t>
            </w:r>
          </w:p>
        </w:tc>
        <w:tc>
          <w:tcPr>
            <w:tcW w:w="1134" w:type="dxa"/>
            <w:vAlign w:val="center"/>
          </w:tcPr>
          <w:p>
            <w:pPr>
              <w:tabs>
                <w:tab w:val="left" w:pos="790"/>
                <w:tab w:val="left" w:pos="1264"/>
              </w:tabs>
              <w:overflowPunct w:val="0"/>
              <w:adjustRightInd w:val="0"/>
              <w:snapToGrid w:val="0"/>
              <w:jc w:val="center"/>
              <w:rPr>
                <w:rFonts w:hAnsi="宋体"/>
                <w:sz w:val="24"/>
                <w:szCs w:val="24"/>
              </w:rPr>
            </w:pPr>
            <w:r>
              <w:rPr>
                <w:rFonts w:hint="eastAsia" w:hAnsi="宋体"/>
                <w:sz w:val="24"/>
                <w:szCs w:val="24"/>
              </w:rPr>
              <w:t>广告发布登记</w:t>
            </w:r>
          </w:p>
        </w:tc>
        <w:tc>
          <w:tcPr>
            <w:tcW w:w="3889" w:type="dxa"/>
            <w:vAlign w:val="center"/>
          </w:tcPr>
          <w:p>
            <w:pPr>
              <w:tabs>
                <w:tab w:val="left" w:pos="790"/>
                <w:tab w:val="left" w:pos="1264"/>
              </w:tabs>
              <w:overflowPunct w:val="0"/>
              <w:adjustRightInd w:val="0"/>
              <w:snapToGrid w:val="0"/>
              <w:rPr>
                <w:rFonts w:hAnsi="宋体"/>
                <w:sz w:val="24"/>
                <w:szCs w:val="24"/>
              </w:rPr>
            </w:pPr>
            <w:r>
              <w:rPr>
                <w:rFonts w:hint="eastAsia" w:hAnsi="宋体"/>
                <w:sz w:val="24"/>
                <w:szCs w:val="24"/>
              </w:rPr>
              <w:t>《广告法》第二十九条　广播电台、电视台、报刊出版单位从事广告发布业务的，应当设有专门从事广告业务的机构，配备必要的人员，具有与发布广告相适应的场所、设备，并向县级以上地方工商行政管理部门办理广告发布登记。</w:t>
            </w:r>
          </w:p>
        </w:tc>
        <w:tc>
          <w:tcPr>
            <w:tcW w:w="3823" w:type="dxa"/>
            <w:vAlign w:val="center"/>
          </w:tcPr>
          <w:p>
            <w:pPr>
              <w:tabs>
                <w:tab w:val="left" w:pos="790"/>
                <w:tab w:val="left" w:pos="1264"/>
              </w:tabs>
              <w:overflowPunct w:val="0"/>
              <w:adjustRightInd w:val="0"/>
              <w:snapToGrid w:val="0"/>
              <w:rPr>
                <w:rFonts w:hAnsi="宋体"/>
                <w:sz w:val="24"/>
                <w:szCs w:val="24"/>
              </w:rPr>
            </w:pPr>
            <w:r>
              <w:rPr>
                <w:rFonts w:hint="eastAsia" w:hAnsi="宋体"/>
                <w:sz w:val="24"/>
                <w:szCs w:val="24"/>
              </w:rPr>
              <w:t>《广告法》第六十条　</w:t>
            </w:r>
            <w:r>
              <w:rPr>
                <w:rFonts w:hAnsi="宋体"/>
                <w:sz w:val="24"/>
                <w:szCs w:val="24"/>
              </w:rPr>
              <w:t>违反本法第二十九条规定，广播电台、电视台、报刊出版单位未办理广告发布登记，擅自从事广告发布业务的，由工商行政管理部门责令改正，没收违法所得，违法所得一万元以上的，并处违法所得一倍以上三倍以下的罚款；违法所得不足一万元的，并处五千元以上三万元以下的罚款。</w:t>
            </w:r>
          </w:p>
        </w:tc>
        <w:tc>
          <w:tcPr>
            <w:tcW w:w="2328" w:type="dxa"/>
            <w:vAlign w:val="center"/>
          </w:tcPr>
          <w:p>
            <w:pPr>
              <w:tabs>
                <w:tab w:val="left" w:pos="790"/>
                <w:tab w:val="left" w:pos="1264"/>
              </w:tabs>
              <w:overflowPunct w:val="0"/>
              <w:adjustRightInd w:val="0"/>
              <w:snapToGrid w:val="0"/>
              <w:jc w:val="center"/>
              <w:rPr>
                <w:rFonts w:hAnsi="宋体"/>
                <w:sz w:val="24"/>
                <w:szCs w:val="24"/>
              </w:rPr>
            </w:pPr>
            <w:r>
              <w:rPr>
                <w:rFonts w:hint="eastAsia" w:hAnsi="宋体"/>
                <w:sz w:val="24"/>
                <w:szCs w:val="24"/>
              </w:rPr>
              <w:t>网络交易和市场规范监督管理科</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cantSplit/>
          <w:trHeight w:val="3256" w:hRule="atLeast"/>
          <w:jc w:val="center"/>
        </w:trPr>
        <w:tc>
          <w:tcPr>
            <w:tcW w:w="566" w:type="dxa"/>
            <w:vAlign w:val="center"/>
          </w:tcPr>
          <w:p>
            <w:pPr>
              <w:tabs>
                <w:tab w:val="left" w:pos="790"/>
                <w:tab w:val="left" w:pos="1264"/>
              </w:tabs>
              <w:overflowPunct w:val="0"/>
              <w:adjustRightInd w:val="0"/>
              <w:snapToGrid w:val="0"/>
              <w:jc w:val="center"/>
              <w:rPr>
                <w:rFonts w:hAnsi="宋体"/>
                <w:sz w:val="24"/>
                <w:szCs w:val="24"/>
              </w:rPr>
            </w:pPr>
            <w:r>
              <w:rPr>
                <w:rFonts w:hint="eastAsia" w:hAnsi="宋体"/>
                <w:sz w:val="24"/>
                <w:szCs w:val="24"/>
              </w:rPr>
              <w:t>9</w:t>
            </w:r>
          </w:p>
        </w:tc>
        <w:tc>
          <w:tcPr>
            <w:tcW w:w="1134" w:type="dxa"/>
            <w:vAlign w:val="center"/>
          </w:tcPr>
          <w:p>
            <w:pPr>
              <w:tabs>
                <w:tab w:val="left" w:pos="790"/>
                <w:tab w:val="left" w:pos="1264"/>
              </w:tabs>
              <w:overflowPunct w:val="0"/>
              <w:adjustRightInd w:val="0"/>
              <w:snapToGrid w:val="0"/>
              <w:jc w:val="center"/>
              <w:rPr>
                <w:rFonts w:hAnsi="宋体"/>
                <w:sz w:val="24"/>
                <w:szCs w:val="24"/>
              </w:rPr>
            </w:pPr>
            <w:r>
              <w:rPr>
                <w:rFonts w:hint="eastAsia" w:hAnsi="宋体"/>
                <w:sz w:val="24"/>
                <w:szCs w:val="24"/>
              </w:rPr>
              <w:t>无证生产目录内工业产品</w:t>
            </w:r>
          </w:p>
        </w:tc>
        <w:tc>
          <w:tcPr>
            <w:tcW w:w="1134" w:type="dxa"/>
            <w:vAlign w:val="center"/>
          </w:tcPr>
          <w:p>
            <w:pPr>
              <w:tabs>
                <w:tab w:val="left" w:pos="790"/>
                <w:tab w:val="left" w:pos="1264"/>
              </w:tabs>
              <w:overflowPunct w:val="0"/>
              <w:adjustRightInd w:val="0"/>
              <w:snapToGrid w:val="0"/>
              <w:jc w:val="center"/>
              <w:rPr>
                <w:rFonts w:hAnsi="宋体"/>
                <w:sz w:val="24"/>
                <w:szCs w:val="24"/>
              </w:rPr>
            </w:pPr>
            <w:r>
              <w:rPr>
                <w:rFonts w:hint="eastAsia" w:hAnsi="宋体"/>
                <w:sz w:val="24"/>
                <w:szCs w:val="24"/>
              </w:rPr>
              <w:t>全国工业产品生产许可证</w:t>
            </w:r>
          </w:p>
        </w:tc>
        <w:tc>
          <w:tcPr>
            <w:tcW w:w="3889" w:type="dxa"/>
            <w:vAlign w:val="center"/>
          </w:tcPr>
          <w:p>
            <w:pPr>
              <w:tabs>
                <w:tab w:val="left" w:pos="790"/>
                <w:tab w:val="left" w:pos="1264"/>
              </w:tabs>
              <w:overflowPunct w:val="0"/>
              <w:adjustRightInd w:val="0"/>
              <w:snapToGrid w:val="0"/>
              <w:rPr>
                <w:rFonts w:hAnsi="宋体"/>
                <w:sz w:val="24"/>
                <w:szCs w:val="24"/>
              </w:rPr>
            </w:pPr>
            <w:r>
              <w:rPr>
                <w:rFonts w:hint="eastAsia" w:hAnsi="宋体"/>
                <w:sz w:val="24"/>
                <w:szCs w:val="24"/>
              </w:rPr>
              <w:t>《工业产品生产许可证管理条例》第十一条　企业生产列入目录的产品，应当向企业所在地的省、自治区、直辖市工业产品生产许可证主管部门申请取得生产许可证。</w:t>
            </w:r>
          </w:p>
          <w:p>
            <w:pPr>
              <w:tabs>
                <w:tab w:val="left" w:pos="790"/>
                <w:tab w:val="left" w:pos="1264"/>
              </w:tabs>
              <w:overflowPunct w:val="0"/>
              <w:adjustRightInd w:val="0"/>
              <w:snapToGrid w:val="0"/>
              <w:rPr>
                <w:rFonts w:hAnsi="宋体"/>
                <w:sz w:val="24"/>
                <w:szCs w:val="24"/>
              </w:rPr>
            </w:pPr>
            <w:r>
              <w:rPr>
                <w:rFonts w:hint="eastAsia" w:hAnsi="宋体"/>
                <w:sz w:val="24"/>
                <w:szCs w:val="24"/>
              </w:rPr>
              <w:t>《食品安全法》第四十一条</w:t>
            </w:r>
          </w:p>
          <w:p>
            <w:pPr>
              <w:tabs>
                <w:tab w:val="left" w:pos="790"/>
                <w:tab w:val="left" w:pos="1264"/>
              </w:tabs>
              <w:overflowPunct w:val="0"/>
              <w:adjustRightInd w:val="0"/>
              <w:snapToGrid w:val="0"/>
              <w:rPr>
                <w:rFonts w:hAnsi="宋体"/>
                <w:sz w:val="24"/>
                <w:szCs w:val="24"/>
              </w:rPr>
            </w:pPr>
            <w:r>
              <w:rPr>
                <w:rFonts w:hAnsi="宋体"/>
                <w:sz w:val="24"/>
                <w:szCs w:val="24"/>
              </w:rPr>
              <w:t>生产食品相关产品应当符合法律、法规和食品安全国家标准。对直接接触食品的包装材料等具有较高风险的食品相关产品，按照国家有关工业产品生产许可证管理的规定实施生产许可。质量监督部门应当加强对食品相关产品生产活动的监督管理。</w:t>
            </w:r>
          </w:p>
        </w:tc>
        <w:tc>
          <w:tcPr>
            <w:tcW w:w="3823" w:type="dxa"/>
            <w:vAlign w:val="center"/>
          </w:tcPr>
          <w:p>
            <w:pPr>
              <w:tabs>
                <w:tab w:val="left" w:pos="790"/>
                <w:tab w:val="left" w:pos="1264"/>
              </w:tabs>
              <w:overflowPunct w:val="0"/>
              <w:adjustRightInd w:val="0"/>
              <w:snapToGrid w:val="0"/>
              <w:rPr>
                <w:rFonts w:hAnsi="宋体"/>
                <w:sz w:val="24"/>
                <w:szCs w:val="24"/>
              </w:rPr>
            </w:pPr>
            <w:r>
              <w:rPr>
                <w:rFonts w:hint="eastAsia" w:hAnsi="宋体"/>
                <w:sz w:val="24"/>
                <w:szCs w:val="24"/>
              </w:rPr>
              <w:t>《工业产品生产许可证管理条例》第四十五条</w:t>
            </w:r>
          </w:p>
          <w:p>
            <w:pPr>
              <w:tabs>
                <w:tab w:val="left" w:pos="790"/>
                <w:tab w:val="left" w:pos="1264"/>
              </w:tabs>
              <w:overflowPunct w:val="0"/>
              <w:adjustRightInd w:val="0"/>
              <w:snapToGrid w:val="0"/>
              <w:rPr>
                <w:rFonts w:hAnsi="宋体"/>
                <w:sz w:val="24"/>
                <w:szCs w:val="24"/>
              </w:rPr>
            </w:pPr>
            <w:r>
              <w:rPr>
                <w:rFonts w:hAnsi="宋体"/>
                <w:sz w:val="24"/>
                <w:szCs w:val="24"/>
              </w:rPr>
              <w:t>企业未依照本条例规定申请取得生产许可证而擅自生产列入目录产品的，由工业产品生产许可证主管部门责令停止生产，没收违法生产的产品，处违法生产产品货值金额等值以上3倍以下的罚款；有违法所得的，没收违法所得；构成犯罪的，依法追究刑事责任。</w:t>
            </w:r>
          </w:p>
        </w:tc>
        <w:tc>
          <w:tcPr>
            <w:tcW w:w="2328" w:type="dxa"/>
            <w:vAlign w:val="center"/>
          </w:tcPr>
          <w:p>
            <w:pPr>
              <w:tabs>
                <w:tab w:val="left" w:pos="790"/>
                <w:tab w:val="left" w:pos="1264"/>
              </w:tabs>
              <w:overflowPunct w:val="0"/>
              <w:adjustRightInd w:val="0"/>
              <w:snapToGrid w:val="0"/>
              <w:jc w:val="center"/>
              <w:rPr>
                <w:rFonts w:hAnsi="宋体"/>
                <w:sz w:val="24"/>
                <w:szCs w:val="24"/>
              </w:rPr>
            </w:pPr>
            <w:r>
              <w:rPr>
                <w:rFonts w:hint="eastAsia" w:hAnsi="宋体"/>
                <w:sz w:val="24"/>
                <w:szCs w:val="24"/>
              </w:rPr>
              <w:t>质量管理科</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cantSplit/>
          <w:trHeight w:val="2755" w:hRule="atLeast"/>
          <w:jc w:val="center"/>
        </w:trPr>
        <w:tc>
          <w:tcPr>
            <w:tcW w:w="566" w:type="dxa"/>
            <w:vAlign w:val="center"/>
          </w:tcPr>
          <w:p>
            <w:pPr>
              <w:tabs>
                <w:tab w:val="left" w:pos="790"/>
                <w:tab w:val="left" w:pos="1264"/>
              </w:tabs>
              <w:overflowPunct w:val="0"/>
              <w:adjustRightInd w:val="0"/>
              <w:snapToGrid w:val="0"/>
              <w:jc w:val="center"/>
              <w:rPr>
                <w:rFonts w:hAnsi="宋体"/>
                <w:sz w:val="24"/>
                <w:szCs w:val="24"/>
              </w:rPr>
            </w:pPr>
            <w:r>
              <w:rPr>
                <w:rFonts w:hint="eastAsia" w:hAnsi="宋体"/>
                <w:sz w:val="24"/>
                <w:szCs w:val="24"/>
              </w:rPr>
              <w:t>10</w:t>
            </w:r>
          </w:p>
        </w:tc>
        <w:tc>
          <w:tcPr>
            <w:tcW w:w="1134" w:type="dxa"/>
            <w:vAlign w:val="center"/>
          </w:tcPr>
          <w:p>
            <w:pPr>
              <w:tabs>
                <w:tab w:val="left" w:pos="790"/>
                <w:tab w:val="left" w:pos="1264"/>
              </w:tabs>
              <w:overflowPunct w:val="0"/>
              <w:adjustRightInd w:val="0"/>
              <w:snapToGrid w:val="0"/>
              <w:jc w:val="center"/>
              <w:rPr>
                <w:rFonts w:hAnsi="宋体"/>
                <w:sz w:val="24"/>
                <w:szCs w:val="24"/>
              </w:rPr>
            </w:pPr>
            <w:r>
              <w:rPr>
                <w:rFonts w:hint="eastAsia" w:hAnsi="宋体"/>
                <w:sz w:val="24"/>
                <w:szCs w:val="24"/>
              </w:rPr>
              <w:t>无证经营未经考核合格的计量器具新产品</w:t>
            </w:r>
          </w:p>
        </w:tc>
        <w:tc>
          <w:tcPr>
            <w:tcW w:w="1134" w:type="dxa"/>
            <w:vAlign w:val="center"/>
          </w:tcPr>
          <w:p>
            <w:pPr>
              <w:tabs>
                <w:tab w:val="left" w:pos="790"/>
                <w:tab w:val="left" w:pos="1264"/>
              </w:tabs>
              <w:overflowPunct w:val="0"/>
              <w:adjustRightInd w:val="0"/>
              <w:snapToGrid w:val="0"/>
              <w:jc w:val="center"/>
              <w:rPr>
                <w:rFonts w:hAnsi="宋体"/>
                <w:sz w:val="24"/>
                <w:szCs w:val="24"/>
              </w:rPr>
            </w:pPr>
            <w:r>
              <w:rPr>
                <w:rFonts w:hint="eastAsia" w:hAnsi="宋体"/>
                <w:sz w:val="24"/>
                <w:szCs w:val="24"/>
              </w:rPr>
              <w:t>计量器具型式批准证书</w:t>
            </w:r>
          </w:p>
        </w:tc>
        <w:tc>
          <w:tcPr>
            <w:tcW w:w="3889" w:type="dxa"/>
            <w:vAlign w:val="center"/>
          </w:tcPr>
          <w:p>
            <w:pPr>
              <w:tabs>
                <w:tab w:val="left" w:pos="790"/>
                <w:tab w:val="left" w:pos="1264"/>
              </w:tabs>
              <w:overflowPunct w:val="0"/>
              <w:adjustRightInd w:val="0"/>
              <w:snapToGrid w:val="0"/>
              <w:rPr>
                <w:rFonts w:hAnsi="宋体"/>
                <w:sz w:val="24"/>
                <w:szCs w:val="24"/>
              </w:rPr>
            </w:pPr>
            <w:r>
              <w:rPr>
                <w:rFonts w:hint="eastAsia" w:hAnsi="宋体"/>
                <w:sz w:val="24"/>
                <w:szCs w:val="24"/>
              </w:rPr>
              <w:t>《计量法》</w:t>
            </w:r>
            <w:r>
              <w:rPr>
                <w:rFonts w:hAnsi="宋体"/>
                <w:sz w:val="24"/>
                <w:szCs w:val="24"/>
              </w:rPr>
              <w:t>第十三条</w:t>
            </w:r>
          </w:p>
          <w:p>
            <w:pPr>
              <w:tabs>
                <w:tab w:val="left" w:pos="790"/>
                <w:tab w:val="left" w:pos="1264"/>
              </w:tabs>
              <w:overflowPunct w:val="0"/>
              <w:adjustRightInd w:val="0"/>
              <w:snapToGrid w:val="0"/>
              <w:rPr>
                <w:rFonts w:hAnsi="宋体"/>
                <w:sz w:val="24"/>
                <w:szCs w:val="24"/>
              </w:rPr>
            </w:pPr>
            <w:r>
              <w:rPr>
                <w:rFonts w:hint="eastAsia" w:hAnsi="宋体"/>
                <w:sz w:val="24"/>
                <w:szCs w:val="24"/>
              </w:rPr>
              <w:t>制造计量器具的企业、事业单位生产本单位未生产过的计量器具新产品，必须经省级以上人民政府计量行政部门对其样品的计量性能考核合格，方可投入生产。</w:t>
            </w:r>
          </w:p>
        </w:tc>
        <w:tc>
          <w:tcPr>
            <w:tcW w:w="3823" w:type="dxa"/>
            <w:vAlign w:val="center"/>
          </w:tcPr>
          <w:p>
            <w:pPr>
              <w:tabs>
                <w:tab w:val="left" w:pos="790"/>
                <w:tab w:val="left" w:pos="1264"/>
              </w:tabs>
              <w:overflowPunct w:val="0"/>
              <w:adjustRightInd w:val="0"/>
              <w:snapToGrid w:val="0"/>
              <w:rPr>
                <w:rFonts w:hAnsi="宋体"/>
                <w:sz w:val="24"/>
                <w:szCs w:val="24"/>
              </w:rPr>
            </w:pPr>
            <w:r>
              <w:rPr>
                <w:rFonts w:hint="eastAsia" w:hAnsi="宋体"/>
                <w:sz w:val="24"/>
                <w:szCs w:val="24"/>
              </w:rPr>
              <w:t>《计量法》第二十三条</w:t>
            </w:r>
          </w:p>
          <w:p>
            <w:pPr>
              <w:tabs>
                <w:tab w:val="left" w:pos="790"/>
                <w:tab w:val="left" w:pos="1264"/>
              </w:tabs>
              <w:overflowPunct w:val="0"/>
              <w:adjustRightInd w:val="0"/>
              <w:snapToGrid w:val="0"/>
              <w:rPr>
                <w:rFonts w:hAnsi="宋体"/>
                <w:sz w:val="24"/>
                <w:szCs w:val="24"/>
              </w:rPr>
            </w:pPr>
            <w:r>
              <w:rPr>
                <w:rFonts w:hint="eastAsia" w:hAnsi="宋体"/>
                <w:sz w:val="24"/>
                <w:szCs w:val="24"/>
              </w:rPr>
              <w:t>制造、销售未经考核合格的计量器具新产品的，责令停止制造、销售该种新产品，没收违法所得，可以并处罚款。</w:t>
            </w:r>
          </w:p>
          <w:p>
            <w:pPr>
              <w:tabs>
                <w:tab w:val="left" w:pos="790"/>
                <w:tab w:val="left" w:pos="1264"/>
              </w:tabs>
              <w:overflowPunct w:val="0"/>
              <w:adjustRightInd w:val="0"/>
              <w:snapToGrid w:val="0"/>
              <w:rPr>
                <w:rFonts w:hAnsi="宋体"/>
                <w:sz w:val="24"/>
                <w:szCs w:val="24"/>
              </w:rPr>
            </w:pPr>
          </w:p>
          <w:p>
            <w:pPr>
              <w:tabs>
                <w:tab w:val="left" w:pos="790"/>
                <w:tab w:val="left" w:pos="1264"/>
              </w:tabs>
              <w:overflowPunct w:val="0"/>
              <w:adjustRightInd w:val="0"/>
              <w:snapToGrid w:val="0"/>
              <w:rPr>
                <w:rFonts w:hAnsi="宋体"/>
                <w:sz w:val="24"/>
                <w:szCs w:val="24"/>
              </w:rPr>
            </w:pPr>
            <w:r>
              <w:rPr>
                <w:rFonts w:hint="eastAsia" w:hAnsi="宋体"/>
                <w:sz w:val="24"/>
                <w:szCs w:val="24"/>
              </w:rPr>
              <w:t>《计量法实施细则》第四十四条</w:t>
            </w:r>
          </w:p>
          <w:p>
            <w:pPr>
              <w:tabs>
                <w:tab w:val="left" w:pos="790"/>
                <w:tab w:val="left" w:pos="1264"/>
              </w:tabs>
              <w:overflowPunct w:val="0"/>
              <w:adjustRightInd w:val="0"/>
              <w:snapToGrid w:val="0"/>
              <w:rPr>
                <w:rFonts w:hAnsi="宋体"/>
                <w:sz w:val="24"/>
                <w:szCs w:val="24"/>
              </w:rPr>
            </w:pPr>
            <w:r>
              <w:rPr>
                <w:rFonts w:hint="eastAsia" w:hAnsi="宋体"/>
                <w:sz w:val="24"/>
                <w:szCs w:val="24"/>
              </w:rPr>
              <w:t>制造、销售未经型式批准或样机试验合格的计量器具新产品的，责令其停止制造、销售，封存该种新产品，没收全部违法所得，可并处3000元以下的罚款。</w:t>
            </w:r>
          </w:p>
        </w:tc>
        <w:tc>
          <w:tcPr>
            <w:tcW w:w="2328" w:type="dxa"/>
            <w:vAlign w:val="center"/>
          </w:tcPr>
          <w:p>
            <w:pPr>
              <w:tabs>
                <w:tab w:val="left" w:pos="790"/>
                <w:tab w:val="left" w:pos="1264"/>
              </w:tabs>
              <w:overflowPunct w:val="0"/>
              <w:adjustRightInd w:val="0"/>
              <w:snapToGrid w:val="0"/>
              <w:jc w:val="center"/>
              <w:rPr>
                <w:rFonts w:hAnsi="宋体"/>
                <w:sz w:val="24"/>
                <w:szCs w:val="24"/>
              </w:rPr>
            </w:pPr>
            <w:r>
              <w:rPr>
                <w:rFonts w:hint="eastAsia" w:hAnsi="宋体"/>
                <w:sz w:val="24"/>
                <w:szCs w:val="24"/>
              </w:rPr>
              <w:t>计量监督管理科</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cantSplit/>
          <w:trHeight w:val="8000" w:hRule="atLeast"/>
          <w:jc w:val="center"/>
        </w:trPr>
        <w:tc>
          <w:tcPr>
            <w:tcW w:w="566" w:type="dxa"/>
            <w:vAlign w:val="center"/>
          </w:tcPr>
          <w:p>
            <w:pPr>
              <w:tabs>
                <w:tab w:val="left" w:pos="790"/>
                <w:tab w:val="left" w:pos="1264"/>
              </w:tabs>
              <w:overflowPunct w:val="0"/>
              <w:adjustRightInd w:val="0"/>
              <w:snapToGrid w:val="0"/>
              <w:jc w:val="center"/>
              <w:rPr>
                <w:rFonts w:hAnsi="宋体"/>
                <w:sz w:val="24"/>
                <w:szCs w:val="24"/>
              </w:rPr>
            </w:pPr>
            <w:r>
              <w:rPr>
                <w:rFonts w:hint="eastAsia" w:hAnsi="宋体"/>
                <w:sz w:val="24"/>
                <w:szCs w:val="24"/>
              </w:rPr>
              <w:t>11</w:t>
            </w:r>
          </w:p>
        </w:tc>
        <w:tc>
          <w:tcPr>
            <w:tcW w:w="1134" w:type="dxa"/>
            <w:vAlign w:val="center"/>
          </w:tcPr>
          <w:p>
            <w:pPr>
              <w:tabs>
                <w:tab w:val="left" w:pos="790"/>
                <w:tab w:val="left" w:pos="1264"/>
              </w:tabs>
              <w:overflowPunct w:val="0"/>
              <w:adjustRightInd w:val="0"/>
              <w:snapToGrid w:val="0"/>
              <w:jc w:val="center"/>
              <w:rPr>
                <w:rFonts w:hAnsi="宋体"/>
                <w:sz w:val="24"/>
                <w:szCs w:val="24"/>
              </w:rPr>
            </w:pPr>
            <w:r>
              <w:rPr>
                <w:rFonts w:hint="eastAsia" w:hAnsi="宋体"/>
                <w:sz w:val="24"/>
                <w:szCs w:val="24"/>
              </w:rPr>
              <w:t>计量检定机构未经授权对外检定、测试</w:t>
            </w:r>
          </w:p>
        </w:tc>
        <w:tc>
          <w:tcPr>
            <w:tcW w:w="1134" w:type="dxa"/>
            <w:vAlign w:val="center"/>
          </w:tcPr>
          <w:p>
            <w:pPr>
              <w:tabs>
                <w:tab w:val="left" w:pos="790"/>
                <w:tab w:val="left" w:pos="1264"/>
              </w:tabs>
              <w:overflowPunct w:val="0"/>
              <w:adjustRightInd w:val="0"/>
              <w:snapToGrid w:val="0"/>
              <w:jc w:val="center"/>
              <w:rPr>
                <w:rFonts w:hAnsi="宋体"/>
                <w:sz w:val="24"/>
                <w:szCs w:val="24"/>
              </w:rPr>
            </w:pPr>
            <w:r>
              <w:rPr>
                <w:rFonts w:hint="eastAsia" w:hAnsi="宋体"/>
                <w:sz w:val="24"/>
                <w:szCs w:val="24"/>
              </w:rPr>
              <w:t>法定计量检定机构计量授权证书</w:t>
            </w:r>
          </w:p>
        </w:tc>
        <w:tc>
          <w:tcPr>
            <w:tcW w:w="3889" w:type="dxa"/>
            <w:vAlign w:val="center"/>
          </w:tcPr>
          <w:p>
            <w:pPr>
              <w:widowControl/>
              <w:adjustRightInd w:val="0"/>
              <w:snapToGrid w:val="0"/>
              <w:spacing w:line="240" w:lineRule="exact"/>
              <w:jc w:val="left"/>
              <w:rPr>
                <w:rFonts w:hAnsi="宋体"/>
                <w:sz w:val="21"/>
                <w:szCs w:val="21"/>
              </w:rPr>
            </w:pPr>
            <w:r>
              <w:rPr>
                <w:rFonts w:hint="eastAsia" w:hAnsi="宋体"/>
                <w:sz w:val="21"/>
                <w:szCs w:val="21"/>
              </w:rPr>
              <w:t>《计量法》</w:t>
            </w:r>
            <w:r>
              <w:rPr>
                <w:rFonts w:hAnsi="宋体"/>
                <w:sz w:val="21"/>
                <w:szCs w:val="21"/>
              </w:rPr>
              <w:t>第二十条</w:t>
            </w:r>
          </w:p>
          <w:p>
            <w:pPr>
              <w:widowControl/>
              <w:adjustRightInd w:val="0"/>
              <w:snapToGrid w:val="0"/>
              <w:spacing w:line="240" w:lineRule="exact"/>
              <w:jc w:val="left"/>
              <w:rPr>
                <w:rFonts w:hAnsi="宋体"/>
                <w:sz w:val="21"/>
                <w:szCs w:val="21"/>
              </w:rPr>
            </w:pPr>
            <w:r>
              <w:rPr>
                <w:rFonts w:hint="eastAsia" w:hAnsi="宋体"/>
                <w:sz w:val="21"/>
                <w:szCs w:val="21"/>
              </w:rPr>
              <w:t>县级以上人民政府计量行政部门可以根据需要设置计量检定机构，或者授权其他单位的计量检定机构，执行强制检定和其他检定、测试任务。</w:t>
            </w:r>
          </w:p>
          <w:p>
            <w:pPr>
              <w:widowControl/>
              <w:adjustRightInd w:val="0"/>
              <w:snapToGrid w:val="0"/>
              <w:spacing w:line="240" w:lineRule="exact"/>
              <w:jc w:val="left"/>
              <w:rPr>
                <w:rFonts w:hAnsi="宋体"/>
                <w:sz w:val="21"/>
                <w:szCs w:val="21"/>
              </w:rPr>
            </w:pPr>
            <w:r>
              <w:rPr>
                <w:rFonts w:hint="eastAsia" w:hAnsi="宋体"/>
                <w:sz w:val="21"/>
                <w:szCs w:val="21"/>
              </w:rPr>
              <w:t>《计量法实施细则》第二十七条</w:t>
            </w:r>
          </w:p>
          <w:p>
            <w:pPr>
              <w:widowControl/>
              <w:adjustRightInd w:val="0"/>
              <w:snapToGrid w:val="0"/>
              <w:spacing w:line="240" w:lineRule="exact"/>
              <w:jc w:val="left"/>
              <w:rPr>
                <w:rFonts w:hint="eastAsia" w:hAnsi="宋体" w:eastAsia="仿宋_GB2312"/>
                <w:sz w:val="21"/>
                <w:szCs w:val="21"/>
                <w:lang w:eastAsia="zh-CN"/>
              </w:rPr>
            </w:pPr>
            <w:r>
              <w:rPr>
                <w:rFonts w:hint="eastAsia" w:hAnsi="宋体"/>
                <w:sz w:val="21"/>
                <w:szCs w:val="21"/>
              </w:rPr>
              <w:t>县级以上人民政</w:t>
            </w:r>
            <w:r>
              <w:rPr>
                <w:rFonts w:hAnsi="宋体"/>
                <w:sz w:val="21"/>
                <w:szCs w:val="21"/>
              </w:rPr>
              <w:t>府</w:t>
            </w:r>
            <w:bookmarkStart w:id="0" w:name="_GoBack"/>
            <w:bookmarkEnd w:id="0"/>
            <w:r>
              <w:rPr>
                <w:rFonts w:hAnsi="宋体"/>
                <w:sz w:val="21"/>
                <w:szCs w:val="21"/>
              </w:rPr>
              <w:t>计量行政部门可以根据需要，采取以下形式授权其他单位的计量检定机构和技术机构，在规定的范围内执行强制检定和其他检定、测试任务：</w:t>
            </w:r>
          </w:p>
          <w:p>
            <w:pPr>
              <w:widowControl/>
              <w:adjustRightInd w:val="0"/>
              <w:snapToGrid w:val="0"/>
              <w:spacing w:line="240" w:lineRule="exact"/>
              <w:jc w:val="left"/>
              <w:rPr>
                <w:rFonts w:hAnsi="宋体"/>
                <w:sz w:val="21"/>
                <w:szCs w:val="21"/>
              </w:rPr>
            </w:pPr>
            <w:r>
              <w:rPr>
                <w:rFonts w:hAnsi="宋体"/>
                <w:sz w:val="21"/>
                <w:szCs w:val="21"/>
              </w:rPr>
              <w:t>（一）授权专业性或区域性计量检定机构，作为法定计量检定机构；</w:t>
            </w:r>
          </w:p>
          <w:p>
            <w:pPr>
              <w:widowControl/>
              <w:adjustRightInd w:val="0"/>
              <w:snapToGrid w:val="0"/>
              <w:spacing w:line="240" w:lineRule="exact"/>
              <w:jc w:val="left"/>
              <w:rPr>
                <w:rFonts w:hAnsi="宋体"/>
                <w:sz w:val="21"/>
                <w:szCs w:val="21"/>
              </w:rPr>
            </w:pPr>
            <w:r>
              <w:rPr>
                <w:rFonts w:hAnsi="宋体"/>
                <w:sz w:val="21"/>
                <w:szCs w:val="21"/>
              </w:rPr>
              <w:t>（二）授权建立社会公用计量标准；</w:t>
            </w:r>
          </w:p>
          <w:p>
            <w:pPr>
              <w:widowControl/>
              <w:adjustRightInd w:val="0"/>
              <w:snapToGrid w:val="0"/>
              <w:spacing w:line="240" w:lineRule="exact"/>
              <w:jc w:val="left"/>
              <w:rPr>
                <w:rFonts w:hAnsi="宋体"/>
                <w:sz w:val="21"/>
                <w:szCs w:val="21"/>
              </w:rPr>
            </w:pPr>
            <w:r>
              <w:rPr>
                <w:rFonts w:hAnsi="宋体"/>
                <w:sz w:val="21"/>
                <w:szCs w:val="21"/>
              </w:rPr>
              <w:t>（三）授权某一部门或某一单位的计量检定机构，对其内部使用的强制检定计量器具执行强制检定；</w:t>
            </w:r>
          </w:p>
          <w:p>
            <w:pPr>
              <w:widowControl/>
              <w:adjustRightInd w:val="0"/>
              <w:snapToGrid w:val="0"/>
              <w:spacing w:line="240" w:lineRule="exact"/>
              <w:jc w:val="left"/>
              <w:rPr>
                <w:rFonts w:hAnsi="宋体"/>
                <w:sz w:val="21"/>
                <w:szCs w:val="21"/>
              </w:rPr>
            </w:pPr>
            <w:r>
              <w:rPr>
                <w:rFonts w:hAnsi="宋体"/>
                <w:sz w:val="21"/>
                <w:szCs w:val="21"/>
              </w:rPr>
              <w:t>（四）授权有关技术机构，承担法律规定的其他检定、测试任务。</w:t>
            </w:r>
          </w:p>
          <w:p>
            <w:pPr>
              <w:widowControl/>
              <w:adjustRightInd w:val="0"/>
              <w:snapToGrid w:val="0"/>
              <w:spacing w:line="240" w:lineRule="exact"/>
              <w:jc w:val="left"/>
              <w:rPr>
                <w:rFonts w:hAnsi="宋体"/>
                <w:sz w:val="21"/>
                <w:szCs w:val="21"/>
              </w:rPr>
            </w:pPr>
          </w:p>
          <w:p>
            <w:pPr>
              <w:widowControl/>
              <w:adjustRightInd w:val="0"/>
              <w:snapToGrid w:val="0"/>
              <w:spacing w:line="240" w:lineRule="exact"/>
              <w:jc w:val="left"/>
              <w:rPr>
                <w:rFonts w:hAnsi="宋体"/>
                <w:sz w:val="21"/>
                <w:szCs w:val="21"/>
              </w:rPr>
            </w:pPr>
            <w:r>
              <w:rPr>
                <w:rFonts w:hint="eastAsia" w:hAnsi="宋体"/>
                <w:sz w:val="21"/>
                <w:szCs w:val="21"/>
              </w:rPr>
              <w:t>《计量法实施细则》</w:t>
            </w:r>
            <w:r>
              <w:rPr>
                <w:rFonts w:hAnsi="宋体"/>
                <w:sz w:val="21"/>
                <w:szCs w:val="21"/>
              </w:rPr>
              <w:t>第二十八条</w:t>
            </w:r>
          </w:p>
          <w:p>
            <w:pPr>
              <w:widowControl/>
              <w:adjustRightInd w:val="0"/>
              <w:snapToGrid w:val="0"/>
              <w:spacing w:line="240" w:lineRule="exact"/>
              <w:jc w:val="left"/>
              <w:rPr>
                <w:rFonts w:hAnsi="宋体"/>
                <w:sz w:val="21"/>
                <w:szCs w:val="21"/>
              </w:rPr>
            </w:pPr>
            <w:r>
              <w:rPr>
                <w:rFonts w:hAnsi="宋体"/>
                <w:sz w:val="21"/>
                <w:szCs w:val="21"/>
              </w:rPr>
              <w:t>根据本细则第二十七条规定被授权的单位，应当遵守下列规定：</w:t>
            </w:r>
          </w:p>
          <w:p>
            <w:pPr>
              <w:widowControl/>
              <w:adjustRightInd w:val="0"/>
              <w:snapToGrid w:val="0"/>
              <w:spacing w:line="240" w:lineRule="exact"/>
              <w:jc w:val="left"/>
              <w:rPr>
                <w:rFonts w:hAnsi="宋体"/>
                <w:sz w:val="21"/>
                <w:szCs w:val="21"/>
              </w:rPr>
            </w:pPr>
            <w:r>
              <w:rPr>
                <w:rFonts w:hAnsi="宋体"/>
                <w:sz w:val="21"/>
                <w:szCs w:val="21"/>
              </w:rPr>
              <w:t>（一）被授权单位执行检定、测试任务的人员，必须经考核合格；</w:t>
            </w:r>
          </w:p>
          <w:p>
            <w:pPr>
              <w:widowControl/>
              <w:adjustRightInd w:val="0"/>
              <w:snapToGrid w:val="0"/>
              <w:spacing w:line="240" w:lineRule="exact"/>
              <w:jc w:val="left"/>
              <w:rPr>
                <w:rFonts w:hAnsi="宋体"/>
                <w:sz w:val="21"/>
                <w:szCs w:val="21"/>
              </w:rPr>
            </w:pPr>
            <w:r>
              <w:rPr>
                <w:rFonts w:hAnsi="宋体"/>
                <w:sz w:val="21"/>
                <w:szCs w:val="21"/>
              </w:rPr>
              <w:t>（二）被授权单位的相应计量标准，必须接受计量基准或者社会公用计量标准的检定；</w:t>
            </w:r>
          </w:p>
          <w:p>
            <w:pPr>
              <w:widowControl/>
              <w:adjustRightInd w:val="0"/>
              <w:snapToGrid w:val="0"/>
              <w:spacing w:line="240" w:lineRule="exact"/>
              <w:jc w:val="left"/>
              <w:rPr>
                <w:rFonts w:hAnsi="宋体"/>
                <w:sz w:val="21"/>
                <w:szCs w:val="21"/>
              </w:rPr>
            </w:pPr>
            <w:r>
              <w:rPr>
                <w:rFonts w:hAnsi="宋体"/>
                <w:sz w:val="21"/>
                <w:szCs w:val="21"/>
              </w:rPr>
              <w:t>（三）被授权单位承担授权的检定、测试工作，须接受授权单位的监督；</w:t>
            </w:r>
          </w:p>
          <w:p>
            <w:pPr>
              <w:widowControl/>
              <w:adjustRightInd w:val="0"/>
              <w:snapToGrid w:val="0"/>
              <w:spacing w:line="240" w:lineRule="exact"/>
              <w:jc w:val="left"/>
              <w:rPr>
                <w:rFonts w:hAnsi="宋体"/>
                <w:sz w:val="21"/>
                <w:szCs w:val="21"/>
              </w:rPr>
            </w:pPr>
            <w:r>
              <w:rPr>
                <w:rFonts w:hAnsi="宋体"/>
                <w:sz w:val="21"/>
                <w:szCs w:val="21"/>
              </w:rPr>
              <w:t>（四）被授权单位成为计量纠纷中当事人一方时，在双方协商不能自行解决的情况下，由县级以上有关人民政府计量行政部门进行调解和仲裁检定。</w:t>
            </w:r>
          </w:p>
        </w:tc>
        <w:tc>
          <w:tcPr>
            <w:tcW w:w="3823" w:type="dxa"/>
            <w:vAlign w:val="center"/>
          </w:tcPr>
          <w:p>
            <w:pPr>
              <w:widowControl/>
              <w:adjustRightInd w:val="0"/>
              <w:snapToGrid w:val="0"/>
              <w:jc w:val="left"/>
              <w:rPr>
                <w:rFonts w:hAnsi="宋体"/>
                <w:sz w:val="21"/>
                <w:szCs w:val="21"/>
              </w:rPr>
            </w:pPr>
            <w:r>
              <w:rPr>
                <w:rFonts w:hint="eastAsia" w:hAnsi="宋体"/>
                <w:sz w:val="21"/>
                <w:szCs w:val="21"/>
              </w:rPr>
              <w:t>《法定计量检定机构监督管理办法》第十七条</w:t>
            </w:r>
          </w:p>
          <w:p>
            <w:pPr>
              <w:widowControl/>
              <w:adjustRightInd w:val="0"/>
              <w:snapToGrid w:val="0"/>
              <w:jc w:val="left"/>
              <w:rPr>
                <w:rFonts w:hAnsi="宋体"/>
                <w:sz w:val="21"/>
                <w:szCs w:val="21"/>
              </w:rPr>
            </w:pPr>
            <w:r>
              <w:rPr>
                <w:rFonts w:hint="eastAsia" w:hAnsi="宋体"/>
                <w:sz w:val="21"/>
                <w:szCs w:val="21"/>
              </w:rPr>
              <w:t>法定计量检定机构有下列行为之一的，予以警告，并处一千元以下的罚款：</w:t>
            </w:r>
          </w:p>
          <w:p>
            <w:pPr>
              <w:widowControl/>
              <w:adjustRightInd w:val="0"/>
              <w:snapToGrid w:val="0"/>
              <w:jc w:val="left"/>
              <w:rPr>
                <w:rFonts w:hAnsi="宋体"/>
                <w:sz w:val="21"/>
                <w:szCs w:val="21"/>
              </w:rPr>
            </w:pPr>
            <w:r>
              <w:rPr>
                <w:rFonts w:hint="eastAsia" w:hAnsi="宋体"/>
                <w:sz w:val="21"/>
                <w:szCs w:val="21"/>
              </w:rPr>
              <w:t>（一）未经质量技术监督部门授权开展须经授权方可开展的工作的；</w:t>
            </w:r>
          </w:p>
          <w:p>
            <w:pPr>
              <w:widowControl/>
              <w:adjustRightInd w:val="0"/>
              <w:snapToGrid w:val="0"/>
              <w:jc w:val="left"/>
              <w:rPr>
                <w:rFonts w:hAnsi="宋体"/>
                <w:sz w:val="21"/>
                <w:szCs w:val="21"/>
              </w:rPr>
            </w:pPr>
            <w:r>
              <w:rPr>
                <w:rFonts w:hint="eastAsia" w:hAnsi="宋体"/>
                <w:sz w:val="21"/>
                <w:szCs w:val="21"/>
              </w:rPr>
              <w:t>（二）超过授权期限继续开展被授权项目工作的</w:t>
            </w:r>
            <w:r>
              <w:rPr>
                <w:rFonts w:hAnsi="宋体"/>
                <w:sz w:val="21"/>
                <w:szCs w:val="21"/>
              </w:rPr>
              <w:t>;</w:t>
            </w:r>
          </w:p>
          <w:p>
            <w:pPr>
              <w:widowControl/>
              <w:adjustRightInd w:val="0"/>
              <w:snapToGrid w:val="0"/>
              <w:jc w:val="left"/>
              <w:rPr>
                <w:rFonts w:hAnsi="宋体"/>
                <w:sz w:val="21"/>
                <w:szCs w:val="21"/>
              </w:rPr>
            </w:pPr>
          </w:p>
          <w:p>
            <w:pPr>
              <w:widowControl/>
              <w:adjustRightInd w:val="0"/>
              <w:snapToGrid w:val="0"/>
              <w:jc w:val="left"/>
              <w:rPr>
                <w:rFonts w:hAnsi="宋体"/>
                <w:sz w:val="21"/>
                <w:szCs w:val="21"/>
              </w:rPr>
            </w:pPr>
            <w:r>
              <w:rPr>
                <w:rFonts w:hint="eastAsia" w:hAnsi="宋体"/>
                <w:sz w:val="21"/>
                <w:szCs w:val="21"/>
              </w:rPr>
              <w:t>《法定计量检定机构监督管理办法》第十八条</w:t>
            </w:r>
          </w:p>
          <w:p>
            <w:pPr>
              <w:widowControl/>
              <w:adjustRightInd w:val="0"/>
              <w:snapToGrid w:val="0"/>
              <w:jc w:val="left"/>
              <w:rPr>
                <w:rFonts w:hAnsi="宋体"/>
                <w:sz w:val="21"/>
                <w:szCs w:val="21"/>
              </w:rPr>
            </w:pPr>
            <w:r>
              <w:rPr>
                <w:rFonts w:hint="eastAsia" w:hAnsi="宋体"/>
                <w:sz w:val="21"/>
                <w:szCs w:val="21"/>
              </w:rPr>
              <w:t>法定计量检定机构有下列行为之一的</w:t>
            </w:r>
            <w:r>
              <w:rPr>
                <w:rFonts w:hAnsi="宋体"/>
                <w:sz w:val="21"/>
                <w:szCs w:val="21"/>
              </w:rPr>
              <w:t xml:space="preserve">, </w:t>
            </w:r>
            <w:r>
              <w:rPr>
                <w:rFonts w:hint="eastAsia" w:hAnsi="宋体"/>
                <w:sz w:val="21"/>
                <w:szCs w:val="21"/>
              </w:rPr>
              <w:t>予以警告，并处一千元以下的罚款；情节严重的，吊销其计量授权证书：</w:t>
            </w:r>
          </w:p>
          <w:p>
            <w:pPr>
              <w:widowControl/>
              <w:adjustRightInd w:val="0"/>
              <w:snapToGrid w:val="0"/>
              <w:jc w:val="left"/>
              <w:rPr>
                <w:rFonts w:hAnsi="宋体"/>
                <w:sz w:val="21"/>
                <w:szCs w:val="21"/>
              </w:rPr>
            </w:pPr>
            <w:r>
              <w:rPr>
                <w:rFonts w:hint="eastAsia" w:hAnsi="宋体"/>
                <w:sz w:val="21"/>
                <w:szCs w:val="21"/>
              </w:rPr>
              <w:t>（一）违反本办法第二十条规定，未经质量技术监督部门授权或者批准，擅自变更授权项目的</w:t>
            </w:r>
            <w:r>
              <w:rPr>
                <w:rFonts w:hAnsi="宋体"/>
                <w:sz w:val="21"/>
                <w:szCs w:val="21"/>
              </w:rPr>
              <w:t>;</w:t>
            </w:r>
          </w:p>
          <w:p>
            <w:pPr>
              <w:widowControl/>
              <w:adjustRightInd w:val="0"/>
              <w:snapToGrid w:val="0"/>
              <w:jc w:val="left"/>
              <w:rPr>
                <w:rFonts w:hAnsi="宋体"/>
                <w:sz w:val="21"/>
                <w:szCs w:val="21"/>
              </w:rPr>
            </w:pPr>
            <w:r>
              <w:rPr>
                <w:rFonts w:hint="eastAsia" w:hAnsi="宋体"/>
                <w:sz w:val="21"/>
                <w:szCs w:val="21"/>
              </w:rPr>
              <w:t>（二）违反本办法第十四条第一、二、三、四项目规定之一的；</w:t>
            </w:r>
          </w:p>
          <w:p>
            <w:pPr>
              <w:widowControl/>
              <w:adjustRightInd w:val="0"/>
              <w:snapToGrid w:val="0"/>
              <w:jc w:val="left"/>
              <w:rPr>
                <w:rFonts w:hAnsi="宋体"/>
                <w:sz w:val="21"/>
                <w:szCs w:val="21"/>
              </w:rPr>
            </w:pPr>
          </w:p>
          <w:p>
            <w:pPr>
              <w:widowControl/>
              <w:adjustRightInd w:val="0"/>
              <w:snapToGrid w:val="0"/>
              <w:jc w:val="left"/>
              <w:rPr>
                <w:rFonts w:hAnsi="宋体"/>
                <w:sz w:val="21"/>
                <w:szCs w:val="21"/>
              </w:rPr>
            </w:pPr>
            <w:r>
              <w:rPr>
                <w:rFonts w:hAnsi="宋体"/>
                <w:sz w:val="21"/>
                <w:szCs w:val="21"/>
              </w:rPr>
              <w:t>《计量违法行为</w:t>
            </w:r>
            <w:r>
              <w:rPr>
                <w:rFonts w:hint="eastAsia" w:hAnsi="宋体"/>
                <w:sz w:val="21"/>
                <w:szCs w:val="21"/>
              </w:rPr>
              <w:t>处罚细则》第十一条</w:t>
            </w:r>
          </w:p>
          <w:p>
            <w:pPr>
              <w:widowControl/>
              <w:adjustRightInd w:val="0"/>
              <w:snapToGrid w:val="0"/>
              <w:jc w:val="left"/>
              <w:rPr>
                <w:rFonts w:hAnsi="宋体"/>
                <w:sz w:val="21"/>
                <w:szCs w:val="21"/>
              </w:rPr>
            </w:pPr>
            <w:r>
              <w:rPr>
                <w:rFonts w:hint="eastAsia" w:hAnsi="宋体"/>
                <w:sz w:val="21"/>
                <w:szCs w:val="21"/>
              </w:rPr>
              <w:t>未经有关人民政府计量行政部门授权，擅自对外进行检定、测试的，没收全部违法所得。给有关单位造成损失的，责令其赔偿损失</w:t>
            </w:r>
            <w:r>
              <w:rPr>
                <w:rFonts w:hAnsi="宋体"/>
                <w:sz w:val="21"/>
                <w:szCs w:val="21"/>
              </w:rPr>
              <w:t>,没收全部违法所得</w:t>
            </w:r>
            <w:r>
              <w:rPr>
                <w:rFonts w:hint="eastAsia" w:hAnsi="宋体"/>
                <w:sz w:val="21"/>
                <w:szCs w:val="21"/>
              </w:rPr>
              <w:t>。</w:t>
            </w:r>
          </w:p>
        </w:tc>
        <w:tc>
          <w:tcPr>
            <w:tcW w:w="2328" w:type="dxa"/>
            <w:vAlign w:val="center"/>
          </w:tcPr>
          <w:p>
            <w:pPr>
              <w:tabs>
                <w:tab w:val="left" w:pos="790"/>
                <w:tab w:val="left" w:pos="1264"/>
              </w:tabs>
              <w:overflowPunct w:val="0"/>
              <w:adjustRightInd w:val="0"/>
              <w:snapToGrid w:val="0"/>
              <w:jc w:val="center"/>
              <w:rPr>
                <w:rFonts w:hAnsi="宋体"/>
                <w:sz w:val="24"/>
                <w:szCs w:val="24"/>
              </w:rPr>
            </w:pPr>
            <w:r>
              <w:rPr>
                <w:rFonts w:hint="eastAsia" w:hAnsi="宋体"/>
                <w:sz w:val="24"/>
                <w:szCs w:val="24"/>
              </w:rPr>
              <w:t>计量监督管理科</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cantSplit/>
          <w:trHeight w:val="8142" w:hRule="atLeast"/>
          <w:jc w:val="center"/>
        </w:trPr>
        <w:tc>
          <w:tcPr>
            <w:tcW w:w="566" w:type="dxa"/>
            <w:vAlign w:val="center"/>
          </w:tcPr>
          <w:p>
            <w:pPr>
              <w:tabs>
                <w:tab w:val="left" w:pos="790"/>
                <w:tab w:val="left" w:pos="1264"/>
              </w:tabs>
              <w:overflowPunct w:val="0"/>
              <w:adjustRightInd w:val="0"/>
              <w:snapToGrid w:val="0"/>
              <w:jc w:val="center"/>
              <w:rPr>
                <w:rFonts w:hAnsi="宋体"/>
                <w:sz w:val="24"/>
                <w:szCs w:val="24"/>
              </w:rPr>
            </w:pPr>
            <w:r>
              <w:rPr>
                <w:rFonts w:hint="eastAsia" w:hAnsi="宋体"/>
                <w:sz w:val="24"/>
                <w:szCs w:val="24"/>
              </w:rPr>
              <w:t>12</w:t>
            </w:r>
          </w:p>
        </w:tc>
        <w:tc>
          <w:tcPr>
            <w:tcW w:w="1134" w:type="dxa"/>
            <w:vAlign w:val="center"/>
          </w:tcPr>
          <w:p>
            <w:pPr>
              <w:tabs>
                <w:tab w:val="left" w:pos="790"/>
                <w:tab w:val="left" w:pos="1264"/>
              </w:tabs>
              <w:overflowPunct w:val="0"/>
              <w:adjustRightInd w:val="0"/>
              <w:snapToGrid w:val="0"/>
              <w:jc w:val="center"/>
              <w:rPr>
                <w:rFonts w:hAnsi="宋体"/>
                <w:sz w:val="24"/>
                <w:szCs w:val="24"/>
              </w:rPr>
            </w:pPr>
            <w:r>
              <w:rPr>
                <w:rFonts w:hint="eastAsia" w:hAnsi="宋体"/>
                <w:sz w:val="24"/>
                <w:szCs w:val="24"/>
              </w:rPr>
              <w:t>检验检测机构无证出具具有证明作用的数据、结果</w:t>
            </w:r>
          </w:p>
        </w:tc>
        <w:tc>
          <w:tcPr>
            <w:tcW w:w="1134" w:type="dxa"/>
            <w:vAlign w:val="center"/>
          </w:tcPr>
          <w:p>
            <w:pPr>
              <w:tabs>
                <w:tab w:val="left" w:pos="790"/>
                <w:tab w:val="left" w:pos="1264"/>
              </w:tabs>
              <w:overflowPunct w:val="0"/>
              <w:adjustRightInd w:val="0"/>
              <w:snapToGrid w:val="0"/>
              <w:jc w:val="center"/>
              <w:rPr>
                <w:rFonts w:hAnsi="宋体"/>
                <w:sz w:val="24"/>
                <w:szCs w:val="24"/>
              </w:rPr>
            </w:pPr>
            <w:r>
              <w:rPr>
                <w:rFonts w:hint="eastAsia" w:hAnsi="宋体"/>
                <w:sz w:val="24"/>
                <w:szCs w:val="24"/>
              </w:rPr>
              <w:t>检验检测机构资质认定（计量认证）证书</w:t>
            </w:r>
          </w:p>
        </w:tc>
        <w:tc>
          <w:tcPr>
            <w:tcW w:w="3889" w:type="dxa"/>
            <w:vAlign w:val="center"/>
          </w:tcPr>
          <w:p>
            <w:pPr>
              <w:tabs>
                <w:tab w:val="left" w:pos="790"/>
                <w:tab w:val="left" w:pos="1264"/>
              </w:tabs>
              <w:overflowPunct w:val="0"/>
              <w:adjustRightInd w:val="0"/>
              <w:snapToGrid w:val="0"/>
              <w:spacing w:line="220" w:lineRule="exact"/>
              <w:rPr>
                <w:rFonts w:hAnsi="宋体"/>
                <w:sz w:val="21"/>
                <w:szCs w:val="21"/>
              </w:rPr>
            </w:pPr>
            <w:r>
              <w:rPr>
                <w:rFonts w:hint="eastAsia" w:hAnsi="宋体"/>
                <w:sz w:val="21"/>
                <w:szCs w:val="21"/>
              </w:rPr>
              <w:t>《计量法》第二十一条</w:t>
            </w:r>
          </w:p>
          <w:p>
            <w:pPr>
              <w:tabs>
                <w:tab w:val="left" w:pos="790"/>
                <w:tab w:val="left" w:pos="1264"/>
              </w:tabs>
              <w:overflowPunct w:val="0"/>
              <w:adjustRightInd w:val="0"/>
              <w:snapToGrid w:val="0"/>
              <w:spacing w:line="220" w:lineRule="exact"/>
              <w:rPr>
                <w:rFonts w:hAnsi="宋体"/>
                <w:sz w:val="21"/>
                <w:szCs w:val="21"/>
              </w:rPr>
            </w:pPr>
            <w:r>
              <w:rPr>
                <w:rFonts w:hint="eastAsia" w:hAnsi="宋体"/>
                <w:spacing w:val="-8"/>
                <w:sz w:val="21"/>
                <w:szCs w:val="21"/>
              </w:rPr>
              <w:t>为社会提供公证数据的产品质量检验机构，必须经省级以上人民政府计量行政部门对其计量检定、测试的能力和可靠性考核合格</w:t>
            </w:r>
            <w:r>
              <w:rPr>
                <w:rFonts w:hint="eastAsia" w:hAnsi="宋体"/>
                <w:sz w:val="21"/>
                <w:szCs w:val="21"/>
              </w:rPr>
              <w:t>。</w:t>
            </w:r>
          </w:p>
          <w:p>
            <w:pPr>
              <w:tabs>
                <w:tab w:val="left" w:pos="790"/>
                <w:tab w:val="left" w:pos="1264"/>
              </w:tabs>
              <w:overflowPunct w:val="0"/>
              <w:adjustRightInd w:val="0"/>
              <w:snapToGrid w:val="0"/>
              <w:spacing w:line="220" w:lineRule="exact"/>
              <w:rPr>
                <w:rFonts w:hAnsi="宋体"/>
                <w:sz w:val="21"/>
                <w:szCs w:val="21"/>
              </w:rPr>
            </w:pPr>
            <w:r>
              <w:rPr>
                <w:rFonts w:hint="eastAsia" w:hAnsi="宋体"/>
                <w:sz w:val="21"/>
                <w:szCs w:val="21"/>
              </w:rPr>
              <w:t>《计量法实施细则》第二十九条</w:t>
            </w:r>
          </w:p>
          <w:p>
            <w:pPr>
              <w:tabs>
                <w:tab w:val="left" w:pos="790"/>
                <w:tab w:val="left" w:pos="1264"/>
              </w:tabs>
              <w:overflowPunct w:val="0"/>
              <w:adjustRightInd w:val="0"/>
              <w:snapToGrid w:val="0"/>
              <w:spacing w:line="220" w:lineRule="exact"/>
              <w:rPr>
                <w:rFonts w:hAnsi="宋体"/>
                <w:sz w:val="21"/>
                <w:szCs w:val="21"/>
              </w:rPr>
            </w:pPr>
            <w:r>
              <w:rPr>
                <w:rFonts w:hint="eastAsia" w:hAnsi="宋体"/>
                <w:sz w:val="21"/>
                <w:szCs w:val="21"/>
              </w:rPr>
              <w:t>为社会提供公证数据的产品质量检验机构，必须经省级以上人民政府计量行政部门计量认证。</w:t>
            </w:r>
          </w:p>
          <w:p>
            <w:pPr>
              <w:tabs>
                <w:tab w:val="left" w:pos="790"/>
                <w:tab w:val="left" w:pos="1264"/>
              </w:tabs>
              <w:overflowPunct w:val="0"/>
              <w:adjustRightInd w:val="0"/>
              <w:snapToGrid w:val="0"/>
              <w:spacing w:line="220" w:lineRule="exact"/>
              <w:rPr>
                <w:rFonts w:hAnsi="宋体"/>
                <w:sz w:val="21"/>
                <w:szCs w:val="21"/>
              </w:rPr>
            </w:pPr>
            <w:r>
              <w:rPr>
                <w:rFonts w:hint="eastAsia" w:hAnsi="宋体"/>
                <w:sz w:val="21"/>
                <w:szCs w:val="21"/>
              </w:rPr>
              <w:t>《上海市计量监督管理条例》第二十七条</w:t>
            </w:r>
          </w:p>
          <w:p>
            <w:pPr>
              <w:tabs>
                <w:tab w:val="left" w:pos="790"/>
                <w:tab w:val="left" w:pos="1264"/>
              </w:tabs>
              <w:overflowPunct w:val="0"/>
              <w:adjustRightInd w:val="0"/>
              <w:snapToGrid w:val="0"/>
              <w:spacing w:line="220" w:lineRule="exact"/>
              <w:rPr>
                <w:rFonts w:hAnsi="宋体"/>
                <w:sz w:val="21"/>
                <w:szCs w:val="21"/>
              </w:rPr>
            </w:pPr>
            <w:r>
              <w:rPr>
                <w:rFonts w:hint="eastAsia" w:hAnsi="宋体"/>
                <w:sz w:val="21"/>
                <w:szCs w:val="21"/>
              </w:rPr>
              <w:t>向社会出具检测数据的各类检测机构，应当符合设备、人员、制度、环境等方面的国家计量技术规范要求，并向市质量技监局申请计量认证。</w:t>
            </w:r>
          </w:p>
          <w:p>
            <w:pPr>
              <w:tabs>
                <w:tab w:val="left" w:pos="790"/>
                <w:tab w:val="left" w:pos="1264"/>
              </w:tabs>
              <w:overflowPunct w:val="0"/>
              <w:adjustRightInd w:val="0"/>
              <w:snapToGrid w:val="0"/>
              <w:spacing w:line="220" w:lineRule="exact"/>
              <w:rPr>
                <w:rFonts w:hAnsi="宋体"/>
                <w:spacing w:val="-4"/>
                <w:sz w:val="21"/>
                <w:szCs w:val="21"/>
              </w:rPr>
            </w:pPr>
            <w:r>
              <w:rPr>
                <w:rFonts w:hint="eastAsia" w:hAnsi="宋体"/>
                <w:spacing w:val="-4"/>
                <w:sz w:val="21"/>
                <w:szCs w:val="21"/>
              </w:rPr>
              <w:t>《认证认可条例》第十六条</w:t>
            </w:r>
          </w:p>
          <w:p>
            <w:pPr>
              <w:tabs>
                <w:tab w:val="left" w:pos="790"/>
                <w:tab w:val="left" w:pos="1264"/>
              </w:tabs>
              <w:overflowPunct w:val="0"/>
              <w:adjustRightInd w:val="0"/>
              <w:snapToGrid w:val="0"/>
              <w:spacing w:line="220" w:lineRule="exact"/>
              <w:rPr>
                <w:rFonts w:hAnsi="宋体"/>
                <w:sz w:val="21"/>
                <w:szCs w:val="21"/>
              </w:rPr>
            </w:pPr>
            <w:r>
              <w:rPr>
                <w:rFonts w:hint="eastAsia" w:hAnsi="宋体"/>
                <w:sz w:val="21"/>
                <w:szCs w:val="21"/>
              </w:rPr>
              <w:t>向社会出具具有证明作用的数据和结果的检查机构、实验室，应当具备有关法律、行政法规规定的基本条件和能力，并依法经认定后，方可从事相应活动，认定结果由国务院认证认可监督管理部门公布。</w:t>
            </w:r>
          </w:p>
          <w:p>
            <w:pPr>
              <w:tabs>
                <w:tab w:val="left" w:pos="790"/>
                <w:tab w:val="left" w:pos="1264"/>
              </w:tabs>
              <w:overflowPunct w:val="0"/>
              <w:adjustRightInd w:val="0"/>
              <w:snapToGrid w:val="0"/>
              <w:spacing w:line="220" w:lineRule="exact"/>
              <w:rPr>
                <w:rFonts w:hAnsi="宋体"/>
                <w:spacing w:val="-4"/>
                <w:sz w:val="21"/>
                <w:szCs w:val="21"/>
              </w:rPr>
            </w:pPr>
            <w:r>
              <w:rPr>
                <w:rFonts w:hint="eastAsia" w:hAnsi="宋体"/>
                <w:spacing w:val="-4"/>
                <w:sz w:val="21"/>
                <w:szCs w:val="21"/>
              </w:rPr>
              <w:t>《检验检测机构资质认定管理办法》第三条</w:t>
            </w:r>
          </w:p>
          <w:p>
            <w:pPr>
              <w:tabs>
                <w:tab w:val="left" w:pos="790"/>
                <w:tab w:val="left" w:pos="1264"/>
              </w:tabs>
              <w:overflowPunct w:val="0"/>
              <w:adjustRightInd w:val="0"/>
              <w:snapToGrid w:val="0"/>
              <w:spacing w:line="220" w:lineRule="exact"/>
              <w:rPr>
                <w:rFonts w:hAnsi="宋体"/>
                <w:sz w:val="21"/>
                <w:szCs w:val="21"/>
              </w:rPr>
            </w:pPr>
            <w:r>
              <w:rPr>
                <w:rFonts w:hAnsi="宋体"/>
                <w:sz w:val="21"/>
                <w:szCs w:val="21"/>
              </w:rPr>
              <w:t>检验检测机构从事下列活动，应当取得资质认定：</w:t>
            </w:r>
          </w:p>
          <w:p>
            <w:pPr>
              <w:tabs>
                <w:tab w:val="left" w:pos="790"/>
                <w:tab w:val="left" w:pos="1264"/>
              </w:tabs>
              <w:overflowPunct w:val="0"/>
              <w:adjustRightInd w:val="0"/>
              <w:snapToGrid w:val="0"/>
              <w:spacing w:line="220" w:lineRule="exact"/>
              <w:rPr>
                <w:rFonts w:hAnsi="宋体"/>
                <w:sz w:val="21"/>
                <w:szCs w:val="21"/>
              </w:rPr>
            </w:pPr>
            <w:r>
              <w:rPr>
                <w:rFonts w:hAnsi="宋体"/>
                <w:sz w:val="21"/>
                <w:szCs w:val="21"/>
              </w:rPr>
              <w:t>（一）为司法机关作出的裁决出具具有证明作用的数据、结果的；</w:t>
            </w:r>
          </w:p>
          <w:p>
            <w:pPr>
              <w:tabs>
                <w:tab w:val="left" w:pos="790"/>
                <w:tab w:val="left" w:pos="1264"/>
              </w:tabs>
              <w:overflowPunct w:val="0"/>
              <w:adjustRightInd w:val="0"/>
              <w:snapToGrid w:val="0"/>
              <w:spacing w:line="220" w:lineRule="exact"/>
              <w:rPr>
                <w:rFonts w:hAnsi="宋体"/>
                <w:sz w:val="21"/>
                <w:szCs w:val="21"/>
              </w:rPr>
            </w:pPr>
            <w:r>
              <w:rPr>
                <w:rFonts w:hAnsi="宋体"/>
                <w:sz w:val="21"/>
                <w:szCs w:val="21"/>
              </w:rPr>
              <w:t>（二）为行政机关作出的行政决定出具具有证明作用的数据、结果的；</w:t>
            </w:r>
          </w:p>
          <w:p>
            <w:pPr>
              <w:tabs>
                <w:tab w:val="left" w:pos="790"/>
                <w:tab w:val="left" w:pos="1264"/>
              </w:tabs>
              <w:overflowPunct w:val="0"/>
              <w:adjustRightInd w:val="0"/>
              <w:snapToGrid w:val="0"/>
              <w:spacing w:line="220" w:lineRule="exact"/>
              <w:rPr>
                <w:rFonts w:hAnsi="宋体"/>
                <w:sz w:val="21"/>
                <w:szCs w:val="21"/>
              </w:rPr>
            </w:pPr>
            <w:r>
              <w:rPr>
                <w:rFonts w:hAnsi="宋体"/>
                <w:sz w:val="21"/>
                <w:szCs w:val="21"/>
              </w:rPr>
              <w:t>（三）为仲裁机构作出的仲裁决定出具具有证明作用的数据、结果的；</w:t>
            </w:r>
          </w:p>
          <w:p>
            <w:pPr>
              <w:tabs>
                <w:tab w:val="left" w:pos="790"/>
                <w:tab w:val="left" w:pos="1264"/>
              </w:tabs>
              <w:overflowPunct w:val="0"/>
              <w:adjustRightInd w:val="0"/>
              <w:snapToGrid w:val="0"/>
              <w:spacing w:line="220" w:lineRule="exact"/>
              <w:rPr>
                <w:rFonts w:hAnsi="宋体"/>
                <w:sz w:val="21"/>
                <w:szCs w:val="21"/>
              </w:rPr>
            </w:pPr>
            <w:r>
              <w:rPr>
                <w:rFonts w:hAnsi="宋体"/>
                <w:sz w:val="21"/>
                <w:szCs w:val="21"/>
              </w:rPr>
              <w:t>（四）为社会经济、公益活动出具具有证明作用的数据、结果的；</w:t>
            </w:r>
          </w:p>
          <w:p>
            <w:pPr>
              <w:tabs>
                <w:tab w:val="left" w:pos="790"/>
                <w:tab w:val="left" w:pos="1264"/>
              </w:tabs>
              <w:overflowPunct w:val="0"/>
              <w:adjustRightInd w:val="0"/>
              <w:snapToGrid w:val="0"/>
              <w:spacing w:line="220" w:lineRule="exact"/>
              <w:rPr>
                <w:rFonts w:hAnsi="宋体"/>
                <w:sz w:val="21"/>
                <w:szCs w:val="21"/>
              </w:rPr>
            </w:pPr>
            <w:r>
              <w:rPr>
                <w:rFonts w:hAnsi="宋体"/>
                <w:sz w:val="21"/>
                <w:szCs w:val="21"/>
              </w:rPr>
              <w:t>（五）其他法律法规规定应当取得资质认定的。</w:t>
            </w:r>
          </w:p>
          <w:p>
            <w:pPr>
              <w:tabs>
                <w:tab w:val="left" w:pos="790"/>
                <w:tab w:val="left" w:pos="1264"/>
              </w:tabs>
              <w:overflowPunct w:val="0"/>
              <w:adjustRightInd w:val="0"/>
              <w:snapToGrid w:val="0"/>
              <w:spacing w:line="220" w:lineRule="exact"/>
              <w:rPr>
                <w:rFonts w:hAnsi="宋体"/>
                <w:sz w:val="21"/>
                <w:szCs w:val="21"/>
              </w:rPr>
            </w:pPr>
            <w:r>
              <w:rPr>
                <w:rFonts w:hint="eastAsia" w:hAnsi="宋体"/>
                <w:sz w:val="21"/>
                <w:szCs w:val="21"/>
              </w:rPr>
              <w:t>《食品安全法》第八十四条第一款　食品检验机构按照国家有关认证认可的规定取得资质认定后，方可从事食品检验活动。但是，法律另有规定的除外。</w:t>
            </w:r>
          </w:p>
        </w:tc>
        <w:tc>
          <w:tcPr>
            <w:tcW w:w="3823" w:type="dxa"/>
            <w:vAlign w:val="center"/>
          </w:tcPr>
          <w:p>
            <w:pPr>
              <w:tabs>
                <w:tab w:val="left" w:pos="790"/>
                <w:tab w:val="left" w:pos="1264"/>
              </w:tabs>
              <w:overflowPunct w:val="0"/>
              <w:adjustRightInd w:val="0"/>
              <w:snapToGrid w:val="0"/>
              <w:rPr>
                <w:rFonts w:hAnsi="宋体"/>
                <w:sz w:val="24"/>
                <w:szCs w:val="24"/>
              </w:rPr>
            </w:pPr>
            <w:r>
              <w:rPr>
                <w:rFonts w:hint="eastAsia" w:hAnsi="宋体"/>
                <w:sz w:val="24"/>
                <w:szCs w:val="24"/>
              </w:rPr>
              <w:t>《检验检测机构资质认定管理办法》</w:t>
            </w:r>
          </w:p>
          <w:p>
            <w:pPr>
              <w:tabs>
                <w:tab w:val="left" w:pos="790"/>
                <w:tab w:val="left" w:pos="1264"/>
              </w:tabs>
              <w:overflowPunct w:val="0"/>
              <w:adjustRightInd w:val="0"/>
              <w:snapToGrid w:val="0"/>
              <w:rPr>
                <w:rFonts w:hAnsi="宋体"/>
                <w:sz w:val="24"/>
                <w:szCs w:val="24"/>
              </w:rPr>
            </w:pPr>
            <w:r>
              <w:rPr>
                <w:rFonts w:hint="eastAsia" w:hAnsi="宋体"/>
                <w:sz w:val="24"/>
                <w:szCs w:val="24"/>
              </w:rPr>
              <w:t>第四十一条</w:t>
            </w:r>
          </w:p>
          <w:p>
            <w:pPr>
              <w:tabs>
                <w:tab w:val="left" w:pos="790"/>
                <w:tab w:val="left" w:pos="1264"/>
              </w:tabs>
              <w:overflowPunct w:val="0"/>
              <w:adjustRightInd w:val="0"/>
              <w:snapToGrid w:val="0"/>
              <w:rPr>
                <w:rFonts w:hAnsi="宋体"/>
                <w:sz w:val="24"/>
                <w:szCs w:val="24"/>
              </w:rPr>
            </w:pPr>
            <w:r>
              <w:rPr>
                <w:rFonts w:hAnsi="宋体"/>
                <w:sz w:val="24"/>
                <w:szCs w:val="24"/>
              </w:rPr>
              <w:t>检验检测机构未依法取得资质认定，擅自向社会出具具有证明作用数据、结果的，由县级以上质量技术监督部门责令改正，处</w:t>
            </w:r>
            <w:r>
              <w:rPr>
                <w:rFonts w:hint="eastAsia" w:hAnsi="宋体"/>
                <w:sz w:val="24"/>
                <w:szCs w:val="24"/>
              </w:rPr>
              <w:t>3</w:t>
            </w:r>
            <w:r>
              <w:rPr>
                <w:rFonts w:hAnsi="宋体"/>
                <w:sz w:val="24"/>
                <w:szCs w:val="24"/>
              </w:rPr>
              <w:t>万元以下罚款。</w:t>
            </w:r>
          </w:p>
          <w:p>
            <w:pPr>
              <w:tabs>
                <w:tab w:val="left" w:pos="790"/>
                <w:tab w:val="left" w:pos="1264"/>
              </w:tabs>
              <w:overflowPunct w:val="0"/>
              <w:adjustRightInd w:val="0"/>
              <w:snapToGrid w:val="0"/>
              <w:rPr>
                <w:rFonts w:hAnsi="宋体"/>
                <w:sz w:val="24"/>
                <w:szCs w:val="24"/>
              </w:rPr>
            </w:pPr>
          </w:p>
          <w:p>
            <w:pPr>
              <w:tabs>
                <w:tab w:val="left" w:pos="790"/>
                <w:tab w:val="left" w:pos="1264"/>
              </w:tabs>
              <w:overflowPunct w:val="0"/>
              <w:adjustRightInd w:val="0"/>
              <w:snapToGrid w:val="0"/>
              <w:rPr>
                <w:rFonts w:hAnsi="宋体"/>
                <w:sz w:val="24"/>
                <w:szCs w:val="24"/>
              </w:rPr>
            </w:pPr>
            <w:r>
              <w:rPr>
                <w:rFonts w:hint="eastAsia" w:hAnsi="宋体"/>
                <w:sz w:val="24"/>
                <w:szCs w:val="24"/>
              </w:rPr>
              <w:t>《计量法实施细则》第五十条</w:t>
            </w:r>
          </w:p>
          <w:p>
            <w:pPr>
              <w:tabs>
                <w:tab w:val="left" w:pos="790"/>
                <w:tab w:val="left" w:pos="1264"/>
              </w:tabs>
              <w:overflowPunct w:val="0"/>
              <w:adjustRightInd w:val="0"/>
              <w:snapToGrid w:val="0"/>
              <w:rPr>
                <w:rFonts w:hAnsi="宋体"/>
                <w:sz w:val="24"/>
                <w:szCs w:val="24"/>
              </w:rPr>
            </w:pPr>
            <w:r>
              <w:rPr>
                <w:rFonts w:hAnsi="宋体"/>
                <w:sz w:val="24"/>
                <w:szCs w:val="24"/>
              </w:rPr>
              <w:t>未取得计量认证合格证书的产品质量检验机构，为社会提供公证数据的，责令其停止检验，可并处1000元以下的罚款。</w:t>
            </w:r>
          </w:p>
        </w:tc>
        <w:tc>
          <w:tcPr>
            <w:tcW w:w="2328" w:type="dxa"/>
            <w:vAlign w:val="center"/>
          </w:tcPr>
          <w:p>
            <w:pPr>
              <w:tabs>
                <w:tab w:val="left" w:pos="790"/>
                <w:tab w:val="left" w:pos="1264"/>
              </w:tabs>
              <w:overflowPunct w:val="0"/>
              <w:adjustRightInd w:val="0"/>
              <w:snapToGrid w:val="0"/>
              <w:jc w:val="center"/>
              <w:rPr>
                <w:rFonts w:hAnsi="宋体"/>
                <w:sz w:val="24"/>
                <w:szCs w:val="24"/>
              </w:rPr>
            </w:pPr>
            <w:r>
              <w:rPr>
                <w:rFonts w:hint="eastAsia" w:hAnsi="宋体"/>
                <w:sz w:val="24"/>
                <w:szCs w:val="24"/>
              </w:rPr>
              <w:t>认证和认可监督管理科</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cantSplit/>
          <w:trHeight w:val="454" w:hRule="atLeast"/>
          <w:jc w:val="center"/>
        </w:trPr>
        <w:tc>
          <w:tcPr>
            <w:tcW w:w="566" w:type="dxa"/>
            <w:vAlign w:val="center"/>
          </w:tcPr>
          <w:p>
            <w:pPr>
              <w:tabs>
                <w:tab w:val="left" w:pos="790"/>
                <w:tab w:val="left" w:pos="1264"/>
              </w:tabs>
              <w:overflowPunct w:val="0"/>
              <w:adjustRightInd w:val="0"/>
              <w:snapToGrid w:val="0"/>
              <w:jc w:val="center"/>
              <w:rPr>
                <w:rFonts w:hAnsi="宋体"/>
                <w:sz w:val="24"/>
                <w:szCs w:val="24"/>
              </w:rPr>
            </w:pPr>
            <w:r>
              <w:rPr>
                <w:rFonts w:hint="eastAsia" w:hAnsi="宋体"/>
                <w:sz w:val="24"/>
                <w:szCs w:val="24"/>
              </w:rPr>
              <w:t>13</w:t>
            </w:r>
          </w:p>
        </w:tc>
        <w:tc>
          <w:tcPr>
            <w:tcW w:w="1134" w:type="dxa"/>
            <w:vAlign w:val="center"/>
          </w:tcPr>
          <w:p>
            <w:pPr>
              <w:tabs>
                <w:tab w:val="left" w:pos="790"/>
                <w:tab w:val="left" w:pos="1264"/>
              </w:tabs>
              <w:overflowPunct w:val="0"/>
              <w:adjustRightInd w:val="0"/>
              <w:snapToGrid w:val="0"/>
              <w:jc w:val="center"/>
              <w:rPr>
                <w:rFonts w:hAnsi="宋体"/>
                <w:sz w:val="24"/>
                <w:szCs w:val="24"/>
              </w:rPr>
            </w:pPr>
            <w:r>
              <w:rPr>
                <w:rFonts w:hint="eastAsia" w:hAnsi="宋体"/>
                <w:sz w:val="24"/>
                <w:szCs w:val="24"/>
              </w:rPr>
              <w:t>无证提供特种设备设计服务</w:t>
            </w:r>
          </w:p>
        </w:tc>
        <w:tc>
          <w:tcPr>
            <w:tcW w:w="1134" w:type="dxa"/>
            <w:vAlign w:val="center"/>
          </w:tcPr>
          <w:p>
            <w:pPr>
              <w:tabs>
                <w:tab w:val="left" w:pos="790"/>
                <w:tab w:val="left" w:pos="1264"/>
              </w:tabs>
              <w:overflowPunct w:val="0"/>
              <w:adjustRightInd w:val="0"/>
              <w:snapToGrid w:val="0"/>
              <w:jc w:val="center"/>
              <w:rPr>
                <w:rFonts w:hAnsi="宋体"/>
                <w:sz w:val="24"/>
                <w:szCs w:val="24"/>
              </w:rPr>
            </w:pPr>
            <w:r>
              <w:rPr>
                <w:rFonts w:hint="eastAsia" w:hAnsi="宋体"/>
                <w:sz w:val="24"/>
                <w:szCs w:val="24"/>
              </w:rPr>
              <w:t>特种设备设计许可证</w:t>
            </w:r>
          </w:p>
        </w:tc>
        <w:tc>
          <w:tcPr>
            <w:tcW w:w="3889" w:type="dxa"/>
            <w:vAlign w:val="center"/>
          </w:tcPr>
          <w:p>
            <w:pPr>
              <w:tabs>
                <w:tab w:val="left" w:pos="790"/>
                <w:tab w:val="left" w:pos="1264"/>
              </w:tabs>
              <w:overflowPunct w:val="0"/>
              <w:adjustRightInd w:val="0"/>
              <w:snapToGrid w:val="0"/>
              <w:spacing w:line="280" w:lineRule="exact"/>
              <w:rPr>
                <w:rFonts w:hAnsi="宋体"/>
                <w:sz w:val="24"/>
                <w:szCs w:val="24"/>
              </w:rPr>
            </w:pPr>
            <w:r>
              <w:rPr>
                <w:rFonts w:hint="eastAsia" w:hAnsi="宋体"/>
                <w:sz w:val="24"/>
                <w:szCs w:val="24"/>
              </w:rPr>
              <w:t>《特种设备安全法》</w:t>
            </w:r>
            <w:r>
              <w:rPr>
                <w:rFonts w:hAnsi="宋体"/>
                <w:sz w:val="24"/>
                <w:szCs w:val="24"/>
              </w:rPr>
              <w:t>第十八条</w:t>
            </w:r>
          </w:p>
          <w:p>
            <w:pPr>
              <w:tabs>
                <w:tab w:val="left" w:pos="790"/>
                <w:tab w:val="left" w:pos="1264"/>
              </w:tabs>
              <w:overflowPunct w:val="0"/>
              <w:adjustRightInd w:val="0"/>
              <w:snapToGrid w:val="0"/>
              <w:spacing w:line="280" w:lineRule="exact"/>
              <w:rPr>
                <w:rFonts w:hAnsi="宋体"/>
                <w:sz w:val="24"/>
                <w:szCs w:val="24"/>
              </w:rPr>
            </w:pPr>
            <w:r>
              <w:rPr>
                <w:rFonts w:hAnsi="宋体"/>
                <w:sz w:val="24"/>
                <w:szCs w:val="24"/>
              </w:rPr>
              <w:t>国家按照分类监督管理的原则对特种设备生产实行许可制度。特种设备生产单位应当具备下列条件，并经负责特种设备安全监督管理的部门许可，方可从事生产活动：</w:t>
            </w:r>
          </w:p>
          <w:p>
            <w:pPr>
              <w:tabs>
                <w:tab w:val="left" w:pos="790"/>
                <w:tab w:val="left" w:pos="1264"/>
              </w:tabs>
              <w:overflowPunct w:val="0"/>
              <w:adjustRightInd w:val="0"/>
              <w:snapToGrid w:val="0"/>
              <w:spacing w:line="280" w:lineRule="exact"/>
              <w:rPr>
                <w:rFonts w:hAnsi="宋体"/>
                <w:sz w:val="24"/>
                <w:szCs w:val="24"/>
              </w:rPr>
            </w:pPr>
            <w:r>
              <w:rPr>
                <w:rFonts w:hAnsi="宋体"/>
                <w:sz w:val="24"/>
                <w:szCs w:val="24"/>
              </w:rPr>
              <w:t>（一）有与生产相适应的专业技术人员；（二）有与生产相适应的设备、设施和工作场所；</w:t>
            </w:r>
          </w:p>
          <w:p>
            <w:pPr>
              <w:tabs>
                <w:tab w:val="left" w:pos="790"/>
                <w:tab w:val="left" w:pos="1264"/>
              </w:tabs>
              <w:overflowPunct w:val="0"/>
              <w:adjustRightInd w:val="0"/>
              <w:snapToGrid w:val="0"/>
              <w:spacing w:line="280" w:lineRule="exact"/>
              <w:rPr>
                <w:rFonts w:hAnsi="宋体"/>
                <w:sz w:val="24"/>
                <w:szCs w:val="24"/>
              </w:rPr>
            </w:pPr>
            <w:r>
              <w:rPr>
                <w:rFonts w:hAnsi="宋体"/>
                <w:sz w:val="24"/>
                <w:szCs w:val="24"/>
              </w:rPr>
              <w:t>（三）有健全的质量保证、安全管理和岗位责任等制度。</w:t>
            </w:r>
          </w:p>
          <w:p>
            <w:pPr>
              <w:tabs>
                <w:tab w:val="left" w:pos="790"/>
                <w:tab w:val="left" w:pos="1264"/>
              </w:tabs>
              <w:overflowPunct w:val="0"/>
              <w:adjustRightInd w:val="0"/>
              <w:snapToGrid w:val="0"/>
              <w:spacing w:line="280" w:lineRule="exact"/>
              <w:rPr>
                <w:rFonts w:hAnsi="宋体"/>
                <w:sz w:val="24"/>
                <w:szCs w:val="24"/>
              </w:rPr>
            </w:pPr>
            <w:r>
              <w:rPr>
                <w:rFonts w:hint="eastAsia" w:hAnsi="宋体"/>
                <w:sz w:val="24"/>
                <w:szCs w:val="24"/>
              </w:rPr>
              <w:t>《市场监管总局关于特种设备行政许可有关事项的公告》（2019年第3号）（2019年6月1日起实施）</w:t>
            </w:r>
          </w:p>
        </w:tc>
        <w:tc>
          <w:tcPr>
            <w:tcW w:w="3823" w:type="dxa"/>
            <w:vAlign w:val="center"/>
          </w:tcPr>
          <w:p>
            <w:pPr>
              <w:tabs>
                <w:tab w:val="left" w:pos="790"/>
                <w:tab w:val="left" w:pos="1264"/>
              </w:tabs>
              <w:overflowPunct w:val="0"/>
              <w:adjustRightInd w:val="0"/>
              <w:snapToGrid w:val="0"/>
              <w:rPr>
                <w:rFonts w:hAnsi="宋体"/>
                <w:sz w:val="24"/>
                <w:szCs w:val="24"/>
              </w:rPr>
            </w:pPr>
            <w:r>
              <w:rPr>
                <w:rFonts w:hint="eastAsia" w:hAnsi="宋体"/>
                <w:sz w:val="24"/>
                <w:szCs w:val="24"/>
              </w:rPr>
              <w:t>《特种设备安全法》第七十四条</w:t>
            </w:r>
          </w:p>
          <w:p>
            <w:pPr>
              <w:tabs>
                <w:tab w:val="left" w:pos="790"/>
                <w:tab w:val="left" w:pos="1264"/>
              </w:tabs>
              <w:overflowPunct w:val="0"/>
              <w:adjustRightInd w:val="0"/>
              <w:snapToGrid w:val="0"/>
              <w:rPr>
                <w:rFonts w:hAnsi="宋体"/>
                <w:sz w:val="24"/>
                <w:szCs w:val="24"/>
              </w:rPr>
            </w:pPr>
            <w:r>
              <w:rPr>
                <w:rFonts w:hAnsi="宋体"/>
                <w:sz w:val="24"/>
                <w:szCs w:val="24"/>
              </w:rPr>
              <w:t>违反本法规定，未经许可从事特种设备生产活动的，责令停止生产，没收违法制造的特种设备，处十万元以上五十万元以下罚款；有违法所得的，没收违法所得；已经实施安装、改造、修理的，责令恢复原状或者责令限期由取得许可的单位重新安装、改造、修理。</w:t>
            </w:r>
          </w:p>
        </w:tc>
        <w:tc>
          <w:tcPr>
            <w:tcW w:w="2328" w:type="dxa"/>
            <w:vAlign w:val="center"/>
          </w:tcPr>
          <w:p>
            <w:pPr>
              <w:tabs>
                <w:tab w:val="left" w:pos="790"/>
                <w:tab w:val="left" w:pos="1264"/>
              </w:tabs>
              <w:overflowPunct w:val="0"/>
              <w:adjustRightInd w:val="0"/>
              <w:snapToGrid w:val="0"/>
              <w:jc w:val="center"/>
              <w:rPr>
                <w:rFonts w:hAnsi="宋体"/>
                <w:sz w:val="24"/>
                <w:szCs w:val="24"/>
              </w:rPr>
            </w:pPr>
            <w:r>
              <w:rPr>
                <w:rFonts w:hint="eastAsia" w:hAnsi="宋体"/>
                <w:sz w:val="24"/>
                <w:szCs w:val="24"/>
              </w:rPr>
              <w:t>特种设备安全监察科</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cantSplit/>
          <w:trHeight w:val="454" w:hRule="atLeast"/>
          <w:jc w:val="center"/>
        </w:trPr>
        <w:tc>
          <w:tcPr>
            <w:tcW w:w="566" w:type="dxa"/>
            <w:vAlign w:val="center"/>
          </w:tcPr>
          <w:p>
            <w:pPr>
              <w:tabs>
                <w:tab w:val="left" w:pos="790"/>
                <w:tab w:val="left" w:pos="1264"/>
              </w:tabs>
              <w:overflowPunct w:val="0"/>
              <w:adjustRightInd w:val="0"/>
              <w:snapToGrid w:val="0"/>
              <w:jc w:val="center"/>
              <w:rPr>
                <w:rFonts w:hAnsi="宋体"/>
                <w:sz w:val="24"/>
                <w:szCs w:val="24"/>
              </w:rPr>
            </w:pPr>
            <w:r>
              <w:rPr>
                <w:rFonts w:hint="eastAsia" w:hAnsi="宋体"/>
                <w:sz w:val="24"/>
                <w:szCs w:val="24"/>
              </w:rPr>
              <w:t>14</w:t>
            </w:r>
          </w:p>
        </w:tc>
        <w:tc>
          <w:tcPr>
            <w:tcW w:w="1134" w:type="dxa"/>
            <w:vAlign w:val="center"/>
          </w:tcPr>
          <w:p>
            <w:pPr>
              <w:tabs>
                <w:tab w:val="left" w:pos="790"/>
                <w:tab w:val="left" w:pos="1264"/>
              </w:tabs>
              <w:overflowPunct w:val="0"/>
              <w:adjustRightInd w:val="0"/>
              <w:snapToGrid w:val="0"/>
              <w:jc w:val="center"/>
              <w:rPr>
                <w:rFonts w:hAnsi="宋体"/>
                <w:sz w:val="24"/>
                <w:szCs w:val="24"/>
              </w:rPr>
            </w:pPr>
            <w:r>
              <w:rPr>
                <w:rFonts w:hint="eastAsia" w:hAnsi="宋体"/>
                <w:sz w:val="24"/>
                <w:szCs w:val="24"/>
              </w:rPr>
              <w:t>无证生产特种设备</w:t>
            </w:r>
          </w:p>
        </w:tc>
        <w:tc>
          <w:tcPr>
            <w:tcW w:w="1134" w:type="dxa"/>
            <w:vAlign w:val="center"/>
          </w:tcPr>
          <w:p>
            <w:pPr>
              <w:tabs>
                <w:tab w:val="left" w:pos="790"/>
                <w:tab w:val="left" w:pos="1264"/>
              </w:tabs>
              <w:overflowPunct w:val="0"/>
              <w:adjustRightInd w:val="0"/>
              <w:snapToGrid w:val="0"/>
              <w:jc w:val="center"/>
              <w:rPr>
                <w:rFonts w:hAnsi="宋体"/>
                <w:sz w:val="24"/>
                <w:szCs w:val="24"/>
              </w:rPr>
            </w:pPr>
            <w:r>
              <w:rPr>
                <w:rFonts w:hint="eastAsia" w:hAnsi="宋体"/>
                <w:sz w:val="24"/>
                <w:szCs w:val="24"/>
              </w:rPr>
              <w:t>特种设备制造许可证</w:t>
            </w:r>
          </w:p>
        </w:tc>
        <w:tc>
          <w:tcPr>
            <w:tcW w:w="3889" w:type="dxa"/>
            <w:vAlign w:val="center"/>
          </w:tcPr>
          <w:p>
            <w:pPr>
              <w:tabs>
                <w:tab w:val="left" w:pos="790"/>
                <w:tab w:val="left" w:pos="1264"/>
              </w:tabs>
              <w:overflowPunct w:val="0"/>
              <w:adjustRightInd w:val="0"/>
              <w:snapToGrid w:val="0"/>
              <w:spacing w:line="280" w:lineRule="exact"/>
              <w:rPr>
                <w:rFonts w:hAnsi="宋体"/>
                <w:sz w:val="24"/>
                <w:szCs w:val="24"/>
              </w:rPr>
            </w:pPr>
            <w:r>
              <w:rPr>
                <w:rFonts w:hint="eastAsia" w:hAnsi="宋体"/>
                <w:sz w:val="24"/>
                <w:szCs w:val="24"/>
              </w:rPr>
              <w:t>《特种设备安全法》</w:t>
            </w:r>
            <w:r>
              <w:rPr>
                <w:rFonts w:hAnsi="宋体"/>
                <w:sz w:val="24"/>
                <w:szCs w:val="24"/>
              </w:rPr>
              <w:t>第十八条</w:t>
            </w:r>
          </w:p>
          <w:p>
            <w:pPr>
              <w:tabs>
                <w:tab w:val="left" w:pos="790"/>
                <w:tab w:val="left" w:pos="1264"/>
              </w:tabs>
              <w:overflowPunct w:val="0"/>
              <w:adjustRightInd w:val="0"/>
              <w:snapToGrid w:val="0"/>
              <w:spacing w:line="280" w:lineRule="exact"/>
              <w:rPr>
                <w:rFonts w:hAnsi="宋体"/>
                <w:sz w:val="24"/>
                <w:szCs w:val="24"/>
              </w:rPr>
            </w:pPr>
            <w:r>
              <w:rPr>
                <w:rFonts w:hAnsi="宋体"/>
                <w:sz w:val="24"/>
                <w:szCs w:val="24"/>
              </w:rPr>
              <w:t>国家按照分类监督管理的原则对特种设备生产实行许可制度。特种设备生产单位应当具备下列条件，并经负责特种设备安全监督管理的部门许可，方可从事生产活动：</w:t>
            </w:r>
          </w:p>
          <w:p>
            <w:pPr>
              <w:tabs>
                <w:tab w:val="left" w:pos="790"/>
                <w:tab w:val="left" w:pos="1264"/>
              </w:tabs>
              <w:overflowPunct w:val="0"/>
              <w:adjustRightInd w:val="0"/>
              <w:snapToGrid w:val="0"/>
              <w:spacing w:line="280" w:lineRule="exact"/>
              <w:rPr>
                <w:rFonts w:hAnsi="宋体"/>
                <w:sz w:val="24"/>
                <w:szCs w:val="24"/>
              </w:rPr>
            </w:pPr>
            <w:r>
              <w:rPr>
                <w:rFonts w:hAnsi="宋体"/>
                <w:sz w:val="24"/>
                <w:szCs w:val="24"/>
              </w:rPr>
              <w:t>（一）有与生产相适应的专业技术人员；（二）有与生产相适应的设备、设施和工作场所；</w:t>
            </w:r>
          </w:p>
          <w:p>
            <w:pPr>
              <w:tabs>
                <w:tab w:val="left" w:pos="790"/>
                <w:tab w:val="left" w:pos="1264"/>
              </w:tabs>
              <w:overflowPunct w:val="0"/>
              <w:adjustRightInd w:val="0"/>
              <w:snapToGrid w:val="0"/>
              <w:spacing w:line="280" w:lineRule="exact"/>
              <w:rPr>
                <w:rFonts w:hAnsi="宋体"/>
                <w:sz w:val="24"/>
                <w:szCs w:val="24"/>
              </w:rPr>
            </w:pPr>
            <w:r>
              <w:rPr>
                <w:rFonts w:hAnsi="宋体"/>
                <w:sz w:val="24"/>
                <w:szCs w:val="24"/>
              </w:rPr>
              <w:t>（三）有健全的质量保证、安全管理和岗位责任等制度。</w:t>
            </w:r>
          </w:p>
          <w:p>
            <w:pPr>
              <w:tabs>
                <w:tab w:val="left" w:pos="790"/>
                <w:tab w:val="left" w:pos="1264"/>
              </w:tabs>
              <w:overflowPunct w:val="0"/>
              <w:adjustRightInd w:val="0"/>
              <w:snapToGrid w:val="0"/>
              <w:spacing w:line="280" w:lineRule="exact"/>
              <w:rPr>
                <w:rFonts w:hAnsi="宋体"/>
                <w:sz w:val="24"/>
                <w:szCs w:val="24"/>
              </w:rPr>
            </w:pPr>
            <w:r>
              <w:rPr>
                <w:rFonts w:hint="eastAsia" w:hAnsi="宋体"/>
                <w:sz w:val="24"/>
                <w:szCs w:val="24"/>
              </w:rPr>
              <w:t>《市场监管总局关于特种设备行政许可有关事项的公告》（2019年第3号）（2019年6月1日起实施）</w:t>
            </w:r>
          </w:p>
        </w:tc>
        <w:tc>
          <w:tcPr>
            <w:tcW w:w="3823" w:type="dxa"/>
            <w:vAlign w:val="center"/>
          </w:tcPr>
          <w:p>
            <w:pPr>
              <w:tabs>
                <w:tab w:val="left" w:pos="790"/>
                <w:tab w:val="left" w:pos="1264"/>
              </w:tabs>
              <w:overflowPunct w:val="0"/>
              <w:adjustRightInd w:val="0"/>
              <w:snapToGrid w:val="0"/>
              <w:rPr>
                <w:rFonts w:hAnsi="宋体"/>
                <w:sz w:val="24"/>
                <w:szCs w:val="24"/>
              </w:rPr>
            </w:pPr>
            <w:r>
              <w:rPr>
                <w:rFonts w:hint="eastAsia" w:hAnsi="宋体"/>
                <w:sz w:val="24"/>
                <w:szCs w:val="24"/>
              </w:rPr>
              <w:t>《特种设备安全法》第七十四条</w:t>
            </w:r>
          </w:p>
          <w:p>
            <w:pPr>
              <w:tabs>
                <w:tab w:val="left" w:pos="790"/>
                <w:tab w:val="left" w:pos="1264"/>
              </w:tabs>
              <w:overflowPunct w:val="0"/>
              <w:adjustRightInd w:val="0"/>
              <w:snapToGrid w:val="0"/>
              <w:rPr>
                <w:rFonts w:hAnsi="宋体"/>
                <w:sz w:val="24"/>
                <w:szCs w:val="24"/>
              </w:rPr>
            </w:pPr>
            <w:r>
              <w:rPr>
                <w:rFonts w:hAnsi="宋体"/>
                <w:sz w:val="24"/>
                <w:szCs w:val="24"/>
              </w:rPr>
              <w:t>违反本法规定，未经许可从事特种设备生产活动的，责令停止生产，没收违法制造的特种设备，处十万元以上五十万元以下罚款；有违法所得的，没收违法所得；已经实施安装、改造、修理的，责令恢复原状或者责令限期由取得许可的单位重新安装、改造、修理。</w:t>
            </w:r>
          </w:p>
        </w:tc>
        <w:tc>
          <w:tcPr>
            <w:tcW w:w="2328" w:type="dxa"/>
            <w:vAlign w:val="center"/>
          </w:tcPr>
          <w:p>
            <w:pPr>
              <w:tabs>
                <w:tab w:val="left" w:pos="790"/>
                <w:tab w:val="left" w:pos="1264"/>
              </w:tabs>
              <w:overflowPunct w:val="0"/>
              <w:adjustRightInd w:val="0"/>
              <w:snapToGrid w:val="0"/>
              <w:jc w:val="center"/>
              <w:rPr>
                <w:rFonts w:hAnsi="宋体"/>
                <w:sz w:val="24"/>
                <w:szCs w:val="24"/>
              </w:rPr>
            </w:pPr>
            <w:r>
              <w:rPr>
                <w:rFonts w:hint="eastAsia" w:hAnsi="宋体"/>
                <w:sz w:val="24"/>
                <w:szCs w:val="24"/>
              </w:rPr>
              <w:t>特种设备安全监察科</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cantSplit/>
          <w:trHeight w:val="454" w:hRule="atLeast"/>
          <w:jc w:val="center"/>
        </w:trPr>
        <w:tc>
          <w:tcPr>
            <w:tcW w:w="566" w:type="dxa"/>
            <w:vAlign w:val="center"/>
          </w:tcPr>
          <w:p>
            <w:pPr>
              <w:tabs>
                <w:tab w:val="left" w:pos="790"/>
                <w:tab w:val="left" w:pos="1264"/>
              </w:tabs>
              <w:overflowPunct w:val="0"/>
              <w:adjustRightInd w:val="0"/>
              <w:snapToGrid w:val="0"/>
              <w:jc w:val="center"/>
              <w:rPr>
                <w:rFonts w:hAnsi="宋体"/>
                <w:sz w:val="24"/>
                <w:szCs w:val="24"/>
              </w:rPr>
            </w:pPr>
            <w:r>
              <w:rPr>
                <w:rFonts w:hint="eastAsia" w:hAnsi="宋体"/>
                <w:sz w:val="24"/>
                <w:szCs w:val="24"/>
              </w:rPr>
              <w:t>15</w:t>
            </w:r>
          </w:p>
        </w:tc>
        <w:tc>
          <w:tcPr>
            <w:tcW w:w="1134" w:type="dxa"/>
            <w:vAlign w:val="center"/>
          </w:tcPr>
          <w:p>
            <w:pPr>
              <w:tabs>
                <w:tab w:val="left" w:pos="790"/>
                <w:tab w:val="left" w:pos="1264"/>
              </w:tabs>
              <w:overflowPunct w:val="0"/>
              <w:adjustRightInd w:val="0"/>
              <w:snapToGrid w:val="0"/>
              <w:jc w:val="center"/>
              <w:rPr>
                <w:rFonts w:hAnsi="宋体"/>
                <w:sz w:val="24"/>
                <w:szCs w:val="24"/>
              </w:rPr>
            </w:pPr>
            <w:r>
              <w:rPr>
                <w:rFonts w:hint="eastAsia" w:hAnsi="宋体"/>
                <w:sz w:val="24"/>
                <w:szCs w:val="24"/>
              </w:rPr>
              <w:t>无证安装、改造、修理特种设备</w:t>
            </w:r>
          </w:p>
        </w:tc>
        <w:tc>
          <w:tcPr>
            <w:tcW w:w="1134" w:type="dxa"/>
            <w:vAlign w:val="center"/>
          </w:tcPr>
          <w:p>
            <w:pPr>
              <w:tabs>
                <w:tab w:val="left" w:pos="790"/>
                <w:tab w:val="left" w:pos="1264"/>
              </w:tabs>
              <w:overflowPunct w:val="0"/>
              <w:adjustRightInd w:val="0"/>
              <w:snapToGrid w:val="0"/>
              <w:jc w:val="center"/>
              <w:rPr>
                <w:rFonts w:hAnsi="宋体"/>
                <w:sz w:val="24"/>
                <w:szCs w:val="24"/>
              </w:rPr>
            </w:pPr>
            <w:r>
              <w:rPr>
                <w:rFonts w:hint="eastAsia" w:hAnsi="宋体"/>
                <w:sz w:val="24"/>
                <w:szCs w:val="24"/>
              </w:rPr>
              <w:t>特种设备安装改造修理许可证</w:t>
            </w:r>
          </w:p>
        </w:tc>
        <w:tc>
          <w:tcPr>
            <w:tcW w:w="3889" w:type="dxa"/>
            <w:vAlign w:val="center"/>
          </w:tcPr>
          <w:p>
            <w:pPr>
              <w:tabs>
                <w:tab w:val="left" w:pos="790"/>
                <w:tab w:val="left" w:pos="1264"/>
              </w:tabs>
              <w:overflowPunct w:val="0"/>
              <w:adjustRightInd w:val="0"/>
              <w:snapToGrid w:val="0"/>
              <w:spacing w:line="280" w:lineRule="exact"/>
              <w:rPr>
                <w:rFonts w:hAnsi="宋体"/>
                <w:sz w:val="24"/>
                <w:szCs w:val="24"/>
              </w:rPr>
            </w:pPr>
            <w:r>
              <w:rPr>
                <w:rFonts w:hint="eastAsia" w:hAnsi="宋体"/>
                <w:sz w:val="24"/>
                <w:szCs w:val="24"/>
              </w:rPr>
              <w:t>《特种设备安全法》</w:t>
            </w:r>
            <w:r>
              <w:rPr>
                <w:rFonts w:hAnsi="宋体"/>
                <w:sz w:val="24"/>
                <w:szCs w:val="24"/>
              </w:rPr>
              <w:t>第十八条</w:t>
            </w:r>
          </w:p>
          <w:p>
            <w:pPr>
              <w:tabs>
                <w:tab w:val="left" w:pos="790"/>
                <w:tab w:val="left" w:pos="1264"/>
              </w:tabs>
              <w:overflowPunct w:val="0"/>
              <w:adjustRightInd w:val="0"/>
              <w:snapToGrid w:val="0"/>
              <w:spacing w:line="280" w:lineRule="exact"/>
              <w:rPr>
                <w:rFonts w:hAnsi="宋体"/>
                <w:sz w:val="24"/>
                <w:szCs w:val="24"/>
              </w:rPr>
            </w:pPr>
            <w:r>
              <w:rPr>
                <w:rFonts w:hAnsi="宋体"/>
                <w:sz w:val="24"/>
                <w:szCs w:val="24"/>
              </w:rPr>
              <w:t>国家按照分类监督管理的原则对特种设备生产实行许可制度。特种设备生产单位应当具备下列条件，并经负责特种设备安全监督管理的部门许可，方可从事生产活动：</w:t>
            </w:r>
          </w:p>
          <w:p>
            <w:pPr>
              <w:tabs>
                <w:tab w:val="left" w:pos="790"/>
                <w:tab w:val="left" w:pos="1264"/>
              </w:tabs>
              <w:overflowPunct w:val="0"/>
              <w:adjustRightInd w:val="0"/>
              <w:snapToGrid w:val="0"/>
              <w:spacing w:line="280" w:lineRule="exact"/>
              <w:rPr>
                <w:rFonts w:hAnsi="宋体"/>
                <w:sz w:val="24"/>
                <w:szCs w:val="24"/>
              </w:rPr>
            </w:pPr>
            <w:r>
              <w:rPr>
                <w:rFonts w:hAnsi="宋体"/>
                <w:sz w:val="24"/>
                <w:szCs w:val="24"/>
              </w:rPr>
              <w:t>（一）有与生产相适应的专业技术人员；（二）有与生产相适应的设备、设施和工作场所；</w:t>
            </w:r>
          </w:p>
          <w:p>
            <w:pPr>
              <w:tabs>
                <w:tab w:val="left" w:pos="790"/>
                <w:tab w:val="left" w:pos="1264"/>
              </w:tabs>
              <w:overflowPunct w:val="0"/>
              <w:adjustRightInd w:val="0"/>
              <w:snapToGrid w:val="0"/>
              <w:spacing w:line="280" w:lineRule="exact"/>
              <w:rPr>
                <w:rFonts w:hAnsi="宋体"/>
                <w:sz w:val="24"/>
                <w:szCs w:val="24"/>
              </w:rPr>
            </w:pPr>
            <w:r>
              <w:rPr>
                <w:rFonts w:hAnsi="宋体"/>
                <w:sz w:val="24"/>
                <w:szCs w:val="24"/>
              </w:rPr>
              <w:t>（三）有健全的质量保证、安全管理和岗位责任等制度。</w:t>
            </w:r>
          </w:p>
          <w:p>
            <w:pPr>
              <w:tabs>
                <w:tab w:val="left" w:pos="790"/>
                <w:tab w:val="left" w:pos="1264"/>
              </w:tabs>
              <w:overflowPunct w:val="0"/>
              <w:adjustRightInd w:val="0"/>
              <w:snapToGrid w:val="0"/>
              <w:spacing w:line="280" w:lineRule="exact"/>
              <w:rPr>
                <w:rFonts w:hAnsi="宋体"/>
                <w:sz w:val="24"/>
                <w:szCs w:val="24"/>
              </w:rPr>
            </w:pPr>
            <w:r>
              <w:rPr>
                <w:rFonts w:hint="eastAsia" w:hAnsi="宋体"/>
                <w:sz w:val="24"/>
                <w:szCs w:val="24"/>
              </w:rPr>
              <w:t>《市场监管总局关于特种设备行政许可有关事项的公告》（2019年第3号）（2019年6月1日起实施）</w:t>
            </w:r>
          </w:p>
        </w:tc>
        <w:tc>
          <w:tcPr>
            <w:tcW w:w="3823" w:type="dxa"/>
            <w:vAlign w:val="center"/>
          </w:tcPr>
          <w:p>
            <w:pPr>
              <w:tabs>
                <w:tab w:val="left" w:pos="790"/>
                <w:tab w:val="left" w:pos="1264"/>
              </w:tabs>
              <w:overflowPunct w:val="0"/>
              <w:adjustRightInd w:val="0"/>
              <w:snapToGrid w:val="0"/>
              <w:rPr>
                <w:rFonts w:hAnsi="宋体"/>
                <w:sz w:val="24"/>
                <w:szCs w:val="24"/>
              </w:rPr>
            </w:pPr>
            <w:r>
              <w:rPr>
                <w:rFonts w:hint="eastAsia" w:hAnsi="宋体"/>
                <w:sz w:val="24"/>
                <w:szCs w:val="24"/>
              </w:rPr>
              <w:t>《特种设备安全法》第七十四条</w:t>
            </w:r>
          </w:p>
          <w:p>
            <w:pPr>
              <w:tabs>
                <w:tab w:val="left" w:pos="790"/>
                <w:tab w:val="left" w:pos="1264"/>
              </w:tabs>
              <w:overflowPunct w:val="0"/>
              <w:adjustRightInd w:val="0"/>
              <w:snapToGrid w:val="0"/>
              <w:rPr>
                <w:rFonts w:hAnsi="宋体"/>
                <w:sz w:val="24"/>
                <w:szCs w:val="24"/>
              </w:rPr>
            </w:pPr>
            <w:r>
              <w:rPr>
                <w:rFonts w:hAnsi="宋体"/>
                <w:sz w:val="24"/>
                <w:szCs w:val="24"/>
              </w:rPr>
              <w:t>违反本法规定，未经许可从事特种设备生产活动的，责令停止生产，没收违法制造的特种设备，处十万元以上五十万元以下罚款；有违法所得的，没收违法所得；已经实施安装、改造、修理的，责令恢复原状或者责令限期由取得许可的单位重新安装、改造、修理。</w:t>
            </w:r>
          </w:p>
        </w:tc>
        <w:tc>
          <w:tcPr>
            <w:tcW w:w="2328" w:type="dxa"/>
            <w:vAlign w:val="center"/>
          </w:tcPr>
          <w:p>
            <w:pPr>
              <w:tabs>
                <w:tab w:val="left" w:pos="790"/>
                <w:tab w:val="left" w:pos="1264"/>
              </w:tabs>
              <w:overflowPunct w:val="0"/>
              <w:adjustRightInd w:val="0"/>
              <w:snapToGrid w:val="0"/>
              <w:jc w:val="center"/>
              <w:rPr>
                <w:rFonts w:hAnsi="宋体"/>
                <w:sz w:val="24"/>
                <w:szCs w:val="24"/>
              </w:rPr>
            </w:pPr>
            <w:r>
              <w:rPr>
                <w:rFonts w:hint="eastAsia" w:hAnsi="宋体"/>
                <w:sz w:val="24"/>
                <w:szCs w:val="24"/>
              </w:rPr>
              <w:t>特种设备安全监察科</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cantSplit/>
          <w:trHeight w:val="454" w:hRule="atLeast"/>
          <w:jc w:val="center"/>
        </w:trPr>
        <w:tc>
          <w:tcPr>
            <w:tcW w:w="566" w:type="dxa"/>
            <w:vAlign w:val="center"/>
          </w:tcPr>
          <w:p>
            <w:pPr>
              <w:tabs>
                <w:tab w:val="left" w:pos="790"/>
                <w:tab w:val="left" w:pos="1264"/>
              </w:tabs>
              <w:overflowPunct w:val="0"/>
              <w:adjustRightInd w:val="0"/>
              <w:snapToGrid w:val="0"/>
              <w:jc w:val="center"/>
              <w:rPr>
                <w:rFonts w:hAnsi="宋体"/>
                <w:sz w:val="24"/>
                <w:szCs w:val="24"/>
              </w:rPr>
            </w:pPr>
            <w:r>
              <w:rPr>
                <w:rFonts w:hint="eastAsia" w:hAnsi="宋体"/>
                <w:sz w:val="24"/>
                <w:szCs w:val="24"/>
              </w:rPr>
              <w:t>16</w:t>
            </w:r>
          </w:p>
        </w:tc>
        <w:tc>
          <w:tcPr>
            <w:tcW w:w="1134" w:type="dxa"/>
            <w:vAlign w:val="center"/>
          </w:tcPr>
          <w:p>
            <w:pPr>
              <w:tabs>
                <w:tab w:val="left" w:pos="790"/>
                <w:tab w:val="left" w:pos="1264"/>
              </w:tabs>
              <w:overflowPunct w:val="0"/>
              <w:adjustRightInd w:val="0"/>
              <w:snapToGrid w:val="0"/>
              <w:jc w:val="center"/>
              <w:rPr>
                <w:rFonts w:hAnsi="宋体"/>
                <w:sz w:val="24"/>
                <w:szCs w:val="24"/>
              </w:rPr>
            </w:pPr>
            <w:r>
              <w:rPr>
                <w:rFonts w:hint="eastAsia" w:hAnsi="宋体"/>
                <w:sz w:val="24"/>
                <w:szCs w:val="24"/>
              </w:rPr>
              <w:t>无证充装特种设备</w:t>
            </w:r>
          </w:p>
        </w:tc>
        <w:tc>
          <w:tcPr>
            <w:tcW w:w="1134" w:type="dxa"/>
            <w:vAlign w:val="center"/>
          </w:tcPr>
          <w:p>
            <w:pPr>
              <w:tabs>
                <w:tab w:val="left" w:pos="790"/>
                <w:tab w:val="left" w:pos="1264"/>
              </w:tabs>
              <w:overflowPunct w:val="0"/>
              <w:adjustRightInd w:val="0"/>
              <w:snapToGrid w:val="0"/>
              <w:jc w:val="center"/>
              <w:rPr>
                <w:rFonts w:hAnsi="宋体"/>
                <w:sz w:val="24"/>
                <w:szCs w:val="24"/>
              </w:rPr>
            </w:pPr>
            <w:r>
              <w:rPr>
                <w:rFonts w:hint="eastAsia" w:hAnsi="宋体"/>
                <w:sz w:val="24"/>
                <w:szCs w:val="24"/>
              </w:rPr>
              <w:t>特种设备充装许可证</w:t>
            </w:r>
          </w:p>
        </w:tc>
        <w:tc>
          <w:tcPr>
            <w:tcW w:w="3889" w:type="dxa"/>
            <w:vAlign w:val="center"/>
          </w:tcPr>
          <w:p>
            <w:pPr>
              <w:tabs>
                <w:tab w:val="left" w:pos="790"/>
                <w:tab w:val="left" w:pos="1264"/>
              </w:tabs>
              <w:overflowPunct w:val="0"/>
              <w:adjustRightInd w:val="0"/>
              <w:snapToGrid w:val="0"/>
              <w:spacing w:line="280" w:lineRule="exact"/>
              <w:rPr>
                <w:rFonts w:hAnsi="宋体"/>
                <w:sz w:val="24"/>
                <w:szCs w:val="24"/>
              </w:rPr>
            </w:pPr>
            <w:r>
              <w:rPr>
                <w:rFonts w:hint="eastAsia" w:hAnsi="宋体"/>
                <w:sz w:val="24"/>
                <w:szCs w:val="24"/>
              </w:rPr>
              <w:t>《特种设备安全法》</w:t>
            </w:r>
            <w:r>
              <w:rPr>
                <w:rFonts w:hAnsi="宋体"/>
                <w:sz w:val="24"/>
                <w:szCs w:val="24"/>
              </w:rPr>
              <w:t>第四十九条</w:t>
            </w:r>
          </w:p>
          <w:p>
            <w:pPr>
              <w:tabs>
                <w:tab w:val="left" w:pos="790"/>
                <w:tab w:val="left" w:pos="1264"/>
              </w:tabs>
              <w:overflowPunct w:val="0"/>
              <w:adjustRightInd w:val="0"/>
              <w:snapToGrid w:val="0"/>
              <w:spacing w:line="280" w:lineRule="exact"/>
              <w:rPr>
                <w:rFonts w:hAnsi="宋体"/>
                <w:sz w:val="24"/>
                <w:szCs w:val="24"/>
              </w:rPr>
            </w:pPr>
            <w:r>
              <w:rPr>
                <w:rFonts w:hAnsi="宋体"/>
                <w:sz w:val="24"/>
                <w:szCs w:val="24"/>
              </w:rPr>
              <w:t>移动式压力容器、气瓶充装单位，应当具备下列条件，并经负责特种设备安全监督管理的部门许可，方可从事充装活动：</w:t>
            </w:r>
          </w:p>
          <w:p>
            <w:pPr>
              <w:tabs>
                <w:tab w:val="left" w:pos="790"/>
                <w:tab w:val="left" w:pos="1264"/>
              </w:tabs>
              <w:overflowPunct w:val="0"/>
              <w:adjustRightInd w:val="0"/>
              <w:snapToGrid w:val="0"/>
              <w:spacing w:line="280" w:lineRule="exact"/>
              <w:rPr>
                <w:rFonts w:hAnsi="宋体"/>
                <w:sz w:val="24"/>
                <w:szCs w:val="24"/>
              </w:rPr>
            </w:pPr>
            <w:r>
              <w:rPr>
                <w:rFonts w:hAnsi="宋体"/>
                <w:sz w:val="24"/>
                <w:szCs w:val="24"/>
              </w:rPr>
              <w:t>（一）有与充装和管理相适应的管理人员和技术人员；</w:t>
            </w:r>
          </w:p>
          <w:p>
            <w:pPr>
              <w:tabs>
                <w:tab w:val="left" w:pos="790"/>
                <w:tab w:val="left" w:pos="1264"/>
              </w:tabs>
              <w:overflowPunct w:val="0"/>
              <w:adjustRightInd w:val="0"/>
              <w:snapToGrid w:val="0"/>
              <w:spacing w:line="280" w:lineRule="exact"/>
              <w:rPr>
                <w:rFonts w:hAnsi="宋体"/>
                <w:sz w:val="24"/>
                <w:szCs w:val="24"/>
              </w:rPr>
            </w:pPr>
            <w:r>
              <w:rPr>
                <w:rFonts w:hAnsi="宋体"/>
                <w:sz w:val="24"/>
                <w:szCs w:val="24"/>
              </w:rPr>
              <w:t>（二）有与充装和管理相适应的充装设备、检测手段、场地厂房、器具、安全设施；</w:t>
            </w:r>
          </w:p>
          <w:p>
            <w:pPr>
              <w:tabs>
                <w:tab w:val="left" w:pos="790"/>
                <w:tab w:val="left" w:pos="1264"/>
              </w:tabs>
              <w:overflowPunct w:val="0"/>
              <w:adjustRightInd w:val="0"/>
              <w:snapToGrid w:val="0"/>
              <w:spacing w:line="280" w:lineRule="exact"/>
              <w:rPr>
                <w:rFonts w:hAnsi="宋体"/>
                <w:sz w:val="24"/>
                <w:szCs w:val="24"/>
              </w:rPr>
            </w:pPr>
            <w:r>
              <w:rPr>
                <w:rFonts w:hAnsi="宋体"/>
                <w:sz w:val="24"/>
                <w:szCs w:val="24"/>
              </w:rPr>
              <w:t>（三）有健全的充装管理制度、责任制度、处理措施。</w:t>
            </w:r>
          </w:p>
          <w:p>
            <w:pPr>
              <w:tabs>
                <w:tab w:val="left" w:pos="790"/>
                <w:tab w:val="left" w:pos="1264"/>
              </w:tabs>
              <w:overflowPunct w:val="0"/>
              <w:adjustRightInd w:val="0"/>
              <w:snapToGrid w:val="0"/>
              <w:spacing w:line="280" w:lineRule="exact"/>
              <w:rPr>
                <w:rFonts w:hAnsi="宋体"/>
                <w:sz w:val="24"/>
                <w:szCs w:val="24"/>
              </w:rPr>
            </w:pPr>
            <w:r>
              <w:rPr>
                <w:rFonts w:hint="eastAsia" w:hAnsi="宋体"/>
                <w:sz w:val="24"/>
                <w:szCs w:val="24"/>
              </w:rPr>
              <w:t>《市场监管总局关于特种设备行政许可有关事项的公告》（2019年第3号）（2019年6月1日起实施）</w:t>
            </w:r>
          </w:p>
        </w:tc>
        <w:tc>
          <w:tcPr>
            <w:tcW w:w="3823" w:type="dxa"/>
            <w:vAlign w:val="center"/>
          </w:tcPr>
          <w:p>
            <w:pPr>
              <w:tabs>
                <w:tab w:val="left" w:pos="790"/>
                <w:tab w:val="left" w:pos="1264"/>
              </w:tabs>
              <w:overflowPunct w:val="0"/>
              <w:adjustRightInd w:val="0"/>
              <w:snapToGrid w:val="0"/>
              <w:rPr>
                <w:rFonts w:hAnsi="宋体"/>
                <w:sz w:val="24"/>
                <w:szCs w:val="24"/>
              </w:rPr>
            </w:pPr>
            <w:r>
              <w:rPr>
                <w:rFonts w:hint="eastAsia" w:hAnsi="宋体"/>
                <w:sz w:val="24"/>
                <w:szCs w:val="24"/>
              </w:rPr>
              <w:t>《特种设备安全法》第八十五条第二款</w:t>
            </w:r>
          </w:p>
          <w:p>
            <w:pPr>
              <w:tabs>
                <w:tab w:val="left" w:pos="790"/>
                <w:tab w:val="left" w:pos="1264"/>
              </w:tabs>
              <w:overflowPunct w:val="0"/>
              <w:adjustRightInd w:val="0"/>
              <w:snapToGrid w:val="0"/>
              <w:rPr>
                <w:rFonts w:hAnsi="宋体"/>
                <w:sz w:val="24"/>
                <w:szCs w:val="24"/>
              </w:rPr>
            </w:pPr>
            <w:r>
              <w:rPr>
                <w:rFonts w:hAnsi="宋体"/>
                <w:sz w:val="24"/>
                <w:szCs w:val="24"/>
              </w:rPr>
              <w:t>违反本法规定，未经许可，擅自从事移动式压力容器或者气瓶充装活动的，予以取缔，没收违法充装的气瓶，处十万元以上五十万元以下罚款；有违法所得的，没收违法所得。</w:t>
            </w:r>
          </w:p>
        </w:tc>
        <w:tc>
          <w:tcPr>
            <w:tcW w:w="2328" w:type="dxa"/>
            <w:vAlign w:val="center"/>
          </w:tcPr>
          <w:p>
            <w:pPr>
              <w:tabs>
                <w:tab w:val="left" w:pos="790"/>
                <w:tab w:val="left" w:pos="1264"/>
              </w:tabs>
              <w:overflowPunct w:val="0"/>
              <w:adjustRightInd w:val="0"/>
              <w:snapToGrid w:val="0"/>
              <w:jc w:val="center"/>
              <w:rPr>
                <w:rFonts w:hAnsi="宋体"/>
                <w:sz w:val="24"/>
                <w:szCs w:val="24"/>
              </w:rPr>
            </w:pPr>
            <w:r>
              <w:rPr>
                <w:rFonts w:hint="eastAsia" w:hAnsi="宋体"/>
                <w:sz w:val="24"/>
                <w:szCs w:val="24"/>
              </w:rPr>
              <w:t>特种设备安全监察科</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cantSplit/>
          <w:trHeight w:val="4598" w:hRule="atLeast"/>
          <w:jc w:val="center"/>
        </w:trPr>
        <w:tc>
          <w:tcPr>
            <w:tcW w:w="566" w:type="dxa"/>
            <w:vAlign w:val="center"/>
          </w:tcPr>
          <w:p>
            <w:pPr>
              <w:tabs>
                <w:tab w:val="left" w:pos="790"/>
                <w:tab w:val="left" w:pos="1264"/>
              </w:tabs>
              <w:overflowPunct w:val="0"/>
              <w:adjustRightInd w:val="0"/>
              <w:snapToGrid w:val="0"/>
              <w:jc w:val="center"/>
              <w:rPr>
                <w:rFonts w:hAnsi="宋体"/>
                <w:sz w:val="24"/>
                <w:szCs w:val="24"/>
              </w:rPr>
            </w:pPr>
            <w:r>
              <w:rPr>
                <w:rFonts w:hint="eastAsia" w:hAnsi="宋体"/>
                <w:sz w:val="24"/>
                <w:szCs w:val="24"/>
              </w:rPr>
              <w:t>17</w:t>
            </w:r>
          </w:p>
        </w:tc>
        <w:tc>
          <w:tcPr>
            <w:tcW w:w="1134" w:type="dxa"/>
            <w:vAlign w:val="center"/>
          </w:tcPr>
          <w:p>
            <w:pPr>
              <w:tabs>
                <w:tab w:val="left" w:pos="790"/>
                <w:tab w:val="left" w:pos="1264"/>
              </w:tabs>
              <w:overflowPunct w:val="0"/>
              <w:adjustRightInd w:val="0"/>
              <w:snapToGrid w:val="0"/>
              <w:jc w:val="center"/>
              <w:rPr>
                <w:rFonts w:hAnsi="宋体"/>
                <w:sz w:val="24"/>
                <w:szCs w:val="24"/>
              </w:rPr>
            </w:pPr>
            <w:r>
              <w:rPr>
                <w:rFonts w:hint="eastAsia" w:hAnsi="宋体"/>
                <w:sz w:val="24"/>
                <w:szCs w:val="24"/>
              </w:rPr>
              <w:t>特种设备检验、检测机构无证提供检验、检测服务</w:t>
            </w:r>
          </w:p>
        </w:tc>
        <w:tc>
          <w:tcPr>
            <w:tcW w:w="1134" w:type="dxa"/>
            <w:vAlign w:val="center"/>
          </w:tcPr>
          <w:p>
            <w:pPr>
              <w:tabs>
                <w:tab w:val="left" w:pos="790"/>
                <w:tab w:val="left" w:pos="1264"/>
              </w:tabs>
              <w:overflowPunct w:val="0"/>
              <w:adjustRightInd w:val="0"/>
              <w:snapToGrid w:val="0"/>
              <w:jc w:val="center"/>
              <w:rPr>
                <w:rFonts w:hAnsi="宋体"/>
                <w:sz w:val="24"/>
                <w:szCs w:val="24"/>
              </w:rPr>
            </w:pPr>
            <w:r>
              <w:rPr>
                <w:rFonts w:hint="eastAsia" w:hAnsi="宋体"/>
                <w:sz w:val="24"/>
                <w:szCs w:val="24"/>
              </w:rPr>
              <w:t>特种设备检验检测机构核准证</w:t>
            </w:r>
          </w:p>
        </w:tc>
        <w:tc>
          <w:tcPr>
            <w:tcW w:w="3889" w:type="dxa"/>
            <w:vAlign w:val="center"/>
          </w:tcPr>
          <w:p>
            <w:pPr>
              <w:tabs>
                <w:tab w:val="left" w:pos="790"/>
                <w:tab w:val="left" w:pos="1264"/>
              </w:tabs>
              <w:overflowPunct w:val="0"/>
              <w:adjustRightInd w:val="0"/>
              <w:snapToGrid w:val="0"/>
              <w:rPr>
                <w:rFonts w:hAnsi="宋体"/>
                <w:sz w:val="24"/>
                <w:szCs w:val="24"/>
              </w:rPr>
            </w:pPr>
            <w:r>
              <w:rPr>
                <w:rFonts w:hint="eastAsia" w:hAnsi="宋体"/>
                <w:sz w:val="24"/>
                <w:szCs w:val="24"/>
              </w:rPr>
              <w:t>《特种设备安全法》</w:t>
            </w:r>
            <w:r>
              <w:rPr>
                <w:rFonts w:hAnsi="宋体"/>
                <w:sz w:val="24"/>
                <w:szCs w:val="24"/>
              </w:rPr>
              <w:t>第五十条</w:t>
            </w:r>
          </w:p>
          <w:p>
            <w:pPr>
              <w:tabs>
                <w:tab w:val="left" w:pos="790"/>
                <w:tab w:val="left" w:pos="1264"/>
              </w:tabs>
              <w:overflowPunct w:val="0"/>
              <w:adjustRightInd w:val="0"/>
              <w:snapToGrid w:val="0"/>
              <w:rPr>
                <w:rFonts w:hAnsi="宋体"/>
                <w:sz w:val="24"/>
                <w:szCs w:val="24"/>
              </w:rPr>
            </w:pPr>
            <w:r>
              <w:rPr>
                <w:rFonts w:hAnsi="宋体"/>
                <w:sz w:val="24"/>
                <w:szCs w:val="24"/>
              </w:rPr>
              <w:t>从事本法规定的监督检验、定期检验的特种设备检验机构，以及为特种设备生产、经营、使用提供检测服务的特种设备检测机构，应当具备下列条件，并经负责特种设备安全监督管理的部门核准，方可从事检验、检测工作：</w:t>
            </w:r>
          </w:p>
          <w:p>
            <w:pPr>
              <w:tabs>
                <w:tab w:val="left" w:pos="790"/>
                <w:tab w:val="left" w:pos="1264"/>
              </w:tabs>
              <w:overflowPunct w:val="0"/>
              <w:adjustRightInd w:val="0"/>
              <w:snapToGrid w:val="0"/>
              <w:rPr>
                <w:rFonts w:hAnsi="宋体"/>
                <w:sz w:val="24"/>
                <w:szCs w:val="24"/>
              </w:rPr>
            </w:pPr>
            <w:r>
              <w:rPr>
                <w:rFonts w:hAnsi="宋体"/>
                <w:sz w:val="24"/>
                <w:szCs w:val="24"/>
              </w:rPr>
              <w:t>（一）有与检验、检测工作相适应的检验、检测人员；</w:t>
            </w:r>
          </w:p>
          <w:p>
            <w:pPr>
              <w:tabs>
                <w:tab w:val="left" w:pos="790"/>
                <w:tab w:val="left" w:pos="1264"/>
              </w:tabs>
              <w:overflowPunct w:val="0"/>
              <w:adjustRightInd w:val="0"/>
              <w:snapToGrid w:val="0"/>
              <w:rPr>
                <w:rFonts w:hAnsi="宋体"/>
                <w:sz w:val="24"/>
                <w:szCs w:val="24"/>
              </w:rPr>
            </w:pPr>
            <w:r>
              <w:rPr>
                <w:rFonts w:hAnsi="宋体"/>
                <w:sz w:val="24"/>
                <w:szCs w:val="24"/>
              </w:rPr>
              <w:t>（二）有与检验、检测工作相适应的检验、检测仪器和设备；</w:t>
            </w:r>
          </w:p>
          <w:p>
            <w:pPr>
              <w:tabs>
                <w:tab w:val="left" w:pos="790"/>
                <w:tab w:val="left" w:pos="1264"/>
              </w:tabs>
              <w:overflowPunct w:val="0"/>
              <w:adjustRightInd w:val="0"/>
              <w:snapToGrid w:val="0"/>
              <w:rPr>
                <w:rFonts w:hAnsi="宋体"/>
                <w:sz w:val="24"/>
                <w:szCs w:val="24"/>
              </w:rPr>
            </w:pPr>
            <w:r>
              <w:rPr>
                <w:rFonts w:hAnsi="宋体"/>
                <w:sz w:val="24"/>
                <w:szCs w:val="24"/>
              </w:rPr>
              <w:t>（三）有健全的检验、检测管理制度和责任制度</w:t>
            </w:r>
          </w:p>
        </w:tc>
        <w:tc>
          <w:tcPr>
            <w:tcW w:w="3823" w:type="dxa"/>
            <w:vAlign w:val="center"/>
          </w:tcPr>
          <w:p>
            <w:pPr>
              <w:tabs>
                <w:tab w:val="left" w:pos="790"/>
                <w:tab w:val="left" w:pos="1264"/>
              </w:tabs>
              <w:overflowPunct w:val="0"/>
              <w:adjustRightInd w:val="0"/>
              <w:snapToGrid w:val="0"/>
              <w:rPr>
                <w:rFonts w:hAnsi="宋体"/>
                <w:sz w:val="24"/>
                <w:szCs w:val="24"/>
              </w:rPr>
            </w:pPr>
            <w:r>
              <w:rPr>
                <w:rFonts w:hint="eastAsia" w:hAnsi="宋体"/>
                <w:sz w:val="24"/>
                <w:szCs w:val="24"/>
              </w:rPr>
              <w:t>《特种设备安全法》第九十三条第一款第一项</w:t>
            </w:r>
          </w:p>
          <w:p>
            <w:pPr>
              <w:tabs>
                <w:tab w:val="left" w:pos="790"/>
                <w:tab w:val="left" w:pos="1264"/>
              </w:tabs>
              <w:overflowPunct w:val="0"/>
              <w:adjustRightInd w:val="0"/>
              <w:snapToGrid w:val="0"/>
              <w:rPr>
                <w:rFonts w:hAnsi="宋体"/>
                <w:sz w:val="24"/>
                <w:szCs w:val="24"/>
              </w:rPr>
            </w:pPr>
            <w:r>
              <w:rPr>
                <w:rFonts w:hAnsi="宋体"/>
                <w:sz w:val="24"/>
                <w:szCs w:val="24"/>
              </w:rPr>
              <w:t>违反本法规定，特种设备检验、检测机构及其检验、检测人员有下列行为之一的，责令改正，对机构处五万元以上二十万元以下罚款，对直接负责的主管人员和其他直接责任人员处五千元以上五万元以下罚款；情节严重的，吊销机构资质和有关人员的资格：</w:t>
            </w:r>
          </w:p>
          <w:p>
            <w:pPr>
              <w:tabs>
                <w:tab w:val="left" w:pos="790"/>
                <w:tab w:val="left" w:pos="1264"/>
              </w:tabs>
              <w:overflowPunct w:val="0"/>
              <w:adjustRightInd w:val="0"/>
              <w:snapToGrid w:val="0"/>
              <w:rPr>
                <w:rFonts w:hAnsi="宋体"/>
                <w:sz w:val="24"/>
                <w:szCs w:val="24"/>
              </w:rPr>
            </w:pPr>
            <w:r>
              <w:rPr>
                <w:rFonts w:hint="eastAsia" w:hAnsi="宋体"/>
                <w:sz w:val="24"/>
                <w:szCs w:val="24"/>
              </w:rPr>
              <w:t>（一）未经核准或者超出核准范围、使用未取得相应资格的人员从事检验、检测的；</w:t>
            </w:r>
          </w:p>
        </w:tc>
        <w:tc>
          <w:tcPr>
            <w:tcW w:w="2328" w:type="dxa"/>
            <w:vAlign w:val="center"/>
          </w:tcPr>
          <w:p>
            <w:pPr>
              <w:tabs>
                <w:tab w:val="left" w:pos="790"/>
                <w:tab w:val="left" w:pos="1264"/>
              </w:tabs>
              <w:overflowPunct w:val="0"/>
              <w:adjustRightInd w:val="0"/>
              <w:snapToGrid w:val="0"/>
              <w:jc w:val="center"/>
              <w:rPr>
                <w:rFonts w:hAnsi="宋体"/>
                <w:sz w:val="24"/>
                <w:szCs w:val="24"/>
              </w:rPr>
            </w:pPr>
            <w:r>
              <w:rPr>
                <w:rFonts w:hint="eastAsia" w:hAnsi="宋体"/>
                <w:sz w:val="24"/>
                <w:szCs w:val="24"/>
              </w:rPr>
              <w:t>特种设备安全监察科</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cantSplit/>
          <w:trHeight w:val="3259" w:hRule="atLeast"/>
          <w:jc w:val="center"/>
        </w:trPr>
        <w:tc>
          <w:tcPr>
            <w:tcW w:w="566" w:type="dxa"/>
            <w:vAlign w:val="center"/>
          </w:tcPr>
          <w:p>
            <w:pPr>
              <w:tabs>
                <w:tab w:val="left" w:pos="790"/>
                <w:tab w:val="left" w:pos="1264"/>
              </w:tabs>
              <w:overflowPunct w:val="0"/>
              <w:adjustRightInd w:val="0"/>
              <w:snapToGrid w:val="0"/>
              <w:jc w:val="center"/>
              <w:rPr>
                <w:rFonts w:hAnsi="宋体"/>
                <w:sz w:val="24"/>
                <w:szCs w:val="24"/>
              </w:rPr>
            </w:pPr>
            <w:r>
              <w:rPr>
                <w:rFonts w:hint="eastAsia" w:hAnsi="宋体"/>
                <w:sz w:val="24"/>
                <w:szCs w:val="24"/>
              </w:rPr>
              <w:t>18</w:t>
            </w:r>
          </w:p>
        </w:tc>
        <w:tc>
          <w:tcPr>
            <w:tcW w:w="1134" w:type="dxa"/>
            <w:vAlign w:val="center"/>
          </w:tcPr>
          <w:p>
            <w:pPr>
              <w:tabs>
                <w:tab w:val="left" w:pos="790"/>
                <w:tab w:val="left" w:pos="1264"/>
              </w:tabs>
              <w:overflowPunct w:val="0"/>
              <w:adjustRightInd w:val="0"/>
              <w:snapToGrid w:val="0"/>
              <w:jc w:val="center"/>
              <w:rPr>
                <w:rFonts w:hAnsi="宋体"/>
                <w:sz w:val="24"/>
                <w:szCs w:val="24"/>
              </w:rPr>
            </w:pPr>
            <w:r>
              <w:rPr>
                <w:rFonts w:hint="eastAsia" w:hAnsi="宋体"/>
                <w:sz w:val="24"/>
                <w:szCs w:val="24"/>
              </w:rPr>
              <w:t>无证生产药品</w:t>
            </w:r>
          </w:p>
        </w:tc>
        <w:tc>
          <w:tcPr>
            <w:tcW w:w="1134" w:type="dxa"/>
            <w:vAlign w:val="center"/>
          </w:tcPr>
          <w:p>
            <w:pPr>
              <w:tabs>
                <w:tab w:val="left" w:pos="790"/>
                <w:tab w:val="left" w:pos="1264"/>
              </w:tabs>
              <w:overflowPunct w:val="0"/>
              <w:adjustRightInd w:val="0"/>
              <w:snapToGrid w:val="0"/>
              <w:jc w:val="center"/>
              <w:rPr>
                <w:rFonts w:hAnsi="宋体"/>
                <w:sz w:val="24"/>
                <w:szCs w:val="24"/>
              </w:rPr>
            </w:pPr>
            <w:r>
              <w:rPr>
                <w:rFonts w:hint="eastAsia" w:hAnsi="宋体"/>
                <w:sz w:val="24"/>
                <w:szCs w:val="24"/>
              </w:rPr>
              <w:t>药品生产许可证</w:t>
            </w:r>
          </w:p>
        </w:tc>
        <w:tc>
          <w:tcPr>
            <w:tcW w:w="3889" w:type="dxa"/>
            <w:vAlign w:val="center"/>
          </w:tcPr>
          <w:p>
            <w:pPr>
              <w:tabs>
                <w:tab w:val="left" w:pos="790"/>
                <w:tab w:val="left" w:pos="1264"/>
              </w:tabs>
              <w:overflowPunct w:val="0"/>
              <w:adjustRightInd w:val="0"/>
              <w:snapToGrid w:val="0"/>
              <w:rPr>
                <w:rFonts w:hAnsi="宋体"/>
                <w:sz w:val="24"/>
                <w:szCs w:val="24"/>
              </w:rPr>
            </w:pPr>
            <w:r>
              <w:rPr>
                <w:rFonts w:hint="eastAsia" w:hAnsi="宋体"/>
                <w:sz w:val="24"/>
                <w:szCs w:val="24"/>
              </w:rPr>
              <w:t>《药品管理法》</w:t>
            </w:r>
            <w:r>
              <w:rPr>
                <w:rFonts w:hAnsi="宋体"/>
                <w:sz w:val="24"/>
                <w:szCs w:val="24"/>
              </w:rPr>
              <w:t>第</w:t>
            </w:r>
            <w:r>
              <w:rPr>
                <w:rFonts w:hint="eastAsia" w:hAnsi="宋体"/>
                <w:sz w:val="24"/>
                <w:szCs w:val="24"/>
              </w:rPr>
              <w:t>七</w:t>
            </w:r>
            <w:r>
              <w:rPr>
                <w:rFonts w:hAnsi="宋体"/>
                <w:sz w:val="24"/>
                <w:szCs w:val="24"/>
              </w:rPr>
              <w:t>条</w:t>
            </w:r>
          </w:p>
          <w:p>
            <w:pPr>
              <w:tabs>
                <w:tab w:val="left" w:pos="790"/>
                <w:tab w:val="left" w:pos="1264"/>
              </w:tabs>
              <w:overflowPunct w:val="0"/>
              <w:adjustRightInd w:val="0"/>
              <w:snapToGrid w:val="0"/>
              <w:rPr>
                <w:rFonts w:hAnsi="宋体"/>
                <w:sz w:val="24"/>
                <w:szCs w:val="24"/>
              </w:rPr>
            </w:pPr>
            <w:r>
              <w:rPr>
                <w:rFonts w:hAnsi="宋体"/>
                <w:sz w:val="24"/>
                <w:szCs w:val="24"/>
              </w:rPr>
              <w:t>开办药品生产企业，须经企业所在地省、自治区、直辖市人民政府药品监督管理部门批准并发给《药品生产许可证》。无《药品生产许可证》的，不得生产药品。</w:t>
            </w:r>
          </w:p>
        </w:tc>
        <w:tc>
          <w:tcPr>
            <w:tcW w:w="3823" w:type="dxa"/>
            <w:vAlign w:val="center"/>
          </w:tcPr>
          <w:p>
            <w:pPr>
              <w:tabs>
                <w:tab w:val="left" w:pos="790"/>
                <w:tab w:val="left" w:pos="1264"/>
              </w:tabs>
              <w:overflowPunct w:val="0"/>
              <w:adjustRightInd w:val="0"/>
              <w:snapToGrid w:val="0"/>
              <w:rPr>
                <w:rFonts w:hAnsi="宋体"/>
                <w:sz w:val="24"/>
                <w:szCs w:val="24"/>
              </w:rPr>
            </w:pPr>
            <w:r>
              <w:rPr>
                <w:rFonts w:hint="eastAsia" w:hAnsi="宋体"/>
                <w:sz w:val="24"/>
                <w:szCs w:val="24"/>
              </w:rPr>
              <w:t>《药品管理法》</w:t>
            </w:r>
            <w:r>
              <w:rPr>
                <w:rFonts w:hAnsi="宋体"/>
                <w:sz w:val="24"/>
                <w:szCs w:val="24"/>
              </w:rPr>
              <w:t>第</w:t>
            </w:r>
            <w:r>
              <w:rPr>
                <w:rFonts w:hint="eastAsia" w:hAnsi="宋体"/>
                <w:sz w:val="24"/>
                <w:szCs w:val="24"/>
              </w:rPr>
              <w:t>七十二</w:t>
            </w:r>
            <w:r>
              <w:rPr>
                <w:rFonts w:hAnsi="宋体"/>
                <w:sz w:val="24"/>
                <w:szCs w:val="24"/>
              </w:rPr>
              <w:t>条</w:t>
            </w:r>
          </w:p>
          <w:p>
            <w:pPr>
              <w:tabs>
                <w:tab w:val="left" w:pos="790"/>
                <w:tab w:val="left" w:pos="1264"/>
              </w:tabs>
              <w:overflowPunct w:val="0"/>
              <w:adjustRightInd w:val="0"/>
              <w:snapToGrid w:val="0"/>
              <w:rPr>
                <w:rFonts w:hAnsi="宋体"/>
                <w:sz w:val="24"/>
                <w:szCs w:val="24"/>
              </w:rPr>
            </w:pPr>
            <w:r>
              <w:rPr>
                <w:rFonts w:hAnsi="宋体"/>
                <w:sz w:val="24"/>
                <w:szCs w:val="24"/>
              </w:rPr>
              <w:t>未取得《药品生产许可证》、《药品经营许可证》或者《医疗机构制剂许可证》生产药品、经营药品的，依法予以取缔，没收违法生产、销售的药品和违法所得，并处违法生产、销售的药品（包括已售出的和未售出的药品，下同）货值金额二倍以上五倍以下的罚款；构成犯罪的，依法追究刑事责任。</w:t>
            </w:r>
          </w:p>
        </w:tc>
        <w:tc>
          <w:tcPr>
            <w:tcW w:w="2328" w:type="dxa"/>
            <w:vAlign w:val="center"/>
          </w:tcPr>
          <w:p>
            <w:pPr>
              <w:tabs>
                <w:tab w:val="left" w:pos="790"/>
                <w:tab w:val="left" w:pos="1264"/>
              </w:tabs>
              <w:overflowPunct w:val="0"/>
              <w:adjustRightInd w:val="0"/>
              <w:snapToGrid w:val="0"/>
              <w:jc w:val="center"/>
              <w:rPr>
                <w:rFonts w:hAnsi="宋体"/>
                <w:sz w:val="24"/>
                <w:szCs w:val="24"/>
              </w:rPr>
            </w:pPr>
            <w:r>
              <w:rPr>
                <w:rFonts w:hint="eastAsia" w:hAnsi="宋体"/>
                <w:sz w:val="24"/>
                <w:szCs w:val="24"/>
              </w:rPr>
              <w:t>药品和化妆品监督管理科</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cantSplit/>
          <w:trHeight w:val="454" w:hRule="atLeast"/>
          <w:jc w:val="center"/>
        </w:trPr>
        <w:tc>
          <w:tcPr>
            <w:tcW w:w="566" w:type="dxa"/>
            <w:vAlign w:val="center"/>
          </w:tcPr>
          <w:p>
            <w:pPr>
              <w:tabs>
                <w:tab w:val="left" w:pos="790"/>
                <w:tab w:val="left" w:pos="1264"/>
              </w:tabs>
              <w:overflowPunct w:val="0"/>
              <w:adjustRightInd w:val="0"/>
              <w:snapToGrid w:val="0"/>
              <w:jc w:val="center"/>
              <w:rPr>
                <w:rFonts w:hAnsi="宋体"/>
                <w:sz w:val="24"/>
                <w:szCs w:val="24"/>
              </w:rPr>
            </w:pPr>
            <w:r>
              <w:rPr>
                <w:rFonts w:hint="eastAsia" w:hAnsi="宋体"/>
                <w:sz w:val="24"/>
                <w:szCs w:val="24"/>
              </w:rPr>
              <w:t>19</w:t>
            </w:r>
          </w:p>
        </w:tc>
        <w:tc>
          <w:tcPr>
            <w:tcW w:w="1134" w:type="dxa"/>
            <w:vAlign w:val="center"/>
          </w:tcPr>
          <w:p>
            <w:pPr>
              <w:tabs>
                <w:tab w:val="left" w:pos="790"/>
                <w:tab w:val="left" w:pos="1264"/>
              </w:tabs>
              <w:overflowPunct w:val="0"/>
              <w:adjustRightInd w:val="0"/>
              <w:snapToGrid w:val="0"/>
              <w:jc w:val="center"/>
              <w:rPr>
                <w:rFonts w:hAnsi="宋体"/>
                <w:sz w:val="24"/>
                <w:szCs w:val="24"/>
              </w:rPr>
            </w:pPr>
            <w:r>
              <w:rPr>
                <w:rFonts w:hint="eastAsia" w:hAnsi="宋体"/>
                <w:sz w:val="24"/>
                <w:szCs w:val="24"/>
              </w:rPr>
              <w:t>无证批发药品</w:t>
            </w:r>
          </w:p>
        </w:tc>
        <w:tc>
          <w:tcPr>
            <w:tcW w:w="1134" w:type="dxa"/>
            <w:vAlign w:val="center"/>
          </w:tcPr>
          <w:p>
            <w:pPr>
              <w:tabs>
                <w:tab w:val="left" w:pos="790"/>
                <w:tab w:val="left" w:pos="1264"/>
              </w:tabs>
              <w:overflowPunct w:val="0"/>
              <w:adjustRightInd w:val="0"/>
              <w:snapToGrid w:val="0"/>
              <w:jc w:val="center"/>
              <w:rPr>
                <w:rFonts w:hAnsi="宋体"/>
                <w:sz w:val="24"/>
                <w:szCs w:val="24"/>
              </w:rPr>
            </w:pPr>
            <w:r>
              <w:rPr>
                <w:rFonts w:hint="eastAsia" w:hAnsi="宋体"/>
                <w:sz w:val="24"/>
                <w:szCs w:val="24"/>
              </w:rPr>
              <w:t>药品经营许可证</w:t>
            </w:r>
          </w:p>
        </w:tc>
        <w:tc>
          <w:tcPr>
            <w:tcW w:w="3889" w:type="dxa"/>
            <w:vAlign w:val="center"/>
          </w:tcPr>
          <w:p>
            <w:pPr>
              <w:tabs>
                <w:tab w:val="left" w:pos="790"/>
                <w:tab w:val="left" w:pos="1264"/>
              </w:tabs>
              <w:overflowPunct w:val="0"/>
              <w:adjustRightInd w:val="0"/>
              <w:snapToGrid w:val="0"/>
              <w:rPr>
                <w:rFonts w:hAnsi="宋体"/>
                <w:sz w:val="24"/>
                <w:szCs w:val="24"/>
              </w:rPr>
            </w:pPr>
            <w:r>
              <w:rPr>
                <w:rFonts w:hint="eastAsia" w:hAnsi="宋体"/>
                <w:sz w:val="24"/>
                <w:szCs w:val="24"/>
              </w:rPr>
              <w:t>《药品管理法》</w:t>
            </w:r>
            <w:r>
              <w:rPr>
                <w:rFonts w:hAnsi="宋体"/>
                <w:sz w:val="24"/>
                <w:szCs w:val="24"/>
              </w:rPr>
              <w:t>第</w:t>
            </w:r>
            <w:r>
              <w:rPr>
                <w:rFonts w:hint="eastAsia" w:hAnsi="宋体"/>
                <w:sz w:val="24"/>
                <w:szCs w:val="24"/>
              </w:rPr>
              <w:t>十四</w:t>
            </w:r>
            <w:r>
              <w:rPr>
                <w:rFonts w:hAnsi="宋体"/>
                <w:sz w:val="24"/>
                <w:szCs w:val="24"/>
              </w:rPr>
              <w:t>条</w:t>
            </w:r>
          </w:p>
          <w:p>
            <w:pPr>
              <w:tabs>
                <w:tab w:val="left" w:pos="790"/>
                <w:tab w:val="left" w:pos="1264"/>
              </w:tabs>
              <w:overflowPunct w:val="0"/>
              <w:adjustRightInd w:val="0"/>
              <w:snapToGrid w:val="0"/>
              <w:rPr>
                <w:rFonts w:hAnsi="宋体"/>
                <w:sz w:val="24"/>
                <w:szCs w:val="24"/>
              </w:rPr>
            </w:pPr>
            <w:r>
              <w:rPr>
                <w:rFonts w:hAnsi="宋体"/>
                <w:sz w:val="24"/>
                <w:szCs w:val="24"/>
              </w:rPr>
              <w:t>开办药品批发企业，须经企业所在地省、自治区、直辖市人民政府药品监督管理部门批准并发给《药品经营许可证》；开办药品零售企业，须经企业所在地县级以上地方药品监督管理部门批准并发给《药品经营许可证》。无《药品经营许可证》的，不得经营药品。</w:t>
            </w:r>
          </w:p>
        </w:tc>
        <w:tc>
          <w:tcPr>
            <w:tcW w:w="3823" w:type="dxa"/>
            <w:vAlign w:val="center"/>
          </w:tcPr>
          <w:p>
            <w:pPr>
              <w:tabs>
                <w:tab w:val="left" w:pos="790"/>
                <w:tab w:val="left" w:pos="1264"/>
              </w:tabs>
              <w:overflowPunct w:val="0"/>
              <w:adjustRightInd w:val="0"/>
              <w:snapToGrid w:val="0"/>
              <w:spacing w:line="300" w:lineRule="exact"/>
              <w:rPr>
                <w:rFonts w:hAnsi="宋体"/>
                <w:sz w:val="24"/>
                <w:szCs w:val="24"/>
              </w:rPr>
            </w:pPr>
            <w:r>
              <w:rPr>
                <w:rFonts w:hint="eastAsia" w:hAnsi="宋体"/>
                <w:sz w:val="24"/>
                <w:szCs w:val="24"/>
              </w:rPr>
              <w:t>《药品管理法》</w:t>
            </w:r>
            <w:r>
              <w:rPr>
                <w:rFonts w:hAnsi="宋体"/>
                <w:sz w:val="24"/>
                <w:szCs w:val="24"/>
              </w:rPr>
              <w:t>第</w:t>
            </w:r>
            <w:r>
              <w:rPr>
                <w:rFonts w:hint="eastAsia" w:hAnsi="宋体"/>
                <w:sz w:val="24"/>
                <w:szCs w:val="24"/>
              </w:rPr>
              <w:t>七十二</w:t>
            </w:r>
            <w:r>
              <w:rPr>
                <w:rFonts w:hAnsi="宋体"/>
                <w:sz w:val="24"/>
                <w:szCs w:val="24"/>
              </w:rPr>
              <w:t>条</w:t>
            </w:r>
            <w:r>
              <w:rPr>
                <w:rFonts w:hint="eastAsia" w:hAnsi="宋体"/>
                <w:sz w:val="24"/>
                <w:szCs w:val="24"/>
              </w:rPr>
              <w:t>　</w:t>
            </w:r>
            <w:r>
              <w:rPr>
                <w:rFonts w:hAnsi="宋体"/>
                <w:sz w:val="24"/>
                <w:szCs w:val="24"/>
              </w:rPr>
              <w:t>未取得《药品生产许可证》、《药品经营许可证》或者《医疗机构制剂许可证》生产药品、经营药品的，依法予以取缔，没收违法生产、销售的药品和违法所得，并处违法生产、销售的药品（包括已售出的和未售出的药品，下同）货值金额二倍以上五倍以下的罚款；构成犯罪的，依法追究刑事责任。</w:t>
            </w:r>
          </w:p>
          <w:p>
            <w:pPr>
              <w:tabs>
                <w:tab w:val="left" w:pos="790"/>
                <w:tab w:val="left" w:pos="1264"/>
              </w:tabs>
              <w:overflowPunct w:val="0"/>
              <w:adjustRightInd w:val="0"/>
              <w:snapToGrid w:val="0"/>
              <w:spacing w:line="300" w:lineRule="exact"/>
              <w:rPr>
                <w:rFonts w:hAnsi="宋体"/>
                <w:sz w:val="24"/>
                <w:szCs w:val="24"/>
              </w:rPr>
            </w:pPr>
            <w:r>
              <w:rPr>
                <w:rFonts w:hint="eastAsia" w:hAnsi="宋体"/>
                <w:sz w:val="24"/>
                <w:szCs w:val="24"/>
              </w:rPr>
              <w:t>《药品管理法》第八十七条</w:t>
            </w:r>
          </w:p>
          <w:p>
            <w:pPr>
              <w:tabs>
                <w:tab w:val="left" w:pos="790"/>
                <w:tab w:val="left" w:pos="1264"/>
              </w:tabs>
              <w:overflowPunct w:val="0"/>
              <w:adjustRightInd w:val="0"/>
              <w:snapToGrid w:val="0"/>
              <w:spacing w:line="300" w:lineRule="exact"/>
              <w:rPr>
                <w:rFonts w:hAnsi="宋体"/>
                <w:spacing w:val="-4"/>
                <w:sz w:val="24"/>
                <w:szCs w:val="24"/>
              </w:rPr>
            </w:pPr>
            <w:r>
              <w:rPr>
                <w:rFonts w:hint="eastAsia" w:hAnsi="宋体"/>
                <w:spacing w:val="-4"/>
                <w:sz w:val="24"/>
                <w:szCs w:val="24"/>
              </w:rPr>
              <w:t>本法第七十二条至第八十六条规定的行政处罚，由县级以上药品监督管理部门按照国务院药品监督管理部门规定的职责分工决定；吊销《药品生产许可证》、《药品经营许可证》、《医疗机构制剂许可证》、医疗机构执业许可证书或者撤销药品批准证明文件的，由原发证、批准的部门决定。</w:t>
            </w:r>
          </w:p>
        </w:tc>
        <w:tc>
          <w:tcPr>
            <w:tcW w:w="2328" w:type="dxa"/>
            <w:vAlign w:val="center"/>
          </w:tcPr>
          <w:p>
            <w:pPr>
              <w:tabs>
                <w:tab w:val="left" w:pos="790"/>
                <w:tab w:val="left" w:pos="1264"/>
              </w:tabs>
              <w:overflowPunct w:val="0"/>
              <w:adjustRightInd w:val="0"/>
              <w:snapToGrid w:val="0"/>
              <w:jc w:val="center"/>
              <w:rPr>
                <w:rFonts w:hAnsi="宋体"/>
                <w:sz w:val="24"/>
                <w:szCs w:val="24"/>
              </w:rPr>
            </w:pPr>
            <w:r>
              <w:rPr>
                <w:rFonts w:hint="eastAsia" w:hAnsi="宋体"/>
                <w:sz w:val="24"/>
                <w:szCs w:val="24"/>
              </w:rPr>
              <w:t>药品和化妆品监督管理科</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cantSplit/>
          <w:trHeight w:val="454" w:hRule="atLeast"/>
          <w:jc w:val="center"/>
        </w:trPr>
        <w:tc>
          <w:tcPr>
            <w:tcW w:w="566" w:type="dxa"/>
            <w:vAlign w:val="center"/>
          </w:tcPr>
          <w:p>
            <w:pPr>
              <w:tabs>
                <w:tab w:val="left" w:pos="790"/>
                <w:tab w:val="left" w:pos="1264"/>
              </w:tabs>
              <w:overflowPunct w:val="0"/>
              <w:adjustRightInd w:val="0"/>
              <w:snapToGrid w:val="0"/>
              <w:jc w:val="center"/>
              <w:rPr>
                <w:rFonts w:hAnsi="宋体"/>
                <w:sz w:val="24"/>
                <w:szCs w:val="24"/>
              </w:rPr>
            </w:pPr>
            <w:r>
              <w:rPr>
                <w:rFonts w:hint="eastAsia" w:hAnsi="宋体"/>
                <w:sz w:val="24"/>
                <w:szCs w:val="24"/>
              </w:rPr>
              <w:t>20</w:t>
            </w:r>
          </w:p>
        </w:tc>
        <w:tc>
          <w:tcPr>
            <w:tcW w:w="1134" w:type="dxa"/>
            <w:vAlign w:val="center"/>
          </w:tcPr>
          <w:p>
            <w:pPr>
              <w:tabs>
                <w:tab w:val="left" w:pos="790"/>
                <w:tab w:val="left" w:pos="1264"/>
              </w:tabs>
              <w:overflowPunct w:val="0"/>
              <w:adjustRightInd w:val="0"/>
              <w:snapToGrid w:val="0"/>
              <w:jc w:val="center"/>
              <w:rPr>
                <w:rFonts w:hAnsi="宋体"/>
                <w:sz w:val="24"/>
                <w:szCs w:val="24"/>
              </w:rPr>
            </w:pPr>
            <w:r>
              <w:rPr>
                <w:rFonts w:hint="eastAsia" w:hAnsi="宋体"/>
                <w:sz w:val="24"/>
                <w:szCs w:val="24"/>
              </w:rPr>
              <w:t>无证零售药品</w:t>
            </w:r>
          </w:p>
        </w:tc>
        <w:tc>
          <w:tcPr>
            <w:tcW w:w="1134" w:type="dxa"/>
            <w:vAlign w:val="center"/>
          </w:tcPr>
          <w:p>
            <w:pPr>
              <w:tabs>
                <w:tab w:val="left" w:pos="790"/>
                <w:tab w:val="left" w:pos="1264"/>
              </w:tabs>
              <w:overflowPunct w:val="0"/>
              <w:adjustRightInd w:val="0"/>
              <w:snapToGrid w:val="0"/>
              <w:jc w:val="center"/>
              <w:rPr>
                <w:rFonts w:hAnsi="宋体"/>
                <w:sz w:val="24"/>
                <w:szCs w:val="24"/>
              </w:rPr>
            </w:pPr>
            <w:r>
              <w:rPr>
                <w:rFonts w:hint="eastAsia" w:hAnsi="宋体"/>
                <w:sz w:val="24"/>
                <w:szCs w:val="24"/>
              </w:rPr>
              <w:t>药品零售企业许可证</w:t>
            </w:r>
          </w:p>
        </w:tc>
        <w:tc>
          <w:tcPr>
            <w:tcW w:w="3889" w:type="dxa"/>
            <w:vAlign w:val="center"/>
          </w:tcPr>
          <w:p>
            <w:pPr>
              <w:tabs>
                <w:tab w:val="left" w:pos="790"/>
                <w:tab w:val="left" w:pos="1264"/>
              </w:tabs>
              <w:overflowPunct w:val="0"/>
              <w:adjustRightInd w:val="0"/>
              <w:snapToGrid w:val="0"/>
              <w:spacing w:line="300" w:lineRule="exact"/>
              <w:rPr>
                <w:rFonts w:hAnsi="宋体"/>
                <w:sz w:val="24"/>
                <w:szCs w:val="24"/>
              </w:rPr>
            </w:pPr>
            <w:r>
              <w:rPr>
                <w:rFonts w:hint="eastAsia" w:hAnsi="宋体"/>
                <w:sz w:val="24"/>
                <w:szCs w:val="24"/>
              </w:rPr>
              <w:t>《药品管理法》</w:t>
            </w:r>
            <w:r>
              <w:rPr>
                <w:rFonts w:hAnsi="宋体"/>
                <w:sz w:val="24"/>
                <w:szCs w:val="24"/>
              </w:rPr>
              <w:t>第</w:t>
            </w:r>
            <w:r>
              <w:rPr>
                <w:rFonts w:hint="eastAsia" w:hAnsi="宋体"/>
                <w:sz w:val="24"/>
                <w:szCs w:val="24"/>
              </w:rPr>
              <w:t>十四</w:t>
            </w:r>
            <w:r>
              <w:rPr>
                <w:rFonts w:hAnsi="宋体"/>
                <w:sz w:val="24"/>
                <w:szCs w:val="24"/>
              </w:rPr>
              <w:t>条</w:t>
            </w:r>
          </w:p>
          <w:p>
            <w:pPr>
              <w:tabs>
                <w:tab w:val="left" w:pos="790"/>
                <w:tab w:val="left" w:pos="1264"/>
              </w:tabs>
              <w:overflowPunct w:val="0"/>
              <w:adjustRightInd w:val="0"/>
              <w:snapToGrid w:val="0"/>
              <w:spacing w:line="300" w:lineRule="exact"/>
              <w:rPr>
                <w:rFonts w:hAnsi="宋体"/>
                <w:sz w:val="24"/>
                <w:szCs w:val="24"/>
              </w:rPr>
            </w:pPr>
            <w:r>
              <w:rPr>
                <w:rFonts w:hAnsi="宋体"/>
                <w:sz w:val="24"/>
                <w:szCs w:val="24"/>
              </w:rPr>
              <w:t>开办药品批发企业，须经企业所在地省、自治区、直辖市人民政府药品监督管理部门批准并发给《药品经营许可证》；开办药品零售企业，须经企业所在地县级以上地方药品监督管理部门批准并发给《药品经营许可证》。无《药品经营许可证》的，不得经营药品。</w:t>
            </w:r>
          </w:p>
        </w:tc>
        <w:tc>
          <w:tcPr>
            <w:tcW w:w="3823" w:type="dxa"/>
            <w:vAlign w:val="center"/>
          </w:tcPr>
          <w:p>
            <w:pPr>
              <w:tabs>
                <w:tab w:val="left" w:pos="790"/>
                <w:tab w:val="left" w:pos="1264"/>
              </w:tabs>
              <w:overflowPunct w:val="0"/>
              <w:adjustRightInd w:val="0"/>
              <w:snapToGrid w:val="0"/>
              <w:jc w:val="center"/>
              <w:rPr>
                <w:rFonts w:hAnsi="宋体"/>
                <w:sz w:val="24"/>
                <w:szCs w:val="24"/>
              </w:rPr>
            </w:pPr>
            <w:r>
              <w:rPr>
                <w:rFonts w:hint="eastAsia" w:hAnsi="宋体"/>
                <w:sz w:val="24"/>
                <w:szCs w:val="24"/>
              </w:rPr>
              <w:t>同上</w:t>
            </w:r>
          </w:p>
        </w:tc>
        <w:tc>
          <w:tcPr>
            <w:tcW w:w="2328" w:type="dxa"/>
            <w:vAlign w:val="center"/>
          </w:tcPr>
          <w:p>
            <w:pPr>
              <w:tabs>
                <w:tab w:val="left" w:pos="790"/>
                <w:tab w:val="left" w:pos="1264"/>
              </w:tabs>
              <w:overflowPunct w:val="0"/>
              <w:adjustRightInd w:val="0"/>
              <w:snapToGrid w:val="0"/>
              <w:jc w:val="center"/>
              <w:rPr>
                <w:rFonts w:hAnsi="宋体"/>
                <w:sz w:val="24"/>
                <w:szCs w:val="24"/>
              </w:rPr>
            </w:pPr>
            <w:r>
              <w:rPr>
                <w:rFonts w:hint="eastAsia" w:hAnsi="宋体"/>
                <w:sz w:val="24"/>
                <w:szCs w:val="24"/>
              </w:rPr>
              <w:t>药品和化妆品监督管理科</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cantSplit/>
          <w:trHeight w:val="454" w:hRule="atLeast"/>
          <w:jc w:val="center"/>
        </w:trPr>
        <w:tc>
          <w:tcPr>
            <w:tcW w:w="566" w:type="dxa"/>
            <w:vAlign w:val="center"/>
          </w:tcPr>
          <w:p>
            <w:pPr>
              <w:tabs>
                <w:tab w:val="left" w:pos="790"/>
                <w:tab w:val="left" w:pos="1264"/>
              </w:tabs>
              <w:overflowPunct w:val="0"/>
              <w:adjustRightInd w:val="0"/>
              <w:snapToGrid w:val="0"/>
              <w:jc w:val="center"/>
              <w:rPr>
                <w:rFonts w:hAnsi="宋体"/>
                <w:sz w:val="24"/>
                <w:szCs w:val="24"/>
              </w:rPr>
            </w:pPr>
            <w:r>
              <w:rPr>
                <w:rFonts w:hint="eastAsia" w:hAnsi="宋体"/>
                <w:sz w:val="24"/>
                <w:szCs w:val="24"/>
              </w:rPr>
              <w:t>21</w:t>
            </w:r>
          </w:p>
        </w:tc>
        <w:tc>
          <w:tcPr>
            <w:tcW w:w="1134" w:type="dxa"/>
            <w:vAlign w:val="center"/>
          </w:tcPr>
          <w:p>
            <w:pPr>
              <w:tabs>
                <w:tab w:val="left" w:pos="790"/>
                <w:tab w:val="left" w:pos="1264"/>
              </w:tabs>
              <w:overflowPunct w:val="0"/>
              <w:adjustRightInd w:val="0"/>
              <w:snapToGrid w:val="0"/>
              <w:jc w:val="center"/>
              <w:rPr>
                <w:rFonts w:hAnsi="宋体"/>
                <w:sz w:val="24"/>
                <w:szCs w:val="24"/>
              </w:rPr>
            </w:pPr>
            <w:r>
              <w:rPr>
                <w:rFonts w:hint="eastAsia" w:hAnsi="宋体"/>
                <w:sz w:val="24"/>
                <w:szCs w:val="24"/>
              </w:rPr>
              <w:t>药品生产企业无证生产蛋白同化制剂、肽类激素</w:t>
            </w:r>
          </w:p>
        </w:tc>
        <w:tc>
          <w:tcPr>
            <w:tcW w:w="1134" w:type="dxa"/>
            <w:vAlign w:val="center"/>
          </w:tcPr>
          <w:p>
            <w:pPr>
              <w:tabs>
                <w:tab w:val="left" w:pos="790"/>
                <w:tab w:val="left" w:pos="1264"/>
              </w:tabs>
              <w:overflowPunct w:val="0"/>
              <w:adjustRightInd w:val="0"/>
              <w:snapToGrid w:val="0"/>
              <w:jc w:val="center"/>
              <w:rPr>
                <w:rFonts w:hAnsi="宋体"/>
                <w:sz w:val="24"/>
                <w:szCs w:val="24"/>
              </w:rPr>
            </w:pPr>
            <w:r>
              <w:rPr>
                <w:rFonts w:hint="eastAsia" w:hAnsi="宋体"/>
                <w:sz w:val="24"/>
                <w:szCs w:val="24"/>
              </w:rPr>
              <w:t>药品生产许可证</w:t>
            </w:r>
          </w:p>
        </w:tc>
        <w:tc>
          <w:tcPr>
            <w:tcW w:w="3889" w:type="dxa"/>
            <w:vAlign w:val="center"/>
          </w:tcPr>
          <w:p>
            <w:pPr>
              <w:tabs>
                <w:tab w:val="left" w:pos="790"/>
                <w:tab w:val="left" w:pos="1264"/>
              </w:tabs>
              <w:overflowPunct w:val="0"/>
              <w:adjustRightInd w:val="0"/>
              <w:snapToGrid w:val="0"/>
              <w:rPr>
                <w:rFonts w:hAnsi="宋体"/>
                <w:sz w:val="24"/>
                <w:szCs w:val="24"/>
              </w:rPr>
            </w:pPr>
            <w:r>
              <w:rPr>
                <w:rFonts w:hint="eastAsia" w:hAnsi="宋体"/>
                <w:sz w:val="24"/>
                <w:szCs w:val="24"/>
              </w:rPr>
              <w:t>《反兴奋剂条例》第八条第一款</w:t>
            </w:r>
          </w:p>
          <w:p>
            <w:pPr>
              <w:tabs>
                <w:tab w:val="left" w:pos="790"/>
                <w:tab w:val="left" w:pos="1264"/>
              </w:tabs>
              <w:overflowPunct w:val="0"/>
              <w:adjustRightInd w:val="0"/>
              <w:snapToGrid w:val="0"/>
              <w:rPr>
                <w:rFonts w:hAnsi="宋体"/>
                <w:sz w:val="24"/>
                <w:szCs w:val="24"/>
              </w:rPr>
            </w:pPr>
            <w:r>
              <w:rPr>
                <w:rFonts w:hint="eastAsia" w:hAnsi="宋体"/>
                <w:sz w:val="24"/>
                <w:szCs w:val="24"/>
              </w:rPr>
              <w:t>生产兴奋剂目录所列蛋白同化制剂、肽类激素（以下简称蛋白同化制剂、肽类激素），应当依照《中华人民共和国药品管理法》（以下简称药品管理法）的规定取得《药品生产许可证》、药品批准文号。</w:t>
            </w:r>
          </w:p>
        </w:tc>
        <w:tc>
          <w:tcPr>
            <w:tcW w:w="3823" w:type="dxa"/>
            <w:vAlign w:val="center"/>
          </w:tcPr>
          <w:p>
            <w:pPr>
              <w:tabs>
                <w:tab w:val="left" w:pos="790"/>
                <w:tab w:val="left" w:pos="1264"/>
              </w:tabs>
              <w:overflowPunct w:val="0"/>
              <w:adjustRightInd w:val="0"/>
              <w:snapToGrid w:val="0"/>
              <w:rPr>
                <w:rFonts w:hAnsi="宋体"/>
                <w:sz w:val="24"/>
                <w:szCs w:val="24"/>
              </w:rPr>
            </w:pPr>
            <w:r>
              <w:rPr>
                <w:rFonts w:hint="eastAsia" w:hAnsi="宋体"/>
                <w:sz w:val="24"/>
                <w:szCs w:val="24"/>
              </w:rPr>
              <w:t>《反兴奋剂条例》第三十八条</w:t>
            </w:r>
          </w:p>
          <w:p>
            <w:pPr>
              <w:tabs>
                <w:tab w:val="left" w:pos="790"/>
                <w:tab w:val="left" w:pos="1264"/>
              </w:tabs>
              <w:overflowPunct w:val="0"/>
              <w:adjustRightInd w:val="0"/>
              <w:snapToGrid w:val="0"/>
              <w:rPr>
                <w:rFonts w:hAnsi="宋体"/>
                <w:sz w:val="24"/>
                <w:szCs w:val="24"/>
              </w:rPr>
            </w:pPr>
            <w:r>
              <w:rPr>
                <w:rFonts w:hint="eastAsia" w:hAnsi="宋体"/>
                <w:sz w:val="24"/>
                <w:szCs w:val="24"/>
              </w:rPr>
              <w:t>违反本条例规定，有下列行为之一的，由县级以上食品药品监督管理部门按照国务院食品药品监督管理部门规定的职责分工，没收非法生产、经营的蛋白同化制剂、肽类激素和违法所得，并处违法生产、经营药品货值金额2倍以上5倍以下的罚款；情节严重的，由发证机关吊销《药品生产许可证》、《药品经营许可证》；构成犯罪的，依法追究刑事责任：</w:t>
            </w:r>
          </w:p>
          <w:p>
            <w:pPr>
              <w:tabs>
                <w:tab w:val="left" w:pos="790"/>
                <w:tab w:val="left" w:pos="1264"/>
              </w:tabs>
              <w:overflowPunct w:val="0"/>
              <w:adjustRightInd w:val="0"/>
              <w:snapToGrid w:val="0"/>
              <w:rPr>
                <w:rFonts w:hAnsi="宋体"/>
                <w:sz w:val="24"/>
                <w:szCs w:val="24"/>
              </w:rPr>
            </w:pPr>
            <w:r>
              <w:rPr>
                <w:rFonts w:hint="eastAsia" w:hAnsi="宋体"/>
                <w:sz w:val="24"/>
                <w:szCs w:val="24"/>
              </w:rPr>
              <w:t>（一）生产企业擅自生产蛋白同化制剂、肽类激素，或者未按照本条例规定渠道供应蛋白同化制剂、肽类激素的；</w:t>
            </w:r>
          </w:p>
        </w:tc>
        <w:tc>
          <w:tcPr>
            <w:tcW w:w="2328" w:type="dxa"/>
            <w:vAlign w:val="center"/>
          </w:tcPr>
          <w:p>
            <w:pPr>
              <w:tabs>
                <w:tab w:val="left" w:pos="790"/>
                <w:tab w:val="left" w:pos="1264"/>
              </w:tabs>
              <w:overflowPunct w:val="0"/>
              <w:adjustRightInd w:val="0"/>
              <w:snapToGrid w:val="0"/>
              <w:jc w:val="center"/>
              <w:rPr>
                <w:rFonts w:hAnsi="宋体"/>
                <w:sz w:val="24"/>
                <w:szCs w:val="24"/>
              </w:rPr>
            </w:pPr>
            <w:r>
              <w:rPr>
                <w:rFonts w:hint="eastAsia" w:hAnsi="宋体"/>
                <w:sz w:val="24"/>
                <w:szCs w:val="24"/>
              </w:rPr>
              <w:t>药品和化妆品监督管理科</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cantSplit/>
          <w:trHeight w:val="454" w:hRule="atLeast"/>
          <w:jc w:val="center"/>
        </w:trPr>
        <w:tc>
          <w:tcPr>
            <w:tcW w:w="566" w:type="dxa"/>
            <w:vAlign w:val="center"/>
          </w:tcPr>
          <w:p>
            <w:pPr>
              <w:tabs>
                <w:tab w:val="left" w:pos="790"/>
                <w:tab w:val="left" w:pos="1264"/>
              </w:tabs>
              <w:overflowPunct w:val="0"/>
              <w:adjustRightInd w:val="0"/>
              <w:snapToGrid w:val="0"/>
              <w:jc w:val="center"/>
              <w:rPr>
                <w:rFonts w:hAnsi="宋体"/>
                <w:sz w:val="24"/>
                <w:szCs w:val="24"/>
              </w:rPr>
            </w:pPr>
            <w:r>
              <w:rPr>
                <w:rFonts w:hint="eastAsia" w:hAnsi="宋体"/>
                <w:sz w:val="24"/>
                <w:szCs w:val="24"/>
              </w:rPr>
              <w:t>22</w:t>
            </w:r>
          </w:p>
        </w:tc>
        <w:tc>
          <w:tcPr>
            <w:tcW w:w="1134" w:type="dxa"/>
            <w:vAlign w:val="center"/>
          </w:tcPr>
          <w:p>
            <w:pPr>
              <w:tabs>
                <w:tab w:val="left" w:pos="790"/>
                <w:tab w:val="left" w:pos="1264"/>
              </w:tabs>
              <w:overflowPunct w:val="0"/>
              <w:adjustRightInd w:val="0"/>
              <w:snapToGrid w:val="0"/>
              <w:jc w:val="center"/>
              <w:rPr>
                <w:rFonts w:hAnsi="宋体"/>
                <w:sz w:val="24"/>
                <w:szCs w:val="24"/>
              </w:rPr>
            </w:pPr>
            <w:r>
              <w:rPr>
                <w:rFonts w:hint="eastAsia" w:hAnsi="宋体"/>
                <w:sz w:val="24"/>
                <w:szCs w:val="24"/>
              </w:rPr>
              <w:t>药品经营企业无证经营蛋白同化制剂、肽类激素</w:t>
            </w:r>
          </w:p>
        </w:tc>
        <w:tc>
          <w:tcPr>
            <w:tcW w:w="1134" w:type="dxa"/>
            <w:vAlign w:val="center"/>
          </w:tcPr>
          <w:p>
            <w:pPr>
              <w:tabs>
                <w:tab w:val="left" w:pos="790"/>
                <w:tab w:val="left" w:pos="1264"/>
              </w:tabs>
              <w:overflowPunct w:val="0"/>
              <w:adjustRightInd w:val="0"/>
              <w:snapToGrid w:val="0"/>
              <w:jc w:val="center"/>
              <w:rPr>
                <w:rFonts w:hAnsi="宋体"/>
                <w:sz w:val="24"/>
                <w:szCs w:val="24"/>
              </w:rPr>
            </w:pPr>
            <w:r>
              <w:rPr>
                <w:rFonts w:hint="eastAsia" w:hAnsi="宋体"/>
                <w:sz w:val="24"/>
                <w:szCs w:val="24"/>
              </w:rPr>
              <w:t>药品经营许可证（蛋白同化制剂、肽类激素经营）</w:t>
            </w:r>
          </w:p>
        </w:tc>
        <w:tc>
          <w:tcPr>
            <w:tcW w:w="3889" w:type="dxa"/>
            <w:vAlign w:val="center"/>
          </w:tcPr>
          <w:p>
            <w:pPr>
              <w:tabs>
                <w:tab w:val="left" w:pos="790"/>
                <w:tab w:val="left" w:pos="1264"/>
              </w:tabs>
              <w:overflowPunct w:val="0"/>
              <w:adjustRightInd w:val="0"/>
              <w:snapToGrid w:val="0"/>
              <w:rPr>
                <w:rFonts w:hAnsi="宋体"/>
                <w:sz w:val="24"/>
                <w:szCs w:val="24"/>
              </w:rPr>
            </w:pPr>
            <w:r>
              <w:rPr>
                <w:rFonts w:hint="eastAsia" w:hAnsi="宋体"/>
                <w:sz w:val="24"/>
                <w:szCs w:val="24"/>
              </w:rPr>
              <w:t>《反兴奋剂条例》第九条第一款</w:t>
            </w:r>
          </w:p>
          <w:p>
            <w:pPr>
              <w:tabs>
                <w:tab w:val="left" w:pos="790"/>
                <w:tab w:val="left" w:pos="1264"/>
              </w:tabs>
              <w:overflowPunct w:val="0"/>
              <w:adjustRightInd w:val="0"/>
              <w:snapToGrid w:val="0"/>
              <w:rPr>
                <w:rFonts w:hAnsi="宋体"/>
                <w:sz w:val="24"/>
                <w:szCs w:val="24"/>
              </w:rPr>
            </w:pPr>
            <w:r>
              <w:rPr>
                <w:rFonts w:hint="eastAsia" w:hAnsi="宋体"/>
                <w:sz w:val="24"/>
                <w:szCs w:val="24"/>
              </w:rPr>
              <w:t>依照药品管理法的规定取得《药品经营许可证》的药品批发企业，具备下列条件，并经省、自治区、直辖市人民政府药品监督管理部门批准，方可经营蛋白同化制剂、肽类激素：</w:t>
            </w:r>
          </w:p>
          <w:p>
            <w:pPr>
              <w:tabs>
                <w:tab w:val="left" w:pos="790"/>
                <w:tab w:val="left" w:pos="1264"/>
              </w:tabs>
              <w:overflowPunct w:val="0"/>
              <w:adjustRightInd w:val="0"/>
              <w:snapToGrid w:val="0"/>
              <w:rPr>
                <w:rFonts w:hAnsi="宋体"/>
                <w:sz w:val="24"/>
                <w:szCs w:val="24"/>
              </w:rPr>
            </w:pPr>
            <w:r>
              <w:rPr>
                <w:rFonts w:hint="eastAsia" w:hAnsi="宋体"/>
                <w:sz w:val="24"/>
                <w:szCs w:val="24"/>
              </w:rPr>
              <w:t>（一）有专门的管理人员；</w:t>
            </w:r>
          </w:p>
          <w:p>
            <w:pPr>
              <w:tabs>
                <w:tab w:val="left" w:pos="790"/>
                <w:tab w:val="left" w:pos="1264"/>
              </w:tabs>
              <w:overflowPunct w:val="0"/>
              <w:adjustRightInd w:val="0"/>
              <w:snapToGrid w:val="0"/>
              <w:rPr>
                <w:rFonts w:hAnsi="宋体"/>
                <w:sz w:val="24"/>
                <w:szCs w:val="24"/>
              </w:rPr>
            </w:pPr>
            <w:r>
              <w:rPr>
                <w:rFonts w:hint="eastAsia" w:hAnsi="宋体"/>
                <w:sz w:val="24"/>
                <w:szCs w:val="24"/>
              </w:rPr>
              <w:t>（二）有专储仓库或者专储药柜；</w:t>
            </w:r>
          </w:p>
          <w:p>
            <w:pPr>
              <w:tabs>
                <w:tab w:val="left" w:pos="790"/>
                <w:tab w:val="left" w:pos="1264"/>
              </w:tabs>
              <w:overflowPunct w:val="0"/>
              <w:adjustRightInd w:val="0"/>
              <w:snapToGrid w:val="0"/>
              <w:rPr>
                <w:rFonts w:hAnsi="宋体"/>
                <w:sz w:val="24"/>
                <w:szCs w:val="24"/>
              </w:rPr>
            </w:pPr>
            <w:r>
              <w:rPr>
                <w:rFonts w:hint="eastAsia" w:hAnsi="宋体"/>
                <w:sz w:val="24"/>
                <w:szCs w:val="24"/>
              </w:rPr>
              <w:t>（三）有专门的验收、检查、保管、销售和出入库登记制度；</w:t>
            </w:r>
          </w:p>
          <w:p>
            <w:pPr>
              <w:tabs>
                <w:tab w:val="left" w:pos="790"/>
                <w:tab w:val="left" w:pos="1264"/>
              </w:tabs>
              <w:overflowPunct w:val="0"/>
              <w:adjustRightInd w:val="0"/>
              <w:snapToGrid w:val="0"/>
              <w:rPr>
                <w:rFonts w:hAnsi="宋体"/>
                <w:sz w:val="24"/>
                <w:szCs w:val="24"/>
              </w:rPr>
            </w:pPr>
            <w:r>
              <w:rPr>
                <w:rFonts w:hint="eastAsia" w:hAnsi="宋体"/>
                <w:sz w:val="24"/>
                <w:szCs w:val="24"/>
              </w:rPr>
              <w:t>（四）法律、行政法规规定的其他条件。</w:t>
            </w:r>
          </w:p>
        </w:tc>
        <w:tc>
          <w:tcPr>
            <w:tcW w:w="3823" w:type="dxa"/>
            <w:vAlign w:val="center"/>
          </w:tcPr>
          <w:p>
            <w:pPr>
              <w:tabs>
                <w:tab w:val="left" w:pos="790"/>
                <w:tab w:val="left" w:pos="1264"/>
              </w:tabs>
              <w:overflowPunct w:val="0"/>
              <w:adjustRightInd w:val="0"/>
              <w:snapToGrid w:val="0"/>
              <w:rPr>
                <w:rFonts w:hAnsi="宋体"/>
                <w:sz w:val="24"/>
                <w:szCs w:val="24"/>
              </w:rPr>
            </w:pPr>
            <w:r>
              <w:rPr>
                <w:rFonts w:hint="eastAsia" w:hAnsi="宋体"/>
                <w:sz w:val="24"/>
                <w:szCs w:val="24"/>
              </w:rPr>
              <w:t>《反兴奋剂条例》第三十八条</w:t>
            </w:r>
          </w:p>
          <w:p>
            <w:pPr>
              <w:tabs>
                <w:tab w:val="left" w:pos="790"/>
                <w:tab w:val="left" w:pos="1264"/>
              </w:tabs>
              <w:overflowPunct w:val="0"/>
              <w:adjustRightInd w:val="0"/>
              <w:snapToGrid w:val="0"/>
              <w:rPr>
                <w:rFonts w:hAnsi="宋体"/>
                <w:sz w:val="24"/>
                <w:szCs w:val="24"/>
              </w:rPr>
            </w:pPr>
            <w:r>
              <w:rPr>
                <w:rFonts w:hint="eastAsia" w:hAnsi="宋体"/>
                <w:sz w:val="24"/>
                <w:szCs w:val="24"/>
              </w:rPr>
              <w:t>违反本条例规定，有下列行为之一的，由县级以上食品药品监督管理部门按照国务院食品药品监督管理部门规定的职责分工，没收非法生产、经营的蛋白同化制剂、肽类激素和违法所得，并处违法生产、经营药品货值金额2倍以上5倍以下的罚款；情节严重的，由发证机关吊销《药品生产许可证》、《药品经营许可证》；构成犯罪的，依法追究刑事责任：</w:t>
            </w:r>
          </w:p>
          <w:p>
            <w:pPr>
              <w:tabs>
                <w:tab w:val="left" w:pos="790"/>
                <w:tab w:val="left" w:pos="1264"/>
              </w:tabs>
              <w:overflowPunct w:val="0"/>
              <w:adjustRightInd w:val="0"/>
              <w:snapToGrid w:val="0"/>
              <w:rPr>
                <w:rFonts w:hAnsi="宋体"/>
                <w:sz w:val="24"/>
                <w:szCs w:val="24"/>
              </w:rPr>
            </w:pPr>
            <w:r>
              <w:rPr>
                <w:rFonts w:hint="eastAsia" w:hAnsi="宋体"/>
                <w:sz w:val="24"/>
                <w:szCs w:val="24"/>
              </w:rPr>
              <w:t>（二）药品批发企业擅自经营蛋白同化制剂、肽类激素，或者未按照本条例规定渠道供应蛋白同化制剂、肽类激素的；</w:t>
            </w:r>
          </w:p>
          <w:p>
            <w:pPr>
              <w:tabs>
                <w:tab w:val="left" w:pos="790"/>
                <w:tab w:val="left" w:pos="1264"/>
              </w:tabs>
              <w:overflowPunct w:val="0"/>
              <w:adjustRightInd w:val="0"/>
              <w:snapToGrid w:val="0"/>
              <w:rPr>
                <w:rFonts w:hAnsi="宋体"/>
                <w:sz w:val="24"/>
                <w:szCs w:val="24"/>
              </w:rPr>
            </w:pPr>
            <w:r>
              <w:rPr>
                <w:rFonts w:hint="eastAsia" w:hAnsi="宋体"/>
                <w:sz w:val="24"/>
                <w:szCs w:val="24"/>
              </w:rPr>
              <w:t>（三）药品零售企业擅自经营蛋白同化制剂、肽类激素的。</w:t>
            </w:r>
          </w:p>
        </w:tc>
        <w:tc>
          <w:tcPr>
            <w:tcW w:w="2328" w:type="dxa"/>
            <w:vAlign w:val="center"/>
          </w:tcPr>
          <w:p>
            <w:pPr>
              <w:tabs>
                <w:tab w:val="left" w:pos="790"/>
                <w:tab w:val="left" w:pos="1264"/>
              </w:tabs>
              <w:overflowPunct w:val="0"/>
              <w:adjustRightInd w:val="0"/>
              <w:snapToGrid w:val="0"/>
              <w:jc w:val="center"/>
              <w:rPr>
                <w:rFonts w:hAnsi="宋体"/>
                <w:sz w:val="24"/>
                <w:szCs w:val="24"/>
              </w:rPr>
            </w:pPr>
            <w:r>
              <w:rPr>
                <w:rFonts w:hint="eastAsia" w:hAnsi="宋体"/>
                <w:sz w:val="24"/>
                <w:szCs w:val="24"/>
              </w:rPr>
              <w:t>药品和化妆品监督管理科</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cantSplit/>
          <w:trHeight w:val="7008" w:hRule="atLeast"/>
          <w:jc w:val="center"/>
        </w:trPr>
        <w:tc>
          <w:tcPr>
            <w:tcW w:w="566" w:type="dxa"/>
            <w:vAlign w:val="center"/>
          </w:tcPr>
          <w:p>
            <w:pPr>
              <w:tabs>
                <w:tab w:val="left" w:pos="790"/>
                <w:tab w:val="left" w:pos="1264"/>
              </w:tabs>
              <w:overflowPunct w:val="0"/>
              <w:adjustRightInd w:val="0"/>
              <w:snapToGrid w:val="0"/>
              <w:jc w:val="center"/>
              <w:rPr>
                <w:rFonts w:hAnsi="宋体"/>
                <w:sz w:val="24"/>
                <w:szCs w:val="24"/>
              </w:rPr>
            </w:pPr>
            <w:r>
              <w:rPr>
                <w:rFonts w:hint="eastAsia" w:hAnsi="宋体"/>
                <w:sz w:val="24"/>
                <w:szCs w:val="24"/>
              </w:rPr>
              <w:t>23</w:t>
            </w:r>
          </w:p>
        </w:tc>
        <w:tc>
          <w:tcPr>
            <w:tcW w:w="1134" w:type="dxa"/>
            <w:vAlign w:val="center"/>
          </w:tcPr>
          <w:p>
            <w:pPr>
              <w:tabs>
                <w:tab w:val="left" w:pos="790"/>
                <w:tab w:val="left" w:pos="1264"/>
              </w:tabs>
              <w:overflowPunct w:val="0"/>
              <w:adjustRightInd w:val="0"/>
              <w:snapToGrid w:val="0"/>
              <w:jc w:val="center"/>
              <w:rPr>
                <w:rFonts w:hAnsi="宋体"/>
                <w:sz w:val="24"/>
                <w:szCs w:val="24"/>
              </w:rPr>
            </w:pPr>
            <w:r>
              <w:rPr>
                <w:rFonts w:hint="eastAsia" w:hAnsi="宋体"/>
                <w:sz w:val="24"/>
                <w:szCs w:val="24"/>
              </w:rPr>
              <w:t>医疗机构无证配制制剂</w:t>
            </w:r>
          </w:p>
        </w:tc>
        <w:tc>
          <w:tcPr>
            <w:tcW w:w="1134" w:type="dxa"/>
            <w:vAlign w:val="center"/>
          </w:tcPr>
          <w:p>
            <w:pPr>
              <w:tabs>
                <w:tab w:val="left" w:pos="790"/>
                <w:tab w:val="left" w:pos="1264"/>
              </w:tabs>
              <w:overflowPunct w:val="0"/>
              <w:adjustRightInd w:val="0"/>
              <w:snapToGrid w:val="0"/>
              <w:jc w:val="center"/>
              <w:rPr>
                <w:rFonts w:hAnsi="宋体"/>
                <w:sz w:val="24"/>
                <w:szCs w:val="24"/>
              </w:rPr>
            </w:pPr>
            <w:r>
              <w:rPr>
                <w:rFonts w:hint="eastAsia" w:hAnsi="宋体"/>
                <w:sz w:val="24"/>
                <w:szCs w:val="24"/>
              </w:rPr>
              <w:t>医疗机构制剂许可证</w:t>
            </w:r>
          </w:p>
        </w:tc>
        <w:tc>
          <w:tcPr>
            <w:tcW w:w="3889" w:type="dxa"/>
            <w:vAlign w:val="center"/>
          </w:tcPr>
          <w:p>
            <w:pPr>
              <w:tabs>
                <w:tab w:val="left" w:pos="790"/>
                <w:tab w:val="left" w:pos="1264"/>
              </w:tabs>
              <w:overflowPunct w:val="0"/>
              <w:adjustRightInd w:val="0"/>
              <w:snapToGrid w:val="0"/>
              <w:rPr>
                <w:rFonts w:hAnsi="宋体"/>
                <w:sz w:val="24"/>
                <w:szCs w:val="24"/>
              </w:rPr>
            </w:pPr>
            <w:r>
              <w:rPr>
                <w:rFonts w:hint="eastAsia" w:hAnsi="宋体"/>
                <w:sz w:val="24"/>
                <w:szCs w:val="24"/>
              </w:rPr>
              <w:t>《药品管理法》</w:t>
            </w:r>
            <w:r>
              <w:rPr>
                <w:rFonts w:hAnsi="宋体"/>
                <w:sz w:val="24"/>
                <w:szCs w:val="24"/>
              </w:rPr>
              <w:t>第二十三条</w:t>
            </w:r>
          </w:p>
          <w:p>
            <w:pPr>
              <w:tabs>
                <w:tab w:val="left" w:pos="790"/>
                <w:tab w:val="left" w:pos="1264"/>
              </w:tabs>
              <w:overflowPunct w:val="0"/>
              <w:adjustRightInd w:val="0"/>
              <w:snapToGrid w:val="0"/>
              <w:rPr>
                <w:rFonts w:hAnsi="宋体"/>
                <w:sz w:val="24"/>
                <w:szCs w:val="24"/>
              </w:rPr>
            </w:pPr>
            <w:r>
              <w:rPr>
                <w:rFonts w:hAnsi="宋体"/>
                <w:sz w:val="24"/>
                <w:szCs w:val="24"/>
              </w:rPr>
              <w:t>医疗机构配制制剂，须经所在地省、自治区、直辖市人民政府卫生行政部门审核同意，由省、自治区、直辖市人民政府药品监督管理部门批准，发给《医疗机构制剂许可证》。无《医疗机构制剂许可证》的，不得配制制剂。</w:t>
            </w:r>
          </w:p>
          <w:p>
            <w:pPr>
              <w:tabs>
                <w:tab w:val="left" w:pos="790"/>
                <w:tab w:val="left" w:pos="1264"/>
              </w:tabs>
              <w:overflowPunct w:val="0"/>
              <w:adjustRightInd w:val="0"/>
              <w:snapToGrid w:val="0"/>
              <w:rPr>
                <w:rFonts w:hAnsi="宋体"/>
                <w:sz w:val="24"/>
                <w:szCs w:val="24"/>
              </w:rPr>
            </w:pPr>
            <w:r>
              <w:rPr>
                <w:rFonts w:hint="eastAsia" w:hAnsi="宋体"/>
                <w:sz w:val="24"/>
                <w:szCs w:val="24"/>
              </w:rPr>
              <w:t>《医疗机构制剂注册管理办法》第五条</w:t>
            </w:r>
          </w:p>
          <w:p>
            <w:pPr>
              <w:tabs>
                <w:tab w:val="left" w:pos="790"/>
                <w:tab w:val="left" w:pos="1264"/>
              </w:tabs>
              <w:overflowPunct w:val="0"/>
              <w:adjustRightInd w:val="0"/>
              <w:snapToGrid w:val="0"/>
              <w:rPr>
                <w:rFonts w:hAnsi="宋体"/>
                <w:sz w:val="24"/>
                <w:szCs w:val="24"/>
              </w:rPr>
            </w:pPr>
            <w:r>
              <w:rPr>
                <w:rFonts w:hAnsi="宋体"/>
                <w:sz w:val="24"/>
                <w:szCs w:val="24"/>
              </w:rPr>
              <w:t>医疗机构制剂的申请人，应当是持有《医疗机构执业许可证》并取得《医疗机构制剂许可证》的医疗机构。</w:t>
            </w:r>
          </w:p>
        </w:tc>
        <w:tc>
          <w:tcPr>
            <w:tcW w:w="3823" w:type="dxa"/>
            <w:vAlign w:val="center"/>
          </w:tcPr>
          <w:p>
            <w:pPr>
              <w:tabs>
                <w:tab w:val="left" w:pos="790"/>
                <w:tab w:val="left" w:pos="1264"/>
              </w:tabs>
              <w:overflowPunct w:val="0"/>
              <w:adjustRightInd w:val="0"/>
              <w:snapToGrid w:val="0"/>
              <w:rPr>
                <w:rFonts w:hAnsi="宋体"/>
                <w:sz w:val="24"/>
                <w:szCs w:val="24"/>
              </w:rPr>
            </w:pPr>
            <w:r>
              <w:rPr>
                <w:rFonts w:hint="eastAsia" w:hAnsi="宋体"/>
                <w:sz w:val="24"/>
                <w:szCs w:val="24"/>
              </w:rPr>
              <w:t>《药品管理法》</w:t>
            </w:r>
            <w:r>
              <w:rPr>
                <w:rFonts w:hAnsi="宋体"/>
                <w:sz w:val="24"/>
                <w:szCs w:val="24"/>
              </w:rPr>
              <w:t>第</w:t>
            </w:r>
            <w:r>
              <w:rPr>
                <w:rFonts w:hint="eastAsia" w:hAnsi="宋体"/>
                <w:sz w:val="24"/>
                <w:szCs w:val="24"/>
              </w:rPr>
              <w:t>七十二</w:t>
            </w:r>
            <w:r>
              <w:rPr>
                <w:rFonts w:hAnsi="宋体"/>
                <w:sz w:val="24"/>
                <w:szCs w:val="24"/>
              </w:rPr>
              <w:t>条</w:t>
            </w:r>
            <w:r>
              <w:rPr>
                <w:rFonts w:hint="eastAsia" w:hAnsi="宋体"/>
                <w:sz w:val="24"/>
                <w:szCs w:val="24"/>
              </w:rPr>
              <w:t>　</w:t>
            </w:r>
            <w:r>
              <w:rPr>
                <w:rFonts w:hAnsi="宋体"/>
                <w:sz w:val="24"/>
                <w:szCs w:val="24"/>
              </w:rPr>
              <w:t>未取得《药品生产许可证》、《药品经营许可证》或者《医疗机构制剂许可证》生产药品、经营药品的，依法予以取缔，没收违法生产、销售的药品和违法所得，并处违法生产、销售的药品（包括已售出的和未售出的药品，下同）货值金额二倍以上五倍以下的罚款；构成犯罪的，依法追究刑事责任。</w:t>
            </w:r>
          </w:p>
          <w:p>
            <w:pPr>
              <w:tabs>
                <w:tab w:val="left" w:pos="790"/>
                <w:tab w:val="left" w:pos="1264"/>
              </w:tabs>
              <w:overflowPunct w:val="0"/>
              <w:adjustRightInd w:val="0"/>
              <w:snapToGrid w:val="0"/>
              <w:rPr>
                <w:rFonts w:hAnsi="宋体"/>
                <w:sz w:val="24"/>
                <w:szCs w:val="24"/>
              </w:rPr>
            </w:pPr>
            <w:r>
              <w:rPr>
                <w:rFonts w:hint="eastAsia" w:hAnsi="宋体"/>
                <w:sz w:val="24"/>
                <w:szCs w:val="24"/>
              </w:rPr>
              <w:t>《药品管理法》第八十七条</w:t>
            </w:r>
          </w:p>
          <w:p>
            <w:pPr>
              <w:tabs>
                <w:tab w:val="left" w:pos="790"/>
                <w:tab w:val="left" w:pos="1264"/>
              </w:tabs>
              <w:overflowPunct w:val="0"/>
              <w:adjustRightInd w:val="0"/>
              <w:snapToGrid w:val="0"/>
              <w:rPr>
                <w:rFonts w:hAnsi="宋体"/>
                <w:sz w:val="24"/>
                <w:szCs w:val="24"/>
              </w:rPr>
            </w:pPr>
            <w:r>
              <w:rPr>
                <w:rFonts w:hint="eastAsia" w:hAnsi="宋体"/>
                <w:sz w:val="24"/>
                <w:szCs w:val="24"/>
              </w:rPr>
              <w:t>本法第七十二条至第八十六条规定的行政处罚，由县级以上药品监督管理部门按照国务院药品监督管理部门规定的职责分工决定；吊销《药品生产许可证》、《药品经营许可证》、《医疗机构制剂许可证》、医疗机构执业许可证书或者撤销药品批准证明文件的，由原发证、批准的部门决定。</w:t>
            </w:r>
          </w:p>
        </w:tc>
        <w:tc>
          <w:tcPr>
            <w:tcW w:w="2328" w:type="dxa"/>
            <w:vAlign w:val="center"/>
          </w:tcPr>
          <w:p>
            <w:pPr>
              <w:tabs>
                <w:tab w:val="left" w:pos="790"/>
                <w:tab w:val="left" w:pos="1264"/>
              </w:tabs>
              <w:overflowPunct w:val="0"/>
              <w:adjustRightInd w:val="0"/>
              <w:snapToGrid w:val="0"/>
              <w:jc w:val="center"/>
              <w:rPr>
                <w:rFonts w:hAnsi="宋体"/>
                <w:sz w:val="24"/>
                <w:szCs w:val="24"/>
              </w:rPr>
            </w:pPr>
            <w:r>
              <w:rPr>
                <w:rFonts w:hint="eastAsia" w:hAnsi="宋体"/>
                <w:sz w:val="24"/>
                <w:szCs w:val="24"/>
              </w:rPr>
              <w:t>药品和化妆品监督管理科</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cantSplit/>
          <w:trHeight w:val="3890" w:hRule="atLeast"/>
          <w:jc w:val="center"/>
        </w:trPr>
        <w:tc>
          <w:tcPr>
            <w:tcW w:w="566" w:type="dxa"/>
            <w:vAlign w:val="center"/>
          </w:tcPr>
          <w:p>
            <w:pPr>
              <w:tabs>
                <w:tab w:val="left" w:pos="790"/>
                <w:tab w:val="left" w:pos="1264"/>
              </w:tabs>
              <w:overflowPunct w:val="0"/>
              <w:adjustRightInd w:val="0"/>
              <w:snapToGrid w:val="0"/>
              <w:jc w:val="center"/>
              <w:rPr>
                <w:rFonts w:hAnsi="宋体"/>
                <w:sz w:val="24"/>
                <w:szCs w:val="24"/>
              </w:rPr>
            </w:pPr>
            <w:r>
              <w:rPr>
                <w:rFonts w:hint="eastAsia" w:hAnsi="宋体"/>
                <w:sz w:val="24"/>
                <w:szCs w:val="24"/>
              </w:rPr>
              <w:t>24</w:t>
            </w:r>
          </w:p>
        </w:tc>
        <w:tc>
          <w:tcPr>
            <w:tcW w:w="1134" w:type="dxa"/>
            <w:vAlign w:val="center"/>
          </w:tcPr>
          <w:p>
            <w:pPr>
              <w:tabs>
                <w:tab w:val="left" w:pos="790"/>
                <w:tab w:val="left" w:pos="1264"/>
              </w:tabs>
              <w:overflowPunct w:val="0"/>
              <w:adjustRightInd w:val="0"/>
              <w:snapToGrid w:val="0"/>
              <w:jc w:val="center"/>
              <w:rPr>
                <w:rFonts w:hAnsi="宋体"/>
                <w:sz w:val="24"/>
                <w:szCs w:val="24"/>
              </w:rPr>
            </w:pPr>
            <w:r>
              <w:rPr>
                <w:rFonts w:hAnsi="宋体"/>
                <w:sz w:val="24"/>
                <w:szCs w:val="24"/>
              </w:rPr>
              <w:t>未经许可从事第二类、第三类医疗器械生产活动</w:t>
            </w:r>
          </w:p>
        </w:tc>
        <w:tc>
          <w:tcPr>
            <w:tcW w:w="1134" w:type="dxa"/>
            <w:vAlign w:val="center"/>
          </w:tcPr>
          <w:p>
            <w:pPr>
              <w:tabs>
                <w:tab w:val="left" w:pos="790"/>
                <w:tab w:val="left" w:pos="1264"/>
              </w:tabs>
              <w:overflowPunct w:val="0"/>
              <w:adjustRightInd w:val="0"/>
              <w:snapToGrid w:val="0"/>
              <w:jc w:val="center"/>
              <w:rPr>
                <w:rFonts w:hAnsi="宋体"/>
                <w:sz w:val="24"/>
                <w:szCs w:val="24"/>
              </w:rPr>
            </w:pPr>
            <w:r>
              <w:rPr>
                <w:rFonts w:hint="eastAsia" w:hAnsi="宋体"/>
                <w:sz w:val="24"/>
                <w:szCs w:val="24"/>
              </w:rPr>
              <w:t>第二、三类医疗器械生产许可证</w:t>
            </w:r>
          </w:p>
        </w:tc>
        <w:tc>
          <w:tcPr>
            <w:tcW w:w="3889" w:type="dxa"/>
            <w:vAlign w:val="center"/>
          </w:tcPr>
          <w:p>
            <w:pPr>
              <w:tabs>
                <w:tab w:val="left" w:pos="790"/>
                <w:tab w:val="left" w:pos="1264"/>
              </w:tabs>
              <w:overflowPunct w:val="0"/>
              <w:adjustRightInd w:val="0"/>
              <w:snapToGrid w:val="0"/>
              <w:rPr>
                <w:rFonts w:hAnsi="宋体"/>
                <w:sz w:val="24"/>
                <w:szCs w:val="24"/>
              </w:rPr>
            </w:pPr>
            <w:r>
              <w:rPr>
                <w:rFonts w:hint="eastAsia" w:hAnsi="宋体"/>
                <w:sz w:val="24"/>
                <w:szCs w:val="24"/>
              </w:rPr>
              <w:t>《</w:t>
            </w:r>
            <w:r>
              <w:rPr>
                <w:rFonts w:hAnsi="宋体"/>
                <w:sz w:val="24"/>
                <w:szCs w:val="24"/>
              </w:rPr>
              <w:t>医疗器械监督管理条例</w:t>
            </w:r>
            <w:r>
              <w:rPr>
                <w:rFonts w:hint="eastAsia" w:hAnsi="宋体"/>
                <w:sz w:val="24"/>
                <w:szCs w:val="24"/>
              </w:rPr>
              <w:t>》</w:t>
            </w:r>
            <w:r>
              <w:rPr>
                <w:rFonts w:hAnsi="宋体"/>
                <w:sz w:val="24"/>
                <w:szCs w:val="24"/>
              </w:rPr>
              <w:t>第</w:t>
            </w:r>
            <w:r>
              <w:rPr>
                <w:rFonts w:hint="eastAsia" w:hAnsi="宋体"/>
                <w:sz w:val="24"/>
                <w:szCs w:val="24"/>
              </w:rPr>
              <w:t>二十二</w:t>
            </w:r>
            <w:r>
              <w:rPr>
                <w:rFonts w:hAnsi="宋体"/>
                <w:sz w:val="24"/>
                <w:szCs w:val="24"/>
              </w:rPr>
              <w:t>条</w:t>
            </w:r>
          </w:p>
          <w:p>
            <w:pPr>
              <w:tabs>
                <w:tab w:val="left" w:pos="790"/>
                <w:tab w:val="left" w:pos="1264"/>
              </w:tabs>
              <w:overflowPunct w:val="0"/>
              <w:adjustRightInd w:val="0"/>
              <w:snapToGrid w:val="0"/>
              <w:rPr>
                <w:rFonts w:hAnsi="宋体"/>
                <w:sz w:val="24"/>
                <w:szCs w:val="24"/>
              </w:rPr>
            </w:pPr>
            <w:r>
              <w:rPr>
                <w:rFonts w:hAnsi="宋体"/>
                <w:sz w:val="24"/>
                <w:szCs w:val="24"/>
              </w:rPr>
              <w:t>从事第二类、第三类医疗器械生产的，生产企业应当向所在地省、自治区、直辖市人民政府食品药品监督管理部门申请生产许可并提交其符合本条例第二十条规定条件的证明资料以及所生产医疗器械的注册证。</w:t>
            </w:r>
          </w:p>
        </w:tc>
        <w:tc>
          <w:tcPr>
            <w:tcW w:w="3823" w:type="dxa"/>
            <w:vAlign w:val="center"/>
          </w:tcPr>
          <w:p>
            <w:pPr>
              <w:tabs>
                <w:tab w:val="left" w:pos="790"/>
                <w:tab w:val="left" w:pos="1264"/>
              </w:tabs>
              <w:overflowPunct w:val="0"/>
              <w:adjustRightInd w:val="0"/>
              <w:snapToGrid w:val="0"/>
              <w:rPr>
                <w:rFonts w:hAnsi="宋体"/>
                <w:sz w:val="24"/>
                <w:szCs w:val="24"/>
              </w:rPr>
            </w:pPr>
            <w:r>
              <w:rPr>
                <w:rFonts w:hint="eastAsia" w:hAnsi="宋体"/>
                <w:sz w:val="24"/>
                <w:szCs w:val="24"/>
              </w:rPr>
              <w:t>《</w:t>
            </w:r>
            <w:r>
              <w:rPr>
                <w:rFonts w:hAnsi="宋体"/>
                <w:sz w:val="24"/>
                <w:szCs w:val="24"/>
              </w:rPr>
              <w:t>医疗器械监督管理条例</w:t>
            </w:r>
            <w:r>
              <w:rPr>
                <w:rFonts w:hint="eastAsia" w:hAnsi="宋体"/>
                <w:sz w:val="24"/>
                <w:szCs w:val="24"/>
              </w:rPr>
              <w:t>》</w:t>
            </w:r>
            <w:r>
              <w:rPr>
                <w:rFonts w:hAnsi="宋体"/>
                <w:sz w:val="24"/>
                <w:szCs w:val="24"/>
              </w:rPr>
              <w:t>第六十三条</w:t>
            </w:r>
          </w:p>
          <w:p>
            <w:pPr>
              <w:tabs>
                <w:tab w:val="left" w:pos="790"/>
                <w:tab w:val="left" w:pos="1264"/>
              </w:tabs>
              <w:overflowPunct w:val="0"/>
              <w:adjustRightInd w:val="0"/>
              <w:snapToGrid w:val="0"/>
              <w:spacing w:line="260" w:lineRule="exact"/>
              <w:rPr>
                <w:rFonts w:hAnsi="宋体"/>
                <w:sz w:val="24"/>
                <w:szCs w:val="24"/>
              </w:rPr>
            </w:pPr>
            <w:r>
              <w:rPr>
                <w:rFonts w:hAnsi="宋体"/>
                <w:sz w:val="24"/>
                <w:szCs w:val="24"/>
              </w:rPr>
              <w:t>有下列情形之一的，由县级以上人民政府食品药品监督管理部门没收违法所得、违法生产经营的医疗器械和用于违法生产经营的工具、设备、原材料等物品；违法生产经营的医疗器械货值金额不足1万元的，并处5万元以上10万元以下罚款；货值金额1万元以上的，并处货值金额10倍以上20倍以下罚款；情节严重的，5年内不受理相关责任人及企业提出的医疗器械许可申请：</w:t>
            </w:r>
          </w:p>
          <w:p>
            <w:pPr>
              <w:tabs>
                <w:tab w:val="left" w:pos="790"/>
                <w:tab w:val="left" w:pos="1264"/>
              </w:tabs>
              <w:overflowPunct w:val="0"/>
              <w:adjustRightInd w:val="0"/>
              <w:snapToGrid w:val="0"/>
              <w:spacing w:line="260" w:lineRule="exact"/>
              <w:rPr>
                <w:rFonts w:hAnsi="宋体"/>
                <w:sz w:val="24"/>
                <w:szCs w:val="24"/>
              </w:rPr>
            </w:pPr>
            <w:r>
              <w:rPr>
                <w:rFonts w:hAnsi="宋体"/>
                <w:sz w:val="24"/>
                <w:szCs w:val="24"/>
              </w:rPr>
              <w:t>（二）未经许可从事第二类、第三类医疗器械生产活动的；</w:t>
            </w:r>
          </w:p>
        </w:tc>
        <w:tc>
          <w:tcPr>
            <w:tcW w:w="2328" w:type="dxa"/>
            <w:vAlign w:val="center"/>
          </w:tcPr>
          <w:p>
            <w:pPr>
              <w:tabs>
                <w:tab w:val="left" w:pos="790"/>
                <w:tab w:val="left" w:pos="1264"/>
              </w:tabs>
              <w:overflowPunct w:val="0"/>
              <w:adjustRightInd w:val="0"/>
              <w:snapToGrid w:val="0"/>
              <w:jc w:val="center"/>
              <w:rPr>
                <w:rFonts w:hAnsi="宋体"/>
                <w:sz w:val="24"/>
                <w:szCs w:val="24"/>
              </w:rPr>
            </w:pPr>
            <w:r>
              <w:rPr>
                <w:rFonts w:hAnsi="宋体"/>
                <w:sz w:val="24"/>
                <w:szCs w:val="24"/>
              </w:rPr>
              <w:t>医疗器械监督管理科</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cantSplit/>
          <w:trHeight w:val="2116" w:hRule="atLeast"/>
          <w:jc w:val="center"/>
        </w:trPr>
        <w:tc>
          <w:tcPr>
            <w:tcW w:w="566" w:type="dxa"/>
            <w:vAlign w:val="center"/>
          </w:tcPr>
          <w:p>
            <w:pPr>
              <w:tabs>
                <w:tab w:val="left" w:pos="790"/>
                <w:tab w:val="left" w:pos="1264"/>
              </w:tabs>
              <w:overflowPunct w:val="0"/>
              <w:adjustRightInd w:val="0"/>
              <w:snapToGrid w:val="0"/>
              <w:jc w:val="center"/>
              <w:rPr>
                <w:rFonts w:hAnsi="宋体"/>
                <w:sz w:val="24"/>
                <w:szCs w:val="24"/>
              </w:rPr>
            </w:pPr>
            <w:r>
              <w:rPr>
                <w:rFonts w:hint="eastAsia" w:hAnsi="宋体"/>
                <w:sz w:val="24"/>
                <w:szCs w:val="24"/>
              </w:rPr>
              <w:t>25</w:t>
            </w:r>
          </w:p>
        </w:tc>
        <w:tc>
          <w:tcPr>
            <w:tcW w:w="1134" w:type="dxa"/>
            <w:vAlign w:val="center"/>
          </w:tcPr>
          <w:p>
            <w:pPr>
              <w:tabs>
                <w:tab w:val="left" w:pos="790"/>
                <w:tab w:val="left" w:pos="1264"/>
              </w:tabs>
              <w:overflowPunct w:val="0"/>
              <w:adjustRightInd w:val="0"/>
              <w:snapToGrid w:val="0"/>
              <w:jc w:val="center"/>
              <w:rPr>
                <w:rFonts w:hAnsi="宋体"/>
                <w:sz w:val="24"/>
                <w:szCs w:val="24"/>
              </w:rPr>
            </w:pPr>
            <w:r>
              <w:rPr>
                <w:rFonts w:hint="eastAsia" w:hAnsi="宋体"/>
                <w:sz w:val="24"/>
                <w:szCs w:val="24"/>
              </w:rPr>
              <w:t>未经备案</w:t>
            </w:r>
            <w:r>
              <w:rPr>
                <w:rFonts w:hAnsi="宋体"/>
                <w:sz w:val="24"/>
                <w:szCs w:val="24"/>
              </w:rPr>
              <w:t>从事第一类医疗器械生产</w:t>
            </w:r>
          </w:p>
        </w:tc>
        <w:tc>
          <w:tcPr>
            <w:tcW w:w="1134" w:type="dxa"/>
            <w:vAlign w:val="center"/>
          </w:tcPr>
          <w:p>
            <w:pPr>
              <w:tabs>
                <w:tab w:val="left" w:pos="790"/>
                <w:tab w:val="left" w:pos="1264"/>
              </w:tabs>
              <w:overflowPunct w:val="0"/>
              <w:adjustRightInd w:val="0"/>
              <w:snapToGrid w:val="0"/>
              <w:jc w:val="center"/>
              <w:rPr>
                <w:rFonts w:hAnsi="宋体"/>
                <w:sz w:val="24"/>
                <w:szCs w:val="24"/>
              </w:rPr>
            </w:pPr>
            <w:r>
              <w:rPr>
                <w:rFonts w:hint="eastAsia" w:hAnsi="宋体"/>
                <w:sz w:val="24"/>
                <w:szCs w:val="24"/>
              </w:rPr>
              <w:t>第一类医疗器械生产备案凭证</w:t>
            </w:r>
          </w:p>
        </w:tc>
        <w:tc>
          <w:tcPr>
            <w:tcW w:w="3889" w:type="dxa"/>
            <w:vAlign w:val="center"/>
          </w:tcPr>
          <w:p>
            <w:pPr>
              <w:tabs>
                <w:tab w:val="left" w:pos="790"/>
                <w:tab w:val="left" w:pos="1264"/>
              </w:tabs>
              <w:overflowPunct w:val="0"/>
              <w:adjustRightInd w:val="0"/>
              <w:snapToGrid w:val="0"/>
              <w:rPr>
                <w:rFonts w:hAnsi="宋体"/>
                <w:sz w:val="24"/>
                <w:szCs w:val="24"/>
              </w:rPr>
            </w:pPr>
            <w:r>
              <w:rPr>
                <w:rFonts w:hint="eastAsia" w:hAnsi="宋体"/>
                <w:sz w:val="24"/>
                <w:szCs w:val="24"/>
              </w:rPr>
              <w:t>《</w:t>
            </w:r>
            <w:r>
              <w:rPr>
                <w:rFonts w:hAnsi="宋体"/>
                <w:sz w:val="24"/>
                <w:szCs w:val="24"/>
              </w:rPr>
              <w:t>医疗器械监督管理条例</w:t>
            </w:r>
            <w:r>
              <w:rPr>
                <w:rFonts w:hint="eastAsia" w:hAnsi="宋体"/>
                <w:sz w:val="24"/>
                <w:szCs w:val="24"/>
              </w:rPr>
              <w:t>》</w:t>
            </w:r>
            <w:r>
              <w:rPr>
                <w:rFonts w:hAnsi="宋体"/>
                <w:sz w:val="24"/>
                <w:szCs w:val="24"/>
              </w:rPr>
              <w:t>第二十一条</w:t>
            </w:r>
          </w:p>
          <w:p>
            <w:pPr>
              <w:tabs>
                <w:tab w:val="left" w:pos="790"/>
                <w:tab w:val="left" w:pos="1264"/>
              </w:tabs>
              <w:overflowPunct w:val="0"/>
              <w:adjustRightInd w:val="0"/>
              <w:snapToGrid w:val="0"/>
              <w:rPr>
                <w:rFonts w:hAnsi="宋体"/>
                <w:sz w:val="24"/>
                <w:szCs w:val="24"/>
              </w:rPr>
            </w:pPr>
            <w:r>
              <w:rPr>
                <w:rFonts w:hAnsi="宋体"/>
                <w:sz w:val="24"/>
                <w:szCs w:val="24"/>
              </w:rPr>
              <w:t>从事第一类医疗器械生产的，由生产企业向所在地设区的市级人民政府食品药品监督管理部门备案并提交其符合本条例第二十条规定条件的证明资料。</w:t>
            </w:r>
          </w:p>
        </w:tc>
        <w:tc>
          <w:tcPr>
            <w:tcW w:w="3823" w:type="dxa"/>
            <w:vAlign w:val="center"/>
          </w:tcPr>
          <w:p>
            <w:pPr>
              <w:tabs>
                <w:tab w:val="left" w:pos="790"/>
                <w:tab w:val="left" w:pos="1264"/>
              </w:tabs>
              <w:overflowPunct w:val="0"/>
              <w:adjustRightInd w:val="0"/>
              <w:snapToGrid w:val="0"/>
              <w:rPr>
                <w:rFonts w:hAnsi="宋体"/>
                <w:sz w:val="24"/>
                <w:szCs w:val="24"/>
              </w:rPr>
            </w:pPr>
            <w:r>
              <w:rPr>
                <w:rFonts w:hint="eastAsia" w:hAnsi="宋体"/>
                <w:sz w:val="24"/>
                <w:szCs w:val="24"/>
              </w:rPr>
              <w:t>《</w:t>
            </w:r>
            <w:r>
              <w:rPr>
                <w:rFonts w:hAnsi="宋体"/>
                <w:sz w:val="24"/>
                <w:szCs w:val="24"/>
              </w:rPr>
              <w:t>医疗器械监督管理条例</w:t>
            </w:r>
            <w:r>
              <w:rPr>
                <w:rFonts w:hint="eastAsia" w:hAnsi="宋体"/>
                <w:sz w:val="24"/>
                <w:szCs w:val="24"/>
              </w:rPr>
              <w:t>》</w:t>
            </w:r>
            <w:r>
              <w:rPr>
                <w:rFonts w:hAnsi="宋体"/>
                <w:sz w:val="24"/>
                <w:szCs w:val="24"/>
              </w:rPr>
              <w:t>第六十五条</w:t>
            </w:r>
            <w:r>
              <w:rPr>
                <w:rFonts w:hint="eastAsia" w:hAnsi="宋体"/>
                <w:sz w:val="24"/>
                <w:szCs w:val="24"/>
              </w:rPr>
              <w:t>第一款</w:t>
            </w:r>
          </w:p>
          <w:p>
            <w:pPr>
              <w:tabs>
                <w:tab w:val="left" w:pos="790"/>
                <w:tab w:val="left" w:pos="1264"/>
              </w:tabs>
              <w:overflowPunct w:val="0"/>
              <w:adjustRightInd w:val="0"/>
              <w:snapToGrid w:val="0"/>
              <w:rPr>
                <w:rFonts w:hAnsi="宋体"/>
                <w:sz w:val="24"/>
                <w:szCs w:val="24"/>
              </w:rPr>
            </w:pPr>
            <w:r>
              <w:rPr>
                <w:rFonts w:hAnsi="宋体"/>
                <w:sz w:val="24"/>
                <w:szCs w:val="24"/>
              </w:rPr>
              <w:t>未依照本条例规定备案的，由县级以上人民政府食品药品监督管理部门责令限期改正；逾期不改正的，向社会公告未备案单位和产品名称，可以处1万元以下罚款。</w:t>
            </w:r>
          </w:p>
        </w:tc>
        <w:tc>
          <w:tcPr>
            <w:tcW w:w="2328" w:type="dxa"/>
            <w:vAlign w:val="center"/>
          </w:tcPr>
          <w:p>
            <w:pPr>
              <w:tabs>
                <w:tab w:val="left" w:pos="790"/>
                <w:tab w:val="left" w:pos="1264"/>
              </w:tabs>
              <w:overflowPunct w:val="0"/>
              <w:adjustRightInd w:val="0"/>
              <w:snapToGrid w:val="0"/>
              <w:jc w:val="center"/>
              <w:rPr>
                <w:rFonts w:hAnsi="宋体"/>
                <w:sz w:val="24"/>
                <w:szCs w:val="24"/>
              </w:rPr>
            </w:pPr>
            <w:r>
              <w:rPr>
                <w:rFonts w:hAnsi="宋体"/>
                <w:sz w:val="24"/>
                <w:szCs w:val="24"/>
              </w:rPr>
              <w:t>医疗器械监督管理科</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cantSplit/>
          <w:trHeight w:val="2117" w:hRule="atLeast"/>
          <w:jc w:val="center"/>
        </w:trPr>
        <w:tc>
          <w:tcPr>
            <w:tcW w:w="566" w:type="dxa"/>
            <w:vAlign w:val="center"/>
          </w:tcPr>
          <w:p>
            <w:pPr>
              <w:tabs>
                <w:tab w:val="left" w:pos="790"/>
                <w:tab w:val="left" w:pos="1264"/>
              </w:tabs>
              <w:overflowPunct w:val="0"/>
              <w:adjustRightInd w:val="0"/>
              <w:snapToGrid w:val="0"/>
              <w:jc w:val="center"/>
              <w:rPr>
                <w:rFonts w:hAnsi="宋体"/>
                <w:sz w:val="24"/>
                <w:szCs w:val="24"/>
              </w:rPr>
            </w:pPr>
            <w:r>
              <w:rPr>
                <w:rFonts w:hint="eastAsia" w:hAnsi="宋体"/>
                <w:sz w:val="24"/>
                <w:szCs w:val="24"/>
              </w:rPr>
              <w:t>26</w:t>
            </w:r>
          </w:p>
        </w:tc>
        <w:tc>
          <w:tcPr>
            <w:tcW w:w="1134" w:type="dxa"/>
            <w:vAlign w:val="center"/>
          </w:tcPr>
          <w:p>
            <w:pPr>
              <w:tabs>
                <w:tab w:val="left" w:pos="790"/>
                <w:tab w:val="left" w:pos="1264"/>
              </w:tabs>
              <w:overflowPunct w:val="0"/>
              <w:adjustRightInd w:val="0"/>
              <w:snapToGrid w:val="0"/>
              <w:jc w:val="center"/>
              <w:rPr>
                <w:rFonts w:hAnsi="宋体"/>
                <w:sz w:val="24"/>
                <w:szCs w:val="24"/>
              </w:rPr>
            </w:pPr>
            <w:r>
              <w:rPr>
                <w:rFonts w:hAnsi="宋体"/>
                <w:sz w:val="24"/>
                <w:szCs w:val="24"/>
              </w:rPr>
              <w:t>未经</w:t>
            </w:r>
            <w:r>
              <w:rPr>
                <w:rFonts w:hint="eastAsia" w:hAnsi="宋体"/>
                <w:sz w:val="24"/>
                <w:szCs w:val="24"/>
              </w:rPr>
              <w:t>备案</w:t>
            </w:r>
            <w:r>
              <w:rPr>
                <w:rFonts w:hAnsi="宋体"/>
                <w:sz w:val="24"/>
                <w:szCs w:val="24"/>
              </w:rPr>
              <w:t>从事第</w:t>
            </w:r>
            <w:r>
              <w:rPr>
                <w:rFonts w:hint="eastAsia" w:hAnsi="宋体"/>
                <w:sz w:val="24"/>
                <w:szCs w:val="24"/>
              </w:rPr>
              <w:t>二</w:t>
            </w:r>
            <w:r>
              <w:rPr>
                <w:rFonts w:hAnsi="宋体"/>
                <w:sz w:val="24"/>
                <w:szCs w:val="24"/>
              </w:rPr>
              <w:t>类医疗器械经营活动</w:t>
            </w:r>
          </w:p>
        </w:tc>
        <w:tc>
          <w:tcPr>
            <w:tcW w:w="1134" w:type="dxa"/>
            <w:vAlign w:val="center"/>
          </w:tcPr>
          <w:p>
            <w:pPr>
              <w:tabs>
                <w:tab w:val="left" w:pos="790"/>
                <w:tab w:val="left" w:pos="1264"/>
              </w:tabs>
              <w:overflowPunct w:val="0"/>
              <w:adjustRightInd w:val="0"/>
              <w:snapToGrid w:val="0"/>
              <w:jc w:val="center"/>
              <w:rPr>
                <w:rFonts w:hAnsi="宋体"/>
                <w:sz w:val="24"/>
                <w:szCs w:val="24"/>
              </w:rPr>
            </w:pPr>
            <w:r>
              <w:rPr>
                <w:rFonts w:hint="eastAsia" w:hAnsi="宋体"/>
                <w:sz w:val="24"/>
                <w:szCs w:val="24"/>
              </w:rPr>
              <w:t>第二类医疗器械经营备案凭证</w:t>
            </w:r>
          </w:p>
        </w:tc>
        <w:tc>
          <w:tcPr>
            <w:tcW w:w="3889" w:type="dxa"/>
            <w:vAlign w:val="center"/>
          </w:tcPr>
          <w:p>
            <w:pPr>
              <w:tabs>
                <w:tab w:val="left" w:pos="790"/>
                <w:tab w:val="left" w:pos="1264"/>
              </w:tabs>
              <w:overflowPunct w:val="0"/>
              <w:adjustRightInd w:val="0"/>
              <w:snapToGrid w:val="0"/>
              <w:rPr>
                <w:rFonts w:hAnsi="宋体"/>
                <w:sz w:val="24"/>
                <w:szCs w:val="24"/>
              </w:rPr>
            </w:pPr>
            <w:r>
              <w:rPr>
                <w:rFonts w:hint="eastAsia" w:hAnsi="宋体"/>
                <w:sz w:val="24"/>
                <w:szCs w:val="24"/>
              </w:rPr>
              <w:t>《</w:t>
            </w:r>
            <w:r>
              <w:rPr>
                <w:rFonts w:hAnsi="宋体"/>
                <w:sz w:val="24"/>
                <w:szCs w:val="24"/>
              </w:rPr>
              <w:t>医疗器械监督管理条例</w:t>
            </w:r>
            <w:r>
              <w:rPr>
                <w:rFonts w:hint="eastAsia" w:hAnsi="宋体"/>
                <w:sz w:val="24"/>
                <w:szCs w:val="24"/>
              </w:rPr>
              <w:t>》</w:t>
            </w:r>
            <w:r>
              <w:rPr>
                <w:rFonts w:hAnsi="宋体"/>
                <w:sz w:val="24"/>
                <w:szCs w:val="24"/>
              </w:rPr>
              <w:t>第三十条</w:t>
            </w:r>
          </w:p>
          <w:p>
            <w:pPr>
              <w:tabs>
                <w:tab w:val="left" w:pos="790"/>
                <w:tab w:val="left" w:pos="1264"/>
              </w:tabs>
              <w:overflowPunct w:val="0"/>
              <w:adjustRightInd w:val="0"/>
              <w:snapToGrid w:val="0"/>
              <w:rPr>
                <w:rFonts w:hAnsi="宋体"/>
                <w:sz w:val="24"/>
                <w:szCs w:val="24"/>
              </w:rPr>
            </w:pPr>
            <w:r>
              <w:rPr>
                <w:rFonts w:hAnsi="宋体"/>
                <w:sz w:val="24"/>
                <w:szCs w:val="24"/>
              </w:rPr>
              <w:t>从事第二类医疗器械经营的，由经营企业向所在地设区的市级人民政府食品药品监督管理部门备案并提交其符合本条例第二十九条规定条件的证明资料。</w:t>
            </w:r>
          </w:p>
        </w:tc>
        <w:tc>
          <w:tcPr>
            <w:tcW w:w="3823" w:type="dxa"/>
            <w:vAlign w:val="center"/>
          </w:tcPr>
          <w:p>
            <w:pPr>
              <w:tabs>
                <w:tab w:val="left" w:pos="790"/>
                <w:tab w:val="left" w:pos="1264"/>
              </w:tabs>
              <w:overflowPunct w:val="0"/>
              <w:adjustRightInd w:val="0"/>
              <w:snapToGrid w:val="0"/>
              <w:spacing w:line="280" w:lineRule="exact"/>
              <w:rPr>
                <w:rFonts w:hAnsi="宋体"/>
                <w:sz w:val="24"/>
                <w:szCs w:val="24"/>
              </w:rPr>
            </w:pPr>
            <w:r>
              <w:rPr>
                <w:rFonts w:hint="eastAsia" w:hAnsi="宋体"/>
                <w:sz w:val="24"/>
                <w:szCs w:val="24"/>
              </w:rPr>
              <w:t>《</w:t>
            </w:r>
            <w:r>
              <w:rPr>
                <w:rFonts w:hAnsi="宋体"/>
                <w:sz w:val="24"/>
                <w:szCs w:val="24"/>
              </w:rPr>
              <w:t>医疗器械监督管理条例</w:t>
            </w:r>
            <w:r>
              <w:rPr>
                <w:rFonts w:hint="eastAsia" w:hAnsi="宋体"/>
                <w:sz w:val="24"/>
                <w:szCs w:val="24"/>
              </w:rPr>
              <w:t>》</w:t>
            </w:r>
            <w:r>
              <w:rPr>
                <w:rFonts w:hAnsi="宋体"/>
                <w:sz w:val="24"/>
                <w:szCs w:val="24"/>
              </w:rPr>
              <w:t>第六十五条</w:t>
            </w:r>
            <w:r>
              <w:rPr>
                <w:rFonts w:hint="eastAsia" w:hAnsi="宋体"/>
                <w:sz w:val="24"/>
                <w:szCs w:val="24"/>
              </w:rPr>
              <w:t>第一款</w:t>
            </w:r>
          </w:p>
          <w:p>
            <w:pPr>
              <w:tabs>
                <w:tab w:val="left" w:pos="790"/>
                <w:tab w:val="left" w:pos="1264"/>
              </w:tabs>
              <w:overflowPunct w:val="0"/>
              <w:adjustRightInd w:val="0"/>
              <w:snapToGrid w:val="0"/>
              <w:spacing w:line="280" w:lineRule="exact"/>
              <w:rPr>
                <w:rFonts w:hAnsi="宋体"/>
                <w:sz w:val="24"/>
                <w:szCs w:val="24"/>
              </w:rPr>
            </w:pPr>
            <w:r>
              <w:rPr>
                <w:rFonts w:hAnsi="宋体"/>
                <w:sz w:val="24"/>
                <w:szCs w:val="24"/>
              </w:rPr>
              <w:t>未依照本条例规定备案的，由县级以上人民政府食品药品监督管理部门责令限期改正；逾期不改正的，向社会公告未备案单位和产品名称，可以处1万元以下罚款。</w:t>
            </w:r>
          </w:p>
        </w:tc>
        <w:tc>
          <w:tcPr>
            <w:tcW w:w="2328" w:type="dxa"/>
            <w:vAlign w:val="center"/>
          </w:tcPr>
          <w:p>
            <w:pPr>
              <w:tabs>
                <w:tab w:val="left" w:pos="790"/>
                <w:tab w:val="left" w:pos="1264"/>
              </w:tabs>
              <w:overflowPunct w:val="0"/>
              <w:adjustRightInd w:val="0"/>
              <w:snapToGrid w:val="0"/>
              <w:jc w:val="center"/>
              <w:rPr>
                <w:rFonts w:hAnsi="宋体"/>
                <w:sz w:val="24"/>
                <w:szCs w:val="24"/>
              </w:rPr>
            </w:pPr>
            <w:r>
              <w:rPr>
                <w:rFonts w:hAnsi="宋体"/>
                <w:sz w:val="24"/>
                <w:szCs w:val="24"/>
              </w:rPr>
              <w:t>医疗器械监督管理科</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cantSplit/>
          <w:trHeight w:val="4172" w:hRule="atLeast"/>
          <w:jc w:val="center"/>
        </w:trPr>
        <w:tc>
          <w:tcPr>
            <w:tcW w:w="566" w:type="dxa"/>
            <w:vAlign w:val="center"/>
          </w:tcPr>
          <w:p>
            <w:pPr>
              <w:tabs>
                <w:tab w:val="left" w:pos="790"/>
                <w:tab w:val="left" w:pos="1264"/>
              </w:tabs>
              <w:overflowPunct w:val="0"/>
              <w:adjustRightInd w:val="0"/>
              <w:snapToGrid w:val="0"/>
              <w:jc w:val="center"/>
              <w:rPr>
                <w:rFonts w:hAnsi="宋体"/>
                <w:sz w:val="24"/>
                <w:szCs w:val="24"/>
              </w:rPr>
            </w:pPr>
            <w:r>
              <w:rPr>
                <w:rFonts w:hint="eastAsia" w:hAnsi="宋体"/>
                <w:sz w:val="24"/>
                <w:szCs w:val="24"/>
              </w:rPr>
              <w:t>27</w:t>
            </w:r>
          </w:p>
          <w:p>
            <w:pPr>
              <w:tabs>
                <w:tab w:val="left" w:pos="790"/>
                <w:tab w:val="left" w:pos="1264"/>
              </w:tabs>
              <w:overflowPunct w:val="0"/>
              <w:adjustRightInd w:val="0"/>
              <w:snapToGrid w:val="0"/>
              <w:jc w:val="center"/>
              <w:rPr>
                <w:rFonts w:hAnsi="宋体"/>
                <w:sz w:val="24"/>
                <w:szCs w:val="24"/>
              </w:rPr>
            </w:pPr>
          </w:p>
        </w:tc>
        <w:tc>
          <w:tcPr>
            <w:tcW w:w="1134" w:type="dxa"/>
            <w:vAlign w:val="center"/>
          </w:tcPr>
          <w:p>
            <w:pPr>
              <w:tabs>
                <w:tab w:val="left" w:pos="790"/>
                <w:tab w:val="left" w:pos="1264"/>
              </w:tabs>
              <w:overflowPunct w:val="0"/>
              <w:adjustRightInd w:val="0"/>
              <w:snapToGrid w:val="0"/>
              <w:jc w:val="center"/>
              <w:rPr>
                <w:rFonts w:hAnsi="宋体"/>
                <w:sz w:val="24"/>
                <w:szCs w:val="24"/>
              </w:rPr>
            </w:pPr>
            <w:r>
              <w:rPr>
                <w:rFonts w:hAnsi="宋体"/>
                <w:sz w:val="24"/>
                <w:szCs w:val="24"/>
              </w:rPr>
              <w:t>未经许可从事第三类医疗器械经营活动</w:t>
            </w:r>
          </w:p>
        </w:tc>
        <w:tc>
          <w:tcPr>
            <w:tcW w:w="1134" w:type="dxa"/>
            <w:vAlign w:val="center"/>
          </w:tcPr>
          <w:p>
            <w:pPr>
              <w:tabs>
                <w:tab w:val="left" w:pos="790"/>
                <w:tab w:val="left" w:pos="1264"/>
              </w:tabs>
              <w:overflowPunct w:val="0"/>
              <w:adjustRightInd w:val="0"/>
              <w:snapToGrid w:val="0"/>
              <w:jc w:val="center"/>
              <w:rPr>
                <w:rFonts w:hAnsi="宋体"/>
                <w:sz w:val="24"/>
                <w:szCs w:val="24"/>
              </w:rPr>
            </w:pPr>
            <w:r>
              <w:rPr>
                <w:rFonts w:hint="eastAsia" w:hAnsi="宋体"/>
                <w:sz w:val="24"/>
                <w:szCs w:val="24"/>
              </w:rPr>
              <w:t>医疗器械经营许可证</w:t>
            </w:r>
          </w:p>
          <w:p>
            <w:pPr>
              <w:tabs>
                <w:tab w:val="left" w:pos="790"/>
                <w:tab w:val="left" w:pos="1264"/>
              </w:tabs>
              <w:overflowPunct w:val="0"/>
              <w:adjustRightInd w:val="0"/>
              <w:snapToGrid w:val="0"/>
              <w:jc w:val="center"/>
              <w:rPr>
                <w:rFonts w:hAnsi="宋体"/>
                <w:sz w:val="24"/>
                <w:szCs w:val="24"/>
              </w:rPr>
            </w:pPr>
          </w:p>
        </w:tc>
        <w:tc>
          <w:tcPr>
            <w:tcW w:w="3889" w:type="dxa"/>
            <w:vAlign w:val="center"/>
          </w:tcPr>
          <w:p>
            <w:pPr>
              <w:tabs>
                <w:tab w:val="left" w:pos="790"/>
                <w:tab w:val="left" w:pos="1264"/>
              </w:tabs>
              <w:overflowPunct w:val="0"/>
              <w:adjustRightInd w:val="0"/>
              <w:snapToGrid w:val="0"/>
              <w:rPr>
                <w:rFonts w:hAnsi="宋体"/>
                <w:spacing w:val="-8"/>
                <w:sz w:val="24"/>
                <w:szCs w:val="24"/>
              </w:rPr>
            </w:pPr>
            <w:r>
              <w:rPr>
                <w:rFonts w:hint="eastAsia" w:hAnsi="宋体"/>
                <w:spacing w:val="-8"/>
                <w:sz w:val="24"/>
                <w:szCs w:val="24"/>
              </w:rPr>
              <w:t>《</w:t>
            </w:r>
            <w:r>
              <w:rPr>
                <w:rFonts w:hAnsi="宋体"/>
                <w:spacing w:val="-8"/>
                <w:sz w:val="24"/>
                <w:szCs w:val="24"/>
              </w:rPr>
              <w:t>医疗器械监督管理条例</w:t>
            </w:r>
            <w:r>
              <w:rPr>
                <w:rFonts w:hint="eastAsia" w:hAnsi="宋体"/>
                <w:spacing w:val="-8"/>
                <w:sz w:val="24"/>
                <w:szCs w:val="24"/>
              </w:rPr>
              <w:t>》</w:t>
            </w:r>
            <w:r>
              <w:rPr>
                <w:rFonts w:hAnsi="宋体"/>
                <w:spacing w:val="-8"/>
                <w:sz w:val="24"/>
                <w:szCs w:val="24"/>
              </w:rPr>
              <w:t>第</w:t>
            </w:r>
            <w:r>
              <w:rPr>
                <w:rFonts w:hint="eastAsia" w:hAnsi="宋体"/>
                <w:spacing w:val="-8"/>
                <w:sz w:val="24"/>
                <w:szCs w:val="24"/>
              </w:rPr>
              <w:t>三十一</w:t>
            </w:r>
            <w:r>
              <w:rPr>
                <w:rFonts w:hAnsi="宋体"/>
                <w:spacing w:val="-8"/>
                <w:sz w:val="24"/>
                <w:szCs w:val="24"/>
              </w:rPr>
              <w:t>条</w:t>
            </w:r>
          </w:p>
          <w:p>
            <w:pPr>
              <w:tabs>
                <w:tab w:val="left" w:pos="790"/>
                <w:tab w:val="left" w:pos="1264"/>
              </w:tabs>
              <w:overflowPunct w:val="0"/>
              <w:adjustRightInd w:val="0"/>
              <w:snapToGrid w:val="0"/>
              <w:rPr>
                <w:rFonts w:hAnsi="宋体"/>
                <w:sz w:val="24"/>
                <w:szCs w:val="24"/>
              </w:rPr>
            </w:pPr>
            <w:r>
              <w:rPr>
                <w:rFonts w:hAnsi="宋体"/>
                <w:sz w:val="24"/>
                <w:szCs w:val="24"/>
              </w:rPr>
              <w:t>从事第三类医疗器械经营的，经营企业应当向所在地设区的市级人民政府食品药品监督管理部门申请经营许可并提交其符合本条例第二十九条规定条件的证明资料。</w:t>
            </w:r>
          </w:p>
        </w:tc>
        <w:tc>
          <w:tcPr>
            <w:tcW w:w="3823" w:type="dxa"/>
            <w:vAlign w:val="center"/>
          </w:tcPr>
          <w:p>
            <w:pPr>
              <w:tabs>
                <w:tab w:val="left" w:pos="790"/>
                <w:tab w:val="left" w:pos="1264"/>
              </w:tabs>
              <w:overflowPunct w:val="0"/>
              <w:adjustRightInd w:val="0"/>
              <w:snapToGrid w:val="0"/>
              <w:rPr>
                <w:rFonts w:hAnsi="宋体"/>
                <w:sz w:val="24"/>
                <w:szCs w:val="24"/>
              </w:rPr>
            </w:pPr>
            <w:r>
              <w:rPr>
                <w:rFonts w:hint="eastAsia" w:hAnsi="宋体"/>
                <w:spacing w:val="-8"/>
                <w:sz w:val="24"/>
                <w:szCs w:val="24"/>
              </w:rPr>
              <w:t>《</w:t>
            </w:r>
            <w:r>
              <w:rPr>
                <w:rFonts w:hAnsi="宋体"/>
                <w:spacing w:val="-8"/>
                <w:sz w:val="24"/>
                <w:szCs w:val="24"/>
              </w:rPr>
              <w:t>医疗器械监督管理条例</w:t>
            </w:r>
            <w:r>
              <w:rPr>
                <w:rFonts w:hint="eastAsia" w:hAnsi="宋体"/>
                <w:spacing w:val="-8"/>
                <w:sz w:val="24"/>
                <w:szCs w:val="24"/>
              </w:rPr>
              <w:t>》</w:t>
            </w:r>
            <w:r>
              <w:rPr>
                <w:rFonts w:hAnsi="宋体"/>
                <w:spacing w:val="-8"/>
                <w:sz w:val="24"/>
                <w:szCs w:val="24"/>
              </w:rPr>
              <w:t>第六十三条</w:t>
            </w:r>
          </w:p>
          <w:p>
            <w:pPr>
              <w:tabs>
                <w:tab w:val="left" w:pos="790"/>
                <w:tab w:val="left" w:pos="1264"/>
              </w:tabs>
              <w:overflowPunct w:val="0"/>
              <w:adjustRightInd w:val="0"/>
              <w:snapToGrid w:val="0"/>
              <w:spacing w:line="280" w:lineRule="exact"/>
              <w:rPr>
                <w:rFonts w:hAnsi="宋体"/>
                <w:sz w:val="24"/>
                <w:szCs w:val="24"/>
              </w:rPr>
            </w:pPr>
            <w:r>
              <w:rPr>
                <w:rFonts w:hAnsi="宋体"/>
                <w:sz w:val="24"/>
                <w:szCs w:val="24"/>
              </w:rPr>
              <w:t>有下列情形之一的，由县级以上人民政府食品药品监督管理部门没收违法所得、违法生产经营的医疗器械和用于违法生产经营的工具、设备、原材料等物品；违法生产经营的医疗器械货值金额不足1万元的，并处5万元以上10万元以下罚款；货值金额1万元以上的，并处货值金额10倍以上20倍以下罚款；情节严重的，5年内不受理相关责任人及企业提出的医疗器械许可申请：</w:t>
            </w:r>
          </w:p>
          <w:p>
            <w:pPr>
              <w:tabs>
                <w:tab w:val="left" w:pos="790"/>
                <w:tab w:val="left" w:pos="1264"/>
              </w:tabs>
              <w:overflowPunct w:val="0"/>
              <w:adjustRightInd w:val="0"/>
              <w:snapToGrid w:val="0"/>
              <w:spacing w:line="280" w:lineRule="exact"/>
              <w:rPr>
                <w:rFonts w:hAnsi="宋体"/>
                <w:sz w:val="24"/>
                <w:szCs w:val="24"/>
              </w:rPr>
            </w:pPr>
            <w:r>
              <w:rPr>
                <w:rFonts w:hAnsi="宋体"/>
                <w:sz w:val="24"/>
                <w:szCs w:val="24"/>
              </w:rPr>
              <w:t>（三）未经许可从事第三类医疗器械经营活动的。</w:t>
            </w:r>
          </w:p>
        </w:tc>
        <w:tc>
          <w:tcPr>
            <w:tcW w:w="2328" w:type="dxa"/>
            <w:vAlign w:val="center"/>
          </w:tcPr>
          <w:p>
            <w:pPr>
              <w:tabs>
                <w:tab w:val="left" w:pos="790"/>
                <w:tab w:val="left" w:pos="1264"/>
              </w:tabs>
              <w:overflowPunct w:val="0"/>
              <w:adjustRightInd w:val="0"/>
              <w:snapToGrid w:val="0"/>
              <w:jc w:val="center"/>
              <w:rPr>
                <w:rFonts w:hAnsi="宋体"/>
                <w:sz w:val="24"/>
                <w:szCs w:val="24"/>
              </w:rPr>
            </w:pPr>
            <w:r>
              <w:rPr>
                <w:rFonts w:hAnsi="宋体"/>
                <w:sz w:val="24"/>
                <w:szCs w:val="24"/>
              </w:rPr>
              <w:t>医疗器械监督管理科</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cantSplit/>
          <w:trHeight w:val="3039" w:hRule="atLeast"/>
          <w:jc w:val="center"/>
        </w:trPr>
        <w:tc>
          <w:tcPr>
            <w:tcW w:w="566" w:type="dxa"/>
            <w:vAlign w:val="center"/>
          </w:tcPr>
          <w:p>
            <w:pPr>
              <w:tabs>
                <w:tab w:val="left" w:pos="790"/>
                <w:tab w:val="left" w:pos="1264"/>
              </w:tabs>
              <w:overflowPunct w:val="0"/>
              <w:adjustRightInd w:val="0"/>
              <w:snapToGrid w:val="0"/>
              <w:jc w:val="center"/>
              <w:rPr>
                <w:rFonts w:hAnsi="宋体"/>
                <w:sz w:val="24"/>
                <w:szCs w:val="24"/>
              </w:rPr>
            </w:pPr>
            <w:r>
              <w:rPr>
                <w:rFonts w:hint="eastAsia" w:hAnsi="宋体"/>
                <w:sz w:val="24"/>
                <w:szCs w:val="24"/>
              </w:rPr>
              <w:t>28</w:t>
            </w:r>
          </w:p>
        </w:tc>
        <w:tc>
          <w:tcPr>
            <w:tcW w:w="1134" w:type="dxa"/>
            <w:vAlign w:val="center"/>
          </w:tcPr>
          <w:p>
            <w:pPr>
              <w:tabs>
                <w:tab w:val="left" w:pos="790"/>
                <w:tab w:val="left" w:pos="1264"/>
              </w:tabs>
              <w:overflowPunct w:val="0"/>
              <w:adjustRightInd w:val="0"/>
              <w:snapToGrid w:val="0"/>
              <w:jc w:val="center"/>
              <w:rPr>
                <w:rFonts w:hAnsi="宋体"/>
                <w:sz w:val="24"/>
                <w:szCs w:val="24"/>
              </w:rPr>
            </w:pPr>
            <w:r>
              <w:rPr>
                <w:rFonts w:hint="eastAsia" w:hAnsi="宋体"/>
                <w:sz w:val="24"/>
                <w:szCs w:val="24"/>
              </w:rPr>
              <w:t>无证生产化妆品</w:t>
            </w:r>
          </w:p>
        </w:tc>
        <w:tc>
          <w:tcPr>
            <w:tcW w:w="1134" w:type="dxa"/>
            <w:vAlign w:val="center"/>
          </w:tcPr>
          <w:p>
            <w:pPr>
              <w:tabs>
                <w:tab w:val="left" w:pos="790"/>
                <w:tab w:val="left" w:pos="1264"/>
              </w:tabs>
              <w:overflowPunct w:val="0"/>
              <w:adjustRightInd w:val="0"/>
              <w:snapToGrid w:val="0"/>
              <w:jc w:val="center"/>
              <w:rPr>
                <w:rFonts w:hAnsi="宋体"/>
                <w:sz w:val="24"/>
                <w:szCs w:val="24"/>
              </w:rPr>
            </w:pPr>
            <w:r>
              <w:rPr>
                <w:rFonts w:hint="eastAsia" w:hAnsi="宋体"/>
                <w:sz w:val="24"/>
                <w:szCs w:val="24"/>
              </w:rPr>
              <w:t>化妆品生产企业卫生许可证</w:t>
            </w:r>
          </w:p>
        </w:tc>
        <w:tc>
          <w:tcPr>
            <w:tcW w:w="3889" w:type="dxa"/>
            <w:vAlign w:val="center"/>
          </w:tcPr>
          <w:p>
            <w:pPr>
              <w:tabs>
                <w:tab w:val="left" w:pos="790"/>
                <w:tab w:val="left" w:pos="1264"/>
              </w:tabs>
              <w:overflowPunct w:val="0"/>
              <w:adjustRightInd w:val="0"/>
              <w:snapToGrid w:val="0"/>
              <w:rPr>
                <w:rFonts w:hAnsi="宋体"/>
                <w:sz w:val="24"/>
                <w:szCs w:val="24"/>
              </w:rPr>
            </w:pPr>
            <w:r>
              <w:rPr>
                <w:rFonts w:hint="eastAsia" w:hAnsi="宋体"/>
                <w:sz w:val="24"/>
                <w:szCs w:val="24"/>
              </w:rPr>
              <w:t>《化妆品卫生监督条例》</w:t>
            </w:r>
            <w:r>
              <w:rPr>
                <w:rFonts w:hAnsi="宋体"/>
                <w:sz w:val="24"/>
                <w:szCs w:val="24"/>
              </w:rPr>
              <w:t>第</w:t>
            </w:r>
            <w:r>
              <w:rPr>
                <w:rFonts w:hint="eastAsia" w:hAnsi="宋体"/>
                <w:sz w:val="24"/>
                <w:szCs w:val="24"/>
              </w:rPr>
              <w:t>五</w:t>
            </w:r>
            <w:r>
              <w:rPr>
                <w:rFonts w:hAnsi="宋体"/>
                <w:sz w:val="24"/>
                <w:szCs w:val="24"/>
              </w:rPr>
              <w:t>条</w:t>
            </w:r>
          </w:p>
          <w:p>
            <w:pPr>
              <w:tabs>
                <w:tab w:val="left" w:pos="790"/>
                <w:tab w:val="left" w:pos="1264"/>
              </w:tabs>
              <w:overflowPunct w:val="0"/>
              <w:adjustRightInd w:val="0"/>
              <w:snapToGrid w:val="0"/>
              <w:rPr>
                <w:rFonts w:hAnsi="宋体"/>
                <w:sz w:val="24"/>
                <w:szCs w:val="24"/>
              </w:rPr>
            </w:pPr>
            <w:r>
              <w:rPr>
                <w:rFonts w:hAnsi="宋体"/>
                <w:sz w:val="24"/>
                <w:szCs w:val="24"/>
              </w:rPr>
              <w:t>对化妆品生产企业的卫生监督实行卫生许可证制度。</w:t>
            </w:r>
          </w:p>
          <w:p>
            <w:pPr>
              <w:tabs>
                <w:tab w:val="left" w:pos="790"/>
                <w:tab w:val="left" w:pos="1264"/>
              </w:tabs>
              <w:overflowPunct w:val="0"/>
              <w:adjustRightInd w:val="0"/>
              <w:snapToGrid w:val="0"/>
              <w:rPr>
                <w:rFonts w:hAnsi="宋体"/>
                <w:sz w:val="24"/>
                <w:szCs w:val="24"/>
              </w:rPr>
            </w:pPr>
            <w:r>
              <w:rPr>
                <w:rFonts w:hAnsi="宋体"/>
                <w:sz w:val="24"/>
                <w:szCs w:val="24"/>
              </w:rPr>
              <w:t>《化妆品生产企业卫生许可证》由省、自治区、直辖市卫生行政部门批准并颁发。《化妆品生产企业卫生许可证》有效期四年，每２年复核１次。</w:t>
            </w:r>
          </w:p>
          <w:p>
            <w:pPr>
              <w:tabs>
                <w:tab w:val="left" w:pos="790"/>
                <w:tab w:val="left" w:pos="1264"/>
              </w:tabs>
              <w:overflowPunct w:val="0"/>
              <w:adjustRightInd w:val="0"/>
              <w:snapToGrid w:val="0"/>
              <w:rPr>
                <w:rFonts w:hAnsi="宋体"/>
                <w:sz w:val="24"/>
                <w:szCs w:val="24"/>
              </w:rPr>
            </w:pPr>
            <w:r>
              <w:rPr>
                <w:rFonts w:hAnsi="宋体"/>
                <w:sz w:val="24"/>
                <w:szCs w:val="24"/>
              </w:rPr>
              <w:t>未取得《化妆品生产企业卫生许可证》的单位，不得从事化妆品生产。</w:t>
            </w:r>
          </w:p>
        </w:tc>
        <w:tc>
          <w:tcPr>
            <w:tcW w:w="3823" w:type="dxa"/>
            <w:vAlign w:val="center"/>
          </w:tcPr>
          <w:p>
            <w:pPr>
              <w:tabs>
                <w:tab w:val="left" w:pos="790"/>
                <w:tab w:val="left" w:pos="1264"/>
              </w:tabs>
              <w:overflowPunct w:val="0"/>
              <w:adjustRightInd w:val="0"/>
              <w:snapToGrid w:val="0"/>
              <w:rPr>
                <w:rFonts w:hAnsi="宋体"/>
                <w:sz w:val="24"/>
                <w:szCs w:val="24"/>
              </w:rPr>
            </w:pPr>
            <w:r>
              <w:rPr>
                <w:rFonts w:hint="eastAsia" w:hAnsi="宋体"/>
                <w:sz w:val="24"/>
                <w:szCs w:val="24"/>
              </w:rPr>
              <w:t>《化妆品卫生监督条例》第二十四条</w:t>
            </w:r>
          </w:p>
          <w:p>
            <w:pPr>
              <w:tabs>
                <w:tab w:val="left" w:pos="790"/>
                <w:tab w:val="left" w:pos="1264"/>
              </w:tabs>
              <w:overflowPunct w:val="0"/>
              <w:adjustRightInd w:val="0"/>
              <w:snapToGrid w:val="0"/>
              <w:rPr>
                <w:rFonts w:hAnsi="宋体"/>
                <w:sz w:val="24"/>
                <w:szCs w:val="24"/>
              </w:rPr>
            </w:pPr>
            <w:r>
              <w:rPr>
                <w:rFonts w:hAnsi="宋体"/>
                <w:sz w:val="24"/>
                <w:szCs w:val="24"/>
              </w:rPr>
              <w:t>未取得《化妆品生产企业卫生许可证》的企业擅自生产化妆品的，责令该企业停产，没收产品及违法所得，并且可以处违法所得</w:t>
            </w:r>
            <w:r>
              <w:rPr>
                <w:rFonts w:hint="eastAsia" w:hAnsi="宋体"/>
                <w:sz w:val="24"/>
                <w:szCs w:val="24"/>
              </w:rPr>
              <w:t>3</w:t>
            </w:r>
            <w:r>
              <w:rPr>
                <w:rFonts w:hAnsi="宋体"/>
                <w:sz w:val="24"/>
                <w:szCs w:val="24"/>
              </w:rPr>
              <w:t>到</w:t>
            </w:r>
            <w:r>
              <w:rPr>
                <w:rFonts w:hint="eastAsia" w:hAnsi="宋体"/>
                <w:sz w:val="24"/>
                <w:szCs w:val="24"/>
              </w:rPr>
              <w:t>5</w:t>
            </w:r>
            <w:r>
              <w:rPr>
                <w:rFonts w:hAnsi="宋体"/>
                <w:sz w:val="24"/>
                <w:szCs w:val="24"/>
              </w:rPr>
              <w:t>倍的罚款。</w:t>
            </w:r>
          </w:p>
        </w:tc>
        <w:tc>
          <w:tcPr>
            <w:tcW w:w="2328" w:type="dxa"/>
            <w:vAlign w:val="center"/>
          </w:tcPr>
          <w:p>
            <w:pPr>
              <w:tabs>
                <w:tab w:val="left" w:pos="790"/>
                <w:tab w:val="left" w:pos="1264"/>
              </w:tabs>
              <w:overflowPunct w:val="0"/>
              <w:adjustRightInd w:val="0"/>
              <w:snapToGrid w:val="0"/>
              <w:jc w:val="center"/>
              <w:rPr>
                <w:rFonts w:hAnsi="宋体"/>
                <w:sz w:val="24"/>
                <w:szCs w:val="24"/>
              </w:rPr>
            </w:pPr>
            <w:r>
              <w:rPr>
                <w:rFonts w:hint="eastAsia" w:hAnsi="宋体"/>
                <w:sz w:val="24"/>
                <w:szCs w:val="24"/>
              </w:rPr>
              <w:t>药品和化妆品监督管理科</w:t>
            </w:r>
          </w:p>
        </w:tc>
      </w:tr>
    </w:tbl>
    <w:p/>
    <w:sectPr>
      <w:pgSz w:w="16838" w:h="11906" w:orient="landscape"/>
      <w:pgMar w:top="1800" w:right="1440" w:bottom="1800" w:left="144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altName w:val="仿宋"/>
    <w:panose1 w:val="02010609030101010101"/>
    <w:charset w:val="86"/>
    <w:family w:val="modern"/>
    <w:pitch w:val="default"/>
    <w:sig w:usb0="00000000" w:usb1="00000000" w:usb2="00000010" w:usb3="00000000" w:csb0="00040000" w:csb1="00000000"/>
  </w:font>
  <w:font w:name="仿宋">
    <w:panose1 w:val="02010609060101010101"/>
    <w:charset w:val="86"/>
    <w:family w:val="auto"/>
    <w:pitch w:val="default"/>
    <w:sig w:usb0="800002BF" w:usb1="38CF7CFA" w:usb2="00000016" w:usb3="00000000" w:csb0="00040001" w:csb1="00000000"/>
  </w:font>
  <w:font w:name="方正小标宋简体">
    <w:altName w:val="Arial Unicode MS"/>
    <w:panose1 w:val="02010601030101010101"/>
    <w:charset w:val="86"/>
    <w:family w:val="auto"/>
    <w:pitch w:val="default"/>
    <w:sig w:usb0="00000000" w:usb1="00000000" w:usb2="00000010" w:usb3="00000000" w:csb0="00040000" w:csb1="00000000"/>
  </w:font>
  <w:font w:name="Arial Unicode MS">
    <w:panose1 w:val="020B0604020202020204"/>
    <w:charset w:val="86"/>
    <w:family w:val="auto"/>
    <w:pitch w:val="default"/>
    <w:sig w:usb0="FFFFFFFF" w:usb1="E9FFFFFF" w:usb2="0000003F" w:usb3="00000000" w:csb0="603F01FF" w:csb1="FFFF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bordersDoNotSurroundHeader w:val="1"/>
  <w:bordersDoNotSurroundFooter w:val="1"/>
  <w:documentProtection w:enforcement="0"/>
  <w:defaultTabStop w:val="420"/>
  <w:drawingGridHorizontalSpacing w:val="105"/>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GQzY2VkYTNjNTUxZGM5NDg0MTEzOTJiN2I5YzlmZjYifQ=="/>
  </w:docVars>
  <w:rsids>
    <w:rsidRoot w:val="00665A87"/>
    <w:rsid w:val="00665A87"/>
    <w:rsid w:val="00D26331"/>
    <w:rsid w:val="00D835DE"/>
    <w:rsid w:val="09101A2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name="header"/>
    <w:lsdException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仿宋_GB2312" w:hAnsi="Calibri" w:eastAsia="仿宋_GB2312" w:cs="Times New Roman"/>
      <w:kern w:val="2"/>
      <w:sz w:val="32"/>
      <w:szCs w:val="22"/>
      <w:lang w:val="en-US" w:eastAsia="zh-CN" w:bidi="ar-SA"/>
    </w:rPr>
  </w:style>
  <w:style w:type="character" w:default="1" w:styleId="3">
    <w:name w:val="Default Paragraph Font"/>
    <w:semiHidden/>
    <w:unhideWhenUsed/>
    <w:uiPriority w:val="1"/>
  </w:style>
  <w:style w:type="table" w:default="1" w:styleId="2">
    <w:name w:val="Normal Table"/>
    <w:semiHidden/>
    <w:unhideWhenUsed/>
    <w:qFormat/>
    <w:uiPriority w:val="99"/>
    <w:tblPr>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Company>微软中国</Company>
  <Pages>25</Pages>
  <Words>10299</Words>
  <Characters>10357</Characters>
  <Lines>75</Lines>
  <Paragraphs>21</Paragraphs>
  <TotalTime>2</TotalTime>
  <ScaleCrop>false</ScaleCrop>
  <LinksUpToDate>false</LinksUpToDate>
  <CharactersWithSpaces>10364</CharactersWithSpaces>
  <Application>WPS Office_11.1.0.12358_F1E327BC-269C-435d-A152-05C5408002CA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2019-10-08T10:12:00Z</dcterms:created>
  <dc:creator>顾君玺</dc:creator>
  <cp:lastModifiedBy>狂澜</cp:lastModifiedBy>
  <dcterms:modified xsi:type="dcterms:W3CDTF">2022-09-08T07:57:57Z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2052-11.1.0.12358</vt:lpwstr>
  </property>
  <property fmtid="{D5CDD505-2E9C-101B-9397-08002B2CF9AE}" pid="3" name="ICV">
    <vt:lpwstr>6543A88E9FEC453E8736F7D9C54E3B0B</vt:lpwstr>
  </property>
</Properties>
</file>