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ind w:firstLine="883" w:firstLineChars="200"/>
        <w:jc w:val="center"/>
        <w:textAlignment w:val="auto"/>
        <w:rPr>
          <w:rFonts w:hint="eastAsia" w:ascii="宋体" w:hAnsi="宋体" w:eastAsia="宋体" w:cs="宋体"/>
          <w:b/>
          <w:i w:val="0"/>
          <w:color w:val="000000"/>
          <w:sz w:val="44"/>
          <w:szCs w:val="44"/>
          <w:u w:val="none"/>
        </w:rPr>
      </w:pPr>
      <w:r>
        <w:rPr>
          <w:rFonts w:hint="eastAsia" w:ascii="宋体" w:hAnsi="宋体" w:eastAsia="宋体" w:cs="宋体"/>
          <w:b/>
          <w:i w:val="0"/>
          <w:color w:val="000000"/>
          <w:sz w:val="44"/>
          <w:szCs w:val="44"/>
          <w:u w:val="none"/>
        </w:rPr>
        <w:t>上海市崇明区城桥镇人民政府2025年度</w:t>
      </w:r>
    </w:p>
    <w:p>
      <w:pPr>
        <w:keepNext w:val="0"/>
        <w:keepLines w:val="0"/>
        <w:pageBreakBefore w:val="0"/>
        <w:widowControl w:val="0"/>
        <w:kinsoku/>
        <w:wordWrap/>
        <w:overflowPunct/>
        <w:topLinePunct w:val="0"/>
        <w:autoSpaceDE/>
        <w:autoSpaceDN/>
        <w:bidi w:val="0"/>
        <w:adjustRightInd/>
        <w:snapToGrid w:val="0"/>
        <w:spacing w:line="300" w:lineRule="auto"/>
        <w:ind w:firstLine="883" w:firstLineChars="200"/>
        <w:jc w:val="center"/>
        <w:textAlignment w:val="auto"/>
        <w:rPr>
          <w:rFonts w:hint="eastAsia" w:ascii="宋体" w:hAnsi="宋体" w:eastAsia="宋体" w:cs="宋体"/>
          <w:b/>
          <w:i w:val="0"/>
          <w:color w:val="000000"/>
          <w:sz w:val="44"/>
          <w:szCs w:val="44"/>
          <w:u w:val="none"/>
        </w:rPr>
      </w:pPr>
      <w:r>
        <w:rPr>
          <w:rFonts w:hint="eastAsia" w:ascii="宋体" w:hAnsi="宋体" w:eastAsia="宋体" w:cs="宋体"/>
          <w:b/>
          <w:i w:val="0"/>
          <w:color w:val="000000"/>
          <w:sz w:val="44"/>
          <w:szCs w:val="44"/>
          <w:u w:val="none"/>
        </w:rPr>
        <w:t>行政事业性国有资产分析报告</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为贯彻落实区委、区政府关于国有资产管理情况报告工作的要求，根据《行政事业性国有资产管理条例》（国务院令第738号</w:t>
      </w:r>
      <w:bookmarkStart w:id="0" w:name="_GoBack"/>
      <w:bookmarkEnd w:id="0"/>
      <w:r>
        <w:rPr>
          <w:rFonts w:hint="eastAsia" w:ascii="仿宋_GB2312" w:hAnsi="楷体" w:eastAsia="仿宋_GB2312" w:cs="Times New Roman"/>
          <w:kern w:val="0"/>
          <w:sz w:val="32"/>
          <w:szCs w:val="32"/>
          <w:lang w:val="en-US" w:eastAsia="zh-CN" w:bidi="ar-SA"/>
        </w:rPr>
        <w:t>）和《行政事业单位国有资产报告制度》等有关规定，现对本单位资产占有、使用、变动以及管理情况等进行分析报告如下：</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一、单位基本情况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截至2025年12月31日，我单位编制人数231人，较上年度减少1人，年末实有人数213人，较上年度减少3人。</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二、行政事业单位国有资产基本情况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（一）资产总体情况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截至2025年12月31日，我单位资产总额（账面净值，下同）24,214.96万元，较上年增长2.62%。负债总额6,005.60万元,较上年增长8.46%。净资产18,209.37万元,较上年增长0.83%。</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1.资产分布情况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我单位行政单位国有资产17,755.46万元，占73.32%；事业单位国有资产6,459.51万元，占26.68%。</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2.资产构成情况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left"/>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 xml:space="preserve">流动资产5,953.39万元，较上年增长8.11%，占资产总额24.59%；固定资产11,486.51万元，较上年增长-2.53%, 占资产总额47.44%；在建工程6,774.82万元，较上年增长7.44%，占资产总额27.98%；其他资产0.24万元，占资产总额0.00%。本单位无长期投资、无形资产、公共基础设施、政府储备物资、文物资源、保障性住房。             </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left"/>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3.</w:t>
      </w:r>
      <w:r>
        <w:rPr>
          <w:rFonts w:hint="eastAsia" w:ascii="仿宋_GB2312" w:hAnsi="楷体" w:eastAsia="仿宋_GB2312" w:cs="Times New Roman"/>
          <w:b/>
          <w:bCs w:val="0"/>
          <w:kern w:val="0"/>
          <w:sz w:val="32"/>
          <w:szCs w:val="32"/>
          <w:lang w:val="en-US" w:eastAsia="zh-CN" w:bidi="ar-SA"/>
        </w:rPr>
        <w:t>固定资产构成情况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 xml:space="preserve">房屋和构筑物9,868.86万元，占固定资产的85.92%（其中，房屋9,678.97万元，占固定资产的84.26%）；设备1,224.57万元，占10.66%（其中，车辆33.13万元，占0.29%，单价100万（含）以上（不含车辆）设备367.41万元，占3.20%）；陈列品13.70万元，占0.12%；图书和档案52.43万元，占0.46%；家具和用具326.94万元，占2.85%；本单位无特种动植物。 </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（二）具体管理情况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1.资产配置情况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配置固定资产502.76万元（账面原值，下同）。从资产类别分析，配置设备390.41万元，占77.66%；配置图书和档案2.37万元，占0.47%；配置家具和用具109.98万元，占21.87%。从配置方式分析，新购81.72万元，占16.25%；调拨421.04万元，占83.75%。</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2025年度我单位未配置无形资产。</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2025年度我单位配置在建工程6,305.58万元。</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2.资产使用情况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（1）资产自用情况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自用固定资产16,218.63万元，占账面固定资产总额的100.00%，其中:在用16,211.94万元，占账面固定资产总额的99.96%；闲置6.37万元，占账面固定资产总额的0.03%；待处置（待报废、毁损等）0.32万元，占账面固定资产总额的0.01%。</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（2）出租出借情况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截至2025年12月31日，我单位无出租出借资产。</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2025年度我单位无新增出租出借资产。</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（3）对外投资情况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截至2025年12月31日，我单位无对外投资。</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2025年度我单位无新增对外投资。</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3.资产处置情况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2025年度，我单位处置资产274.41万元。从资产类别分析,固定资产274.41万元，占100.00%。从处置形式上分析，无偿划转177.71万元，占64.76%；报废96.70万元，占35.24%。</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4.资产收益情况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2025年度，我单位无出租出借资产收益和无往期出租出借资产收益。资产处置收益0.54万元，其中：本期处置资产收益0.54万元，占100.00%；无往期处置资产收益。</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5.资产盘活情况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2025年度，我单位盘活资产177.71万元，收入0万元。按盘活方式，调剂利用（无偿划转）177.71万元，占100.00%。按资产分类，固定资产盘活177.71万元，占100.00%，其中设备116.50万元，占固定资产65.56%。</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（三）重点资产情况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1.土地资产情况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截至2025年12月31日，我单位无土地资产。</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2.房屋资产情况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房屋账面面积24,095.00平方米，账面价值11,617.16万元，其中办公用房面积15,597.18平方米，占房屋的64.73%；业务用房面积8,497.82平方米，占35.27%。从使用状况分析：在用23,855.00平方米，占99.00%,待处置240.00平方米，占1.00%，无出租出借,闲置的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本年度无新增和无处置房屋资产的情况。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3.车辆资产情况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截至2025年12月31日，我单位车辆账面数量11辆，账面原值380.96万元，账面净值33.13万元。从使用状况分析：在用11辆，占100.0%，无出租出借，闲置和待处置的情况。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本年度未新增和处置车辆。</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4.在建工程情况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截至2025年12月31日，单位账面在建工程6,774.82万元，其中，在建6,774.82万元，占100.00%，无停建、建成未使用、已投入使用和未转固年限大于6个月的情况。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本年度新增469.24万元。</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（四）资产绩效情况。</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截至2025年12月31日，我单位固定资产成新率为70.82%。</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资产管理工作情况</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（一）资产管理体制和制度建设方面</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我镇所属行政事业单位严格执行区财政局颁发的《上海市崇明区行政事业性单位国有资产管理办法》等有关规定，在区财政局的指导下切实管理好、维护好国有资产。在区财政局的监督下，结合本镇实际情况，建立完善与之相适应的资产管理配套实施办法，制定了《城桥镇行政事业性国有资产管理办法》、《城桥镇行政事业单位国有资产处置管理办法》和《城桥镇国有资产管理内部控制制度》，将国有资产的购买、入库、使用、移交、报废等手续制度化，加大了资产管理力度。</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（二）国有资产保质增值方面</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我镇所属行政事业单位国有资产管理的购置流程为单位提出申请购买、主管部门审批、资产管理员入库、财务登账，保证国有资产不漏登、不错登。在日常管理中，通过所属行政事业单位资产管理员的月月盘点，财务人员的密切协同，保证国有资产账物一致，并且加强资产收益管理，实现国有资产增值。</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（三）信息化建设方面</w:t>
      </w:r>
    </w:p>
    <w:p>
      <w:pPr>
        <w:keepNext w:val="0"/>
        <w:keepLines w:val="0"/>
        <w:pageBreakBefore w:val="0"/>
        <w:widowControl w:val="0"/>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我镇主要依托上海市行政事业单位资产管理系统和预算一体化信息系统，在区财政局的指导下，做好国有资产的登账、处置、盘点和资产年报统计工作。信息化、动态化管理提高了资产管理效率，有利于及时发现闲置资产，促进资产的调剂或调配，优化资产配置和分布，提高资产的利用率，保证资产的安全。</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0" w:leftChars="0"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保障单位履职和促进事业发展情况</w:t>
      </w:r>
    </w:p>
    <w:p>
      <w:pPr>
        <w:keepNext w:val="0"/>
        <w:keepLines w:val="0"/>
        <w:pageBreakBefore w:val="0"/>
        <w:widowControl/>
        <w:numPr>
          <w:ilvl w:val="0"/>
          <w:numId w:val="0"/>
        </w:numPr>
        <w:kinsoku/>
        <w:wordWrap/>
        <w:overflowPunct/>
        <w:topLinePunct w:val="0"/>
        <w:autoSpaceDE/>
        <w:autoSpaceDN/>
        <w:bidi w:val="0"/>
        <w:adjustRightInd/>
        <w:snapToGrid/>
        <w:spacing w:line="300" w:lineRule="auto"/>
        <w:ind w:firstLine="640" w:firstLineChars="200"/>
        <w:jc w:val="left"/>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我镇在</w:t>
      </w:r>
      <w:r>
        <w:rPr>
          <w:rFonts w:hint="eastAsia" w:ascii="仿宋_GB2312" w:hAnsi="楷体" w:eastAsia="仿宋_GB2312" w:cs="Times New Roman"/>
          <w:color w:val="000000"/>
          <w:kern w:val="0"/>
          <w:sz w:val="32"/>
          <w:szCs w:val="32"/>
          <w:highlight w:val="none"/>
          <w:lang w:val="en-US" w:eastAsia="zh-CN" w:bidi="ar-SA"/>
        </w:rPr>
        <w:t>行政事业性国有资产管理上贯彻落实党中央、国务院和市委、市政府决策部署，在保障单位履职和事业发展、提供公共服务</w:t>
      </w:r>
      <w:r>
        <w:rPr>
          <w:rFonts w:hint="eastAsia" w:ascii="仿宋_GB2312" w:hAnsi="华文仿宋" w:eastAsia="仿宋_GB2312" w:cs="华文仿宋"/>
          <w:color w:val="000000"/>
          <w:kern w:val="0"/>
          <w:sz w:val="32"/>
          <w:szCs w:val="32"/>
          <w:highlight w:val="none"/>
          <w:lang w:val="en-US" w:eastAsia="zh-CN" w:bidi="ar-SA"/>
        </w:rPr>
        <w:t>等方面所发挥的</w:t>
      </w:r>
      <w:r>
        <w:rPr>
          <w:rFonts w:hint="eastAsia" w:ascii="仿宋_GB2312" w:hAnsi="楷体" w:eastAsia="仿宋_GB2312" w:cs="Times New Roman"/>
          <w:color w:val="000000"/>
          <w:kern w:val="0"/>
          <w:sz w:val="32"/>
          <w:szCs w:val="32"/>
          <w:highlight w:val="none"/>
          <w:lang w:val="en-US" w:eastAsia="zh-CN" w:bidi="ar-SA"/>
        </w:rPr>
        <w:t>积极</w:t>
      </w:r>
      <w:r>
        <w:rPr>
          <w:rFonts w:hint="eastAsia" w:ascii="仿宋_GB2312" w:hAnsi="华文仿宋" w:eastAsia="仿宋_GB2312" w:cs="华文仿宋"/>
          <w:color w:val="000000"/>
          <w:kern w:val="0"/>
          <w:sz w:val="32"/>
          <w:szCs w:val="32"/>
          <w:highlight w:val="none"/>
          <w:lang w:val="en-US" w:eastAsia="zh-CN" w:bidi="ar-SA"/>
        </w:rPr>
        <w:t>作用。一是购置必要的办公设备提高单位的运行效能，实现资产的优化配置，确保资产的最大化利用，提高单位整体效益。二是做好资产的定期更新和维护，以最优的资产配置推动单位的可持续发展。三是引入科技化固定资产，在创城、环卫和垃圾分类等方面实现科技赋能，全面提升全镇人居环境水平。</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0" w:leftChars="0"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资产管理工作存在的问题</w:t>
      </w:r>
    </w:p>
    <w:p>
      <w:pPr>
        <w:keepNext w:val="0"/>
        <w:keepLines w:val="0"/>
        <w:pageBreakBefore w:val="0"/>
        <w:widowControl w:val="0"/>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（一）资产管理队伍专业能力有待提升</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资产管理员对《上海市崇明区行政事业性单位国有资产管理办法》《上海市崇明区行政事业性单位国有资产处置管理办法》等核心制度理解不深、把握不准，对资产管理信息系统的操作熟练度不足，影响资产管理工作效率。核心原因在于资产管理员专业素养参差不齐，且单位未建立系统性的资产管理员交接程序，新任管理员无法快速掌握制度要求与系统操作技能。</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（二）部分资产卡片信息完善度不足</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jc w:val="both"/>
        <w:textAlignment w:val="auto"/>
        <w:rPr>
          <w:rFonts w:hint="eastAsia" w:ascii="仿宋_GB2312" w:hAnsi="楷体" w:eastAsia="仿宋_GB2312" w:cs="Times New Roman"/>
          <w:b w:val="0"/>
          <w:bCs/>
          <w:kern w:val="0"/>
          <w:sz w:val="32"/>
          <w:szCs w:val="32"/>
          <w:lang w:val="en-US" w:eastAsia="zh-CN" w:bidi="ar-SA"/>
        </w:rPr>
      </w:pPr>
      <w:r>
        <w:rPr>
          <w:rFonts w:hint="default" w:ascii="仿宋_GB2312" w:hAnsi="楷体" w:eastAsia="仿宋_GB2312" w:cs="Times New Roman"/>
          <w:b w:val="0"/>
          <w:bCs/>
          <w:kern w:val="0"/>
          <w:sz w:val="32"/>
          <w:szCs w:val="32"/>
          <w:lang w:val="en-US" w:eastAsia="zh-CN" w:bidi="ar-SA"/>
        </w:rPr>
        <w:t>在新一轮资产盘点工作中发现，部分资产卡片存在信息填写过于简单的问题，未能满足资产管理工作精细化要求。主要原因是资产管理信息系统完成升级完善后，对资产卡片信息的填报要求进一步提高，但资产管理员未及时跟进系统要求，未对原有资产卡片信息进行补充、修改和完善</w:t>
      </w:r>
      <w:r>
        <w:rPr>
          <w:rFonts w:hint="eastAsia" w:ascii="仿宋_GB2312" w:hAnsi="楷体" w:eastAsia="仿宋_GB2312" w:cs="Times New Roman"/>
          <w:b w:val="0"/>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（三）资产处置流程规范性有待加强</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640" w:firstLineChars="200"/>
        <w:jc w:val="both"/>
        <w:textAlignment w:val="auto"/>
        <w:rPr>
          <w:rFonts w:hint="default" w:ascii="仿宋_GB2312" w:hAnsi="楷体" w:eastAsia="仿宋_GB2312" w:cs="Times New Roman"/>
          <w:b w:val="0"/>
          <w:bCs/>
          <w:kern w:val="0"/>
          <w:sz w:val="32"/>
          <w:szCs w:val="32"/>
          <w:lang w:val="en-US" w:eastAsia="zh-CN" w:bidi="ar-SA"/>
        </w:rPr>
      </w:pPr>
      <w:r>
        <w:rPr>
          <w:rFonts w:hint="eastAsia" w:ascii="仿宋_GB2312" w:hAnsi="楷体" w:eastAsia="仿宋_GB2312" w:cs="Times New Roman"/>
          <w:b w:val="0"/>
          <w:bCs/>
          <w:kern w:val="0"/>
          <w:sz w:val="32"/>
          <w:szCs w:val="32"/>
          <w:lang w:val="en-US" w:eastAsia="zh-CN" w:bidi="ar-SA"/>
        </w:rPr>
        <w:t>在国有资产专项监督检查中，发现资产处置流程存在不规范问题，主要体现在两方面：一是部分资产处置单遗漏主管单位审核公章，手续完整性不足；二是资产处置过程中，三方询价相关资料收集不全，可能影响资产处置收益最大化。</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left="0" w:leftChars="0" w:firstLine="643" w:firstLineChars="200"/>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b/>
          <w:bCs w:val="0"/>
          <w:kern w:val="0"/>
          <w:sz w:val="32"/>
          <w:szCs w:val="32"/>
          <w:lang w:val="en-US" w:eastAsia="zh-CN" w:bidi="ar-SA"/>
        </w:rPr>
        <w:t>下一步工作思路</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（一）</w:t>
      </w:r>
      <w:r>
        <w:rPr>
          <w:rFonts w:hint="eastAsia" w:ascii="仿宋_GB2312" w:hAnsi="楷体" w:eastAsia="仿宋_GB2312" w:cs="Times New Roman"/>
          <w:b/>
          <w:bCs w:val="0"/>
          <w:kern w:val="0"/>
          <w:sz w:val="32"/>
          <w:szCs w:val="32"/>
          <w:lang w:val="en-US" w:eastAsia="zh-CN" w:bidi="ar-SA"/>
        </w:rPr>
        <w:t>补强队伍建设，提升专业能力</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建立国有资产管理常态化培训机制，针对资产管理员存在的制度理解不深、系统操作不熟练等问题，开展系统性、针对性的专项培训，切实提升资产管理员专业素养和业务能力。同时制定标准化的资产管理员交接流程，明确交接内容、责任划分，确保资产管理工作的连续性和稳定性；梳理资产管理信息系统操作流程并编制流程图，便于管理员快速掌握操作技能，提升工作效率。</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（二）</w:t>
      </w:r>
      <w:r>
        <w:rPr>
          <w:rFonts w:hint="eastAsia" w:ascii="仿宋_GB2312" w:hAnsi="楷体" w:eastAsia="仿宋_GB2312" w:cs="Times New Roman"/>
          <w:b/>
          <w:bCs w:val="0"/>
          <w:kern w:val="0"/>
          <w:sz w:val="32"/>
          <w:szCs w:val="32"/>
          <w:lang w:val="en-US" w:eastAsia="zh-CN" w:bidi="ar-SA"/>
        </w:rPr>
        <w:t>细化资产信息，夯实管理基础</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kern w:val="0"/>
          <w:sz w:val="32"/>
          <w:szCs w:val="32"/>
          <w:lang w:val="en-US" w:eastAsia="zh-CN" w:bidi="ar-SA"/>
        </w:rPr>
      </w:pPr>
      <w:r>
        <w:rPr>
          <w:rFonts w:hint="eastAsia" w:ascii="仿宋_GB2312" w:hAnsi="楷体" w:eastAsia="仿宋_GB2312" w:cs="Times New Roman"/>
          <w:kern w:val="0"/>
          <w:sz w:val="32"/>
          <w:szCs w:val="32"/>
          <w:lang w:val="en-US" w:eastAsia="zh-CN" w:bidi="ar-SA"/>
        </w:rPr>
        <w:t>督促各单位资产管理员限期完成资产卡片信息补充完善工作，按照新的系统填报要求，精准填写资产各项信息，补全资产卡片相关图片资料，确保资产卡片信息真实、完整、准确。建立资产卡片信息定期核查机制，由资产管理部门牵头，定期对资产卡片信息进行抽查复核，及时发现并整改信息不完善问题，夯实资产管理精细化基础。</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（三）</w:t>
      </w:r>
      <w:r>
        <w:rPr>
          <w:rFonts w:hint="eastAsia" w:ascii="仿宋_GB2312" w:hAnsi="楷体" w:eastAsia="仿宋_GB2312" w:cs="Times New Roman"/>
          <w:b/>
          <w:bCs w:val="0"/>
          <w:kern w:val="0"/>
          <w:sz w:val="32"/>
          <w:szCs w:val="32"/>
          <w:lang w:val="en-US" w:eastAsia="zh-CN" w:bidi="ar-SA"/>
        </w:rPr>
        <w:t>严格流程管控，规范资产处置</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0" w:leftChars="0" w:firstLine="720" w:firstLineChars="225"/>
        <w:jc w:val="both"/>
        <w:textAlignment w:val="auto"/>
        <w:rPr>
          <w:rFonts w:hint="eastAsia" w:ascii="仿宋_GB2312" w:hAnsi="楷体" w:eastAsia="仿宋_GB2312" w:cs="Times New Roman"/>
          <w:b/>
          <w:bCs w:val="0"/>
          <w:kern w:val="0"/>
          <w:sz w:val="32"/>
          <w:szCs w:val="32"/>
          <w:lang w:val="en-US" w:eastAsia="zh-CN" w:bidi="ar-SA"/>
        </w:rPr>
      </w:pPr>
      <w:r>
        <w:rPr>
          <w:rFonts w:hint="eastAsia" w:ascii="仿宋_GB2312" w:hAnsi="楷体" w:eastAsia="仿宋_GB2312" w:cs="Times New Roman"/>
          <w:kern w:val="0"/>
          <w:sz w:val="32"/>
          <w:szCs w:val="32"/>
          <w:lang w:val="en-US" w:eastAsia="zh-CN" w:bidi="ar-SA"/>
        </w:rPr>
        <w:t>针对资产处置流程不规范问题，开展专项整改，对遗漏审核公章的处置单及时补全手续，同时加强对资产处置单填报、审核、盖章等全环节的检查，确保处置手续完整规范。进一步完善资产处置三方询价工作机制，明确询价资料收集、审核、归档的标准和要求，安排专人负责资料收集与审核，确保询价资料齐全、有效，切实保障资产处置回收利益最大化。</w:t>
      </w:r>
    </w:p>
    <w:sectPr>
      <w:pgSz w:w="11906" w:h="16838"/>
      <w:pgMar w:top="1440" w:right="1082" w:bottom="1440" w:left="1082" w:header="0" w:footer="7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1E99"/>
    <w:multiLevelType w:val="singleLevel"/>
    <w:tmpl w:val="BFEF1E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true"/>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DE596"/>
    <w:rsid w:val="4ABF54EA"/>
    <w:rsid w:val="4CBFDA08"/>
    <w:rsid w:val="598C3CB1"/>
    <w:rsid w:val="5BBF5B13"/>
    <w:rsid w:val="5DEDBF04"/>
    <w:rsid w:val="5EFF973B"/>
    <w:rsid w:val="6CDFDCA5"/>
    <w:rsid w:val="6F9F3557"/>
    <w:rsid w:val="75740BF2"/>
    <w:rsid w:val="7EEFF439"/>
    <w:rsid w:val="7FA7BA59"/>
    <w:rsid w:val="BE1EE956"/>
    <w:rsid w:val="BF5B60F2"/>
    <w:rsid w:val="BFFDAD98"/>
    <w:rsid w:val="DF7A6BCE"/>
    <w:rsid w:val="F3F9A438"/>
    <w:rsid w:val="FAFF8210"/>
    <w:rsid w:val="FDCF64D5"/>
    <w:rsid w:val="FEF70D01"/>
    <w:rsid w:val="FFCD57DE"/>
    <w:rsid w:val="FFD73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nhideWhenUsed="0" w:uiPriority="99" w:semiHidden="0" w:name="heading 5"/>
    <w:lsdException w:unhideWhenUsed="0" w:uiPriority="99" w:semiHidden="0" w:name="heading 6"/>
    <w:lsdException w:unhideWhenUsed="0" w:uiPriority="99" w:semiHidden="0" w:name="heading 7"/>
    <w:lsdException w:unhideWhenUsed="0" w:uiPriority="99" w:semiHidden="0" w:name="heading 8"/>
    <w:lsdException w:unhideWhenUsed="0" w:uiPriority="99"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nhideWhenUsed="0" w:uiPriority="99"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adjustRightInd/>
      <w:snapToGrid w:val="0"/>
      <w:spacing w:line="360" w:lineRule="auto"/>
      <w:contextualSpacing/>
      <w:jc w:val="left"/>
    </w:pPr>
    <w:rPr>
      <w:rFonts w:ascii="宋体" w:hAnsi="宋体" w:eastAsia="宋体" w:cstheme="minorBidi"/>
      <w:bCs/>
      <w:kern w:val="30"/>
      <w:sz w:val="24"/>
      <w:szCs w:val="30"/>
    </w:rPr>
  </w:style>
  <w:style w:type="paragraph" w:styleId="2">
    <w:name w:val="heading 1"/>
    <w:next w:val="1"/>
    <w:qFormat/>
    <w:uiPriority w:val="9"/>
    <w:pPr>
      <w:keepNext/>
      <w:keepLines/>
      <w:widowControl/>
      <w:adjustRightInd/>
      <w:snapToGrid w:val="0"/>
      <w:spacing w:line="360" w:lineRule="auto"/>
      <w:contextualSpacing/>
      <w:jc w:val="left"/>
      <w:outlineLvl w:val="0"/>
    </w:pPr>
    <w:rPr>
      <w:rFonts w:ascii="黑体" w:hAnsi="黑体" w:eastAsia="黑体" w:cstheme="minorBidi"/>
      <w:bCs/>
      <w:kern w:val="44"/>
      <w:sz w:val="32"/>
      <w:szCs w:val="44"/>
    </w:rPr>
  </w:style>
  <w:style w:type="paragraph" w:styleId="3">
    <w:name w:val="heading 2"/>
    <w:next w:val="1"/>
    <w:unhideWhenUsed/>
    <w:qFormat/>
    <w:uiPriority w:val="9"/>
    <w:pPr>
      <w:keepNext/>
      <w:keepLines/>
      <w:widowControl/>
      <w:adjustRightInd/>
      <w:snapToGrid w:val="0"/>
      <w:spacing w:line="360" w:lineRule="auto"/>
      <w:contextualSpacing/>
      <w:jc w:val="left"/>
      <w:outlineLvl w:val="1"/>
    </w:pPr>
    <w:rPr>
      <w:rFonts w:ascii="楷体" w:hAnsi="楷体" w:eastAsia="楷体" w:cstheme="minorBidi"/>
      <w:bCs/>
      <w:kern w:val="44"/>
      <w:sz w:val="30"/>
      <w:szCs w:val="44"/>
    </w:rPr>
  </w:style>
  <w:style w:type="paragraph" w:styleId="4">
    <w:name w:val="heading 3"/>
    <w:next w:val="1"/>
    <w:unhideWhenUsed/>
    <w:qFormat/>
    <w:uiPriority w:val="9"/>
    <w:pPr>
      <w:keepNext/>
      <w:keepLines/>
      <w:widowControl/>
      <w:adjustRightInd/>
      <w:snapToGrid w:val="0"/>
      <w:spacing w:line="360" w:lineRule="auto"/>
      <w:contextualSpacing/>
      <w:jc w:val="left"/>
      <w:outlineLvl w:val="2"/>
    </w:pPr>
    <w:rPr>
      <w:rFonts w:ascii="宋体" w:hAnsi="宋体" w:eastAsia="宋体" w:cstheme="minorBidi"/>
      <w:b/>
      <w:bCs/>
      <w:kern w:val="30"/>
      <w:sz w:val="24"/>
      <w:szCs w:val="30"/>
    </w:rPr>
  </w:style>
  <w:style w:type="paragraph" w:styleId="5">
    <w:name w:val="heading 4"/>
    <w:next w:val="1"/>
    <w:unhideWhenUsed/>
    <w:qFormat/>
    <w:uiPriority w:val="9"/>
    <w:pPr>
      <w:keepNext/>
      <w:keepLines/>
      <w:widowControl/>
      <w:adjustRightInd/>
      <w:snapToGrid w:val="0"/>
      <w:spacing w:line="360" w:lineRule="auto"/>
      <w:contextualSpacing/>
      <w:jc w:val="left"/>
      <w:outlineLvl w:val="3"/>
    </w:pPr>
    <w:rPr>
      <w:rFonts w:ascii="宋体" w:hAnsi="宋体" w:eastAsia="宋体" w:cstheme="minorBidi"/>
      <w:bCs/>
      <w:kern w:val="30"/>
      <w:sz w:val="24"/>
      <w:szCs w:val="30"/>
    </w:rPr>
  </w:style>
  <w:style w:type="character" w:default="1" w:styleId="7">
    <w:name w:val="Default Paragraph Font"/>
    <w:qFormat/>
    <w:uiPriority w:val="99"/>
  </w:style>
  <w:style w:type="table" w:default="1" w:styleId="6">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3379</Words>
  <Characters>3965</Characters>
  <TotalTime>31</TotalTime>
  <ScaleCrop>false</ScaleCrop>
  <LinksUpToDate>false</LinksUpToDate>
  <CharactersWithSpaces>3981</CharactersWithSpaces>
  <Application>WPS Office_11.8.2.10195_F1E327BC-269C-435d-A152-05C5408002CA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2026-02-15T09:19:00Z</dcterms:created>
  <dc:creator>Apache POI</dc:creator>
  <cp:lastModifiedBy>user</cp:lastModifiedBy>
  <cp:lastPrinted>2026-02-25T09:15:00Z</cp:lastPrinted>
  <dcterms:modified xsi:type="dcterms:W3CDTF">2026-02-27T08:45:44Z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KSOTemplateDocerSaveRecord">
    <vt:lpwstr>eyJoZGlkIjoiZjM1ZGI1MWNjYTM2NTEyNmM0OWJlOWNkZTYxZGRhNmUiLCJ1c2VySWQiOiI0NjAzNDIxMDQifQ==</vt:lpwstr>
  </property>
  <property fmtid="{D5CDD505-2E9C-101B-9397-08002B2CF9AE}" pid="4" name="ICV">
    <vt:lpwstr>78F6D1E22AF4400DBC39EAC31A221FEB_13</vt:lpwstr>
  </property>
</Properties>
</file>