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上海市崇明区城桥镇人民政府2025年度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行政事业性国有资产报表填报说明</w:t>
      </w:r>
    </w:p>
    <w:p>
      <w:pPr>
        <w:pStyle w:val="3"/>
        <w:spacing w:line="600" w:lineRule="exact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一、数据填报口径</w:t>
      </w:r>
    </w:p>
    <w:p>
      <w:pPr>
        <w:pStyle w:val="3"/>
        <w:spacing w:line="360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hAnsi="仿宋"/>
          <w:sz w:val="32"/>
          <w:szCs w:val="32"/>
        </w:rPr>
        <w:t>本部门应纳入</w:t>
      </w:r>
      <w:r>
        <w:rPr>
          <w:rFonts w:hint="eastAsia" w:ascii="Times New Roman" w:hAnsi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hAnsi="仿宋"/>
          <w:sz w:val="32"/>
          <w:szCs w:val="32"/>
        </w:rPr>
        <w:t>年度行政事业性国有资产报表（以下简称资产报表）填报范围的行政事业单位</w:t>
      </w:r>
      <w:r>
        <w:rPr>
          <w:rFonts w:ascii="Times New Roman" w:hAnsi="Times New Roman"/>
          <w:sz w:val="32"/>
          <w:szCs w:val="32"/>
        </w:rPr>
        <w:t>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/>
          <w:sz w:val="32"/>
          <w:szCs w:val="32"/>
        </w:rPr>
        <w:t>个，实际上报单位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/>
          <w:sz w:val="32"/>
          <w:szCs w:val="32"/>
        </w:rPr>
        <w:t>个。</w:t>
      </w:r>
    </w:p>
    <w:p>
      <w:pPr>
        <w:pStyle w:val="3"/>
        <w:spacing w:line="600" w:lineRule="exact"/>
        <w:ind w:left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二、数据审核情况</w:t>
      </w:r>
    </w:p>
    <w:p>
      <w:pPr>
        <w:pStyle w:val="3"/>
        <w:spacing w:line="600" w:lineRule="exact"/>
        <w:ind w:firstLine="472" w:firstLineChars="147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（一）审核情况</w:t>
      </w:r>
    </w:p>
    <w:p>
      <w:pPr>
        <w:pStyle w:val="3"/>
        <w:spacing w:line="600" w:lineRule="exact"/>
        <w:ind w:firstLine="64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>1.核实性审核。本部门全表审核后核实性问题提示共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z w:val="32"/>
          <w:szCs w:val="32"/>
        </w:rPr>
        <w:t>类，共计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z w:val="32"/>
          <w:szCs w:val="32"/>
        </w:rPr>
        <w:t>条，涉及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/>
          <w:sz w:val="32"/>
          <w:szCs w:val="32"/>
        </w:rPr>
        <w:t>个单位</w:t>
      </w:r>
      <w:r>
        <w:rPr>
          <w:rFonts w:hint="eastAsia" w:ascii="Times New Roman" w:hAnsi="Times New Roman"/>
          <w:sz w:val="32"/>
          <w:szCs w:val="32"/>
          <w:lang w:eastAsia="zh-CN"/>
        </w:rPr>
        <w:t>。</w:t>
      </w:r>
    </w:p>
    <w:p>
      <w:pPr>
        <w:pStyle w:val="3"/>
        <w:spacing w:line="600" w:lineRule="exact"/>
        <w:ind w:firstLine="640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（1）【请核实】公务用车的实有数&gt;公务用车的编制数，原因为公务车编制3辆，另有8辆环卫车不在编。</w:t>
      </w:r>
    </w:p>
    <w:p>
      <w:pPr>
        <w:pStyle w:val="3"/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>2.基础数据审核。本部门资产数据与上年对比，增减</w:t>
      </w:r>
      <w:r>
        <w:rPr>
          <w:rFonts w:hint="eastAsia" w:ascii="Times New Roman" w:hAnsi="Times New Roman"/>
          <w:sz w:val="32"/>
          <w:szCs w:val="32"/>
          <w:lang w:eastAsia="zh-CN"/>
        </w:rPr>
        <w:t>无</w:t>
      </w:r>
      <w:r>
        <w:rPr>
          <w:rFonts w:ascii="Times New Roman" w:hAnsi="Times New Roman"/>
          <w:sz w:val="32"/>
          <w:szCs w:val="32"/>
        </w:rPr>
        <w:t>超过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/>
          <w:sz w:val="32"/>
          <w:szCs w:val="32"/>
        </w:rPr>
        <w:t>0%且≥±100万元的</w:t>
      </w:r>
      <w:r>
        <w:rPr>
          <w:rFonts w:hint="eastAsia" w:ascii="Times New Roman" w:hAnsi="Times New Roman"/>
          <w:sz w:val="32"/>
          <w:szCs w:val="32"/>
          <w:lang w:eastAsia="zh-CN"/>
        </w:rPr>
        <w:t>情况。</w:t>
      </w:r>
    </w:p>
    <w:p>
      <w:pPr>
        <w:pStyle w:val="3"/>
        <w:spacing w:line="600" w:lineRule="exact"/>
        <w:ind w:firstLine="64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  <w:lang w:eastAsia="zh-CN"/>
        </w:rPr>
        <w:t>与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2025年12月资产月报对比审核。本部门资产年报中的资产合计与资产月报中的资产合计一致。</w:t>
      </w:r>
    </w:p>
    <w:tbl>
      <w:tblPr>
        <w:tblStyle w:val="9"/>
        <w:tblW w:w="907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99"/>
        <w:gridCol w:w="1743"/>
        <w:gridCol w:w="1743"/>
        <w:gridCol w:w="1583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0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对比数据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资产年报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资产月报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差异比率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差异原因说明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0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栏次</w:t>
            </w:r>
          </w:p>
        </w:tc>
        <w:tc>
          <w:tcPr>
            <w:tcW w:w="15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4=（2-3）/2</w:t>
            </w:r>
          </w:p>
        </w:tc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0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6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资产合计期末数（万元）</w:t>
            </w:r>
          </w:p>
        </w:tc>
        <w:tc>
          <w:tcPr>
            <w:tcW w:w="161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24214.97</w:t>
            </w:r>
          </w:p>
        </w:tc>
        <w:tc>
          <w:tcPr>
            <w:tcW w:w="161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24214.97</w:t>
            </w:r>
          </w:p>
        </w:tc>
        <w:tc>
          <w:tcPr>
            <w:tcW w:w="161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618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/>
          <w:sz w:val="32"/>
          <w:szCs w:val="32"/>
        </w:rPr>
        <w:t>.与政府部门财务报告对比审核。本部门报送资产报表的单位中，有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/>
          <w:sz w:val="32"/>
          <w:szCs w:val="32"/>
        </w:rPr>
        <w:t>个单位未纳入政府部门财务报告填报范围；纳入本部门政府部门财务报告的行政事业单位（不含企业化管理事业单位）有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/>
          <w:sz w:val="32"/>
          <w:szCs w:val="32"/>
        </w:rPr>
        <w:t>个未报送资产报表</w:t>
      </w:r>
      <w:r>
        <w:rPr>
          <w:rFonts w:hint="eastAsia" w:ascii="Times New Roman" w:hAnsi="Times New Roman"/>
          <w:sz w:val="32"/>
          <w:szCs w:val="32"/>
          <w:lang w:eastAsia="zh-CN"/>
        </w:rPr>
        <w:t>。</w:t>
      </w:r>
    </w:p>
    <w:p>
      <w:pPr>
        <w:pStyle w:val="3"/>
        <w:spacing w:line="600" w:lineRule="exact"/>
        <w:ind w:firstLine="640" w:firstLineChars="200"/>
        <w:rPr>
          <w:rFonts w:hAnsi="仿宋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sz w:val="32"/>
          <w:szCs w:val="32"/>
        </w:rPr>
        <w:t>.与部门决算对比审核。本部门资产年报与决算报表可比单位数量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/>
          <w:sz w:val="32"/>
          <w:szCs w:val="32"/>
        </w:rPr>
        <w:t>个（即同时报送资产年报和部门决算的单位）。其中，无差异单位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/>
          <w:sz w:val="32"/>
          <w:szCs w:val="32"/>
        </w:rPr>
        <w:t>个，有差异单位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/>
          <w:sz w:val="32"/>
          <w:szCs w:val="32"/>
        </w:rPr>
        <w:t>个。</w:t>
      </w:r>
    </w:p>
    <w:tbl>
      <w:tblPr>
        <w:tblStyle w:val="9"/>
        <w:tblW w:w="10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986"/>
        <w:gridCol w:w="1242"/>
        <w:gridCol w:w="1496"/>
        <w:gridCol w:w="1242"/>
        <w:gridCol w:w="1496"/>
        <w:gridCol w:w="1174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28"/>
                <w:szCs w:val="28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对比指标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资产</w:t>
            </w:r>
            <w:r>
              <w:rPr>
                <w:rFonts w:hAnsi="仿宋"/>
                <w:szCs w:val="28"/>
              </w:rPr>
              <w:t>年</w:t>
            </w:r>
            <w:r>
              <w:rPr>
                <w:rFonts w:hint="eastAsia" w:hAnsi="仿宋"/>
                <w:szCs w:val="28"/>
              </w:rPr>
              <w:t>报</w:t>
            </w:r>
            <w:r>
              <w:rPr>
                <w:rFonts w:hAnsi="仿宋"/>
                <w:szCs w:val="28"/>
              </w:rPr>
              <w:t>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部门</w:t>
            </w:r>
            <w:r>
              <w:rPr>
                <w:rFonts w:hAnsi="仿宋"/>
                <w:szCs w:val="28"/>
              </w:rPr>
              <w:t>决算</w:t>
            </w:r>
            <w:r>
              <w:rPr>
                <w:rFonts w:hint="eastAsia" w:hAnsi="仿宋"/>
                <w:szCs w:val="28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差异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户数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差异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Ansi="仿宋"/>
                <w:szCs w:val="2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金额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（万元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金额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Ansi="仿宋"/>
                <w:szCs w:val="28"/>
              </w:rPr>
            </w:pPr>
            <w:r>
              <w:rPr>
                <w:rFonts w:hint="eastAsia" w:hAnsi="仿宋"/>
                <w:szCs w:val="28"/>
              </w:rPr>
              <w:t>（万元</w:t>
            </w:r>
            <w:r>
              <w:rPr>
                <w:rFonts w:hAnsi="仿宋"/>
                <w:szCs w:val="28"/>
              </w:rPr>
              <w:t>）</w:t>
            </w:r>
          </w:p>
        </w:tc>
        <w:tc>
          <w:tcPr>
            <w:tcW w:w="12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房屋（平方米）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24095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11617.16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24095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11617.16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车辆（台、辆）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380.96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380.96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单价100万元（含）以上的设备（不含车辆）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</w:rPr>
              <w:t>——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Ansi="仿宋"/>
                <w:sz w:val="32"/>
                <w:szCs w:val="32"/>
              </w:rPr>
            </w:pPr>
          </w:p>
        </w:tc>
      </w:tr>
    </w:tbl>
    <w:p>
      <w:pPr>
        <w:pStyle w:val="3"/>
        <w:spacing w:line="360" w:lineRule="auto"/>
        <w:ind w:firstLine="640"/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6.</w:t>
      </w:r>
      <w:r>
        <w:rPr>
          <w:rFonts w:hint="eastAsia" w:hAnsi="Calibri"/>
          <w:color w:val="auto"/>
          <w:kern w:val="2"/>
          <w:sz w:val="32"/>
          <w:szCs w:val="32"/>
          <w:lang w:val="en-US" w:eastAsia="zh-CN"/>
        </w:rPr>
        <w:t>公共基础设施等行政事业性国有资产无增长变化情况。</w:t>
      </w:r>
    </w:p>
    <w:tbl>
      <w:tblPr>
        <w:tblStyle w:val="9"/>
        <w:tblW w:w="923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75"/>
        <w:gridCol w:w="1327"/>
        <w:gridCol w:w="1470"/>
        <w:gridCol w:w="153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对比数据（原值）</w:t>
            </w:r>
          </w:p>
        </w:tc>
        <w:tc>
          <w:tcPr>
            <w:tcW w:w="13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2025年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期末数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2024年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期末数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增减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比率</w:t>
            </w:r>
          </w:p>
        </w:tc>
        <w:tc>
          <w:tcPr>
            <w:tcW w:w="15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变动原因说明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栏次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4=（2-3）/3</w:t>
            </w:r>
          </w:p>
        </w:tc>
        <w:tc>
          <w:tcPr>
            <w:tcW w:w="15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公共基础设施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市政基础设施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</w:tcPr>
          <w:p>
            <w:pPr>
              <w:pStyle w:val="3"/>
              <w:spacing w:line="600" w:lineRule="exact"/>
              <w:ind w:firstLine="720" w:firstLineChars="300"/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交通基础设施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</w:tcPr>
          <w:p>
            <w:pPr>
              <w:pStyle w:val="3"/>
              <w:spacing w:line="600" w:lineRule="exact"/>
              <w:ind w:firstLine="720" w:firstLineChars="300"/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水利基础设施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718" w:leftChars="342" w:firstLine="0" w:firstLineChars="0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其他公共基础设施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政府储备物资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保障性住房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文物文化资产</w:t>
            </w:r>
          </w:p>
        </w:tc>
        <w:tc>
          <w:tcPr>
            <w:tcW w:w="1327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vAlign w:val="top"/>
          </w:tcPr>
          <w:p>
            <w:pPr>
              <w:pStyle w:val="3"/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7" w:type="dxa"/>
          </w:tcPr>
          <w:p>
            <w:pPr>
              <w:pStyle w:val="3"/>
              <w:spacing w:line="600" w:lineRule="exact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（二）对报表指标、审核公式和分析表的设置建议</w:t>
      </w:r>
    </w:p>
    <w:p>
      <w:pPr>
        <w:pStyle w:val="3"/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>1.对报表指标设置的建议。</w:t>
      </w:r>
      <w:r>
        <w:rPr>
          <w:rFonts w:hint="eastAsia" w:ascii="Times New Roman" w:hAnsi="Times New Roman"/>
          <w:sz w:val="32"/>
          <w:szCs w:val="32"/>
          <w:lang w:eastAsia="zh-CN"/>
        </w:rPr>
        <w:t>无。</w:t>
      </w:r>
    </w:p>
    <w:p>
      <w:pPr>
        <w:pStyle w:val="3"/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>2.如有不适用的审核公式，请列出并说明修改意见。</w:t>
      </w:r>
      <w:r>
        <w:rPr>
          <w:rFonts w:hint="eastAsia" w:ascii="Times New Roman" w:hAnsi="Times New Roman"/>
          <w:sz w:val="32"/>
          <w:szCs w:val="32"/>
          <w:lang w:eastAsia="zh-CN"/>
        </w:rPr>
        <w:t>无。</w:t>
      </w:r>
    </w:p>
    <w:p>
      <w:pPr>
        <w:pStyle w:val="3"/>
        <w:spacing w:line="600" w:lineRule="exact"/>
        <w:ind w:firstLine="640"/>
        <w:rPr>
          <w:rFonts w:hint="eastAsia" w:hAnsi="仿宋" w:eastAsia="仿宋_GB2312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hAnsi="仿宋"/>
          <w:sz w:val="32"/>
          <w:szCs w:val="32"/>
        </w:rPr>
        <w:t>本部门自行增加的审核公式，请列出并说明设置依据。</w:t>
      </w:r>
      <w:r>
        <w:rPr>
          <w:rFonts w:hint="eastAsia" w:hAnsi="仿宋"/>
          <w:sz w:val="32"/>
          <w:szCs w:val="32"/>
          <w:lang w:eastAsia="zh-CN"/>
        </w:rPr>
        <w:t>无。</w:t>
      </w:r>
    </w:p>
    <w:p>
      <w:pPr>
        <w:ind w:firstLine="720" w:firstLineChars="225"/>
        <w:rPr>
          <w:rFonts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产损失、权属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不清晰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等重要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政府储备物资、文物文化资产、保障性住房数据与行业统计数据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对比一致。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 w:cstheme="minorEastAsia"/>
        <w:sz w:val="28"/>
        <w:szCs w:val="28"/>
        <w:lang w:val="zh-CN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91"/>
    <w:rsid w:val="000049FE"/>
    <w:rsid w:val="00025FE2"/>
    <w:rsid w:val="0005300D"/>
    <w:rsid w:val="00057D79"/>
    <w:rsid w:val="00060164"/>
    <w:rsid w:val="0006365D"/>
    <w:rsid w:val="00070D4D"/>
    <w:rsid w:val="00093C60"/>
    <w:rsid w:val="000A6954"/>
    <w:rsid w:val="000B0273"/>
    <w:rsid w:val="000C0B41"/>
    <w:rsid w:val="000E1A94"/>
    <w:rsid w:val="00104A2E"/>
    <w:rsid w:val="00112231"/>
    <w:rsid w:val="00115EAB"/>
    <w:rsid w:val="00124AA1"/>
    <w:rsid w:val="00130C7A"/>
    <w:rsid w:val="001317CB"/>
    <w:rsid w:val="00135BD3"/>
    <w:rsid w:val="001D1C02"/>
    <w:rsid w:val="001E2AD1"/>
    <w:rsid w:val="001F4EF9"/>
    <w:rsid w:val="001F585A"/>
    <w:rsid w:val="0020017F"/>
    <w:rsid w:val="00245824"/>
    <w:rsid w:val="00260602"/>
    <w:rsid w:val="00260835"/>
    <w:rsid w:val="002816D5"/>
    <w:rsid w:val="00294E37"/>
    <w:rsid w:val="002B7325"/>
    <w:rsid w:val="002C63C3"/>
    <w:rsid w:val="002F1B98"/>
    <w:rsid w:val="00313106"/>
    <w:rsid w:val="00316C04"/>
    <w:rsid w:val="00335991"/>
    <w:rsid w:val="00343A10"/>
    <w:rsid w:val="00344E53"/>
    <w:rsid w:val="0034673F"/>
    <w:rsid w:val="0039703D"/>
    <w:rsid w:val="003A3A2D"/>
    <w:rsid w:val="003B7322"/>
    <w:rsid w:val="003D4053"/>
    <w:rsid w:val="003F286C"/>
    <w:rsid w:val="004127EB"/>
    <w:rsid w:val="00432B1F"/>
    <w:rsid w:val="00434575"/>
    <w:rsid w:val="004B14B2"/>
    <w:rsid w:val="004C4497"/>
    <w:rsid w:val="004E66B6"/>
    <w:rsid w:val="0050435A"/>
    <w:rsid w:val="00521A84"/>
    <w:rsid w:val="00544332"/>
    <w:rsid w:val="005540C2"/>
    <w:rsid w:val="005674F5"/>
    <w:rsid w:val="00583C5E"/>
    <w:rsid w:val="00591362"/>
    <w:rsid w:val="0059651B"/>
    <w:rsid w:val="005A0BE4"/>
    <w:rsid w:val="005A1BA1"/>
    <w:rsid w:val="005B3DE9"/>
    <w:rsid w:val="005B7631"/>
    <w:rsid w:val="005D179C"/>
    <w:rsid w:val="00654FF0"/>
    <w:rsid w:val="00683CF7"/>
    <w:rsid w:val="00684169"/>
    <w:rsid w:val="006949CA"/>
    <w:rsid w:val="006A0C68"/>
    <w:rsid w:val="006E6AEC"/>
    <w:rsid w:val="00702284"/>
    <w:rsid w:val="00704CA6"/>
    <w:rsid w:val="007259D4"/>
    <w:rsid w:val="00732BFE"/>
    <w:rsid w:val="00742F68"/>
    <w:rsid w:val="00754EED"/>
    <w:rsid w:val="00757346"/>
    <w:rsid w:val="00770C5C"/>
    <w:rsid w:val="00796F97"/>
    <w:rsid w:val="00815357"/>
    <w:rsid w:val="00837987"/>
    <w:rsid w:val="0084501D"/>
    <w:rsid w:val="00845C4E"/>
    <w:rsid w:val="00846FA0"/>
    <w:rsid w:val="0087312C"/>
    <w:rsid w:val="008E1490"/>
    <w:rsid w:val="00922278"/>
    <w:rsid w:val="00952E45"/>
    <w:rsid w:val="009636B1"/>
    <w:rsid w:val="0098376A"/>
    <w:rsid w:val="0099011D"/>
    <w:rsid w:val="009965F0"/>
    <w:rsid w:val="009A568B"/>
    <w:rsid w:val="009A678D"/>
    <w:rsid w:val="009C2E68"/>
    <w:rsid w:val="009E32C4"/>
    <w:rsid w:val="009E6C2B"/>
    <w:rsid w:val="00A053A5"/>
    <w:rsid w:val="00A13740"/>
    <w:rsid w:val="00A209C9"/>
    <w:rsid w:val="00A22192"/>
    <w:rsid w:val="00A43FA6"/>
    <w:rsid w:val="00A52B3F"/>
    <w:rsid w:val="00A75CAF"/>
    <w:rsid w:val="00A934B6"/>
    <w:rsid w:val="00AB43E0"/>
    <w:rsid w:val="00AB7AC4"/>
    <w:rsid w:val="00AD0838"/>
    <w:rsid w:val="00AD48AD"/>
    <w:rsid w:val="00AF54B7"/>
    <w:rsid w:val="00B0148B"/>
    <w:rsid w:val="00B10C3B"/>
    <w:rsid w:val="00B235AD"/>
    <w:rsid w:val="00B675BA"/>
    <w:rsid w:val="00B70B23"/>
    <w:rsid w:val="00B718A3"/>
    <w:rsid w:val="00BB25C0"/>
    <w:rsid w:val="00BC3E15"/>
    <w:rsid w:val="00BE24C4"/>
    <w:rsid w:val="00C028AC"/>
    <w:rsid w:val="00C05D96"/>
    <w:rsid w:val="00C13517"/>
    <w:rsid w:val="00C17C36"/>
    <w:rsid w:val="00C222AF"/>
    <w:rsid w:val="00C830C8"/>
    <w:rsid w:val="00C83300"/>
    <w:rsid w:val="00C90C24"/>
    <w:rsid w:val="00C9528A"/>
    <w:rsid w:val="00CB2D15"/>
    <w:rsid w:val="00CE68C6"/>
    <w:rsid w:val="00CE68D6"/>
    <w:rsid w:val="00D15D43"/>
    <w:rsid w:val="00DA0CE3"/>
    <w:rsid w:val="00DA4426"/>
    <w:rsid w:val="00DA66C1"/>
    <w:rsid w:val="00DD0A90"/>
    <w:rsid w:val="00DD1279"/>
    <w:rsid w:val="00DE6C71"/>
    <w:rsid w:val="00DF0C51"/>
    <w:rsid w:val="00E058EC"/>
    <w:rsid w:val="00E5767B"/>
    <w:rsid w:val="00E7352D"/>
    <w:rsid w:val="00E85851"/>
    <w:rsid w:val="00E915A4"/>
    <w:rsid w:val="00EB5364"/>
    <w:rsid w:val="00EB7A21"/>
    <w:rsid w:val="00EC503B"/>
    <w:rsid w:val="00EC6494"/>
    <w:rsid w:val="00ED5731"/>
    <w:rsid w:val="00EE65BA"/>
    <w:rsid w:val="00F05080"/>
    <w:rsid w:val="00F30282"/>
    <w:rsid w:val="00F4167D"/>
    <w:rsid w:val="00FA395F"/>
    <w:rsid w:val="00FE21FF"/>
    <w:rsid w:val="00FE4709"/>
    <w:rsid w:val="00FE6BEE"/>
    <w:rsid w:val="01B72FE8"/>
    <w:rsid w:val="05630DED"/>
    <w:rsid w:val="05737DA7"/>
    <w:rsid w:val="05DD0AAC"/>
    <w:rsid w:val="07C8056D"/>
    <w:rsid w:val="0803606E"/>
    <w:rsid w:val="0A14573C"/>
    <w:rsid w:val="13DF7131"/>
    <w:rsid w:val="17CB7957"/>
    <w:rsid w:val="17FF2481"/>
    <w:rsid w:val="18043766"/>
    <w:rsid w:val="189C500A"/>
    <w:rsid w:val="1A140B8C"/>
    <w:rsid w:val="1A3E4A12"/>
    <w:rsid w:val="1ADA5C0C"/>
    <w:rsid w:val="1C8E2CFC"/>
    <w:rsid w:val="1CE47404"/>
    <w:rsid w:val="1CFD2315"/>
    <w:rsid w:val="1D1B3B15"/>
    <w:rsid w:val="1EA83571"/>
    <w:rsid w:val="2398650F"/>
    <w:rsid w:val="24B63E8F"/>
    <w:rsid w:val="24E34B4D"/>
    <w:rsid w:val="25D9C99C"/>
    <w:rsid w:val="27343E39"/>
    <w:rsid w:val="27403D23"/>
    <w:rsid w:val="297F79EA"/>
    <w:rsid w:val="2C810C7E"/>
    <w:rsid w:val="2CE92C08"/>
    <w:rsid w:val="2D983B51"/>
    <w:rsid w:val="2F9F2606"/>
    <w:rsid w:val="356A0CBA"/>
    <w:rsid w:val="36E74043"/>
    <w:rsid w:val="37BE5ACC"/>
    <w:rsid w:val="37FB4992"/>
    <w:rsid w:val="3CB955A9"/>
    <w:rsid w:val="3D0F0E7C"/>
    <w:rsid w:val="3D3F89B2"/>
    <w:rsid w:val="3D7C6550"/>
    <w:rsid w:val="3DF70E0B"/>
    <w:rsid w:val="3E981F4A"/>
    <w:rsid w:val="3EE67CFE"/>
    <w:rsid w:val="3F3DA2E9"/>
    <w:rsid w:val="3F7883FC"/>
    <w:rsid w:val="3F890E9E"/>
    <w:rsid w:val="42015F7A"/>
    <w:rsid w:val="42A55E52"/>
    <w:rsid w:val="43FFB406"/>
    <w:rsid w:val="49007BB4"/>
    <w:rsid w:val="4B95391B"/>
    <w:rsid w:val="4BDC7BBB"/>
    <w:rsid w:val="4D2F10C6"/>
    <w:rsid w:val="4D8455FF"/>
    <w:rsid w:val="4E37BE08"/>
    <w:rsid w:val="4E8F59DC"/>
    <w:rsid w:val="4F366B63"/>
    <w:rsid w:val="4FFF3EE2"/>
    <w:rsid w:val="529714CD"/>
    <w:rsid w:val="57F31A0F"/>
    <w:rsid w:val="57FF0D9A"/>
    <w:rsid w:val="581C0110"/>
    <w:rsid w:val="58F32484"/>
    <w:rsid w:val="59536C3D"/>
    <w:rsid w:val="59CC555B"/>
    <w:rsid w:val="5EC7117B"/>
    <w:rsid w:val="5FCC6669"/>
    <w:rsid w:val="5FEDA4C1"/>
    <w:rsid w:val="64AC7CC2"/>
    <w:rsid w:val="670FCBCB"/>
    <w:rsid w:val="69B45402"/>
    <w:rsid w:val="6B065441"/>
    <w:rsid w:val="6BA8786E"/>
    <w:rsid w:val="6D144208"/>
    <w:rsid w:val="6D5FDA4B"/>
    <w:rsid w:val="6E7FD8FE"/>
    <w:rsid w:val="6FEFC123"/>
    <w:rsid w:val="70913962"/>
    <w:rsid w:val="71422B97"/>
    <w:rsid w:val="73675C09"/>
    <w:rsid w:val="736A4005"/>
    <w:rsid w:val="76187CCC"/>
    <w:rsid w:val="770A1366"/>
    <w:rsid w:val="77A5CA54"/>
    <w:rsid w:val="77BF842C"/>
    <w:rsid w:val="77E76F2F"/>
    <w:rsid w:val="77FCCD45"/>
    <w:rsid w:val="7942105E"/>
    <w:rsid w:val="7BBF9BA6"/>
    <w:rsid w:val="7BCA240B"/>
    <w:rsid w:val="7CEFAB27"/>
    <w:rsid w:val="7D3FD546"/>
    <w:rsid w:val="7ED71BDD"/>
    <w:rsid w:val="7EDCC27B"/>
    <w:rsid w:val="7F386B3C"/>
    <w:rsid w:val="7F5F3D23"/>
    <w:rsid w:val="7F6FF6DE"/>
    <w:rsid w:val="7FAACC4A"/>
    <w:rsid w:val="7FBD7DB8"/>
    <w:rsid w:val="7FF78881"/>
    <w:rsid w:val="7FFB5C2C"/>
    <w:rsid w:val="7FFBE869"/>
    <w:rsid w:val="8E798A56"/>
    <w:rsid w:val="9AFADA6D"/>
    <w:rsid w:val="9BF5BF60"/>
    <w:rsid w:val="9FFF1198"/>
    <w:rsid w:val="A7F51ACC"/>
    <w:rsid w:val="AADF3610"/>
    <w:rsid w:val="BA7B23C6"/>
    <w:rsid w:val="BBEFF8CC"/>
    <w:rsid w:val="BD0F4566"/>
    <w:rsid w:val="BDDA4A4A"/>
    <w:rsid w:val="BF674ACA"/>
    <w:rsid w:val="BFBFCF9B"/>
    <w:rsid w:val="BFFDDA5C"/>
    <w:rsid w:val="CBDA3191"/>
    <w:rsid w:val="D37FC512"/>
    <w:rsid w:val="D8FB5958"/>
    <w:rsid w:val="DDE63326"/>
    <w:rsid w:val="DE94688C"/>
    <w:rsid w:val="DECFE890"/>
    <w:rsid w:val="DF66F6A1"/>
    <w:rsid w:val="DFEF15D4"/>
    <w:rsid w:val="E6F9D446"/>
    <w:rsid w:val="E6FB2EED"/>
    <w:rsid w:val="EBEB56AD"/>
    <w:rsid w:val="ECEF14F2"/>
    <w:rsid w:val="EDFF3CE7"/>
    <w:rsid w:val="EE6FC3FF"/>
    <w:rsid w:val="EEBB162C"/>
    <w:rsid w:val="F1EF80BD"/>
    <w:rsid w:val="F4AB3463"/>
    <w:rsid w:val="F9FF5871"/>
    <w:rsid w:val="FBBFA39A"/>
    <w:rsid w:val="FDDCDD17"/>
    <w:rsid w:val="FDDD528E"/>
    <w:rsid w:val="FDFBC29F"/>
    <w:rsid w:val="FE9E3D2D"/>
    <w:rsid w:val="FEBDA457"/>
    <w:rsid w:val="FED50D85"/>
    <w:rsid w:val="FEDFB753"/>
    <w:rsid w:val="FEFFF1CB"/>
    <w:rsid w:val="FF3E895F"/>
    <w:rsid w:val="FFEFBB30"/>
    <w:rsid w:val="FFFFD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</Words>
  <Characters>1135</Characters>
  <Lines>9</Lines>
  <Paragraphs>2</Paragraphs>
  <TotalTime>6</TotalTime>
  <ScaleCrop>false</ScaleCrop>
  <LinksUpToDate>false</LinksUpToDate>
  <CharactersWithSpaces>1331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2020-09-29T02:27:00Z</dcterms:created>
  <dc:creator>ThiknT450</dc:creator>
  <cp:lastModifiedBy>user</cp:lastModifiedBy>
  <cp:lastPrinted>2024-01-14T17:26:00Z</cp:lastPrinted>
  <dcterms:modified xsi:type="dcterms:W3CDTF">2026-02-24T15:00:43Z</dcterms:modified>
  <dc:title>行政事业单位资产编报说明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CB373F05D73B3D40F3C57169BD226C0E_42</vt:lpwstr>
  </property>
</Properties>
</file>