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36" w:lineRule="auto"/>
        <w:rPr>
          <w:rFonts w:ascii="黑体" w:eastAsia="黑体"/>
          <w:sz w:val="28"/>
          <w:szCs w:val="32"/>
        </w:rPr>
      </w:pPr>
    </w:p>
    <w:p>
      <w:pPr>
        <w:adjustRightInd w:val="0"/>
        <w:snapToGrid w:val="0"/>
        <w:spacing w:line="336" w:lineRule="auto"/>
        <w:rPr>
          <w:rFonts w:ascii="黑体" w:eastAsia="黑体"/>
          <w:sz w:val="28"/>
          <w:szCs w:val="32"/>
        </w:rPr>
      </w:pPr>
    </w:p>
    <w:p>
      <w:pPr>
        <w:adjustRightInd w:val="0"/>
        <w:snapToGrid w:val="0"/>
        <w:spacing w:line="336" w:lineRule="auto"/>
        <w:rPr>
          <w:rFonts w:ascii="黑体" w:eastAsia="黑体"/>
          <w:sz w:val="28"/>
          <w:szCs w:val="32"/>
        </w:rPr>
      </w:pPr>
    </w:p>
    <w:p>
      <w:pPr>
        <w:adjustRightInd w:val="0"/>
        <w:snapToGrid w:val="0"/>
        <w:spacing w:line="336" w:lineRule="auto"/>
        <w:rPr>
          <w:rFonts w:ascii="黑体" w:eastAsia="黑体"/>
          <w:sz w:val="28"/>
          <w:szCs w:val="32"/>
        </w:rPr>
      </w:pPr>
    </w:p>
    <w:p>
      <w:pPr>
        <w:tabs>
          <w:tab w:val="left" w:pos="790"/>
        </w:tabs>
        <w:adjustRightInd w:val="0"/>
        <w:snapToGrid w:val="0"/>
        <w:jc w:val="center"/>
        <w:rPr>
          <w:rFonts w:ascii="方正小标宋简体" w:eastAsia="方正小标宋简体"/>
          <w:color w:val="FF0000"/>
          <w:spacing w:val="-20"/>
          <w:sz w:val="60"/>
          <w:szCs w:val="60"/>
        </w:rPr>
      </w:pPr>
      <w:r>
        <w:rPr>
          <w:rFonts w:hint="eastAsia" w:ascii="方正小标宋简体" w:eastAsia="方正小标宋简体"/>
          <w:color w:val="FF0000"/>
          <w:spacing w:val="-20"/>
          <w:sz w:val="60"/>
          <w:szCs w:val="60"/>
        </w:rPr>
        <w:t>上海市崇明区市场监督管理局文件</w:t>
      </w:r>
    </w:p>
    <w:p>
      <w:pPr>
        <w:tabs>
          <w:tab w:val="left" w:pos="790"/>
        </w:tabs>
        <w:adjustRightInd w:val="0"/>
        <w:snapToGrid w:val="0"/>
        <w:spacing w:line="252" w:lineRule="auto"/>
        <w:jc w:val="center"/>
        <w:rPr>
          <w:rFonts w:ascii="黑体" w:eastAsia="黑体"/>
          <w:sz w:val="28"/>
          <w:szCs w:val="32"/>
        </w:rPr>
      </w:pPr>
    </w:p>
    <w:p>
      <w:pPr>
        <w:tabs>
          <w:tab w:val="left" w:pos="790"/>
        </w:tabs>
        <w:adjustRightInd w:val="0"/>
        <w:snapToGrid w:val="0"/>
        <w:spacing w:line="252" w:lineRule="auto"/>
        <w:jc w:val="center"/>
        <w:rPr>
          <w:rFonts w:ascii="黑体" w:eastAsia="黑体"/>
          <w:sz w:val="28"/>
          <w:szCs w:val="32"/>
        </w:rPr>
      </w:pPr>
    </w:p>
    <w:p>
      <w:pPr>
        <w:tabs>
          <w:tab w:val="left" w:pos="790"/>
        </w:tabs>
        <w:adjustRightInd w:val="0"/>
        <w:snapToGrid w:val="0"/>
        <w:jc w:val="center"/>
        <w:rPr>
          <w:rFonts w:ascii="仿宋_GB2312" w:eastAsia="仿宋_GB2312"/>
          <w:sz w:val="32"/>
          <w:szCs w:val="32"/>
        </w:rPr>
      </w:pPr>
      <w:r>
        <w:rPr>
          <w:rFonts w:hint="eastAsia" w:ascii="仿宋_GB2312" w:eastAsia="仿宋_GB2312"/>
          <w:sz w:val="32"/>
          <w:szCs w:val="32"/>
        </w:rPr>
        <w:t>沪崇市监药〔2021〕31号</w:t>
      </w:r>
    </w:p>
    <w:p>
      <w:pPr>
        <w:spacing w:line="560" w:lineRule="exact"/>
        <w:jc w:val="center"/>
        <w:rPr>
          <w:szCs w:val="32"/>
        </w:rPr>
      </w:pPr>
      <w:r>
        <w:rPr>
          <w:szCs w:val="32"/>
        </w:rPr>
        <w:pict>
          <v:line id="_x0000_s1026" o:spid="_x0000_s1026" o:spt="20" style="position:absolute;left:0pt;margin-left:1.55pt;margin-top:7.75pt;height:0pt;width:442.2pt;z-index:251659264;mso-width-relative:page;mso-height-relative:page;" stroked="t" coordsize="21600,21600">
            <v:path arrowok="t"/>
            <v:fill focussize="0,0"/>
            <v:stroke weight="1.5pt" color="#FF0000"/>
            <v:imagedata o:title=""/>
            <o:lock v:ext="edit"/>
          </v:line>
        </w:pict>
      </w:r>
    </w:p>
    <w:p>
      <w:pPr>
        <w:spacing w:line="560" w:lineRule="exact"/>
        <w:jc w:val="center"/>
        <w:rPr>
          <w:szCs w:val="32"/>
        </w:rPr>
      </w:pPr>
    </w:p>
    <w:p>
      <w:pPr>
        <w:tabs>
          <w:tab w:val="left" w:pos="790"/>
        </w:tabs>
        <w:adjustRightInd w:val="0"/>
        <w:snapToGrid w:val="0"/>
        <w:spacing w:line="600" w:lineRule="exact"/>
        <w:jc w:val="center"/>
        <w:rPr>
          <w:rFonts w:ascii="方正小标宋简体" w:hAnsi="宋体" w:eastAsia="方正小标宋简体"/>
          <w:sz w:val="44"/>
          <w:szCs w:val="44"/>
        </w:rPr>
      </w:pPr>
      <w:r>
        <w:rPr>
          <w:rFonts w:hint="eastAsia" w:ascii="方正小标宋简体" w:hAnsi="宋体" w:eastAsia="方正小标宋简体"/>
          <w:sz w:val="44"/>
          <w:szCs w:val="44"/>
        </w:rPr>
        <w:t>关于印发《上海市崇明区市场监督管理局</w:t>
      </w:r>
    </w:p>
    <w:p>
      <w:pPr>
        <w:tabs>
          <w:tab w:val="left" w:pos="790"/>
        </w:tabs>
        <w:adjustRightInd w:val="0"/>
        <w:snapToGrid w:val="0"/>
        <w:spacing w:line="600" w:lineRule="exact"/>
        <w:jc w:val="center"/>
        <w:rPr>
          <w:rFonts w:ascii="方正小标宋简体" w:hAnsi="宋体" w:eastAsia="方正小标宋简体"/>
          <w:sz w:val="44"/>
          <w:szCs w:val="44"/>
        </w:rPr>
      </w:pPr>
      <w:r>
        <w:rPr>
          <w:rFonts w:hint="eastAsia" w:ascii="方正小标宋简体" w:hAnsi="宋体" w:eastAsia="方正小标宋简体"/>
          <w:sz w:val="44"/>
          <w:szCs w:val="44"/>
        </w:rPr>
        <w:t>2021年禁毒工作计划》的通知</w:t>
      </w:r>
    </w:p>
    <w:p>
      <w:pPr>
        <w:tabs>
          <w:tab w:val="left" w:pos="790"/>
        </w:tabs>
        <w:adjustRightInd w:val="0"/>
        <w:snapToGrid w:val="0"/>
        <w:spacing w:line="600" w:lineRule="exact"/>
        <w:jc w:val="center"/>
        <w:rPr>
          <w:rFonts w:ascii="方正小标宋简体" w:hAnsi="宋体" w:eastAsia="方正小标宋简体"/>
          <w:sz w:val="44"/>
          <w:szCs w:val="44"/>
        </w:rPr>
      </w:pPr>
    </w:p>
    <w:p>
      <w:pPr>
        <w:tabs>
          <w:tab w:val="left" w:pos="790"/>
        </w:tabs>
        <w:adjustRightInd w:val="0"/>
        <w:snapToGrid w:val="0"/>
        <w:spacing w:line="560" w:lineRule="exact"/>
        <w:jc w:val="left"/>
        <w:rPr>
          <w:rFonts w:ascii="仿宋_GB2312" w:eastAsia="仿宋_GB2312"/>
          <w:sz w:val="32"/>
          <w:szCs w:val="32"/>
        </w:rPr>
      </w:pPr>
      <w:r>
        <w:rPr>
          <w:rFonts w:hint="eastAsia" w:ascii="仿宋_GB2312" w:eastAsia="仿宋_GB2312"/>
          <w:sz w:val="32"/>
          <w:szCs w:val="32"/>
        </w:rPr>
        <w:t>各科（室）、执法大队、基层市场监管所、药检所：</w:t>
      </w:r>
    </w:p>
    <w:p>
      <w:pPr>
        <w:tabs>
          <w:tab w:val="left" w:pos="790"/>
        </w:tabs>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现将《上海市崇明区市场监督管理局2021年禁毒工作计划》印发给你们，请认真遵照执行。</w:t>
      </w:r>
    </w:p>
    <w:p>
      <w:pPr>
        <w:tabs>
          <w:tab w:val="left" w:pos="790"/>
        </w:tabs>
        <w:adjustRightInd w:val="0"/>
        <w:snapToGrid w:val="0"/>
        <w:spacing w:line="560" w:lineRule="exact"/>
        <w:rPr>
          <w:rFonts w:ascii="仿宋_GB2312" w:hAnsi="宋体" w:eastAsia="仿宋_GB2312"/>
          <w:sz w:val="32"/>
          <w:szCs w:val="32"/>
        </w:rPr>
      </w:pPr>
    </w:p>
    <w:p>
      <w:pPr>
        <w:tabs>
          <w:tab w:val="left" w:pos="790"/>
        </w:tabs>
        <w:adjustRightInd w:val="0"/>
        <w:snapToGrid w:val="0"/>
        <w:spacing w:line="560" w:lineRule="exact"/>
        <w:jc w:val="center"/>
        <w:rPr>
          <w:rFonts w:ascii="仿宋_GB2312" w:hAnsi="宋体" w:eastAsia="仿宋_GB2312"/>
          <w:sz w:val="32"/>
          <w:szCs w:val="32"/>
        </w:rPr>
      </w:pPr>
    </w:p>
    <w:p>
      <w:pPr>
        <w:tabs>
          <w:tab w:val="left" w:pos="790"/>
        </w:tabs>
        <w:adjustRightInd w:val="0"/>
        <w:snapToGrid w:val="0"/>
        <w:spacing w:line="560" w:lineRule="exact"/>
        <w:ind w:right="320"/>
        <w:jc w:val="right"/>
        <w:rPr>
          <w:rFonts w:ascii="仿宋_GB2312" w:eastAsia="仿宋_GB2312"/>
          <w:sz w:val="32"/>
          <w:szCs w:val="32"/>
        </w:rPr>
      </w:pPr>
      <w:r>
        <w:rPr>
          <w:rFonts w:hint="eastAsia" w:ascii="仿宋_GB2312" w:eastAsia="仿宋_GB2312"/>
          <w:sz w:val="32"/>
          <w:szCs w:val="32"/>
        </w:rPr>
        <w:t xml:space="preserve">上海市崇明区市场监督管理局                                            </w:t>
      </w:r>
    </w:p>
    <w:p>
      <w:pPr>
        <w:tabs>
          <w:tab w:val="left" w:pos="790"/>
        </w:tabs>
        <w:adjustRightInd w:val="0"/>
        <w:snapToGrid w:val="0"/>
        <w:spacing w:line="560" w:lineRule="exact"/>
        <w:ind w:right="960"/>
        <w:jc w:val="center"/>
        <w:rPr>
          <w:rFonts w:ascii="仿宋_GB2312" w:eastAsia="仿宋_GB2312"/>
          <w:sz w:val="32"/>
          <w:szCs w:val="32"/>
        </w:rPr>
      </w:pPr>
      <w:r>
        <w:rPr>
          <w:rFonts w:hint="eastAsia" w:ascii="仿宋_GB2312" w:eastAsia="仿宋_GB2312"/>
          <w:sz w:val="32"/>
          <w:szCs w:val="32"/>
        </w:rPr>
        <w:t xml:space="preserve">                               2021年6月23日</w:t>
      </w:r>
    </w:p>
    <w:p>
      <w:pPr>
        <w:spacing w:beforeLines="150" w:line="680" w:lineRule="exact"/>
        <w:rPr>
          <w:rFonts w:ascii="方正小标宋简体" w:hAnsi="宋体" w:eastAsia="方正小标宋简体"/>
          <w:color w:val="000000" w:themeColor="text1"/>
          <w:sz w:val="44"/>
          <w:szCs w:val="44"/>
        </w:rPr>
      </w:pPr>
    </w:p>
    <w:p>
      <w:pPr>
        <w:spacing w:beforeLines="150" w:line="600" w:lineRule="exact"/>
        <w:jc w:val="center"/>
        <w:rPr>
          <w:rFonts w:ascii="方正小标宋简体" w:hAnsi="宋体" w:eastAsia="方正小标宋简体"/>
          <w:color w:val="000000" w:themeColor="text1"/>
          <w:sz w:val="44"/>
          <w:szCs w:val="44"/>
        </w:rPr>
      </w:pPr>
      <w:r>
        <w:rPr>
          <w:rFonts w:hint="eastAsia" w:ascii="方正小标宋简体" w:hAnsi="宋体" w:eastAsia="方正小标宋简体"/>
          <w:color w:val="000000" w:themeColor="text1"/>
          <w:sz w:val="44"/>
          <w:szCs w:val="44"/>
        </w:rPr>
        <w:t>上海市崇明区市场监督管理局</w:t>
      </w:r>
    </w:p>
    <w:p>
      <w:pPr>
        <w:spacing w:afterLines="100" w:line="600" w:lineRule="exact"/>
        <w:jc w:val="center"/>
        <w:rPr>
          <w:rFonts w:ascii="方正小标宋简体" w:hAnsi="宋体" w:eastAsia="方正小标宋简体"/>
          <w:color w:val="000000" w:themeColor="text1"/>
          <w:sz w:val="44"/>
          <w:szCs w:val="44"/>
        </w:rPr>
      </w:pPr>
      <w:r>
        <w:rPr>
          <w:rFonts w:hint="eastAsia" w:ascii="方正小标宋简体" w:hAnsi="宋体" w:eastAsia="方正小标宋简体"/>
          <w:color w:val="000000" w:themeColor="text1"/>
          <w:sz w:val="44"/>
          <w:szCs w:val="44"/>
        </w:rPr>
        <w:t>2021年禁毒工作计划</w:t>
      </w:r>
    </w:p>
    <w:p>
      <w:pPr>
        <w:spacing w:line="560" w:lineRule="exact"/>
        <w:ind w:firstLine="640" w:firstLineChars="200"/>
        <w:rPr>
          <w:rFonts w:ascii="仿宋_GB2312" w:eastAsia="仿宋_GB2312" w:hAnsiTheme="minorEastAsia"/>
          <w:color w:val="000000" w:themeColor="text1"/>
          <w:sz w:val="32"/>
          <w:szCs w:val="32"/>
        </w:rPr>
      </w:pPr>
    </w:p>
    <w:p>
      <w:pPr>
        <w:spacing w:line="560" w:lineRule="exact"/>
        <w:ind w:firstLine="640" w:firstLineChars="200"/>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为深入贯彻落实习近平总书记关于禁毒工作重要指示精神，按照区禁毒委、市市场监管局决策部署，着力落实禁毒工作责任，牢牢守住“五个不能发生”工作底线，根据《2021年崇明区禁毒工作要点》，结合我局监管职责，制定本工作计划。</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一、完善禁毒工作机制</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成立崇明区市场监管局禁毒工作领导小组，统筹协调、调度指挥，推进落实本局禁毒各项工作。探索建立党政领导统筹部署、业务科室协同作战、基层所队落实责任、事业单位技术支撑的工作机制。落实人员和经费保障，统筹推进重点产品监管、禁毒宣传培训、注册登记管理、违法行为联合惩戒、线上禁毒检查监控等禁毒重点任务。根据禁毒工作需求，召开禁毒工作会议，研究解决毒品突出问题。</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二、加强禁毒工作队伍建设</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一是各科室、执法大队、各市场监管所、崇明食药检所明确分管领导，落实骨干力量；二是加强专业能力建设，通过集中培训、线上学习、视频课件等多种形式，组织开展禁毒干部业务培训，提高禁毒工作队伍专业化水平；三是对年度禁毒工作计划落实情况进行督导。</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三、推进禁毒宣传教育</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 xml:space="preserve">充分调动各方资源，积极拓展宣传渠道，大力开展禁毒宣传活动。一是加强公众宣传，通过知识讲座、科普早市等形式，继续推进禁毒宣传“进社区、进学校、进单位、进场所、进农村、进家庭”六进活动；二是加强相对人培训，在执法检查、业务培训过程中，向行政相对人宣贯禁毒知识及相关法律法规，使相对人主动参与到防毒禁毒工作中，为禁毒工作营造良好法治环境；三是充分利用微信、微博、等新媒体载体拓宽宣传渠道，提升宣传实效。 </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四、加强特殊管理药品监管</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1.加强药品生产企业监管</w:t>
      </w:r>
    </w:p>
    <w:p>
      <w:pPr>
        <w:spacing w:line="560" w:lineRule="exact"/>
        <w:ind w:firstLine="640" w:firstLineChars="200"/>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执法大队对涉及特药复方制剂生产的上海信谊百路达药业有限公司进行检查，对涉及品种逐个检查，重点检查企业制度建立及执行情况、上下游企业资质收集和建档情况、产品购销存台账记录情况以及是否存在现金交易情况。</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2.加强药品经营企业监管</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由执法大队对药品批发企业进行检查，各市场监管所对药品零售企业进行检查。重点检查是否按规定销售含麻黄碱类复方制剂，是否存在开架销售、是否设置专柜、是否凭身份证限售2盒，并按规定专册登记。</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3.加强药品使用单位监管</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重点检查医疗机构含麻黄碱类复方制剂、麻醉药品、精神药品的采购渠道、供应商资质和进货验收等环节。要求有关特殊药品使用单位做到专人负责、专柜加锁、专用帐册、专用处方、专册登记。在特药保管方面做到双人双锁，用保险柜存储。</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五、严查食品中添加罂粟行为</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1.加强食品经营单位日常巡查</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以火锅店为主要单位，兼顾小餐馆、烧烤店、麻辣烫店、麻辣香锅店以及集贸市场的调味品销售摊位，重点检查火锅底料及食品添加剂采购、使用情况，索证索票和进货查验等制度落实情况。</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2.加强食品生产经营单位监督抽检</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各市场监管所、执法大队充分利用科学检测设备，对食品生产经营单位的食品及食品原料、调味料开展监督抽检及快速检测；对于火锅底料、麻辣烫汤料、熟食卤味、调味香料等食品及食品原料、调味料进行吗啡快速检测。</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六、开展禁毒综合治理</w:t>
      </w:r>
    </w:p>
    <w:p>
      <w:pPr>
        <w:spacing w:line="560" w:lineRule="exact"/>
        <w:ind w:firstLine="643"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b/>
          <w:color w:val="000000" w:themeColor="text1"/>
          <w:sz w:val="32"/>
          <w:szCs w:val="32"/>
        </w:rPr>
        <w:t>一是</w:t>
      </w:r>
      <w:r>
        <w:rPr>
          <w:rFonts w:hint="eastAsia" w:ascii="仿宋_GB2312" w:eastAsia="仿宋_GB2312" w:hAnsiTheme="minorEastAsia"/>
          <w:color w:val="000000" w:themeColor="text1"/>
          <w:sz w:val="32"/>
          <w:szCs w:val="32"/>
        </w:rPr>
        <w:t>完善市场主体登记管理，严格核发从事易制毒化学品、麻精药品、含麻复方制剂、娱乐场所等市场主体的营业执照及相关许可证。</w:t>
      </w:r>
    </w:p>
    <w:p>
      <w:pPr>
        <w:spacing w:line="560" w:lineRule="exact"/>
        <w:ind w:firstLine="643"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b/>
          <w:color w:val="000000" w:themeColor="text1"/>
          <w:sz w:val="32"/>
          <w:szCs w:val="32"/>
        </w:rPr>
        <w:t>二是</w:t>
      </w:r>
      <w:r>
        <w:rPr>
          <w:rFonts w:hint="eastAsia" w:ascii="仿宋_GB2312" w:eastAsia="仿宋_GB2312" w:hAnsiTheme="minorEastAsia"/>
          <w:color w:val="000000" w:themeColor="text1"/>
          <w:sz w:val="32"/>
          <w:szCs w:val="32"/>
        </w:rPr>
        <w:t>实施联合惩戒，将行政处罚信息依法通过“国家企业信用信息公示系统”予以公示；对符合列入严重违法失信企业名单情形的企业，将其列入并予以公示。</w:t>
      </w:r>
    </w:p>
    <w:p>
      <w:pPr>
        <w:spacing w:line="560" w:lineRule="exact"/>
        <w:ind w:firstLine="643"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b/>
          <w:color w:val="000000" w:themeColor="text1"/>
          <w:sz w:val="32"/>
          <w:szCs w:val="32"/>
        </w:rPr>
        <w:t>三是</w:t>
      </w:r>
      <w:r>
        <w:rPr>
          <w:rFonts w:hint="eastAsia" w:ascii="仿宋_GB2312" w:eastAsia="仿宋_GB2312" w:hAnsiTheme="minorEastAsia"/>
          <w:color w:val="000000" w:themeColor="text1"/>
          <w:sz w:val="32"/>
          <w:szCs w:val="32"/>
        </w:rPr>
        <w:t>查处戒毒治疗药品、医疗器械、医疗方法、有关化学品违法广告。加强网络商品交易监管，督促电子商务平台经营者对商品和服务信息建立禁毒检查监控制度。</w:t>
      </w:r>
    </w:p>
    <w:p>
      <w:pPr>
        <w:spacing w:line="560" w:lineRule="exact"/>
        <w:ind w:firstLine="643"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b/>
          <w:color w:val="000000" w:themeColor="text1"/>
          <w:sz w:val="32"/>
          <w:szCs w:val="32"/>
        </w:rPr>
        <w:t>四是</w:t>
      </w:r>
      <w:r>
        <w:rPr>
          <w:rFonts w:hint="eastAsia" w:ascii="仿宋_GB2312" w:eastAsia="仿宋_GB2312" w:hAnsiTheme="minorEastAsia"/>
          <w:color w:val="000000" w:themeColor="text1"/>
          <w:sz w:val="32"/>
          <w:szCs w:val="32"/>
        </w:rPr>
        <w:t>对毒品检测类医疗器械（包括体外诊断试剂）开展监督检查，督促其落实医疗器械生产、经营企业质量管理规范要求。</w:t>
      </w:r>
    </w:p>
    <w:p>
      <w:pPr>
        <w:spacing w:line="560" w:lineRule="exact"/>
        <w:ind w:firstLine="643"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b/>
          <w:color w:val="000000" w:themeColor="text1"/>
          <w:sz w:val="32"/>
          <w:szCs w:val="32"/>
        </w:rPr>
        <w:t>五是</w:t>
      </w:r>
      <w:r>
        <w:rPr>
          <w:rFonts w:hint="eastAsia" w:ascii="仿宋_GB2312" w:eastAsia="仿宋_GB2312" w:hAnsiTheme="minorEastAsia"/>
          <w:color w:val="000000" w:themeColor="text1"/>
          <w:sz w:val="32"/>
          <w:szCs w:val="32"/>
        </w:rPr>
        <w:t>推进禁毒领域地方标准的实施，对向社会出具具有证明作用的数据、结果的涉禁毒领域检验检测机构实施资质认定（计量认证）和监督管理，协助、指导有关部门做好禁毒科研、应用技术等创新的专利申请和保护工作。</w:t>
      </w:r>
    </w:p>
    <w:p>
      <w:pPr>
        <w:spacing w:line="560" w:lineRule="exact"/>
        <w:ind w:firstLine="640" w:firstLineChars="200"/>
        <w:jc w:val="left"/>
        <w:rPr>
          <w:rFonts w:ascii="黑体" w:hAnsi="黑体" w:eastAsia="黑体"/>
          <w:color w:val="000000" w:themeColor="text1"/>
          <w:sz w:val="32"/>
          <w:szCs w:val="32"/>
        </w:rPr>
      </w:pPr>
      <w:r>
        <w:rPr>
          <w:rFonts w:hint="eastAsia" w:ascii="黑体" w:hAnsi="黑体" w:eastAsia="黑体"/>
          <w:color w:val="000000" w:themeColor="text1"/>
          <w:sz w:val="32"/>
          <w:szCs w:val="32"/>
        </w:rPr>
        <w:t>七、工作要求</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1.加强组织领导</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打赢新时代禁毒人民战争，事关人民福祉和生态岛建设大局，有关单位要提高政治站位，增强“四个意识”，从又好又快建设世界级生态岛的战略高度，切实提高思想认识，细化工作方案，加强组织领导，压实工作责任，充分调动“条”与“块”两方面的积极性，坚持高规格推动禁毒工作高质量发展。</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2.落实信息报告</w:t>
      </w:r>
    </w:p>
    <w:p>
      <w:pPr>
        <w:spacing w:line="560" w:lineRule="exact"/>
        <w:ind w:firstLine="640" w:firstLineChars="200"/>
        <w:jc w:val="left"/>
        <w:rPr>
          <w:rFonts w:ascii="仿宋_GB2312" w:eastAsia="仿宋_GB2312" w:hAnsiTheme="minorEastAsia"/>
          <w:color w:val="000000" w:themeColor="text1"/>
          <w:sz w:val="32"/>
          <w:szCs w:val="32"/>
        </w:rPr>
      </w:pPr>
      <w:r>
        <w:rPr>
          <w:rFonts w:hint="eastAsia" w:ascii="仿宋_GB2312" w:eastAsia="仿宋_GB2312" w:hAnsiTheme="minorEastAsia"/>
          <w:color w:val="000000" w:themeColor="text1"/>
          <w:sz w:val="32"/>
          <w:szCs w:val="32"/>
        </w:rPr>
        <w:t>各单位应加强沟通联系，一旦遇到涉毒敏感案事件（含本部门工作人员），应立即上报局禁毒工作领导小组。各业务科室加强对本条线禁毒重点工作、经验做法及意见建议的梳理，并形成年度工作总结，于12月10日前报药化科，药化科汇总后及时报区禁毒办。</w:t>
      </w:r>
    </w:p>
    <w:p>
      <w:pPr>
        <w:spacing w:line="560" w:lineRule="exact"/>
        <w:ind w:firstLine="640" w:firstLineChars="200"/>
        <w:jc w:val="left"/>
        <w:rPr>
          <w:rFonts w:ascii="仿宋_GB2312" w:eastAsia="仿宋_GB2312" w:hAnsiTheme="minorEastAsia"/>
          <w:color w:val="000000" w:themeColor="text1"/>
          <w:sz w:val="32"/>
          <w:szCs w:val="32"/>
        </w:rPr>
      </w:pPr>
    </w:p>
    <w:p>
      <w:pPr>
        <w:spacing w:line="560" w:lineRule="exact"/>
        <w:ind w:firstLine="640" w:firstLineChars="200"/>
        <w:jc w:val="left"/>
        <w:rPr>
          <w:rFonts w:ascii="仿宋_GB2312" w:eastAsia="仿宋_GB2312" w:hAnsiTheme="minorEastAsia"/>
          <w:color w:val="auto"/>
          <w:sz w:val="32"/>
          <w:szCs w:val="32"/>
          <w:highlight w:val="black"/>
        </w:rPr>
      </w:pPr>
      <w:bookmarkStart w:id="0" w:name="_GoBack"/>
      <w:r>
        <w:rPr>
          <w:rFonts w:hint="eastAsia" w:ascii="仿宋_GB2312" w:eastAsia="仿宋_GB2312" w:hAnsiTheme="minorEastAsia"/>
          <w:color w:val="auto"/>
          <w:sz w:val="32"/>
          <w:szCs w:val="32"/>
          <w:highlight w:val="black"/>
        </w:rPr>
        <w:t>药化科联系人：施亮  18018689912</w:t>
      </w:r>
    </w:p>
    <w:bookmarkEnd w:id="0"/>
    <w:p>
      <w:pPr>
        <w:widowControl/>
        <w:spacing w:line="560" w:lineRule="exact"/>
        <w:ind w:firstLine="640" w:firstLineChars="200"/>
        <w:jc w:val="left"/>
        <w:rPr>
          <w:rFonts w:ascii="仿宋_GB2312" w:eastAsia="仿宋_GB2312"/>
          <w:sz w:val="32"/>
          <w:szCs w:val="32"/>
        </w:rPr>
      </w:pPr>
      <w:r>
        <w:rPr>
          <w:rFonts w:hint="eastAsia" w:ascii="仿宋_GB2312" w:eastAsia="仿宋_GB2312"/>
          <w:sz w:val="32"/>
          <w:szCs w:val="32"/>
        </w:rPr>
        <w:t>（此页无正文）</w:t>
      </w: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widowControl/>
        <w:spacing w:line="560" w:lineRule="exact"/>
        <w:jc w:val="left"/>
        <w:rPr>
          <w:rFonts w:ascii="仿宋_GB2312" w:eastAsia="仿宋_GB2312"/>
          <w:sz w:val="32"/>
          <w:szCs w:val="32"/>
        </w:rPr>
      </w:pPr>
    </w:p>
    <w:p>
      <w:pPr>
        <w:rPr>
          <w:szCs w:val="32"/>
        </w:rPr>
      </w:pPr>
    </w:p>
    <w:p>
      <w:pPr>
        <w:spacing w:line="560" w:lineRule="exact"/>
        <w:ind w:right="57" w:firstLine="268" w:firstLineChars="100"/>
        <w:rPr>
          <w:rFonts w:ascii="仿宋_GB2312" w:eastAsia="仿宋_GB2312"/>
          <w:w w:val="96"/>
          <w:sz w:val="28"/>
        </w:rPr>
      </w:pPr>
      <w:r>
        <w:rPr>
          <w:rFonts w:hint="eastAsia" w:ascii="仿宋_GB2312" w:eastAsia="仿宋_GB2312"/>
          <w:w w:val="96"/>
          <w:sz w:val="28"/>
        </w:rPr>
        <w:t>上海市</w:t>
      </w:r>
      <w:r>
        <w:rPr>
          <w:rFonts w:ascii="仿宋_GB2312" w:eastAsia="仿宋_GB2312"/>
          <w:sz w:val="28"/>
        </w:rPr>
        <w:pict>
          <v:line id="_x0000_s1027" o:spid="_x0000_s1027" o:spt="20" style="position:absolute;left:0pt;margin-left:0pt;margin-top:2.05pt;height:0pt;width:442.2pt;z-index:251660288;mso-width-relative:page;mso-height-relative:page;" coordsize="21600,21600">
            <v:path arrowok="t"/>
            <v:fill focussize="0,0"/>
            <v:stroke weight="1pt"/>
            <v:imagedata o:title=""/>
            <o:lock v:ext="edit"/>
          </v:line>
        </w:pict>
      </w:r>
      <w:r>
        <w:rPr>
          <w:rFonts w:ascii="仿宋_GB2312" w:eastAsia="仿宋_GB2312"/>
          <w:sz w:val="28"/>
        </w:rPr>
        <w:pict>
          <v:line id="_x0000_s1028" o:spid="_x0000_s1028" o:spt="20" style="position:absolute;left:0pt;margin-left:0pt;margin-top:30pt;height:0pt;width:442.2pt;z-index:251661312;mso-width-relative:page;mso-height-relative:page;" coordsize="21600,21600">
            <v:path arrowok="t"/>
            <v:fill focussize="0,0"/>
            <v:stroke weight="1pt"/>
            <v:imagedata o:title=""/>
            <o:lock v:ext="edit"/>
          </v:line>
        </w:pict>
      </w:r>
      <w:r>
        <w:rPr>
          <w:rFonts w:hint="eastAsia" w:ascii="仿宋_GB2312" w:eastAsia="仿宋_GB2312"/>
          <w:w w:val="96"/>
          <w:sz w:val="28"/>
        </w:rPr>
        <w:t>崇明区市场监督管理局办公室          2021年7月1日印发</w:t>
      </w:r>
    </w:p>
    <w:sectPr>
      <w:footerReference r:id="rId3" w:type="default"/>
      <w:footerReference r:id="rId4" w:type="even"/>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7565077"/>
      <w:docPartObj>
        <w:docPartGallery w:val="AutoText"/>
      </w:docPartObj>
    </w:sdtPr>
    <w:sdtContent>
      <w:p>
        <w:pPr>
          <w:pStyle w:val="3"/>
          <w:ind w:left="5250"/>
          <w:jc w:val="right"/>
          <w:rPr>
            <w:rFonts w:ascii="宋体" w:hAnsi="宋体"/>
            <w:sz w:val="28"/>
            <w:szCs w:val="28"/>
          </w:rPr>
        </w:pPr>
        <w:r>
          <w:rPr>
            <w:rFonts w:hint="eastAsia" w:ascii="宋体" w:hAnsi="宋体"/>
            <w:sz w:val="28"/>
            <w:szCs w:val="28"/>
          </w:rPr>
          <w:t>—</w:t>
        </w: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1</w:t>
        </w:r>
        <w:r>
          <w:rPr>
            <w:rFonts w:ascii="宋体" w:hAnsi="宋体"/>
            <w:sz w:val="28"/>
            <w:szCs w:val="28"/>
          </w:rPr>
          <w:fldChar w:fldCharType="end"/>
        </w:r>
        <w:r>
          <w:rPr>
            <w:rFonts w:ascii="宋体" w:hAnsi="宋体"/>
            <w:sz w:val="28"/>
            <w:szCs w:val="28"/>
          </w:rPr>
          <w:t xml:space="preserve"> —</w:t>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ascii="宋体" w:hAnsi="宋体"/>
        <w:sz w:val="28"/>
        <w:szCs w:val="28"/>
      </w:rPr>
    </w:pPr>
    <w:r>
      <w:rPr>
        <w:rFonts w:hint="eastAsia" w:ascii="宋体" w:hAnsi="宋体"/>
        <w:sz w:val="28"/>
        <w:szCs w:val="28"/>
      </w:rPr>
      <w:t>—</w:t>
    </w: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6</w:t>
    </w:r>
    <w:r>
      <w:rPr>
        <w:rFonts w:ascii="宋体" w:hAnsi="宋体"/>
        <w:sz w:val="28"/>
        <w:szCs w:val="28"/>
      </w:rPr>
      <w:fldChar w:fldCharType="end"/>
    </w:r>
    <w:r>
      <w:rPr>
        <w:rFonts w:ascii="宋体" w:hAnsi="宋体"/>
        <w:sz w:val="28"/>
        <w:szCs w:val="28"/>
      </w:rPr>
      <w:t xml:space="preserve"> —</w: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A4E89"/>
    <w:rsid w:val="000275ED"/>
    <w:rsid w:val="000A0B17"/>
    <w:rsid w:val="000B41CE"/>
    <w:rsid w:val="000C6E17"/>
    <w:rsid w:val="001258A4"/>
    <w:rsid w:val="00140AFB"/>
    <w:rsid w:val="00147F8D"/>
    <w:rsid w:val="00161190"/>
    <w:rsid w:val="0018169D"/>
    <w:rsid w:val="0022004B"/>
    <w:rsid w:val="002236C9"/>
    <w:rsid w:val="002338E5"/>
    <w:rsid w:val="00255B34"/>
    <w:rsid w:val="002616B8"/>
    <w:rsid w:val="00270C03"/>
    <w:rsid w:val="00273473"/>
    <w:rsid w:val="00275131"/>
    <w:rsid w:val="0029718F"/>
    <w:rsid w:val="00323D2F"/>
    <w:rsid w:val="00331FB4"/>
    <w:rsid w:val="0033729A"/>
    <w:rsid w:val="003437DB"/>
    <w:rsid w:val="0037713C"/>
    <w:rsid w:val="00396CEA"/>
    <w:rsid w:val="003B6712"/>
    <w:rsid w:val="003E61D8"/>
    <w:rsid w:val="00435747"/>
    <w:rsid w:val="004C0768"/>
    <w:rsid w:val="004E1364"/>
    <w:rsid w:val="00536908"/>
    <w:rsid w:val="0055584E"/>
    <w:rsid w:val="005C0993"/>
    <w:rsid w:val="005F413C"/>
    <w:rsid w:val="0061290D"/>
    <w:rsid w:val="006254B4"/>
    <w:rsid w:val="00643A6D"/>
    <w:rsid w:val="00673FD6"/>
    <w:rsid w:val="006A4E89"/>
    <w:rsid w:val="006A7F92"/>
    <w:rsid w:val="006E0049"/>
    <w:rsid w:val="006F1BBE"/>
    <w:rsid w:val="00703338"/>
    <w:rsid w:val="00751429"/>
    <w:rsid w:val="00756485"/>
    <w:rsid w:val="00774657"/>
    <w:rsid w:val="007F3A93"/>
    <w:rsid w:val="00816EA8"/>
    <w:rsid w:val="00834864"/>
    <w:rsid w:val="008E0FC3"/>
    <w:rsid w:val="008F12B2"/>
    <w:rsid w:val="00902B99"/>
    <w:rsid w:val="0090464B"/>
    <w:rsid w:val="009349AC"/>
    <w:rsid w:val="00951310"/>
    <w:rsid w:val="00964CEB"/>
    <w:rsid w:val="00977D1E"/>
    <w:rsid w:val="009A0DFF"/>
    <w:rsid w:val="009D209B"/>
    <w:rsid w:val="009D6347"/>
    <w:rsid w:val="009E16DF"/>
    <w:rsid w:val="00A3224E"/>
    <w:rsid w:val="00A3278F"/>
    <w:rsid w:val="00A53F7C"/>
    <w:rsid w:val="00A57B1A"/>
    <w:rsid w:val="00B037CF"/>
    <w:rsid w:val="00B14ABD"/>
    <w:rsid w:val="00B241A9"/>
    <w:rsid w:val="00B57781"/>
    <w:rsid w:val="00B62477"/>
    <w:rsid w:val="00B749DF"/>
    <w:rsid w:val="00BC74BA"/>
    <w:rsid w:val="00BF003B"/>
    <w:rsid w:val="00C30144"/>
    <w:rsid w:val="00C6315F"/>
    <w:rsid w:val="00C6760B"/>
    <w:rsid w:val="00C707E5"/>
    <w:rsid w:val="00C975AB"/>
    <w:rsid w:val="00CC662A"/>
    <w:rsid w:val="00CE48F5"/>
    <w:rsid w:val="00CE49E2"/>
    <w:rsid w:val="00D07045"/>
    <w:rsid w:val="00D1569B"/>
    <w:rsid w:val="00D2549E"/>
    <w:rsid w:val="00D61980"/>
    <w:rsid w:val="00D642BB"/>
    <w:rsid w:val="00D67CEC"/>
    <w:rsid w:val="00DB4A96"/>
    <w:rsid w:val="00DC088A"/>
    <w:rsid w:val="00DC38EB"/>
    <w:rsid w:val="00DF57E7"/>
    <w:rsid w:val="00DF7060"/>
    <w:rsid w:val="00E02E61"/>
    <w:rsid w:val="00E0323A"/>
    <w:rsid w:val="00EA59D9"/>
    <w:rsid w:val="00EE6F41"/>
    <w:rsid w:val="00EE7499"/>
    <w:rsid w:val="00F1021F"/>
    <w:rsid w:val="00F15D51"/>
    <w:rsid w:val="00F3496A"/>
    <w:rsid w:val="00F44B4A"/>
    <w:rsid w:val="00F466B2"/>
    <w:rsid w:val="00FB1406"/>
    <w:rsid w:val="00FF1E2B"/>
    <w:rsid w:val="0D7358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7"/>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qFormat/>
    <w:uiPriority w:val="99"/>
    <w:rPr>
      <w:sz w:val="18"/>
      <w:szCs w:val="18"/>
    </w:rPr>
  </w:style>
  <w:style w:type="paragraph" w:styleId="9">
    <w:name w:val="List Paragraph"/>
    <w:basedOn w:val="1"/>
    <w:qFormat/>
    <w:uiPriority w:val="34"/>
    <w:pPr>
      <w:ind w:firstLine="420" w:firstLineChars="200"/>
    </w:pPr>
  </w:style>
  <w:style w:type="paragraph" w:customStyle="1" w:styleId="10">
    <w:name w:val="列出段落1"/>
    <w:basedOn w:val="1"/>
    <w:qFormat/>
    <w:uiPriority w:val="0"/>
    <w:pPr>
      <w:ind w:firstLine="420" w:firstLineChars="200"/>
    </w:pPr>
  </w:style>
  <w:style w:type="character" w:customStyle="1" w:styleId="11">
    <w:name w:val="批注框文本 Char"/>
    <w:basedOn w:val="6"/>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C6233FC-F072-47A9-B71D-E930C08AD426}">
  <ds:schemaRefs/>
</ds:datastoreItem>
</file>

<file path=docProps/app.xml><?xml version="1.0" encoding="utf-8"?>
<Properties xmlns="http://schemas.openxmlformats.org/officeDocument/2006/extended-properties" xmlns:vt="http://schemas.openxmlformats.org/officeDocument/2006/docPropsVTypes">
  <Template>Normal</Template>
  <Company>chongming.com</Company>
  <Pages>1</Pages>
  <Words>333</Words>
  <Characters>1901</Characters>
  <Lines>15</Lines>
  <Paragraphs>4</Paragraphs>
  <TotalTime>1</TotalTime>
  <ScaleCrop>false</ScaleCrop>
  <LinksUpToDate>false</LinksUpToDate>
  <CharactersWithSpaces>2230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2021-07-02T02:10:00Z</dcterms:created>
  <dc:creator>CMSCJ</dc:creator>
  <cp:lastModifiedBy>gdf</cp:lastModifiedBy>
  <dcterms:modified xsi:type="dcterms:W3CDTF">2021-10-15T08:40:44Z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F384CFCDE8C84CFFBBB063460D61B47F</vt:lpwstr>
  </property>
</Properties>
</file>