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00" w:lineRule="auto"/>
        <w:ind w:right="86" w:rightChars="31" w:firstLine="0" w:firstLineChars="0"/>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pPr>
    </w:p>
    <w:p>
      <w:pPr>
        <w:snapToGrid w:val="0"/>
        <w:spacing w:line="300" w:lineRule="auto"/>
        <w:ind w:right="86" w:rightChars="31" w:firstLine="0" w:firstLineChars="0"/>
        <w:jc w:val="center"/>
        <w:rPr>
          <w:rFonts w:hint="eastAsia" w:ascii="黑体" w:hAnsi="黑体" w:eastAsia="黑体"/>
          <w:sz w:val="44"/>
          <w:szCs w:val="44"/>
          <w:lang w:eastAsia="zh-CN"/>
        </w:rPr>
      </w:pPr>
      <w:r>
        <w:rPr>
          <w:rFonts w:hint="eastAsia" w:ascii="黑体" w:hAnsi="黑体" w:eastAsia="黑体"/>
          <w:sz w:val="56"/>
          <w:szCs w:val="56"/>
        </w:rPr>
        <w:t>崇明区财政</w:t>
      </w:r>
      <w:r>
        <w:rPr>
          <w:rFonts w:hint="eastAsia" w:ascii="黑体" w:hAnsi="黑体" w:eastAsia="黑体"/>
          <w:sz w:val="56"/>
          <w:szCs w:val="56"/>
          <w:lang w:val="en-US" w:eastAsia="zh-CN"/>
        </w:rPr>
        <w:t>项目</w:t>
      </w:r>
      <w:r>
        <w:rPr>
          <w:rFonts w:hint="eastAsia" w:ascii="黑体" w:hAnsi="黑体" w:eastAsia="黑体"/>
          <w:sz w:val="56"/>
          <w:szCs w:val="56"/>
        </w:rPr>
        <w:t>支出绩效评价</w:t>
      </w:r>
      <w:r>
        <w:rPr>
          <w:rFonts w:hint="eastAsia" w:ascii="黑体" w:hAnsi="黑体" w:eastAsia="黑体"/>
          <w:sz w:val="56"/>
          <w:szCs w:val="56"/>
          <w:lang w:val="en-US" w:eastAsia="zh-CN"/>
        </w:rPr>
        <w:t>报告</w:t>
      </w: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jc w:val="center"/>
        <w:rPr>
          <w:rFonts w:hAnsi="黑体"/>
        </w:rPr>
      </w:pPr>
    </w:p>
    <w:p>
      <w:pPr>
        <w:snapToGrid w:val="0"/>
        <w:spacing w:line="300" w:lineRule="auto"/>
        <w:ind w:right="86" w:rightChars="31" w:firstLine="0" w:firstLineChars="0"/>
        <w:rPr>
          <w:rFonts w:hAnsi="黑体"/>
        </w:rPr>
      </w:pPr>
    </w:p>
    <w:tbl>
      <w:tblPr>
        <w:tblStyle w:val="37"/>
        <w:tblW w:w="8688" w:type="dxa"/>
        <w:tblInd w:w="860" w:type="dxa"/>
        <w:tblLayout w:type="fixed"/>
        <w:tblCellMar>
          <w:top w:w="0" w:type="dxa"/>
          <w:left w:w="108" w:type="dxa"/>
          <w:bottom w:w="0" w:type="dxa"/>
          <w:right w:w="108" w:type="dxa"/>
        </w:tblCellMar>
      </w:tblPr>
      <w:tblGrid>
        <w:gridCol w:w="2352"/>
        <w:gridCol w:w="6336"/>
      </w:tblGrid>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hint="eastAsia" w:ascii="Times New Roman" w:hAnsi="Times New Roman" w:eastAsia="黑体" w:cs="Times New Roman"/>
                <w:sz w:val="30"/>
                <w:szCs w:val="30"/>
              </w:rPr>
              <w:t>项目支出</w:t>
            </w:r>
            <w:r>
              <w:rPr>
                <w:rFonts w:ascii="Times New Roman" w:hAnsi="Times New Roman" w:eastAsia="黑体" w:cs="Times New Roman"/>
                <w:sz w:val="30"/>
                <w:szCs w:val="30"/>
              </w:rPr>
              <w:t>名称：</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hint="eastAsia" w:ascii="Times New Roman" w:hAnsi="Times New Roman" w:eastAsia="黑体" w:cs="Times New Roman"/>
                <w:sz w:val="30"/>
                <w:szCs w:val="30"/>
              </w:rPr>
              <w:t>2020年崇明区美丽家园城桥镇地区项目支出</w:t>
            </w:r>
          </w:p>
        </w:tc>
      </w:tr>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预算单位：</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上海市</w:t>
            </w:r>
            <w:r>
              <w:rPr>
                <w:rFonts w:hint="eastAsia" w:ascii="Times New Roman" w:hAnsi="Times New Roman" w:eastAsia="黑体" w:cs="Times New Roman"/>
                <w:sz w:val="30"/>
                <w:szCs w:val="30"/>
              </w:rPr>
              <w:t>崇明区住房保障和房屋管理局</w:t>
            </w:r>
          </w:p>
        </w:tc>
      </w:tr>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预算主管部门：</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上海市</w:t>
            </w:r>
            <w:r>
              <w:rPr>
                <w:rFonts w:hint="eastAsia" w:ascii="Times New Roman" w:hAnsi="Times New Roman" w:eastAsia="黑体" w:cs="Times New Roman"/>
                <w:sz w:val="30"/>
                <w:szCs w:val="30"/>
              </w:rPr>
              <w:t>崇明区住房保障和房屋管理局</w:t>
            </w:r>
          </w:p>
        </w:tc>
      </w:tr>
      <w:tr>
        <w:tblPrEx>
          <w:tblLayout w:type="fixed"/>
          <w:tblCellMar>
            <w:top w:w="0" w:type="dxa"/>
            <w:left w:w="108" w:type="dxa"/>
            <w:bottom w:w="0" w:type="dxa"/>
            <w:right w:w="108" w:type="dxa"/>
          </w:tblCellMar>
        </w:tblPrEx>
        <w:trPr>
          <w:trHeight w:val="284"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委托</w:t>
            </w:r>
            <w:r>
              <w:rPr>
                <w:rFonts w:hint="eastAsia" w:ascii="Times New Roman" w:hAnsi="Times New Roman" w:eastAsia="黑体" w:cs="Times New Roman"/>
                <w:sz w:val="30"/>
                <w:szCs w:val="30"/>
              </w:rPr>
              <w:t>部门</w:t>
            </w:r>
            <w:r>
              <w:rPr>
                <w:rFonts w:ascii="Times New Roman" w:hAnsi="Times New Roman" w:eastAsia="黑体" w:cs="Times New Roman"/>
                <w:sz w:val="30"/>
                <w:szCs w:val="30"/>
              </w:rPr>
              <w:t>：</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上海市崇明区财政局</w:t>
            </w:r>
          </w:p>
        </w:tc>
      </w:tr>
      <w:tr>
        <w:tblPrEx>
          <w:tblLayout w:type="fixed"/>
          <w:tblCellMar>
            <w:top w:w="0" w:type="dxa"/>
            <w:left w:w="108" w:type="dxa"/>
            <w:bottom w:w="0" w:type="dxa"/>
            <w:right w:w="108" w:type="dxa"/>
          </w:tblCellMar>
        </w:tblPrEx>
        <w:trPr>
          <w:trHeight w:val="487" w:hRule="atLeast"/>
        </w:trPr>
        <w:tc>
          <w:tcPr>
            <w:tcW w:w="2352" w:type="dxa"/>
          </w:tcPr>
          <w:p>
            <w:pPr>
              <w:spacing w:line="500" w:lineRule="exact"/>
              <w:ind w:firstLine="0" w:firstLineChars="0"/>
              <w:contextualSpacing w:val="0"/>
              <w:jc w:val="left"/>
              <w:rPr>
                <w:rFonts w:ascii="Times New Roman" w:hAnsi="Times New Roman" w:eastAsia="黑体" w:cs="Times New Roman"/>
                <w:sz w:val="30"/>
                <w:szCs w:val="30"/>
              </w:rPr>
            </w:pPr>
            <w:r>
              <w:rPr>
                <w:rFonts w:ascii="Times New Roman" w:hAnsi="Times New Roman" w:eastAsia="黑体" w:cs="Times New Roman"/>
                <w:sz w:val="30"/>
                <w:szCs w:val="30"/>
              </w:rPr>
              <w:t>评价机构：</w:t>
            </w:r>
          </w:p>
        </w:tc>
        <w:tc>
          <w:tcPr>
            <w:tcW w:w="6336" w:type="dxa"/>
          </w:tcPr>
          <w:p>
            <w:pPr>
              <w:spacing w:line="500" w:lineRule="exact"/>
              <w:ind w:firstLine="0" w:firstLineChars="0"/>
              <w:contextualSpacing w:val="0"/>
              <w:jc w:val="left"/>
              <w:rPr>
                <w:rFonts w:ascii="Times New Roman" w:hAnsi="Times New Roman" w:eastAsia="黑体" w:cs="Times New Roman"/>
                <w:sz w:val="30"/>
                <w:szCs w:val="30"/>
              </w:rPr>
            </w:pPr>
            <w:r>
              <w:rPr>
                <w:rFonts w:hint="eastAsia" w:ascii="Times New Roman" w:hAnsi="Times New Roman" w:eastAsia="黑体" w:cs="Times New Roman"/>
                <w:sz w:val="30"/>
                <w:szCs w:val="30"/>
              </w:rPr>
              <w:t>上海首絮维施企业管理咨询有限公司</w:t>
            </w:r>
          </w:p>
        </w:tc>
      </w:tr>
    </w:tbl>
    <w:p>
      <w:pPr>
        <w:snapToGrid w:val="0"/>
        <w:spacing w:line="300" w:lineRule="auto"/>
        <w:ind w:right="86" w:rightChars="31" w:firstLine="0" w:firstLineChars="0"/>
        <w:jc w:val="center"/>
        <w:rPr>
          <w:rFonts w:hAnsi="黑体"/>
        </w:rPr>
      </w:pPr>
    </w:p>
    <w:p>
      <w:pPr>
        <w:widowControl/>
        <w:spacing w:after="200" w:line="300" w:lineRule="exact"/>
        <w:ind w:firstLine="0" w:firstLineChars="0"/>
        <w:contextualSpacing w:val="0"/>
        <w:jc w:val="center"/>
        <w:rPr>
          <w:rFonts w:ascii="黑体" w:hAnsi="黑体" w:eastAsia="黑体" w:cs="Times New Roman"/>
          <w:color w:val="C0C0C0"/>
          <w:kern w:val="0"/>
          <w:sz w:val="30"/>
          <w:szCs w:val="30"/>
          <w:lang w:bidi="en-US"/>
        </w:rPr>
      </w:pPr>
    </w:p>
    <w:p>
      <w:pPr>
        <w:widowControl/>
        <w:spacing w:after="200" w:line="300" w:lineRule="exact"/>
        <w:ind w:firstLine="0" w:firstLineChars="0"/>
        <w:contextualSpacing w:val="0"/>
        <w:jc w:val="center"/>
        <w:rPr>
          <w:rFonts w:ascii="黑体" w:hAnsi="黑体" w:eastAsia="黑体" w:cs="Times New Roman"/>
          <w:color w:val="C0C0C0"/>
          <w:kern w:val="0"/>
          <w:sz w:val="30"/>
          <w:szCs w:val="30"/>
          <w:lang w:bidi="en-US"/>
        </w:rPr>
      </w:pPr>
    </w:p>
    <w:p>
      <w:pPr>
        <w:widowControl/>
        <w:spacing w:after="200" w:line="300" w:lineRule="exact"/>
        <w:ind w:firstLine="0" w:firstLineChars="0"/>
        <w:contextualSpacing w:val="0"/>
        <w:jc w:val="center"/>
        <w:rPr>
          <w:rFonts w:ascii="黑体" w:hAnsi="黑体" w:eastAsia="黑体" w:cs="黑体"/>
          <w:kern w:val="0"/>
          <w:lang w:bidi="en-US"/>
        </w:rPr>
      </w:pPr>
      <w:r>
        <w:rPr>
          <w:rFonts w:hint="eastAsia" w:ascii="Times New Roman" w:hAnsi="Times New Roman" w:eastAsia="黑体" w:cs="Times New Roman"/>
          <w:kern w:val="2"/>
          <w:sz w:val="30"/>
          <w:szCs w:val="30"/>
        </w:rPr>
        <w:t>2023年</w:t>
      </w:r>
      <w:r>
        <w:rPr>
          <w:rFonts w:hint="eastAsia" w:ascii="Times New Roman" w:hAnsi="Times New Roman" w:eastAsia="黑体" w:cs="Times New Roman"/>
          <w:kern w:val="2"/>
          <w:sz w:val="30"/>
          <w:szCs w:val="30"/>
          <w:lang w:val="en-US" w:eastAsia="zh-CN"/>
        </w:rPr>
        <w:t>6</w:t>
      </w:r>
      <w:r>
        <w:rPr>
          <w:rFonts w:hint="eastAsia" w:ascii="Times New Roman" w:hAnsi="Times New Roman" w:eastAsia="黑体" w:cs="Times New Roman"/>
          <w:kern w:val="2"/>
          <w:sz w:val="30"/>
          <w:szCs w:val="30"/>
        </w:rPr>
        <w:t>月</w:t>
      </w:r>
    </w:p>
    <w:p>
      <w:pPr>
        <w:tabs>
          <w:tab w:val="left" w:pos="5313"/>
        </w:tabs>
        <w:snapToGrid w:val="0"/>
        <w:spacing w:line="300" w:lineRule="auto"/>
        <w:ind w:right="86" w:rightChars="31" w:firstLine="0" w:firstLineChars="0"/>
        <w:jc w:val="left"/>
      </w:pPr>
    </w:p>
    <w:p>
      <w:pPr>
        <w:snapToGrid w:val="0"/>
        <w:spacing w:line="300" w:lineRule="auto"/>
        <w:ind w:right="86" w:rightChars="31" w:firstLine="0" w:firstLineChars="0"/>
      </w:pPr>
    </w:p>
    <w:p>
      <w:pPr>
        <w:snapToGrid w:val="0"/>
        <w:spacing w:line="300" w:lineRule="auto"/>
        <w:ind w:right="86" w:rightChars="31" w:firstLine="0" w:firstLineChars="0"/>
      </w:pPr>
    </w:p>
    <w:p>
      <w:pPr>
        <w:snapToGrid w:val="0"/>
        <w:spacing w:line="300" w:lineRule="auto"/>
        <w:ind w:right="86" w:rightChars="31" w:firstLine="0" w:firstLineChars="0"/>
      </w:pPr>
    </w:p>
    <w:p>
      <w:pPr>
        <w:snapToGrid w:val="0"/>
        <w:spacing w:line="300" w:lineRule="auto"/>
        <w:ind w:right="86" w:rightChars="31" w:firstLine="0" w:firstLineChars="0"/>
      </w:pPr>
      <w:r>
        <w:rPr>
          <w:rFonts w:hint="eastAsia"/>
        </w:rPr>
        <w:br w:type="page"/>
      </w:r>
    </w:p>
    <w:p>
      <w:pPr>
        <w:widowControl/>
        <w:ind w:firstLine="560"/>
        <w:jc w:val="left"/>
        <w:rPr>
          <w:rFonts w:ascii="Times New Roman" w:hAnsi="Times New Roman" w:eastAsia="仿宋_GB2312" w:cs="Times New Roman"/>
          <w:sz w:val="28"/>
          <w:szCs w:val="28"/>
        </w:rPr>
      </w:pPr>
    </w:p>
    <w:p>
      <w:pPr>
        <w:widowControl/>
        <w:jc w:val="left"/>
        <w:rPr>
          <w:rFonts w:hint="default" w:ascii="Times New Roman" w:hAnsi="Times New Roman" w:cs="Times New Roman"/>
        </w:rPr>
      </w:pPr>
      <w:r>
        <w:rPr>
          <w:rFonts w:ascii="Times New Roman" w:hAnsi="Times New Roman" w:eastAsia="仿宋_GB2312" w:cs="Times New Roman"/>
          <w:sz w:val="28"/>
          <w:szCs w:val="28"/>
        </w:rPr>
        <w:t>评价机构：上海</w:t>
      </w:r>
      <w:r>
        <w:rPr>
          <w:rFonts w:hint="eastAsia" w:ascii="Times New Roman" w:hAnsi="Times New Roman" w:eastAsia="仿宋_GB2312" w:cs="Times New Roman"/>
          <w:sz w:val="28"/>
          <w:szCs w:val="28"/>
        </w:rPr>
        <w:t>首絮维施企业管理咨询有限公司（盖章）</w:t>
      </w:r>
    </w:p>
    <w:p>
      <w:pPr>
        <w:widowControl/>
        <w:ind w:firstLine="562"/>
        <w:jc w:val="left"/>
        <w:rPr>
          <w:rFonts w:hint="default" w:ascii="Times New Roman" w:hAnsi="Times New Roman" w:eastAsia="黑体" w:cs="Times New Roman"/>
          <w:b/>
        </w:rPr>
      </w:pPr>
    </w:p>
    <w:p>
      <w:pPr>
        <w:widowControl/>
        <w:ind w:firstLine="562"/>
        <w:jc w:val="left"/>
        <w:rPr>
          <w:rFonts w:hint="default" w:ascii="Times New Roman" w:hAnsi="Times New Roman" w:eastAsia="黑体" w:cs="Times New Roman"/>
          <w:b/>
        </w:rPr>
      </w:pPr>
    </w:p>
    <w:p>
      <w:pPr>
        <w:snapToGrid w:val="0"/>
        <w:spacing w:line="300" w:lineRule="auto"/>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主评人：</w:t>
      </w:r>
      <w:r>
        <w:rPr>
          <w:rFonts w:hint="default" w:ascii="Times New Roman" w:hAnsi="Times New Roman" w:cs="Times New Roman"/>
        </w:rPr>
        <w:t>黄松松</w:t>
      </w:r>
    </w:p>
    <w:p>
      <w:pPr>
        <w:widowControl/>
        <w:ind w:firstLine="562"/>
        <w:jc w:val="left"/>
        <w:rPr>
          <w:rFonts w:hint="default" w:ascii="Times New Roman" w:hAnsi="Times New Roman" w:cs="Times New Roman"/>
        </w:rPr>
      </w:pPr>
      <w:r>
        <w:rPr>
          <w:rFonts w:hint="eastAsia" w:ascii="Times New Roman" w:hAnsi="Times New Roman" w:eastAsia="仿宋_GB2312" w:cs="Times New Roman"/>
          <w:sz w:val="28"/>
          <w:szCs w:val="28"/>
        </w:rPr>
        <w:t>联系方式：</w:t>
      </w:r>
      <w:r>
        <w:rPr>
          <w:rFonts w:hint="default" w:ascii="Times New Roman" w:hAnsi="Times New Roman" w:cs="Times New Roman"/>
        </w:rPr>
        <w:t>13512177487</w:t>
      </w:r>
    </w:p>
    <w:p>
      <w:pPr>
        <w:widowControl/>
        <w:ind w:firstLine="562"/>
        <w:jc w:val="left"/>
        <w:rPr>
          <w:rFonts w:hint="default" w:ascii="Times New Roman" w:hAnsi="Times New Roman" w:cs="Times New Roman"/>
        </w:rPr>
      </w:pPr>
    </w:p>
    <w:p>
      <w:pPr>
        <w:widowControl/>
        <w:ind w:firstLine="562"/>
        <w:jc w:val="left"/>
        <w:rPr>
          <w:rFonts w:hint="default" w:ascii="Times New Roman" w:hAnsi="Times New Roman" w:cs="Times New Roman"/>
        </w:rPr>
      </w:pPr>
    </w:p>
    <w:p>
      <w:pPr>
        <w:widowControl/>
        <w:ind w:firstLine="562"/>
        <w:jc w:val="left"/>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rPr>
        <w:t>复审人：</w:t>
      </w:r>
      <w:r>
        <w:rPr>
          <w:rFonts w:hint="eastAsia" w:ascii="Times New Roman" w:hAnsi="Times New Roman" w:cs="Times New Roman"/>
          <w:sz w:val="28"/>
          <w:szCs w:val="28"/>
          <w:lang w:val="en-US" w:eastAsia="zh-CN"/>
        </w:rPr>
        <w:t>沈丹辉</w:t>
      </w:r>
    </w:p>
    <w:p>
      <w:pPr>
        <w:widowControl/>
        <w:ind w:firstLine="562"/>
        <w:jc w:val="left"/>
        <w:rPr>
          <w:rFonts w:hint="eastAsia" w:ascii="Times New Roman" w:hAnsi="Times New Roman" w:eastAsia="仿宋_GB2312" w:cs="Times New Roman"/>
          <w:sz w:val="28"/>
          <w:szCs w:val="28"/>
        </w:rPr>
      </w:pPr>
    </w:p>
    <w:p>
      <w:pPr>
        <w:widowControl/>
        <w:ind w:firstLine="562"/>
        <w:jc w:val="left"/>
        <w:rPr>
          <w:rFonts w:hint="eastAsia" w:ascii="Times New Roman" w:hAnsi="Times New Roman" w:eastAsia="仿宋_GB2312" w:cs="Times New Roman"/>
          <w:sz w:val="28"/>
          <w:szCs w:val="28"/>
        </w:rPr>
      </w:pPr>
    </w:p>
    <w:p>
      <w:pPr>
        <w:widowControl/>
        <w:ind w:firstLine="562"/>
        <w:jc w:val="left"/>
        <w:rPr>
          <w:rFonts w:hint="eastAsia"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rPr>
        <w:t>终审人：</w:t>
      </w:r>
      <w:r>
        <w:rPr>
          <w:rFonts w:hint="eastAsia" w:ascii="Times New Roman" w:hAnsi="Times New Roman" w:cs="Times New Roman"/>
          <w:sz w:val="28"/>
          <w:szCs w:val="28"/>
          <w:lang w:val="en-US" w:eastAsia="zh-CN"/>
        </w:rPr>
        <w:t>叶姝慧</w:t>
      </w:r>
    </w:p>
    <w:p>
      <w:pPr>
        <w:widowControl/>
        <w:ind w:firstLine="1120" w:firstLineChars="400"/>
        <w:jc w:val="left"/>
        <w:rPr>
          <w:rFonts w:hAnsi="仿宋"/>
        </w:rPr>
        <w:sectPr>
          <w:headerReference r:id="rId6" w:type="first"/>
          <w:footerReference r:id="rId9" w:type="first"/>
          <w:headerReference r:id="rId4" w:type="default"/>
          <w:footerReference r:id="rId7" w:type="default"/>
          <w:headerReference r:id="rId5" w:type="even"/>
          <w:footerReference r:id="rId8" w:type="even"/>
          <w:pgSz w:w="11907" w:h="16839"/>
          <w:pgMar w:top="1797" w:right="1440" w:bottom="1797" w:left="1440" w:header="851" w:footer="992" w:gutter="0"/>
          <w:pgNumType w:start="1"/>
          <w:cols w:space="425" w:num="1"/>
          <w:docGrid w:type="linesAndChars" w:linePitch="312" w:charSpace="0"/>
        </w:sectPr>
      </w:pPr>
    </w:p>
    <w:sdt>
      <w:sdtPr>
        <w:rPr>
          <w:rFonts w:ascii="宋体" w:hAnsi="宋体" w:eastAsia="宋体"/>
          <w:b/>
          <w:bCs/>
        </w:rPr>
        <w:id w:val="147475928"/>
        <w15:color w:val="DBDBDB"/>
        <w:docPartObj>
          <w:docPartGallery w:val="Table of Contents"/>
          <w:docPartUnique/>
        </w:docPartObj>
      </w:sdtPr>
      <w:sdtEndPr>
        <w:rPr>
          <w:rFonts w:ascii="黑体" w:hAnsi="黑体" w:eastAsia="黑体" w:cs="黑体"/>
          <w:b/>
          <w:bCs/>
          <w:szCs w:val="32"/>
        </w:rPr>
      </w:sdtEndPr>
      <w:sdtContent>
        <w:p>
          <w:pPr>
            <w:spacing w:line="240" w:lineRule="auto"/>
            <w:ind w:firstLine="0" w:firstLineChars="0"/>
            <w:jc w:val="center"/>
            <w:rPr>
              <w:b/>
              <w:bCs/>
            </w:rPr>
          </w:pPr>
          <w:r>
            <w:rPr>
              <w:rFonts w:ascii="宋体" w:hAnsi="宋体" w:eastAsia="宋体"/>
              <w:b/>
              <w:bCs/>
            </w:rPr>
            <w:t>目</w:t>
          </w:r>
          <w:r>
            <w:rPr>
              <w:rFonts w:hint="eastAsia" w:ascii="宋体" w:hAnsi="宋体" w:eastAsia="宋体"/>
              <w:b/>
              <w:bCs/>
            </w:rPr>
            <w:t xml:space="preserve"> </w:t>
          </w:r>
          <w:r>
            <w:rPr>
              <w:rFonts w:ascii="宋体" w:hAnsi="宋体" w:eastAsia="宋体"/>
              <w:b/>
              <w:bCs/>
            </w:rPr>
            <w:t>录</w:t>
          </w:r>
        </w:p>
        <w:p>
          <w:pPr>
            <w:pStyle w:val="22"/>
            <w:tabs>
              <w:tab w:val="right" w:leader="dot" w:pos="8312"/>
            </w:tabs>
          </w:pPr>
          <w:r>
            <w:rPr>
              <w:rFonts w:hint="eastAsia" w:ascii="仿宋_GB2312" w:hAnsi="仿宋_GB2312" w:eastAsia="仿宋_GB2312" w:cs="仿宋_GB2312"/>
              <w:sz w:val="24"/>
              <w:szCs w:val="24"/>
            </w:rPr>
            <w:fldChar w:fldCharType="begin"/>
          </w:r>
          <w:r>
            <w:rPr>
              <w:rFonts w:hint="eastAsia" w:ascii="仿宋_GB2312" w:hAnsi="仿宋_GB2312" w:eastAsia="仿宋_GB2312" w:cs="仿宋_GB2312"/>
              <w:sz w:val="24"/>
              <w:szCs w:val="24"/>
            </w:rPr>
            <w:instrText xml:space="preserve">TOC \o "1-3" \h \u </w:instrText>
          </w:r>
          <w:r>
            <w:rPr>
              <w:rFonts w:hint="eastAsia" w:ascii="仿宋_GB2312" w:hAnsi="仿宋_GB2312" w:eastAsia="仿宋_GB2312" w:cs="仿宋_GB2312"/>
              <w:sz w:val="24"/>
              <w:szCs w:val="24"/>
            </w:rPr>
            <w:fldChar w:fldCharType="separate"/>
          </w: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_Toc15760 </w:instrText>
          </w:r>
          <w:r>
            <w:rPr>
              <w:rFonts w:hint="eastAsia" w:ascii="仿宋_GB2312" w:hAnsi="仿宋_GB2312" w:eastAsia="仿宋_GB2312" w:cs="仿宋_GB2312"/>
              <w:szCs w:val="24"/>
            </w:rPr>
            <w:fldChar w:fldCharType="separate"/>
          </w:r>
          <w:r>
            <w:rPr>
              <w:rFonts w:hint="eastAsia" w:ascii="黑体" w:hAnsi="黑体" w:eastAsia="黑体" w:cs="黑体"/>
              <w:bCs/>
              <w:kern w:val="1"/>
              <w:szCs w:val="22"/>
            </w:rPr>
            <w:t>摘要</w:t>
          </w:r>
          <w:r>
            <w:tab/>
          </w:r>
          <w:r>
            <w:fldChar w:fldCharType="begin"/>
          </w:r>
          <w:r>
            <w:instrText xml:space="preserve"> PAGEREF _Toc15760 </w:instrText>
          </w:r>
          <w:r>
            <w:fldChar w:fldCharType="separate"/>
          </w:r>
          <w:r>
            <w:t>1</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_Toc18217 </w:instrText>
          </w:r>
          <w:r>
            <w:rPr>
              <w:rFonts w:hint="eastAsia" w:ascii="仿宋_GB2312" w:hAnsi="仿宋_GB2312" w:eastAsia="仿宋_GB2312" w:cs="仿宋_GB2312"/>
              <w:szCs w:val="24"/>
            </w:rPr>
            <w:fldChar w:fldCharType="separate"/>
          </w:r>
          <w:r>
            <w:rPr>
              <w:rFonts w:hint="eastAsia" w:ascii="黑体" w:hAnsi="黑体" w:eastAsia="黑体" w:cs="黑体"/>
              <w:szCs w:val="32"/>
            </w:rPr>
            <w:t>一、项目</w:t>
          </w:r>
          <w:r>
            <w:rPr>
              <w:rFonts w:hint="eastAsia" w:ascii="黑体" w:hAnsi="黑体" w:eastAsia="黑体" w:cs="黑体"/>
              <w:szCs w:val="32"/>
              <w:lang w:val="en-US" w:eastAsia="zh-CN"/>
            </w:rPr>
            <w:t>基本情况</w:t>
          </w:r>
          <w:r>
            <w:tab/>
          </w:r>
          <w:r>
            <w:fldChar w:fldCharType="begin"/>
          </w:r>
          <w:r>
            <w:instrText xml:space="preserve"> PAGEREF _Toc18217 </w:instrText>
          </w:r>
          <w:r>
            <w:fldChar w:fldCharType="separate"/>
          </w:r>
          <w:r>
            <w:t>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_Toc32066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（一）项目立项背景</w:t>
          </w:r>
          <w:r>
            <w:rPr>
              <w:rFonts w:hint="eastAsia" w:ascii="方正楷体_GB2312" w:hAnsi="方正楷体_GB2312" w:eastAsia="方正楷体_GB2312" w:cs="方正楷体_GB2312"/>
              <w:szCs w:val="32"/>
              <w:lang w:eastAsia="zh-CN"/>
            </w:rPr>
            <w:t>、</w:t>
          </w:r>
          <w:r>
            <w:rPr>
              <w:rFonts w:hint="eastAsia" w:ascii="方正楷体_GB2312" w:hAnsi="方正楷体_GB2312" w:eastAsia="方正楷体_GB2312" w:cs="方正楷体_GB2312"/>
              <w:szCs w:val="32"/>
            </w:rPr>
            <w:t>目的</w:t>
          </w:r>
          <w:r>
            <w:rPr>
              <w:rFonts w:hint="eastAsia" w:ascii="方正楷体_GB2312" w:hAnsi="方正楷体_GB2312" w:eastAsia="方正楷体_GB2312" w:cs="方正楷体_GB2312"/>
              <w:szCs w:val="32"/>
              <w:lang w:val="en-US" w:eastAsia="zh-CN"/>
            </w:rPr>
            <w:t>和依据</w:t>
          </w:r>
          <w:r>
            <w:tab/>
          </w:r>
          <w:r>
            <w:fldChar w:fldCharType="begin"/>
          </w:r>
          <w:r>
            <w:instrText xml:space="preserve"> PAGEREF _Toc32066 </w:instrText>
          </w:r>
          <w:r>
            <w:fldChar w:fldCharType="separate"/>
          </w:r>
          <w:r>
            <w:t>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_Toc32631 </w:instrText>
          </w:r>
          <w:r>
            <w:rPr>
              <w:rFonts w:hint="eastAsia" w:ascii="仿宋_GB2312" w:hAnsi="仿宋_GB2312" w:eastAsia="仿宋_GB2312" w:cs="仿宋_GB2312"/>
              <w:szCs w:val="24"/>
            </w:rPr>
            <w:fldChar w:fldCharType="separate"/>
          </w:r>
          <w:r>
            <w:rPr>
              <w:rFonts w:hint="eastAsia" w:hAnsi="Arial Unicode MS" w:cs="Arial Unicode MS"/>
              <w:szCs w:val="32"/>
            </w:rPr>
            <w:t>1.立项背景</w:t>
          </w:r>
          <w:r>
            <w:tab/>
          </w:r>
          <w:r>
            <w:fldChar w:fldCharType="begin"/>
          </w:r>
          <w:r>
            <w:instrText xml:space="preserve"> PAGEREF _Toc32631 </w:instrText>
          </w:r>
          <w:r>
            <w:fldChar w:fldCharType="separate"/>
          </w:r>
          <w:r>
            <w:t>1</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_Toc29643 </w:instrText>
          </w:r>
          <w:r>
            <w:rPr>
              <w:rFonts w:hint="eastAsia" w:ascii="仿宋_GB2312" w:hAnsi="仿宋_GB2312" w:eastAsia="仿宋_GB2312" w:cs="仿宋_GB2312"/>
              <w:szCs w:val="24"/>
            </w:rPr>
            <w:fldChar w:fldCharType="separate"/>
          </w:r>
          <w:r>
            <w:rPr>
              <w:rFonts w:hint="eastAsia" w:hAnsi="Arial Unicode MS" w:cs="Arial Unicode MS"/>
              <w:szCs w:val="32"/>
            </w:rPr>
            <w:t>2.项目目的</w:t>
          </w:r>
          <w:r>
            <w:tab/>
          </w:r>
          <w:r>
            <w:fldChar w:fldCharType="begin"/>
          </w:r>
          <w:r>
            <w:instrText xml:space="preserve"> PAGEREF _Toc29643 </w:instrText>
          </w:r>
          <w:r>
            <w:fldChar w:fldCharType="separate"/>
          </w:r>
          <w:r>
            <w:t>3</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_Toc27765 </w:instrText>
          </w:r>
          <w:r>
            <w:rPr>
              <w:rFonts w:hint="eastAsia" w:ascii="仿宋_GB2312" w:hAnsi="仿宋_GB2312" w:eastAsia="仿宋_GB2312" w:cs="仿宋_GB2312"/>
              <w:szCs w:val="24"/>
            </w:rPr>
            <w:fldChar w:fldCharType="separate"/>
          </w:r>
          <w:r>
            <w:rPr>
              <w:rFonts w:hint="eastAsia" w:hAnsi="Arial Unicode MS" w:cs="Arial Unicode MS"/>
              <w:szCs w:val="32"/>
              <w:lang w:val="en-US" w:eastAsia="zh-CN"/>
            </w:rPr>
            <w:t>3.</w:t>
          </w:r>
          <w:r>
            <w:rPr>
              <w:rFonts w:hint="eastAsia" w:hAnsi="Arial Unicode MS" w:cs="Arial Unicode MS"/>
              <w:szCs w:val="32"/>
            </w:rPr>
            <w:t>项目立项依据</w:t>
          </w:r>
          <w:r>
            <w:tab/>
          </w:r>
          <w:r>
            <w:fldChar w:fldCharType="begin"/>
          </w:r>
          <w:r>
            <w:instrText xml:space="preserve"> PAGEREF _Toc27765 </w:instrText>
          </w:r>
          <w:r>
            <w:fldChar w:fldCharType="separate"/>
          </w:r>
          <w:r>
            <w:t>4</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_Toc10775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二</w:t>
          </w:r>
          <w:r>
            <w:rPr>
              <w:rFonts w:hint="eastAsia" w:ascii="方正楷体_GB2312" w:hAnsi="方正楷体_GB2312" w:eastAsia="方正楷体_GB2312" w:cs="方正楷体_GB2312"/>
              <w:szCs w:val="32"/>
            </w:rPr>
            <w:t>）项目实施计划</w:t>
          </w:r>
          <w:r>
            <w:rPr>
              <w:rFonts w:hint="eastAsia" w:ascii="方正楷体_GB2312" w:hAnsi="方正楷体_GB2312" w:eastAsia="方正楷体_GB2312" w:cs="方正楷体_GB2312"/>
              <w:szCs w:val="32"/>
              <w:lang w:val="en-US" w:eastAsia="zh-CN"/>
            </w:rPr>
            <w:t>及完成情况</w:t>
          </w:r>
          <w:r>
            <w:tab/>
          </w:r>
          <w:r>
            <w:fldChar w:fldCharType="begin"/>
          </w:r>
          <w:r>
            <w:instrText xml:space="preserve"> PAGEREF _Toc10775 </w:instrText>
          </w:r>
          <w:r>
            <w:fldChar w:fldCharType="separate"/>
          </w:r>
          <w:r>
            <w:t>6</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_Toc1406 </w:instrText>
          </w:r>
          <w:r>
            <w:rPr>
              <w:rFonts w:hint="eastAsia" w:ascii="仿宋_GB2312" w:hAnsi="仿宋_GB2312" w:eastAsia="仿宋_GB2312" w:cs="仿宋_GB2312"/>
              <w:szCs w:val="24"/>
            </w:rPr>
            <w:fldChar w:fldCharType="separate"/>
          </w:r>
          <w:r>
            <w:rPr>
              <w:rFonts w:hint="eastAsia"/>
              <w:bCs/>
              <w:szCs w:val="32"/>
              <w:lang w:val="en-US" w:eastAsia="zh-CN"/>
            </w:rPr>
            <w:t>1.项目计划实施内容</w:t>
          </w:r>
          <w:r>
            <w:tab/>
          </w:r>
          <w:r>
            <w:fldChar w:fldCharType="begin"/>
          </w:r>
          <w:r>
            <w:instrText xml:space="preserve"> PAGEREF _Toc1406 </w:instrText>
          </w:r>
          <w:r>
            <w:fldChar w:fldCharType="separate"/>
          </w:r>
          <w:r>
            <w:t>6</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_Toc21525 </w:instrText>
          </w:r>
          <w:r>
            <w:rPr>
              <w:rFonts w:hint="eastAsia" w:ascii="仿宋_GB2312" w:hAnsi="仿宋_GB2312" w:eastAsia="仿宋_GB2312" w:cs="仿宋_GB2312"/>
              <w:szCs w:val="24"/>
            </w:rPr>
            <w:fldChar w:fldCharType="separate"/>
          </w:r>
          <w:r>
            <w:rPr>
              <w:rFonts w:hint="eastAsia"/>
              <w:bCs/>
              <w:szCs w:val="32"/>
              <w:lang w:val="en-US" w:eastAsia="zh-CN"/>
            </w:rPr>
            <w:t>2.项目实际完成情况</w:t>
          </w:r>
          <w:r>
            <w:tab/>
          </w:r>
          <w:r>
            <w:fldChar w:fldCharType="begin"/>
          </w:r>
          <w:r>
            <w:instrText xml:space="preserve"> PAGEREF _Toc21525 </w:instrText>
          </w:r>
          <w:r>
            <w:fldChar w:fldCharType="separate"/>
          </w:r>
          <w:r>
            <w:t>8</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_Toc11482 </w:instrText>
          </w:r>
          <w:r>
            <w:rPr>
              <w:rFonts w:hint="eastAsia" w:ascii="仿宋_GB2312" w:hAnsi="仿宋_GB2312" w:eastAsia="仿宋_GB2312" w:cs="仿宋_GB2312"/>
              <w:szCs w:val="24"/>
            </w:rPr>
            <w:fldChar w:fldCharType="separate"/>
          </w:r>
          <w:r>
            <w:rPr>
              <w:rFonts w:hint="eastAsia" w:ascii="仿宋_GB2312" w:eastAsia="仿宋_GB2312"/>
              <w:bCs/>
              <w:szCs w:val="32"/>
              <w:lang w:val="en-US" w:eastAsia="zh-CN"/>
            </w:rPr>
            <w:t>3.项目合同签订及履约情况</w:t>
          </w:r>
          <w:r>
            <w:tab/>
          </w:r>
          <w:r>
            <w:fldChar w:fldCharType="begin"/>
          </w:r>
          <w:r>
            <w:instrText xml:space="preserve"> PAGEREF _Toc11482 </w:instrText>
          </w:r>
          <w:r>
            <w:fldChar w:fldCharType="separate"/>
          </w:r>
          <w:r>
            <w:t>11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_Toc24607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三</w:t>
          </w:r>
          <w:r>
            <w:rPr>
              <w:rFonts w:hint="eastAsia" w:ascii="方正楷体_GB2312" w:hAnsi="方正楷体_GB2312" w:eastAsia="方正楷体_GB2312" w:cs="方正楷体_GB2312"/>
              <w:szCs w:val="32"/>
            </w:rPr>
            <w:t>）项目资金来源、项目预算及资金使用情况</w:t>
          </w:r>
          <w:r>
            <w:tab/>
          </w:r>
          <w:r>
            <w:fldChar w:fldCharType="begin"/>
          </w:r>
          <w:r>
            <w:instrText xml:space="preserve"> PAGEREF _Toc24607 </w:instrText>
          </w:r>
          <w:r>
            <w:fldChar w:fldCharType="separate"/>
          </w:r>
          <w:r>
            <w:t>12</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_Toc11265 </w:instrText>
          </w:r>
          <w:r>
            <w:rPr>
              <w:rFonts w:hint="eastAsia" w:ascii="仿宋_GB2312" w:hAnsi="仿宋_GB2312" w:eastAsia="仿宋_GB2312" w:cs="仿宋_GB2312"/>
              <w:szCs w:val="24"/>
            </w:rPr>
            <w:fldChar w:fldCharType="separate"/>
          </w:r>
          <w:r>
            <w:rPr>
              <w:rFonts w:hint="eastAsia" w:hAnsi="Times New Roman" w:cs="Times New Roman"/>
              <w:szCs w:val="32"/>
            </w:rPr>
            <w:t>1.预算金额及资金来源</w:t>
          </w:r>
          <w:r>
            <w:tab/>
          </w:r>
          <w:r>
            <w:fldChar w:fldCharType="begin"/>
          </w:r>
          <w:r>
            <w:instrText xml:space="preserve"> PAGEREF _Toc11265 </w:instrText>
          </w:r>
          <w:r>
            <w:fldChar w:fldCharType="separate"/>
          </w:r>
          <w:r>
            <w:t>12</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_Toc31734 </w:instrText>
          </w:r>
          <w:r>
            <w:rPr>
              <w:rFonts w:hint="eastAsia" w:ascii="仿宋_GB2312" w:hAnsi="仿宋_GB2312" w:eastAsia="仿宋_GB2312" w:cs="仿宋_GB2312"/>
              <w:szCs w:val="24"/>
            </w:rPr>
            <w:fldChar w:fldCharType="separate"/>
          </w:r>
          <w:r>
            <w:rPr>
              <w:rFonts w:hint="eastAsia" w:hAnsi="Times New Roman" w:cs="Times New Roman"/>
              <w:szCs w:val="32"/>
              <w:highlight w:val="none"/>
              <w:lang w:val="en-US" w:eastAsia="zh-CN"/>
            </w:rPr>
            <w:t>2.</w:t>
          </w:r>
          <w:r>
            <w:rPr>
              <w:rFonts w:hint="eastAsia" w:hAnsi="Times New Roman" w:cs="Times New Roman"/>
              <w:szCs w:val="32"/>
              <w:highlight w:val="none"/>
            </w:rPr>
            <w:t>预算执行情况</w:t>
          </w:r>
          <w:r>
            <w:tab/>
          </w:r>
          <w:r>
            <w:fldChar w:fldCharType="begin"/>
          </w:r>
          <w:r>
            <w:instrText xml:space="preserve"> PAGEREF _Toc31734 </w:instrText>
          </w:r>
          <w:r>
            <w:fldChar w:fldCharType="separate"/>
          </w:r>
          <w:r>
            <w:t>12</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_Toc821 </w:instrText>
          </w:r>
          <w:r>
            <w:rPr>
              <w:rFonts w:hint="eastAsia" w:ascii="仿宋_GB2312" w:hAnsi="仿宋_GB2312" w:eastAsia="仿宋_GB2312" w:cs="仿宋_GB2312"/>
              <w:szCs w:val="24"/>
            </w:rPr>
            <w:fldChar w:fldCharType="separate"/>
          </w:r>
          <w:r>
            <w:rPr>
              <w:rFonts w:hint="eastAsia"/>
              <w:szCs w:val="32"/>
            </w:rPr>
            <w:t>（</w:t>
          </w:r>
          <w:r>
            <w:rPr>
              <w:rFonts w:hint="eastAsia"/>
              <w:szCs w:val="32"/>
              <w:lang w:val="en-US" w:eastAsia="zh-CN"/>
            </w:rPr>
            <w:t>四</w:t>
          </w:r>
          <w:r>
            <w:rPr>
              <w:rFonts w:hint="eastAsia"/>
              <w:szCs w:val="32"/>
            </w:rPr>
            <w:t>）项目的组织及管理</w:t>
          </w:r>
          <w:r>
            <w:tab/>
          </w:r>
          <w:r>
            <w:fldChar w:fldCharType="begin"/>
          </w:r>
          <w:r>
            <w:instrText xml:space="preserve"> PAGEREF _Toc821 </w:instrText>
          </w:r>
          <w:r>
            <w:fldChar w:fldCharType="separate"/>
          </w:r>
          <w:r>
            <w:t>16</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_Toc4690 </w:instrText>
          </w:r>
          <w:r>
            <w:rPr>
              <w:rFonts w:hint="eastAsia" w:ascii="仿宋_GB2312" w:hAnsi="仿宋_GB2312" w:eastAsia="仿宋_GB2312" w:cs="仿宋_GB2312"/>
              <w:szCs w:val="24"/>
            </w:rPr>
            <w:fldChar w:fldCharType="separate"/>
          </w:r>
          <w:r>
            <w:rPr>
              <w:rFonts w:hint="eastAsia" w:hAnsi="仿宋"/>
              <w:szCs w:val="32"/>
            </w:rPr>
            <w:t>1.</w:t>
          </w:r>
          <w:r>
            <w:rPr>
              <w:rFonts w:hint="eastAsia" w:hAnsi="仿宋"/>
              <w:szCs w:val="32"/>
              <w:highlight w:val="none"/>
            </w:rPr>
            <w:t>项目组织</w:t>
          </w:r>
          <w:r>
            <w:rPr>
              <w:rFonts w:hint="eastAsia" w:hAnsi="仿宋"/>
              <w:szCs w:val="32"/>
              <w:highlight w:val="none"/>
              <w:lang w:val="en-US" w:eastAsia="zh-CN"/>
            </w:rPr>
            <w:t>与职责</w:t>
          </w:r>
          <w:r>
            <w:tab/>
          </w:r>
          <w:r>
            <w:fldChar w:fldCharType="begin"/>
          </w:r>
          <w:r>
            <w:instrText xml:space="preserve"> PAGEREF _Toc4690 </w:instrText>
          </w:r>
          <w:r>
            <w:fldChar w:fldCharType="separate"/>
          </w:r>
          <w:r>
            <w:t>16</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_Toc6110 </w:instrText>
          </w:r>
          <w:r>
            <w:rPr>
              <w:rFonts w:hint="eastAsia" w:ascii="仿宋_GB2312" w:hAnsi="仿宋_GB2312" w:eastAsia="仿宋_GB2312" w:cs="仿宋_GB2312"/>
              <w:szCs w:val="24"/>
            </w:rPr>
            <w:fldChar w:fldCharType="separate"/>
          </w:r>
          <w:r>
            <w:rPr>
              <w:rFonts w:hint="eastAsia" w:hAnsi="仿宋"/>
              <w:szCs w:val="32"/>
            </w:rPr>
            <w:t>2.</w:t>
          </w:r>
          <w:r>
            <w:rPr>
              <w:rFonts w:hint="eastAsia" w:hAnsi="仿宋"/>
              <w:szCs w:val="32"/>
              <w:highlight w:val="none"/>
              <w:lang w:val="en-US" w:eastAsia="zh-CN"/>
            </w:rPr>
            <w:t>项目管理</w:t>
          </w:r>
          <w:r>
            <w:tab/>
          </w:r>
          <w:r>
            <w:fldChar w:fldCharType="begin"/>
          </w:r>
          <w:r>
            <w:instrText xml:space="preserve"> PAGEREF _Toc6110 </w:instrText>
          </w:r>
          <w:r>
            <w:fldChar w:fldCharType="separate"/>
          </w:r>
          <w:r>
            <w:t>18</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_Toc19009 </w:instrText>
          </w:r>
          <w:r>
            <w:rPr>
              <w:rFonts w:hint="eastAsia" w:ascii="仿宋_GB2312" w:hAnsi="仿宋_GB2312" w:eastAsia="仿宋_GB2312" w:cs="仿宋_GB2312"/>
              <w:szCs w:val="24"/>
            </w:rPr>
            <w:fldChar w:fldCharType="separate"/>
          </w:r>
          <w:r>
            <w:rPr>
              <w:rFonts w:hint="eastAsia" w:hAnsi="仿宋"/>
              <w:szCs w:val="32"/>
            </w:rPr>
            <w:t>3.</w:t>
          </w:r>
          <w:r>
            <w:rPr>
              <w:rFonts w:hint="eastAsia" w:hAnsi="仿宋"/>
              <w:szCs w:val="32"/>
              <w:highlight w:val="none"/>
              <w:lang w:val="en-US" w:eastAsia="zh-CN"/>
            </w:rPr>
            <w:t>财务管理</w:t>
          </w:r>
          <w:r>
            <w:tab/>
          </w:r>
          <w:r>
            <w:fldChar w:fldCharType="begin"/>
          </w:r>
          <w:r>
            <w:instrText xml:space="preserve"> PAGEREF _Toc19009 </w:instrText>
          </w:r>
          <w:r>
            <w:fldChar w:fldCharType="separate"/>
          </w:r>
          <w:r>
            <w:t>23</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_Toc5876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五</w:t>
          </w:r>
          <w:r>
            <w:rPr>
              <w:rFonts w:hint="eastAsia" w:ascii="方正楷体_GB2312" w:hAnsi="方正楷体_GB2312" w:eastAsia="方正楷体_GB2312" w:cs="方正楷体_GB2312"/>
              <w:szCs w:val="32"/>
            </w:rPr>
            <w:t>）项目绩效目标</w:t>
          </w:r>
          <w:r>
            <w:tab/>
          </w:r>
          <w:r>
            <w:fldChar w:fldCharType="begin"/>
          </w:r>
          <w:r>
            <w:instrText xml:space="preserve"> PAGEREF _Toc5876 </w:instrText>
          </w:r>
          <w:r>
            <w:fldChar w:fldCharType="separate"/>
          </w:r>
          <w:r>
            <w:t>24</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_Toc15990 </w:instrText>
          </w:r>
          <w:r>
            <w:rPr>
              <w:rFonts w:hint="eastAsia" w:ascii="仿宋_GB2312" w:hAnsi="仿宋_GB2312" w:eastAsia="仿宋_GB2312" w:cs="仿宋_GB2312"/>
              <w:szCs w:val="24"/>
            </w:rPr>
            <w:fldChar w:fldCharType="separate"/>
          </w:r>
          <w:r>
            <w:rPr>
              <w:rFonts w:hint="eastAsia" w:hAnsi="Arial Unicode MS" w:cs="Arial Unicode MS"/>
              <w:szCs w:val="32"/>
            </w:rPr>
            <w:t>1.总目标</w:t>
          </w:r>
          <w:r>
            <w:tab/>
          </w:r>
          <w:r>
            <w:fldChar w:fldCharType="begin"/>
          </w:r>
          <w:r>
            <w:instrText xml:space="preserve"> PAGEREF _Toc15990 </w:instrText>
          </w:r>
          <w:r>
            <w:fldChar w:fldCharType="separate"/>
          </w:r>
          <w:r>
            <w:t>24</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_Toc13199 </w:instrText>
          </w:r>
          <w:r>
            <w:rPr>
              <w:rFonts w:hint="eastAsia" w:ascii="仿宋_GB2312" w:hAnsi="仿宋_GB2312" w:eastAsia="仿宋_GB2312" w:cs="仿宋_GB2312"/>
              <w:szCs w:val="24"/>
            </w:rPr>
            <w:fldChar w:fldCharType="separate"/>
          </w:r>
          <w:r>
            <w:rPr>
              <w:rFonts w:hint="eastAsia" w:hAnsi="Arial Unicode MS" w:cs="Arial Unicode MS"/>
              <w:szCs w:val="32"/>
            </w:rPr>
            <w:t>2.</w:t>
          </w:r>
          <w:r>
            <w:rPr>
              <w:rFonts w:hint="eastAsia" w:hAnsi="Arial Unicode MS" w:cs="Arial Unicode MS"/>
              <w:szCs w:val="32"/>
              <w:lang w:val="en-US" w:eastAsia="zh-CN"/>
            </w:rPr>
            <w:t>2020-2022</w:t>
          </w:r>
          <w:r>
            <w:rPr>
              <w:rFonts w:hint="eastAsia" w:hAnsi="Arial Unicode MS" w:cs="Arial Unicode MS"/>
              <w:szCs w:val="32"/>
            </w:rPr>
            <w:t>年度绩效目标</w:t>
          </w:r>
          <w:r>
            <w:tab/>
          </w:r>
          <w:r>
            <w:fldChar w:fldCharType="begin"/>
          </w:r>
          <w:r>
            <w:instrText xml:space="preserve"> PAGEREF _Toc13199 </w:instrText>
          </w:r>
          <w:r>
            <w:fldChar w:fldCharType="separate"/>
          </w:r>
          <w:r>
            <w:t>24</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_Toc5138 </w:instrText>
          </w:r>
          <w:r>
            <w:rPr>
              <w:rFonts w:hint="eastAsia" w:ascii="仿宋_GB2312" w:hAnsi="仿宋_GB2312" w:eastAsia="仿宋_GB2312" w:cs="仿宋_GB2312"/>
              <w:szCs w:val="24"/>
            </w:rPr>
            <w:fldChar w:fldCharType="separate"/>
          </w:r>
          <w:r>
            <w:rPr>
              <w:rFonts w:hint="eastAsia" w:ascii="黑体" w:hAnsi="黑体" w:eastAsia="黑体" w:cs="黑体"/>
              <w:szCs w:val="32"/>
            </w:rPr>
            <w:t>二、绩效评价工作情况</w:t>
          </w:r>
          <w:r>
            <w:tab/>
          </w:r>
          <w:r>
            <w:fldChar w:fldCharType="begin"/>
          </w:r>
          <w:r>
            <w:instrText xml:space="preserve"> PAGEREF _Toc5138 </w:instrText>
          </w:r>
          <w:r>
            <w:fldChar w:fldCharType="separate"/>
          </w:r>
          <w:r>
            <w:t>27</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_Toc27409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（一）绩效评价目的、对象和范围</w:t>
          </w:r>
          <w:r>
            <w:tab/>
          </w:r>
          <w:r>
            <w:fldChar w:fldCharType="begin"/>
          </w:r>
          <w:r>
            <w:instrText xml:space="preserve"> PAGEREF _Toc27409 </w:instrText>
          </w:r>
          <w:r>
            <w:fldChar w:fldCharType="separate"/>
          </w:r>
          <w:r>
            <w:t>27</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_Toc5291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（二）绩效评价的依据</w:t>
          </w:r>
          <w:r>
            <w:tab/>
          </w:r>
          <w:r>
            <w:fldChar w:fldCharType="begin"/>
          </w:r>
          <w:r>
            <w:instrText xml:space="preserve"> PAGEREF _Toc5291 </w:instrText>
          </w:r>
          <w:r>
            <w:fldChar w:fldCharType="separate"/>
          </w:r>
          <w:r>
            <w:t>27</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_Toc905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（三）绩效评价原则、评价方法等</w:t>
          </w:r>
          <w:r>
            <w:tab/>
          </w:r>
          <w:r>
            <w:fldChar w:fldCharType="begin"/>
          </w:r>
          <w:r>
            <w:instrText xml:space="preserve"> PAGEREF _Toc905 </w:instrText>
          </w:r>
          <w:r>
            <w:fldChar w:fldCharType="separate"/>
          </w:r>
          <w:r>
            <w:t>28</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_Toc19872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（四）评价重点</w:t>
          </w:r>
          <w:r>
            <w:tab/>
          </w:r>
          <w:r>
            <w:fldChar w:fldCharType="begin"/>
          </w:r>
          <w:r>
            <w:instrText xml:space="preserve"> PAGEREF _Toc19872 </w:instrText>
          </w:r>
          <w:r>
            <w:fldChar w:fldCharType="separate"/>
          </w:r>
          <w:r>
            <w:t>30</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_Toc24122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（五）绩效评价工作方案制定过程</w:t>
          </w:r>
          <w:r>
            <w:tab/>
          </w:r>
          <w:r>
            <w:fldChar w:fldCharType="begin"/>
          </w:r>
          <w:r>
            <w:instrText xml:space="preserve"> PAGEREF _Toc24122 </w:instrText>
          </w:r>
          <w:r>
            <w:fldChar w:fldCharType="separate"/>
          </w:r>
          <w:r>
            <w:t>31</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_Toc1787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bCs w:val="0"/>
              <w:kern w:val="44"/>
              <w:szCs w:val="32"/>
              <w:lang w:val="en-US" w:eastAsia="zh-CN" w:bidi="ar-SA"/>
            </w:rPr>
            <w:t>（六）绩效评价实施过程</w:t>
          </w:r>
          <w:r>
            <w:tab/>
          </w:r>
          <w:r>
            <w:fldChar w:fldCharType="begin"/>
          </w:r>
          <w:r>
            <w:instrText xml:space="preserve"> PAGEREF _Toc1787 </w:instrText>
          </w:r>
          <w:r>
            <w:fldChar w:fldCharType="separate"/>
          </w:r>
          <w:r>
            <w:t>32</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_Toc18297 </w:instrText>
          </w:r>
          <w:r>
            <w:rPr>
              <w:rFonts w:hint="eastAsia" w:ascii="仿宋_GB2312" w:hAnsi="仿宋_GB2312" w:eastAsia="仿宋_GB2312" w:cs="仿宋_GB2312"/>
              <w:szCs w:val="24"/>
            </w:rPr>
            <w:fldChar w:fldCharType="separate"/>
          </w:r>
          <w:r>
            <w:rPr>
              <w:rFonts w:hint="eastAsia" w:ascii="黑体" w:hAnsi="黑体" w:eastAsia="黑体" w:cs="黑体"/>
              <w:szCs w:val="32"/>
            </w:rPr>
            <w:t>三、评价结论与绩效分析</w:t>
          </w:r>
          <w:r>
            <w:tab/>
          </w:r>
          <w:r>
            <w:fldChar w:fldCharType="begin"/>
          </w:r>
          <w:r>
            <w:instrText xml:space="preserve"> PAGEREF _Toc18297 </w:instrText>
          </w:r>
          <w:r>
            <w:fldChar w:fldCharType="separate"/>
          </w:r>
          <w:r>
            <w:t>33</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_Toc13935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w:t>
          </w:r>
          <w:r>
            <w:rPr>
              <w:rFonts w:hint="eastAsia" w:ascii="方正楷体_GB2312" w:hAnsi="方正楷体_GB2312" w:eastAsia="方正楷体_GB2312" w:cs="方正楷体_GB2312"/>
              <w:szCs w:val="32"/>
              <w:lang w:val="en-US" w:eastAsia="zh-CN"/>
            </w:rPr>
            <w:t>评价结论</w:t>
          </w:r>
          <w:r>
            <w:tab/>
          </w:r>
          <w:r>
            <w:fldChar w:fldCharType="begin"/>
          </w:r>
          <w:r>
            <w:instrText xml:space="preserve"> PAGEREF _Toc13935 </w:instrText>
          </w:r>
          <w:r>
            <w:fldChar w:fldCharType="separate"/>
          </w:r>
          <w:r>
            <w:t>33</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_Toc30256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（二）具体绩效分析</w:t>
          </w:r>
          <w:r>
            <w:tab/>
          </w:r>
          <w:r>
            <w:fldChar w:fldCharType="begin"/>
          </w:r>
          <w:r>
            <w:instrText xml:space="preserve"> PAGEREF _Toc30256 </w:instrText>
          </w:r>
          <w:r>
            <w:fldChar w:fldCharType="separate"/>
          </w:r>
          <w:r>
            <w:t>35</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_Toc30514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rPr>
            <w:t>1.项目决策</w:t>
          </w:r>
          <w:r>
            <w:tab/>
          </w:r>
          <w:r>
            <w:fldChar w:fldCharType="begin"/>
          </w:r>
          <w:r>
            <w:instrText xml:space="preserve"> PAGEREF _Toc30514 </w:instrText>
          </w:r>
          <w:r>
            <w:fldChar w:fldCharType="separate"/>
          </w:r>
          <w:r>
            <w:t>35</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_Toc16589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lang w:val="en-US" w:eastAsia="zh-CN"/>
            </w:rPr>
            <w:t>2</w:t>
          </w:r>
          <w:r>
            <w:rPr>
              <w:rFonts w:hint="eastAsia" w:ascii="仿宋_GB2312" w:hAnsi="仿宋_GB2312" w:eastAsia="仿宋_GB2312" w:cs="仿宋_GB2312"/>
              <w:bCs/>
              <w:kern w:val="1"/>
              <w:szCs w:val="32"/>
            </w:rPr>
            <w:t>.项目</w:t>
          </w:r>
          <w:r>
            <w:rPr>
              <w:rFonts w:hint="eastAsia" w:ascii="仿宋_GB2312" w:hAnsi="仿宋_GB2312" w:eastAsia="仿宋_GB2312" w:cs="仿宋_GB2312"/>
              <w:bCs/>
              <w:kern w:val="1"/>
              <w:szCs w:val="32"/>
              <w:lang w:val="en-US" w:eastAsia="zh-CN"/>
            </w:rPr>
            <w:t>过程</w:t>
          </w:r>
          <w:r>
            <w:tab/>
          </w:r>
          <w:r>
            <w:fldChar w:fldCharType="begin"/>
          </w:r>
          <w:r>
            <w:instrText xml:space="preserve"> PAGEREF _Toc16589 </w:instrText>
          </w:r>
          <w:r>
            <w:fldChar w:fldCharType="separate"/>
          </w:r>
          <w:r>
            <w:t>38</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_Toc5575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lang w:val="en-US" w:eastAsia="zh-CN"/>
            </w:rPr>
            <w:t>3</w:t>
          </w:r>
          <w:r>
            <w:rPr>
              <w:rFonts w:hint="eastAsia" w:ascii="仿宋_GB2312" w:hAnsi="仿宋_GB2312" w:eastAsia="仿宋_GB2312" w:cs="仿宋_GB2312"/>
              <w:bCs/>
              <w:kern w:val="1"/>
              <w:szCs w:val="32"/>
            </w:rPr>
            <w:t>.项目</w:t>
          </w:r>
          <w:r>
            <w:rPr>
              <w:rFonts w:hint="eastAsia" w:ascii="仿宋_GB2312" w:hAnsi="仿宋_GB2312" w:eastAsia="仿宋_GB2312" w:cs="仿宋_GB2312"/>
              <w:bCs/>
              <w:kern w:val="1"/>
              <w:szCs w:val="32"/>
              <w:lang w:val="en-US" w:eastAsia="zh-CN"/>
            </w:rPr>
            <w:t>产出</w:t>
          </w:r>
          <w:r>
            <w:tab/>
          </w:r>
          <w:r>
            <w:fldChar w:fldCharType="begin"/>
          </w:r>
          <w:r>
            <w:instrText xml:space="preserve"> PAGEREF _Toc5575 </w:instrText>
          </w:r>
          <w:r>
            <w:fldChar w:fldCharType="separate"/>
          </w:r>
          <w:r>
            <w:t>44</w:t>
          </w:r>
          <w:r>
            <w:fldChar w:fldCharType="end"/>
          </w:r>
          <w:r>
            <w:rPr>
              <w:rFonts w:hint="eastAsia" w:ascii="仿宋_GB2312" w:hAnsi="仿宋_GB2312" w:eastAsia="仿宋_GB2312" w:cs="仿宋_GB2312"/>
              <w:szCs w:val="24"/>
            </w:rPr>
            <w:fldChar w:fldCharType="end"/>
          </w:r>
        </w:p>
        <w:p>
          <w:pPr>
            <w:pStyle w:val="14"/>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_Toc31341 </w:instrText>
          </w:r>
          <w:r>
            <w:rPr>
              <w:rFonts w:hint="eastAsia" w:ascii="仿宋_GB2312" w:hAnsi="仿宋_GB2312" w:eastAsia="仿宋_GB2312" w:cs="仿宋_GB2312"/>
              <w:szCs w:val="24"/>
            </w:rPr>
            <w:fldChar w:fldCharType="separate"/>
          </w:r>
          <w:r>
            <w:rPr>
              <w:rFonts w:hint="eastAsia" w:ascii="仿宋_GB2312" w:hAnsi="仿宋_GB2312" w:eastAsia="仿宋_GB2312" w:cs="仿宋_GB2312"/>
              <w:bCs/>
              <w:kern w:val="1"/>
              <w:szCs w:val="32"/>
              <w:lang w:val="en-US" w:eastAsia="zh-CN"/>
            </w:rPr>
            <w:t>4</w:t>
          </w:r>
          <w:r>
            <w:rPr>
              <w:rFonts w:hint="eastAsia" w:ascii="仿宋_GB2312" w:hAnsi="仿宋_GB2312" w:eastAsia="仿宋_GB2312" w:cs="仿宋_GB2312"/>
              <w:bCs/>
              <w:kern w:val="1"/>
              <w:szCs w:val="32"/>
            </w:rPr>
            <w:t>.项目</w:t>
          </w:r>
          <w:r>
            <w:rPr>
              <w:rFonts w:hint="eastAsia" w:ascii="仿宋_GB2312" w:hAnsi="仿宋_GB2312" w:eastAsia="仿宋_GB2312" w:cs="仿宋_GB2312"/>
              <w:bCs/>
              <w:kern w:val="1"/>
              <w:szCs w:val="32"/>
              <w:lang w:val="en-US" w:eastAsia="zh-CN"/>
            </w:rPr>
            <w:t>效益</w:t>
          </w:r>
          <w:r>
            <w:tab/>
          </w:r>
          <w:r>
            <w:fldChar w:fldCharType="begin"/>
          </w:r>
          <w:r>
            <w:instrText xml:space="preserve"> PAGEREF _Toc31341 </w:instrText>
          </w:r>
          <w:r>
            <w:fldChar w:fldCharType="separate"/>
          </w:r>
          <w:r>
            <w:t>50</w:t>
          </w:r>
          <w:r>
            <w:fldChar w:fldCharType="end"/>
          </w:r>
          <w:r>
            <w:rPr>
              <w:rFonts w:hint="eastAsia" w:ascii="仿宋_GB2312" w:hAnsi="仿宋_GB2312" w:eastAsia="仿宋_GB2312" w:cs="仿宋_GB2312"/>
              <w:szCs w:val="24"/>
            </w:rPr>
            <w:fldChar w:fldCharType="end"/>
          </w:r>
        </w:p>
        <w:p>
          <w:pPr>
            <w:pStyle w:val="22"/>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_Toc30448 </w:instrText>
          </w:r>
          <w:r>
            <w:rPr>
              <w:rFonts w:hint="eastAsia" w:ascii="仿宋_GB2312" w:hAnsi="仿宋_GB2312" w:eastAsia="仿宋_GB2312" w:cs="仿宋_GB2312"/>
              <w:szCs w:val="24"/>
            </w:rPr>
            <w:fldChar w:fldCharType="separate"/>
          </w:r>
          <w:r>
            <w:rPr>
              <w:rFonts w:hint="eastAsia" w:ascii="黑体" w:hAnsi="黑体" w:eastAsia="黑体" w:cs="黑体"/>
              <w:szCs w:val="32"/>
              <w:lang w:val="en-US" w:eastAsia="zh-CN"/>
            </w:rPr>
            <w:t>四</w:t>
          </w:r>
          <w:r>
            <w:rPr>
              <w:rFonts w:hint="eastAsia" w:ascii="黑体" w:hAnsi="黑体" w:eastAsia="黑体" w:cs="黑体"/>
              <w:szCs w:val="32"/>
            </w:rPr>
            <w:t>、主要经验及做法、存在问题和建议</w:t>
          </w:r>
          <w:r>
            <w:tab/>
          </w:r>
          <w:r>
            <w:fldChar w:fldCharType="begin"/>
          </w:r>
          <w:r>
            <w:instrText xml:space="preserve"> PAGEREF _Toc30448 </w:instrText>
          </w:r>
          <w:r>
            <w:fldChar w:fldCharType="separate"/>
          </w:r>
          <w:r>
            <w:t>56</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_Toc17014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（一）</w:t>
          </w:r>
          <w:r>
            <w:rPr>
              <w:rFonts w:hint="eastAsia" w:ascii="方正楷体_GB2312" w:hAnsi="方正楷体_GB2312" w:eastAsia="方正楷体_GB2312" w:cs="方正楷体_GB2312"/>
              <w:szCs w:val="32"/>
              <w:lang w:val="en-US" w:eastAsia="zh-CN"/>
            </w:rPr>
            <w:t>主要经验及做法</w:t>
          </w:r>
          <w:r>
            <w:tab/>
          </w:r>
          <w:r>
            <w:fldChar w:fldCharType="begin"/>
          </w:r>
          <w:r>
            <w:instrText xml:space="preserve"> PAGEREF _Toc17014 </w:instrText>
          </w:r>
          <w:r>
            <w:fldChar w:fldCharType="separate"/>
          </w:r>
          <w:r>
            <w:t>56</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_Toc7012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（二）存在问题</w:t>
          </w:r>
          <w:r>
            <w:tab/>
          </w:r>
          <w:r>
            <w:fldChar w:fldCharType="begin"/>
          </w:r>
          <w:r>
            <w:instrText xml:space="preserve"> PAGEREF _Toc7012 </w:instrText>
          </w:r>
          <w:r>
            <w:fldChar w:fldCharType="separate"/>
          </w:r>
          <w:r>
            <w:t>56</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_Toc8713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（三）建议和改进举措</w:t>
          </w:r>
          <w:r>
            <w:tab/>
          </w:r>
          <w:r>
            <w:fldChar w:fldCharType="begin"/>
          </w:r>
          <w:r>
            <w:instrText xml:space="preserve"> PAGEREF _Toc8713 </w:instrText>
          </w:r>
          <w:r>
            <w:fldChar w:fldCharType="separate"/>
          </w:r>
          <w:r>
            <w:t>58</w:t>
          </w:r>
          <w:r>
            <w:fldChar w:fldCharType="end"/>
          </w:r>
          <w:r>
            <w:rPr>
              <w:rFonts w:hint="eastAsia" w:ascii="仿宋_GB2312" w:hAnsi="仿宋_GB2312" w:eastAsia="仿宋_GB2312" w:cs="仿宋_GB2312"/>
              <w:szCs w:val="24"/>
            </w:rPr>
            <w:fldChar w:fldCharType="end"/>
          </w:r>
        </w:p>
        <w:p>
          <w:pPr>
            <w:pStyle w:val="26"/>
            <w:tabs>
              <w:tab w:val="right" w:leader="dot" w:pos="8312"/>
            </w:tabs>
          </w:pPr>
          <w:r>
            <w:rPr>
              <w:rFonts w:hint="eastAsia" w:ascii="仿宋_GB2312" w:hAnsi="仿宋_GB2312" w:eastAsia="仿宋_GB2312" w:cs="仿宋_GB2312"/>
              <w:szCs w:val="24"/>
            </w:rPr>
            <w:fldChar w:fldCharType="begin"/>
          </w:r>
          <w:r>
            <w:rPr>
              <w:rFonts w:hint="eastAsia" w:ascii="仿宋_GB2312" w:hAnsi="仿宋_GB2312" w:eastAsia="仿宋_GB2312" w:cs="仿宋_GB2312"/>
              <w:szCs w:val="24"/>
            </w:rPr>
            <w:instrText xml:space="preserve"> HYPERLINK \l _Toc19964 </w:instrText>
          </w:r>
          <w:r>
            <w:rPr>
              <w:rFonts w:hint="eastAsia" w:ascii="仿宋_GB2312" w:hAnsi="仿宋_GB2312" w:eastAsia="仿宋_GB2312" w:cs="仿宋_GB2312"/>
              <w:szCs w:val="24"/>
            </w:rPr>
            <w:fldChar w:fldCharType="separate"/>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四</w:t>
          </w:r>
          <w:r>
            <w:rPr>
              <w:rFonts w:hint="eastAsia" w:ascii="方正楷体_GB2312" w:hAnsi="方正楷体_GB2312" w:eastAsia="方正楷体_GB2312" w:cs="方正楷体_GB2312"/>
              <w:szCs w:val="32"/>
            </w:rPr>
            <w:t>）</w:t>
          </w:r>
          <w:r>
            <w:rPr>
              <w:rFonts w:hint="eastAsia" w:ascii="方正楷体_GB2312" w:hAnsi="方正楷体_GB2312" w:eastAsia="方正楷体_GB2312" w:cs="方正楷体_GB2312"/>
              <w:szCs w:val="32"/>
              <w:lang w:val="en-US" w:eastAsia="zh-CN"/>
            </w:rPr>
            <w:t>其他</w:t>
          </w:r>
          <w:r>
            <w:rPr>
              <w:rFonts w:hint="eastAsia" w:ascii="方正楷体_GB2312" w:hAnsi="方正楷体_GB2312" w:eastAsia="方正楷体_GB2312" w:cs="方正楷体_GB2312"/>
              <w:szCs w:val="32"/>
            </w:rPr>
            <w:t>建议</w:t>
          </w:r>
          <w:r>
            <w:tab/>
          </w:r>
          <w:r>
            <w:fldChar w:fldCharType="begin"/>
          </w:r>
          <w:r>
            <w:instrText xml:space="preserve"> PAGEREF _Toc19964 </w:instrText>
          </w:r>
          <w:r>
            <w:fldChar w:fldCharType="separate"/>
          </w:r>
          <w:r>
            <w:t>60</w:t>
          </w:r>
          <w:r>
            <w:fldChar w:fldCharType="end"/>
          </w:r>
          <w:r>
            <w:rPr>
              <w:rFonts w:hint="eastAsia" w:ascii="仿宋_GB2312" w:hAnsi="仿宋_GB2312" w:eastAsia="仿宋_GB2312" w:cs="仿宋_GB2312"/>
              <w:szCs w:val="24"/>
            </w:rPr>
            <w:fldChar w:fldCharType="end"/>
          </w:r>
        </w:p>
        <w:p>
          <w:pPr>
            <w:spacing w:line="240" w:lineRule="auto"/>
            <w:ind w:firstLine="0" w:firstLineChars="0"/>
            <w:contextualSpacing w:val="0"/>
            <w:jc w:val="center"/>
            <w:rPr>
              <w:rFonts w:ascii="黑体" w:hAnsi="黑体" w:eastAsia="黑体" w:cs="黑体"/>
              <w:sz w:val="32"/>
              <w:szCs w:val="32"/>
            </w:rPr>
            <w:sectPr>
              <w:headerReference r:id="rId10" w:type="default"/>
              <w:footerReference r:id="rId11" w:type="default"/>
              <w:footerReference r:id="rId12" w:type="even"/>
              <w:type w:val="continuous"/>
              <w:pgSz w:w="11906" w:h="16838"/>
              <w:pgMar w:top="1440" w:right="1797" w:bottom="1440" w:left="1797" w:header="851" w:footer="567" w:gutter="0"/>
              <w:cols w:space="720" w:num="1"/>
              <w:docGrid w:linePitch="381" w:charSpace="0"/>
            </w:sectPr>
          </w:pPr>
          <w:r>
            <w:rPr>
              <w:rFonts w:hint="eastAsia" w:ascii="仿宋_GB2312" w:hAnsi="仿宋_GB2312" w:eastAsia="仿宋_GB2312" w:cs="仿宋_GB2312"/>
              <w:szCs w:val="24"/>
            </w:rPr>
            <w:fldChar w:fldCharType="end"/>
          </w:r>
        </w:p>
      </w:sdtContent>
    </w:sdt>
    <w:p>
      <w:pPr>
        <w:pageBreakBefore w:val="0"/>
        <w:tabs>
          <w:tab w:val="center" w:pos="4156"/>
        </w:tabs>
        <w:kinsoku/>
        <w:wordWrap/>
        <w:overflowPunct/>
        <w:topLinePunct w:val="0"/>
        <w:autoSpaceDN/>
        <w:bidi w:val="0"/>
        <w:spacing w:line="500" w:lineRule="exact"/>
        <w:ind w:left="0" w:leftChars="0" w:firstLine="0" w:firstLineChars="0"/>
        <w:contextualSpacing w:val="0"/>
        <w:jc w:val="center"/>
        <w:outlineLvl w:val="0"/>
        <w:rPr>
          <w:rFonts w:ascii="Times New Roman" w:hAnsi="Times New Roman" w:cs="Times New Roman"/>
          <w:kern w:val="1"/>
          <w:sz w:val="18"/>
          <w:szCs w:val="18"/>
        </w:rPr>
      </w:pPr>
      <w:bookmarkStart w:id="0" w:name="_Toc28215"/>
      <w:bookmarkStart w:id="1" w:name="_Toc15760"/>
      <w:r>
        <w:rPr>
          <w:rFonts w:hint="eastAsia" w:ascii="黑体" w:hAnsi="黑体" w:eastAsia="黑体" w:cs="黑体"/>
          <w:b/>
          <w:bCs/>
          <w:kern w:val="1"/>
          <w:sz w:val="32"/>
          <w:szCs w:val="22"/>
        </w:rPr>
        <w:t>摘要</w:t>
      </w:r>
      <w:bookmarkEnd w:id="0"/>
      <w:bookmarkEnd w:id="1"/>
    </w:p>
    <w:p>
      <w:pPr>
        <w:keepNext w:val="0"/>
        <w:keepLines w:val="0"/>
        <w:pageBreakBefore w:val="0"/>
        <w:widowControl w:val="0"/>
        <w:kinsoku/>
        <w:wordWrap/>
        <w:overflowPunct/>
        <w:topLinePunct w:val="0"/>
        <w:autoSpaceDE/>
        <w:autoSpaceDN/>
        <w:bidi w:val="0"/>
        <w:spacing w:line="420" w:lineRule="exact"/>
        <w:ind w:firstLine="643"/>
        <w:contextualSpacing w:val="0"/>
        <w:textAlignment w:val="auto"/>
        <w:outlineLvl w:val="9"/>
        <w:rPr>
          <w:rFonts w:ascii="Calibri" w:hAnsi="Calibri" w:cs="Times New Roman"/>
          <w:b/>
          <w:bCs/>
          <w:kern w:val="1"/>
          <w:sz w:val="32"/>
          <w:szCs w:val="22"/>
        </w:rPr>
      </w:pPr>
      <w:bookmarkStart w:id="2" w:name="_Toc51284843"/>
      <w:r>
        <w:rPr>
          <w:rFonts w:ascii="Calibri" w:hAnsi="Calibri" w:cs="Times New Roman"/>
          <w:b/>
          <w:bCs/>
          <w:kern w:val="1"/>
          <w:sz w:val="32"/>
          <w:szCs w:val="22"/>
        </w:rPr>
        <w:t>一、概述</w:t>
      </w:r>
      <w:bookmarkEnd w:id="2"/>
    </w:p>
    <w:p>
      <w:pPr>
        <w:ind w:firstLine="560"/>
        <w:rPr>
          <w:rFonts w:hint="default" w:eastAsia="仿宋_GB2312"/>
          <w:sz w:val="32"/>
          <w:szCs w:val="32"/>
          <w:lang w:val="en-US" w:eastAsia="zh-CN"/>
        </w:rPr>
      </w:pPr>
      <w:r>
        <w:rPr>
          <w:rFonts w:hint="eastAsia" w:ascii="仿宋_GB2312" w:eastAsia="仿宋_GB2312"/>
          <w:sz w:val="32"/>
          <w:szCs w:val="32"/>
          <w:lang w:val="en-US" w:eastAsia="zh-CN"/>
        </w:rPr>
        <w:t>旧住房更新改造是重要的民生工程和民心工程，也是城市更新的重要组成部分</w:t>
      </w:r>
      <w:r>
        <w:rPr>
          <w:rFonts w:hint="eastAsia" w:ascii="仿宋_GB2312" w:hAnsi="仿宋_GB2312" w:cs="仿宋_GB2312"/>
          <w:kern w:val="1"/>
          <w:sz w:val="32"/>
          <w:szCs w:val="22"/>
          <w:lang w:val="en-US" w:eastAsia="zh-CN"/>
        </w:rPr>
        <w:t>。</w:t>
      </w:r>
      <w:r>
        <w:rPr>
          <w:rFonts w:hint="eastAsia" w:ascii="仿宋_GB2312" w:eastAsia="仿宋_GB2312"/>
          <w:sz w:val="32"/>
          <w:szCs w:val="32"/>
          <w:lang w:val="en-US" w:eastAsia="zh-CN"/>
        </w:rPr>
        <w:t>上海市崇明区于2018年启动首批“美丽家园”改造工程，重点对老旧公房和部分老旧商品房进行了屋面及相关设施改造。截至2020年底，首批完成改造6个项目，涉及5个乡镇、8个老旧小区，合计建筑面积36.79万平方米，总投资16700万元。</w:t>
      </w:r>
    </w:p>
    <w:p>
      <w:pPr>
        <w:ind w:firstLine="560"/>
        <w:rPr>
          <w:rFonts w:hint="default" w:ascii="仿宋_GB2312" w:eastAsia="仿宋_GB2312"/>
          <w:sz w:val="32"/>
          <w:szCs w:val="32"/>
          <w:lang w:val="en-US" w:eastAsia="zh-CN"/>
        </w:rPr>
      </w:pPr>
      <w:r>
        <w:rPr>
          <w:rFonts w:hint="eastAsia" w:ascii="仿宋_GB2312" w:eastAsia="仿宋_GB2312"/>
          <w:sz w:val="32"/>
          <w:szCs w:val="32"/>
          <w:lang w:val="en-US" w:eastAsia="zh-CN"/>
        </w:rPr>
        <w:t>2020年，为了进一步改善居住区环境面貌，提升人民生活质量，崇明区启动第二批“美丽家园”改造工程建设，</w:t>
      </w:r>
      <w:r>
        <w:rPr>
          <w:rFonts w:hint="eastAsia"/>
          <w:sz w:val="32"/>
          <w:szCs w:val="32"/>
          <w:lang w:val="en-US" w:eastAsia="zh-CN"/>
        </w:rPr>
        <w:t>改造</w:t>
      </w:r>
      <w:r>
        <w:rPr>
          <w:rFonts w:hint="eastAsia" w:ascii="仿宋_GB2312" w:eastAsia="仿宋_GB2312"/>
          <w:sz w:val="32"/>
          <w:szCs w:val="32"/>
          <w:lang w:val="en-US" w:eastAsia="zh-CN"/>
        </w:rPr>
        <w:t>时间周期</w:t>
      </w:r>
      <w:r>
        <w:rPr>
          <w:rFonts w:hint="eastAsia"/>
          <w:sz w:val="32"/>
          <w:szCs w:val="32"/>
          <w:lang w:val="en-US" w:eastAsia="zh-CN"/>
        </w:rPr>
        <w:t>为2020至2022年，</w:t>
      </w:r>
      <w:r>
        <w:rPr>
          <w:rFonts w:hint="eastAsia" w:ascii="仿宋_GB2312" w:eastAsia="仿宋_GB2312"/>
          <w:sz w:val="32"/>
          <w:szCs w:val="32"/>
          <w:lang w:val="en-US" w:eastAsia="zh-CN"/>
        </w:rPr>
        <w:t>共涉及4个乡镇、12个项目，改造对象以2000年前建成的建筑结构较差、使用功能不完善、配套设施不健全、群众改造意愿迫切的各类老旧住房为主，总建筑面积89.86万平方米，全部纳入区政府重点工程。在第二批12个项目中，有6个项目位于上海市崇明区城桥镇地区，由城桥镇人民政府负责属地管理工作，具体包括西门北村、南门路小区等、南门新村等、西门南村、北门新村、城西新村等6个老旧小区（片区）改造，涉及小区总建筑面积为44.29万平方米，实施改造内容主要包括：屋面修缮、管线入地、路面修复、绿化补植及其他附属工程等</w:t>
      </w:r>
      <w:r>
        <w:rPr>
          <w:rFonts w:hint="eastAsia"/>
          <w:sz w:val="32"/>
          <w:szCs w:val="32"/>
          <w:lang w:val="en-US" w:eastAsia="zh-CN"/>
        </w:rPr>
        <w:t>，同时</w:t>
      </w:r>
      <w:r>
        <w:rPr>
          <w:rFonts w:hint="eastAsia" w:ascii="仿宋_GB2312" w:eastAsia="仿宋_GB2312"/>
          <w:sz w:val="32"/>
          <w:szCs w:val="32"/>
          <w:lang w:val="en-US" w:eastAsia="zh-CN"/>
        </w:rPr>
        <w:t>一并实施雨污混接改造</w:t>
      </w:r>
      <w:r>
        <w:rPr>
          <w:rFonts w:hint="eastAsia"/>
          <w:sz w:val="32"/>
          <w:szCs w:val="32"/>
          <w:lang w:val="en-US" w:eastAsia="zh-CN"/>
        </w:rPr>
        <w:t>。</w:t>
      </w:r>
    </w:p>
    <w:p>
      <w:pPr>
        <w:ind w:firstLine="560"/>
        <w:rPr>
          <w:rFonts w:hint="eastAsia" w:ascii="仿宋_GB2312" w:eastAsia="仿宋_GB2312"/>
          <w:sz w:val="32"/>
          <w:szCs w:val="32"/>
          <w:lang w:val="en-US" w:eastAsia="zh-CN"/>
        </w:rPr>
      </w:pPr>
      <w:r>
        <w:rPr>
          <w:rFonts w:hint="eastAsia"/>
          <w:sz w:val="32"/>
          <w:szCs w:val="32"/>
          <w:highlight w:val="none"/>
          <w:lang w:val="en-US" w:eastAsia="zh-CN"/>
        </w:rPr>
        <w:t>城桥镇地区6个</w:t>
      </w:r>
      <w:r>
        <w:rPr>
          <w:rFonts w:hint="eastAsia" w:ascii="仿宋_GB2312" w:eastAsia="仿宋_GB2312"/>
          <w:sz w:val="32"/>
          <w:szCs w:val="32"/>
          <w:highlight w:val="none"/>
          <w:lang w:val="en-US" w:eastAsia="zh-CN"/>
        </w:rPr>
        <w:t>项目</w:t>
      </w:r>
      <w:r>
        <w:rPr>
          <w:rFonts w:hint="eastAsia"/>
          <w:sz w:val="32"/>
          <w:szCs w:val="32"/>
          <w:highlight w:val="none"/>
          <w:lang w:val="en-US" w:eastAsia="zh-CN"/>
        </w:rPr>
        <w:t>的</w:t>
      </w:r>
      <w:r>
        <w:rPr>
          <w:rFonts w:hint="eastAsia" w:ascii="仿宋_GB2312" w:eastAsia="仿宋_GB2312"/>
          <w:sz w:val="32"/>
          <w:szCs w:val="32"/>
          <w:highlight w:val="none"/>
          <w:lang w:val="en-US" w:eastAsia="zh-CN"/>
        </w:rPr>
        <w:t>批复总投资为22142.76万元，2020、2021两年合计安排预算</w:t>
      </w:r>
      <w:r>
        <w:rPr>
          <w:rFonts w:hint="eastAsia" w:hAnsi="Times New Roman" w:cs="Times New Roman"/>
          <w:sz w:val="32"/>
          <w:szCs w:val="32"/>
          <w:highlight w:val="none"/>
          <w:lang w:val="en-US" w:eastAsia="zh-CN"/>
        </w:rPr>
        <w:t>13272.14</w:t>
      </w:r>
      <w:r>
        <w:rPr>
          <w:rFonts w:hint="eastAsia" w:ascii="仿宋_GB2312" w:eastAsia="仿宋_GB2312"/>
          <w:sz w:val="32"/>
          <w:szCs w:val="32"/>
          <w:highlight w:val="none"/>
          <w:lang w:val="en-US" w:eastAsia="zh-CN"/>
        </w:rPr>
        <w:t>万元，</w:t>
      </w:r>
      <w:r>
        <w:rPr>
          <w:rFonts w:hint="eastAsia" w:ascii="仿宋_GB2312" w:eastAsia="仿宋_GB2312"/>
          <w:sz w:val="32"/>
          <w:szCs w:val="32"/>
          <w:lang w:val="en-US" w:eastAsia="zh-CN"/>
        </w:rPr>
        <w:t>实际支出</w:t>
      </w:r>
      <w:r>
        <w:rPr>
          <w:rFonts w:hint="eastAsia" w:hAnsi="Times New Roman" w:cs="Times New Roman"/>
          <w:sz w:val="32"/>
          <w:szCs w:val="32"/>
          <w:highlight w:val="none"/>
          <w:lang w:val="en-US" w:eastAsia="zh-CN"/>
        </w:rPr>
        <w:t>13272.14</w:t>
      </w:r>
      <w:r>
        <w:rPr>
          <w:rFonts w:hint="eastAsia" w:ascii="仿宋_GB2312" w:eastAsia="仿宋_GB2312"/>
          <w:sz w:val="32"/>
          <w:szCs w:val="32"/>
          <w:lang w:val="en-US" w:eastAsia="zh-CN"/>
        </w:rPr>
        <w:t>万元，预算执行率为100%，资金来源为区级财政资金。</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hint="default" w:ascii="Calibri" w:hAnsi="Calibri" w:eastAsia="仿宋_GB2312" w:cs="Times New Roman"/>
          <w:b/>
          <w:bCs/>
          <w:kern w:val="1"/>
          <w:sz w:val="32"/>
          <w:szCs w:val="22"/>
          <w:lang w:val="en-US" w:eastAsia="zh-CN"/>
        </w:rPr>
      </w:pPr>
      <w:bookmarkStart w:id="3" w:name="_Toc47894309"/>
      <w:bookmarkStart w:id="4" w:name="_Toc51284844"/>
      <w:r>
        <w:rPr>
          <w:rFonts w:ascii="Calibri" w:hAnsi="Calibri" w:cs="Times New Roman"/>
          <w:b/>
          <w:bCs/>
          <w:kern w:val="1"/>
          <w:sz w:val="32"/>
          <w:szCs w:val="22"/>
        </w:rPr>
        <w:t>二、评价</w:t>
      </w:r>
      <w:bookmarkEnd w:id="3"/>
      <w:bookmarkEnd w:id="4"/>
      <w:r>
        <w:rPr>
          <w:rFonts w:hint="eastAsia" w:ascii="Calibri" w:hAnsi="Calibri" w:cs="Times New Roman"/>
          <w:b/>
          <w:bCs/>
          <w:kern w:val="1"/>
          <w:sz w:val="32"/>
          <w:szCs w:val="22"/>
          <w:lang w:val="en-US" w:eastAsia="zh-CN"/>
        </w:rPr>
        <w:t>工作开展情况</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ascii="仿宋_GB2312" w:hAnsi="Calibri" w:cs="Times New Roman"/>
          <w:color w:val="000000"/>
          <w:kern w:val="1"/>
          <w:sz w:val="28"/>
          <w:szCs w:val="21"/>
        </w:rPr>
      </w:pPr>
      <w:r>
        <w:rPr>
          <w:rFonts w:hint="eastAsia" w:ascii="仿宋_GB2312" w:hAnsi="Calibri" w:cs="Times New Roman"/>
          <w:color w:val="000000"/>
          <w:kern w:val="1"/>
          <w:sz w:val="32"/>
          <w:szCs w:val="22"/>
        </w:rPr>
        <w:t>本次绩效评价时段为202</w:t>
      </w:r>
      <w:r>
        <w:rPr>
          <w:rFonts w:hint="eastAsia" w:ascii="仿宋_GB2312" w:hAnsi="Calibri" w:cs="Times New Roman"/>
          <w:color w:val="000000"/>
          <w:kern w:val="1"/>
          <w:sz w:val="32"/>
          <w:szCs w:val="22"/>
          <w:lang w:val="en-US" w:eastAsia="zh-CN"/>
        </w:rPr>
        <w:t>0</w:t>
      </w:r>
      <w:r>
        <w:rPr>
          <w:rFonts w:hint="eastAsia" w:ascii="仿宋_GB2312" w:hAnsi="Calibri" w:cs="Times New Roman"/>
          <w:color w:val="000000"/>
          <w:kern w:val="1"/>
          <w:sz w:val="32"/>
          <w:szCs w:val="22"/>
        </w:rPr>
        <w:t>年1月1日至202</w:t>
      </w:r>
      <w:r>
        <w:rPr>
          <w:rFonts w:hint="eastAsia" w:hAnsi="Calibri" w:cs="Times New Roman"/>
          <w:color w:val="000000"/>
          <w:kern w:val="1"/>
          <w:sz w:val="32"/>
          <w:szCs w:val="22"/>
          <w:lang w:val="en-US" w:eastAsia="zh-CN"/>
        </w:rPr>
        <w:t>2</w:t>
      </w:r>
      <w:r>
        <w:rPr>
          <w:rFonts w:hint="eastAsia" w:ascii="仿宋_GB2312" w:hAnsi="Calibri" w:cs="Times New Roman"/>
          <w:color w:val="000000"/>
          <w:kern w:val="1"/>
          <w:sz w:val="32"/>
          <w:szCs w:val="22"/>
        </w:rPr>
        <w:t>年12月31日。202</w:t>
      </w:r>
      <w:r>
        <w:rPr>
          <w:rFonts w:hint="eastAsia" w:hAnsi="Calibri" w:cs="Times New Roman"/>
          <w:color w:val="000000"/>
          <w:kern w:val="1"/>
          <w:sz w:val="32"/>
          <w:szCs w:val="22"/>
          <w:lang w:val="en-US" w:eastAsia="zh-CN"/>
        </w:rPr>
        <w:t>3</w:t>
      </w:r>
      <w:r>
        <w:rPr>
          <w:rFonts w:hint="eastAsia" w:ascii="仿宋_GB2312" w:hAnsi="Calibri" w:cs="Times New Roman"/>
          <w:color w:val="000000"/>
          <w:kern w:val="1"/>
          <w:sz w:val="32"/>
          <w:szCs w:val="22"/>
        </w:rPr>
        <w:t>年</w:t>
      </w:r>
      <w:r>
        <w:rPr>
          <w:rFonts w:hint="eastAsia" w:hAnsi="Calibri" w:cs="Times New Roman"/>
          <w:color w:val="000000"/>
          <w:kern w:val="1"/>
          <w:sz w:val="32"/>
          <w:szCs w:val="22"/>
          <w:lang w:val="en-US" w:eastAsia="zh-CN"/>
        </w:rPr>
        <w:t>3</w:t>
      </w:r>
      <w:r>
        <w:rPr>
          <w:rFonts w:hint="eastAsia" w:ascii="仿宋_GB2312" w:hAnsi="Calibri" w:cs="Times New Roman"/>
          <w:color w:val="000000"/>
          <w:kern w:val="1"/>
          <w:sz w:val="32"/>
          <w:szCs w:val="22"/>
        </w:rPr>
        <w:t>月</w:t>
      </w:r>
      <w:r>
        <w:rPr>
          <w:rFonts w:hint="eastAsia" w:ascii="仿宋_GB2312" w:hAnsi="Calibri" w:cs="Times New Roman"/>
          <w:color w:val="000000"/>
          <w:kern w:val="1"/>
          <w:sz w:val="32"/>
          <w:szCs w:val="22"/>
          <w:lang w:val="en-US" w:eastAsia="zh-CN"/>
        </w:rPr>
        <w:t>上</w:t>
      </w:r>
      <w:r>
        <w:rPr>
          <w:rFonts w:hint="eastAsia" w:ascii="仿宋_GB2312" w:hAnsi="Calibri" w:cs="Times New Roman"/>
          <w:color w:val="000000"/>
          <w:kern w:val="1"/>
          <w:sz w:val="32"/>
          <w:szCs w:val="22"/>
        </w:rPr>
        <w:t>旬绩效评价工作正式启动，</w:t>
      </w:r>
      <w:r>
        <w:rPr>
          <w:rFonts w:hint="eastAsia" w:hAnsi="Calibri" w:cs="Times New Roman"/>
          <w:color w:val="000000"/>
          <w:kern w:val="1"/>
          <w:sz w:val="32"/>
          <w:szCs w:val="22"/>
          <w:lang w:val="en-US" w:eastAsia="zh-CN"/>
        </w:rPr>
        <w:t>4</w:t>
      </w:r>
      <w:r>
        <w:rPr>
          <w:rFonts w:hint="eastAsia" w:ascii="仿宋_GB2312" w:hAnsi="Calibri" w:cs="Times New Roman"/>
          <w:color w:val="000000"/>
          <w:kern w:val="1"/>
          <w:sz w:val="32"/>
          <w:szCs w:val="22"/>
        </w:rPr>
        <w:t>月</w:t>
      </w:r>
      <w:r>
        <w:rPr>
          <w:rFonts w:hint="eastAsia" w:ascii="仿宋_GB2312" w:hAnsi="Calibri" w:cs="Times New Roman"/>
          <w:color w:val="000000"/>
          <w:kern w:val="1"/>
          <w:sz w:val="32"/>
          <w:szCs w:val="22"/>
          <w:lang w:val="en-US" w:eastAsia="zh-CN"/>
        </w:rPr>
        <w:t>下</w:t>
      </w:r>
      <w:r>
        <w:rPr>
          <w:rFonts w:hint="eastAsia" w:ascii="仿宋_GB2312" w:hAnsi="Calibri" w:cs="Times New Roman"/>
          <w:color w:val="000000"/>
          <w:kern w:val="1"/>
          <w:sz w:val="32"/>
          <w:szCs w:val="22"/>
        </w:rPr>
        <w:t>旬工作方案经过专家评审后开展评价工作，</w:t>
      </w:r>
      <w:r>
        <w:rPr>
          <w:rFonts w:hint="eastAsia" w:ascii="仿宋_GB2312" w:hAnsi="Calibri" w:cs="Times New Roman"/>
          <w:color w:val="000000"/>
          <w:kern w:val="1"/>
          <w:sz w:val="32"/>
          <w:szCs w:val="22"/>
          <w:highlight w:val="none"/>
        </w:rPr>
        <w:t>评价组重点关注改造方案事前征询意见程序与结果</w:t>
      </w:r>
      <w:r>
        <w:rPr>
          <w:rFonts w:hint="eastAsia" w:hAnsi="Calibri" w:cs="Times New Roman"/>
          <w:color w:val="000000"/>
          <w:kern w:val="1"/>
          <w:sz w:val="32"/>
          <w:szCs w:val="22"/>
          <w:highlight w:val="none"/>
          <w:lang w:eastAsia="zh-CN"/>
        </w:rPr>
        <w:t>、</w:t>
      </w:r>
      <w:r>
        <w:rPr>
          <w:rFonts w:hint="eastAsia" w:ascii="仿宋_GB2312" w:hAnsi="Microsoft JhengHei" w:cs="Times New Roman"/>
          <w:sz w:val="32"/>
          <w:szCs w:val="32"/>
          <w:highlight w:val="none"/>
          <w:lang w:val="en-US" w:eastAsia="zh-CN"/>
        </w:rPr>
        <w:t>项目选取改造对象的合理性</w:t>
      </w:r>
      <w:r>
        <w:rPr>
          <w:rFonts w:hint="eastAsia" w:hAnsi="Microsoft JhengHei" w:cs="Times New Roman"/>
          <w:sz w:val="32"/>
          <w:szCs w:val="32"/>
          <w:highlight w:val="none"/>
          <w:lang w:val="en-US" w:eastAsia="zh-CN"/>
        </w:rPr>
        <w:t>、</w:t>
      </w:r>
      <w:r>
        <w:rPr>
          <w:rFonts w:hint="eastAsia" w:ascii="仿宋_GB2312" w:hAnsi="Microsoft JhengHei" w:cs="Times New Roman"/>
          <w:sz w:val="32"/>
          <w:szCs w:val="32"/>
          <w:highlight w:val="none"/>
        </w:rPr>
        <w:t>资金</w:t>
      </w:r>
      <w:r>
        <w:rPr>
          <w:rFonts w:hint="eastAsia" w:hAnsi="Microsoft JhengHei" w:cs="Times New Roman"/>
          <w:sz w:val="32"/>
          <w:szCs w:val="32"/>
          <w:highlight w:val="none"/>
          <w:lang w:val="en-US" w:eastAsia="zh-CN"/>
        </w:rPr>
        <w:t>安排和使用的</w:t>
      </w:r>
      <w:r>
        <w:rPr>
          <w:rFonts w:hint="eastAsia" w:ascii="仿宋_GB2312" w:hAnsi="Microsoft JhengHei" w:cs="Times New Roman"/>
          <w:sz w:val="32"/>
          <w:szCs w:val="32"/>
          <w:highlight w:val="none"/>
        </w:rPr>
        <w:t>合理性</w:t>
      </w:r>
      <w:r>
        <w:rPr>
          <w:rFonts w:hint="eastAsia"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工程管理规范性</w:t>
      </w:r>
      <w:r>
        <w:rPr>
          <w:rFonts w:hint="eastAsia" w:hAnsi="Microsoft JhengHei" w:cs="Times New Roman"/>
          <w:sz w:val="32"/>
          <w:szCs w:val="32"/>
          <w:highlight w:val="none"/>
          <w:lang w:val="en-US" w:eastAsia="zh-CN"/>
        </w:rPr>
        <w:t>、</w:t>
      </w:r>
      <w:r>
        <w:rPr>
          <w:rFonts w:hint="eastAsia" w:ascii="仿宋_GB2312" w:hAnsi="Microsoft JhengHei" w:cs="Times New Roman"/>
          <w:sz w:val="32"/>
          <w:szCs w:val="32"/>
          <w:highlight w:val="none"/>
          <w:lang w:val="en-US" w:eastAsia="zh-CN"/>
        </w:rPr>
        <w:t>项目效益实现情况</w:t>
      </w:r>
      <w:r>
        <w:rPr>
          <w:rFonts w:hint="eastAsia" w:hAnsi="Microsoft JhengHei" w:cs="Times New Roman"/>
          <w:sz w:val="32"/>
          <w:szCs w:val="32"/>
          <w:highlight w:val="none"/>
          <w:lang w:val="en-US" w:eastAsia="zh-CN"/>
        </w:rPr>
        <w:t>和项目后期管护情况</w:t>
      </w:r>
      <w:r>
        <w:rPr>
          <w:rFonts w:hint="eastAsia" w:ascii="仿宋_GB2312" w:hAnsi="Calibri" w:cs="Times New Roman"/>
          <w:color w:val="000000"/>
          <w:kern w:val="1"/>
          <w:sz w:val="32"/>
          <w:szCs w:val="22"/>
          <w:highlight w:val="none"/>
        </w:rPr>
        <w:t>等，</w:t>
      </w:r>
      <w:r>
        <w:rPr>
          <w:rFonts w:hint="eastAsia" w:ascii="仿宋_GB2312" w:hAnsi="Calibri" w:cs="Times New Roman"/>
          <w:color w:val="000000"/>
          <w:kern w:val="1"/>
          <w:sz w:val="32"/>
          <w:szCs w:val="22"/>
          <w:lang w:val="en-US" w:eastAsia="zh-CN"/>
        </w:rPr>
        <w:t>并</w:t>
      </w:r>
      <w:r>
        <w:rPr>
          <w:rFonts w:hint="eastAsia" w:ascii="仿宋_GB2312" w:hAnsi="Calibri" w:cs="Times New Roman"/>
          <w:color w:val="000000"/>
          <w:kern w:val="1"/>
          <w:sz w:val="32"/>
          <w:szCs w:val="22"/>
        </w:rPr>
        <w:t>通过发放基础表、问卷、访谈以及实地走访等方式收集数据，依据绩效指标评分标准开展量化评价，对项目的主要成效和经验进行总结，针对存在的问题与不足提出改进建议，形成绩效评价报告，为进一步优化项目管理、预算管理等提供建议。</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hint="default" w:ascii="Calibri" w:hAnsi="Calibri" w:eastAsia="仿宋_GB2312" w:cs="Times New Roman"/>
          <w:b/>
          <w:bCs/>
          <w:kern w:val="1"/>
          <w:sz w:val="32"/>
          <w:szCs w:val="22"/>
          <w:lang w:val="en-US" w:eastAsia="zh-CN"/>
        </w:rPr>
      </w:pPr>
      <w:bookmarkStart w:id="5" w:name="_Toc51284845"/>
      <w:bookmarkStart w:id="6" w:name="_Toc47894310"/>
      <w:r>
        <w:rPr>
          <w:rFonts w:ascii="Calibri" w:hAnsi="Calibri" w:cs="Times New Roman"/>
          <w:b/>
          <w:bCs/>
          <w:kern w:val="1"/>
          <w:sz w:val="32"/>
          <w:szCs w:val="22"/>
        </w:rPr>
        <w:t>三、</w:t>
      </w:r>
      <w:r>
        <w:rPr>
          <w:rFonts w:hint="eastAsia" w:ascii="Calibri" w:hAnsi="Calibri" w:cs="Times New Roman"/>
          <w:b/>
          <w:bCs/>
          <w:kern w:val="1"/>
          <w:sz w:val="32"/>
          <w:szCs w:val="22"/>
          <w:lang w:val="en-US" w:eastAsia="zh-CN"/>
        </w:rPr>
        <w:t>评价结论和主要绩效</w:t>
      </w:r>
    </w:p>
    <w:p>
      <w:pPr>
        <w:keepNext w:val="0"/>
        <w:keepLines w:val="0"/>
        <w:pageBreakBefore w:val="0"/>
        <w:widowControl w:val="0"/>
        <w:kinsoku/>
        <w:wordWrap/>
        <w:overflowPunct/>
        <w:topLinePunct w:val="0"/>
        <w:autoSpaceDE/>
        <w:autoSpaceDN/>
        <w:bidi w:val="0"/>
        <w:adjustRightInd/>
        <w:snapToGrid/>
        <w:spacing w:line="500" w:lineRule="atLeast"/>
        <w:ind w:firstLine="640"/>
        <w:contextualSpacing/>
        <w:textAlignment w:val="auto"/>
        <w:outlineLvl w:val="9"/>
        <w:rPr>
          <w:rFonts w:hint="eastAsia" w:ascii="仿宋_GB2312" w:hAnsi="仿宋_GB2312" w:eastAsia="仿宋_GB2312" w:cs="仿宋_GB2312"/>
          <w:kern w:val="1"/>
          <w:sz w:val="32"/>
          <w:szCs w:val="32"/>
          <w:highlight w:val="yellow"/>
          <w:lang w:val="en-US" w:eastAsia="zh-CN"/>
        </w:rPr>
      </w:pPr>
      <w:r>
        <w:rPr>
          <w:rFonts w:hint="eastAsia" w:ascii="仿宋_GB2312" w:hAnsi="仿宋_GB2312" w:eastAsia="仿宋_GB2312" w:cs="仿宋_GB2312"/>
          <w:kern w:val="1"/>
          <w:sz w:val="32"/>
          <w:szCs w:val="32"/>
          <w:highlight w:val="none"/>
        </w:rPr>
        <w:t>运用评价组设计并经专家组论证的绩效评价指标表及评分标准，项目绩效评价得分为</w:t>
      </w:r>
      <w:r>
        <w:rPr>
          <w:rFonts w:hint="eastAsia"/>
          <w:sz w:val="32"/>
          <w:szCs w:val="32"/>
          <w:highlight w:val="none"/>
        </w:rPr>
        <w:t>8</w:t>
      </w:r>
      <w:r>
        <w:rPr>
          <w:rFonts w:hint="eastAsia"/>
          <w:sz w:val="32"/>
          <w:szCs w:val="32"/>
          <w:highlight w:val="none"/>
          <w:lang w:val="en-US" w:eastAsia="zh-CN"/>
        </w:rPr>
        <w:t>2</w:t>
      </w:r>
      <w:r>
        <w:rPr>
          <w:rFonts w:hint="eastAsia"/>
          <w:sz w:val="32"/>
          <w:szCs w:val="32"/>
          <w:highlight w:val="none"/>
        </w:rPr>
        <w:t>.8</w:t>
      </w:r>
      <w:r>
        <w:rPr>
          <w:rFonts w:hint="eastAsia" w:ascii="仿宋_GB2312" w:hAnsi="仿宋_GB2312" w:eastAsia="仿宋_GB2312" w:cs="仿宋_GB2312"/>
          <w:kern w:val="1"/>
          <w:sz w:val="32"/>
          <w:szCs w:val="32"/>
          <w:highlight w:val="none"/>
        </w:rPr>
        <w:t>分，绩效评级为“</w:t>
      </w:r>
      <w:r>
        <w:rPr>
          <w:rFonts w:hint="eastAsia" w:ascii="仿宋_GB2312" w:hAnsi="仿宋_GB2312" w:eastAsia="仿宋_GB2312" w:cs="仿宋_GB2312"/>
          <w:kern w:val="1"/>
          <w:sz w:val="32"/>
          <w:szCs w:val="32"/>
          <w:highlight w:val="none"/>
          <w:lang w:val="en-US" w:eastAsia="zh-CN"/>
        </w:rPr>
        <w:t>良</w:t>
      </w:r>
      <w:r>
        <w:rPr>
          <w:rFonts w:hint="eastAsia" w:ascii="仿宋_GB2312" w:hAnsi="仿宋_GB2312" w:eastAsia="仿宋_GB2312" w:cs="仿宋_GB2312"/>
          <w:kern w:val="1"/>
          <w:sz w:val="32"/>
          <w:szCs w:val="32"/>
          <w:highlight w:val="none"/>
        </w:rPr>
        <w:t>”</w:t>
      </w:r>
      <w:r>
        <w:rPr>
          <w:rFonts w:hint="eastAsia" w:ascii="仿宋_GB2312" w:hAnsi="仿宋_GB2312" w:eastAsia="仿宋_GB2312" w:cs="仿宋_GB2312"/>
          <w:kern w:val="1"/>
          <w:sz w:val="32"/>
          <w:szCs w:val="32"/>
          <w:highlight w:val="none"/>
          <w:vertAlign w:val="superscript"/>
        </w:rPr>
        <w:footnoteReference w:id="0"/>
      </w:r>
      <w:r>
        <w:rPr>
          <w:rFonts w:hint="eastAsia" w:ascii="仿宋_GB2312" w:hAnsi="仿宋_GB2312" w:eastAsia="仿宋_GB2312" w:cs="仿宋_GB2312"/>
          <w:kern w:val="1"/>
          <w:sz w:val="32"/>
          <w:szCs w:val="32"/>
          <w:highlight w:val="none"/>
        </w:rPr>
        <w:t>。决策指标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rPr>
        <w:t>分</w:t>
      </w:r>
      <w:r>
        <w:rPr>
          <w:rFonts w:hint="eastAsia"/>
          <w:sz w:val="32"/>
          <w:szCs w:val="32"/>
          <w:lang w:val="en-US" w:eastAsia="zh-CN"/>
        </w:rPr>
        <w:t>20</w:t>
      </w:r>
      <w:r>
        <w:rPr>
          <w:rFonts w:hint="eastAsia" w:ascii="仿宋_GB2312" w:hAnsi="仿宋_GB2312" w:eastAsia="仿宋_GB2312" w:cs="仿宋_GB2312"/>
          <w:kern w:val="1"/>
          <w:sz w:val="32"/>
          <w:szCs w:val="32"/>
          <w:highlight w:val="none"/>
        </w:rPr>
        <w:t>分，得</w:t>
      </w:r>
      <w:r>
        <w:rPr>
          <w:rFonts w:hint="eastAsia"/>
          <w:sz w:val="32"/>
          <w:szCs w:val="32"/>
          <w:lang w:eastAsia="zh-CN"/>
        </w:rPr>
        <w:t>17</w:t>
      </w:r>
      <w:r>
        <w:rPr>
          <w:rFonts w:hint="eastAsia" w:ascii="仿宋_GB2312" w:hAnsi="仿宋_GB2312" w:eastAsia="仿宋_GB2312" w:cs="仿宋_GB2312"/>
          <w:kern w:val="1"/>
          <w:sz w:val="32"/>
          <w:szCs w:val="32"/>
          <w:highlight w:val="none"/>
        </w:rPr>
        <w:t>分，得分率</w:t>
      </w:r>
      <w:r>
        <w:rPr>
          <w:rFonts w:hint="eastAsia"/>
          <w:sz w:val="32"/>
          <w:szCs w:val="32"/>
        </w:rPr>
        <w:t>8</w:t>
      </w:r>
      <w:r>
        <w:rPr>
          <w:rFonts w:hint="eastAsia"/>
          <w:sz w:val="32"/>
          <w:szCs w:val="32"/>
          <w:lang w:val="en-US" w:eastAsia="zh-CN"/>
        </w:rPr>
        <w:t>5</w:t>
      </w:r>
      <w:r>
        <w:rPr>
          <w:rFonts w:hint="eastAsia" w:ascii="仿宋_GB2312" w:hAnsi="仿宋_GB2312" w:eastAsia="仿宋_GB2312" w:cs="仿宋_GB2312"/>
          <w:kern w:val="1"/>
          <w:sz w:val="32"/>
          <w:szCs w:val="32"/>
          <w:highlight w:val="none"/>
        </w:rPr>
        <w:t>%；过程指标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rPr>
        <w:t>分</w:t>
      </w:r>
      <w:r>
        <w:rPr>
          <w:rFonts w:hint="eastAsia" w:ascii="仿宋_GB2312" w:hAnsi="仿宋_GB2312" w:eastAsia="仿宋_GB2312" w:cs="仿宋_GB2312"/>
          <w:kern w:val="1"/>
          <w:sz w:val="32"/>
          <w:szCs w:val="32"/>
          <w:highlight w:val="none"/>
          <w:lang w:val="en-US" w:eastAsia="zh-CN"/>
        </w:rPr>
        <w:t>2</w:t>
      </w:r>
      <w:r>
        <w:rPr>
          <w:rFonts w:hint="eastAsia" w:cs="仿宋_GB2312"/>
          <w:kern w:val="1"/>
          <w:sz w:val="32"/>
          <w:szCs w:val="32"/>
          <w:highlight w:val="none"/>
          <w:lang w:val="en-US" w:eastAsia="zh-CN"/>
        </w:rPr>
        <w:t>0</w:t>
      </w:r>
      <w:r>
        <w:rPr>
          <w:rFonts w:hint="eastAsia" w:ascii="仿宋_GB2312" w:hAnsi="仿宋_GB2312" w:eastAsia="仿宋_GB2312" w:cs="仿宋_GB2312"/>
          <w:kern w:val="1"/>
          <w:sz w:val="32"/>
          <w:szCs w:val="32"/>
          <w:highlight w:val="none"/>
        </w:rPr>
        <w:t>分，得</w:t>
      </w:r>
      <w:r>
        <w:rPr>
          <w:rFonts w:hint="eastAsia"/>
          <w:sz w:val="32"/>
          <w:szCs w:val="32"/>
          <w:lang w:val="en-US" w:eastAsia="zh-CN"/>
        </w:rPr>
        <w:t>17.5</w:t>
      </w:r>
      <w:r>
        <w:rPr>
          <w:rFonts w:hint="eastAsia" w:ascii="仿宋_GB2312" w:hAnsi="仿宋_GB2312" w:eastAsia="仿宋_GB2312" w:cs="仿宋_GB2312"/>
          <w:kern w:val="1"/>
          <w:sz w:val="32"/>
          <w:szCs w:val="32"/>
          <w:highlight w:val="none"/>
        </w:rPr>
        <w:t>分，得分率</w:t>
      </w:r>
      <w:r>
        <w:rPr>
          <w:rFonts w:hint="eastAsia"/>
          <w:sz w:val="32"/>
          <w:szCs w:val="32"/>
          <w:lang w:val="en-US" w:eastAsia="zh-CN"/>
        </w:rPr>
        <w:t>87</w:t>
      </w:r>
      <w:r>
        <w:rPr>
          <w:rFonts w:hint="eastAsia"/>
          <w:sz w:val="32"/>
          <w:szCs w:val="32"/>
        </w:rPr>
        <w:t>.5</w:t>
      </w:r>
      <w:r>
        <w:rPr>
          <w:rFonts w:hint="eastAsia" w:ascii="仿宋_GB2312" w:hAnsi="仿宋_GB2312" w:eastAsia="仿宋_GB2312" w:cs="仿宋_GB2312"/>
          <w:kern w:val="1"/>
          <w:sz w:val="32"/>
          <w:szCs w:val="32"/>
          <w:highlight w:val="none"/>
        </w:rPr>
        <w:t>%；</w:t>
      </w:r>
      <w:r>
        <w:rPr>
          <w:rFonts w:hint="eastAsia" w:ascii="仿宋_GB2312" w:hAnsi="仿宋_GB2312" w:eastAsia="仿宋_GB2312" w:cs="仿宋_GB2312"/>
          <w:kern w:val="1"/>
          <w:sz w:val="32"/>
          <w:szCs w:val="32"/>
          <w:highlight w:val="none"/>
          <w:lang w:val="en-US" w:eastAsia="zh-CN"/>
        </w:rPr>
        <w:t>产出指标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lang w:val="en-US" w:eastAsia="zh-CN"/>
        </w:rPr>
        <w:t>分</w:t>
      </w:r>
      <w:r>
        <w:rPr>
          <w:rFonts w:hint="eastAsia" w:cs="仿宋_GB2312"/>
          <w:kern w:val="1"/>
          <w:sz w:val="32"/>
          <w:szCs w:val="32"/>
          <w:highlight w:val="none"/>
          <w:lang w:val="en-US" w:eastAsia="zh-CN"/>
        </w:rPr>
        <w:t>30</w:t>
      </w:r>
      <w:r>
        <w:rPr>
          <w:rFonts w:hint="eastAsia" w:ascii="仿宋_GB2312" w:hAnsi="仿宋_GB2312" w:eastAsia="仿宋_GB2312" w:cs="仿宋_GB2312"/>
          <w:kern w:val="1"/>
          <w:sz w:val="32"/>
          <w:szCs w:val="32"/>
          <w:highlight w:val="none"/>
          <w:lang w:val="en-US" w:eastAsia="zh-CN"/>
        </w:rPr>
        <w:t>分，得</w:t>
      </w:r>
      <w:r>
        <w:rPr>
          <w:rFonts w:hint="eastAsia"/>
          <w:sz w:val="32"/>
          <w:szCs w:val="32"/>
        </w:rPr>
        <w:t>2</w:t>
      </w:r>
      <w:r>
        <w:rPr>
          <w:rFonts w:hint="eastAsia"/>
          <w:sz w:val="32"/>
          <w:szCs w:val="32"/>
          <w:lang w:val="en-US" w:eastAsia="zh-CN"/>
        </w:rPr>
        <w:t>3.5</w:t>
      </w:r>
      <w:r>
        <w:rPr>
          <w:rFonts w:hint="eastAsia" w:ascii="仿宋_GB2312" w:hAnsi="仿宋_GB2312" w:cs="仿宋_GB2312"/>
          <w:kern w:val="1"/>
          <w:sz w:val="32"/>
          <w:szCs w:val="32"/>
          <w:highlight w:val="none"/>
          <w:lang w:val="en-US" w:eastAsia="zh-CN"/>
        </w:rPr>
        <w:t>分</w:t>
      </w:r>
      <w:r>
        <w:rPr>
          <w:rFonts w:hint="eastAsia" w:ascii="仿宋_GB2312" w:hAnsi="仿宋_GB2312" w:eastAsia="仿宋_GB2312" w:cs="仿宋_GB2312"/>
          <w:kern w:val="1"/>
          <w:sz w:val="32"/>
          <w:szCs w:val="32"/>
          <w:highlight w:val="none"/>
          <w:lang w:val="en-US" w:eastAsia="zh-CN"/>
        </w:rPr>
        <w:t>，得分率</w:t>
      </w:r>
      <w:r>
        <w:rPr>
          <w:rFonts w:hint="eastAsia"/>
          <w:sz w:val="32"/>
          <w:szCs w:val="32"/>
          <w:lang w:val="en-US" w:eastAsia="zh-CN"/>
        </w:rPr>
        <w:t>7</w:t>
      </w:r>
      <w:r>
        <w:rPr>
          <w:rFonts w:hint="eastAsia"/>
          <w:sz w:val="32"/>
          <w:szCs w:val="32"/>
        </w:rPr>
        <w:t>8.</w:t>
      </w:r>
      <w:r>
        <w:rPr>
          <w:rFonts w:hint="eastAsia"/>
          <w:sz w:val="32"/>
          <w:szCs w:val="32"/>
          <w:lang w:val="en-US" w:eastAsia="zh-CN"/>
        </w:rPr>
        <w:t>33</w:t>
      </w:r>
      <w:r>
        <w:rPr>
          <w:rFonts w:hint="eastAsia" w:ascii="仿宋_GB2312" w:hAnsi="仿宋_GB2312" w:eastAsia="仿宋_GB2312" w:cs="仿宋_GB2312"/>
          <w:kern w:val="1"/>
          <w:sz w:val="32"/>
          <w:szCs w:val="32"/>
          <w:highlight w:val="none"/>
          <w:lang w:val="en-US" w:eastAsia="zh-CN"/>
        </w:rPr>
        <w:t>%；效益</w:t>
      </w:r>
      <w:r>
        <w:rPr>
          <w:rFonts w:hint="eastAsia" w:ascii="仿宋_GB2312" w:hAnsi="仿宋_GB2312" w:eastAsia="仿宋_GB2312" w:cs="仿宋_GB2312"/>
          <w:kern w:val="1"/>
          <w:sz w:val="32"/>
          <w:szCs w:val="32"/>
          <w:highlight w:val="none"/>
        </w:rPr>
        <w:t>指标</w:t>
      </w:r>
      <w:r>
        <w:rPr>
          <w:rFonts w:hint="eastAsia" w:ascii="仿宋_GB2312" w:hAnsi="仿宋_GB2312" w:cs="仿宋_GB2312"/>
          <w:kern w:val="1"/>
          <w:sz w:val="32"/>
          <w:szCs w:val="32"/>
          <w:highlight w:val="none"/>
          <w:lang w:val="en-US" w:eastAsia="zh-CN"/>
        </w:rPr>
        <w:t>满</w:t>
      </w:r>
      <w:r>
        <w:rPr>
          <w:rFonts w:hint="eastAsia" w:ascii="仿宋_GB2312" w:hAnsi="仿宋_GB2312" w:eastAsia="仿宋_GB2312" w:cs="仿宋_GB2312"/>
          <w:kern w:val="1"/>
          <w:sz w:val="32"/>
          <w:szCs w:val="32"/>
          <w:highlight w:val="none"/>
        </w:rPr>
        <w:t>分</w:t>
      </w:r>
      <w:r>
        <w:rPr>
          <w:rFonts w:hint="eastAsia" w:ascii="仿宋_GB2312" w:hAnsi="仿宋_GB2312" w:eastAsia="仿宋_GB2312" w:cs="仿宋_GB2312"/>
          <w:kern w:val="1"/>
          <w:sz w:val="32"/>
          <w:szCs w:val="32"/>
          <w:highlight w:val="none"/>
          <w:lang w:val="en-US" w:eastAsia="zh-CN"/>
        </w:rPr>
        <w:t>3</w:t>
      </w:r>
      <w:r>
        <w:rPr>
          <w:rFonts w:hint="eastAsia" w:cs="仿宋_GB2312"/>
          <w:kern w:val="1"/>
          <w:sz w:val="32"/>
          <w:szCs w:val="32"/>
          <w:highlight w:val="none"/>
          <w:lang w:val="en-US" w:eastAsia="zh-CN"/>
        </w:rPr>
        <w:t>0</w:t>
      </w:r>
      <w:r>
        <w:rPr>
          <w:rFonts w:hint="eastAsia" w:ascii="仿宋_GB2312" w:hAnsi="仿宋_GB2312" w:eastAsia="仿宋_GB2312" w:cs="仿宋_GB2312"/>
          <w:kern w:val="1"/>
          <w:sz w:val="32"/>
          <w:szCs w:val="32"/>
          <w:highlight w:val="none"/>
        </w:rPr>
        <w:t>分，得</w:t>
      </w:r>
      <w:r>
        <w:rPr>
          <w:rFonts w:hint="eastAsia"/>
          <w:sz w:val="32"/>
          <w:szCs w:val="32"/>
          <w:lang w:eastAsia="zh-CN"/>
        </w:rPr>
        <w:t>24.8</w:t>
      </w:r>
      <w:r>
        <w:rPr>
          <w:rFonts w:hint="eastAsia" w:ascii="仿宋_GB2312" w:hAnsi="仿宋_GB2312" w:eastAsia="仿宋_GB2312" w:cs="仿宋_GB2312"/>
          <w:kern w:val="1"/>
          <w:sz w:val="32"/>
          <w:szCs w:val="32"/>
          <w:highlight w:val="none"/>
        </w:rPr>
        <w:t>分，得分率</w:t>
      </w:r>
      <w:r>
        <w:rPr>
          <w:rFonts w:hint="eastAsia"/>
          <w:sz w:val="32"/>
          <w:szCs w:val="32"/>
          <w:lang w:val="en-US" w:eastAsia="zh-CN"/>
        </w:rPr>
        <w:t>82</w:t>
      </w:r>
      <w:r>
        <w:rPr>
          <w:rFonts w:hint="eastAsia"/>
          <w:sz w:val="32"/>
          <w:szCs w:val="32"/>
        </w:rPr>
        <w:t>.</w:t>
      </w:r>
      <w:r>
        <w:rPr>
          <w:rFonts w:hint="eastAsia"/>
          <w:sz w:val="32"/>
          <w:szCs w:val="32"/>
          <w:lang w:val="en-US" w:eastAsia="zh-CN"/>
        </w:rPr>
        <w:t>67</w:t>
      </w:r>
      <w:r>
        <w:rPr>
          <w:rFonts w:hint="eastAsia" w:ascii="仿宋_GB2312" w:hAnsi="仿宋_GB2312" w:eastAsia="仿宋_GB2312" w:cs="仿宋_GB2312"/>
          <w:kern w:val="1"/>
          <w:sz w:val="32"/>
          <w:szCs w:val="32"/>
          <w:highlight w:val="none"/>
        </w:rPr>
        <w:t>%</w:t>
      </w:r>
      <w:r>
        <w:rPr>
          <w:rFonts w:hint="eastAsia" w:ascii="仿宋_GB2312" w:hAnsi="仿宋_GB2312" w:eastAsia="仿宋_GB2312" w:cs="仿宋_GB2312"/>
          <w:kern w:val="1"/>
          <w:sz w:val="32"/>
          <w:szCs w:val="32"/>
          <w:highlight w:val="none"/>
          <w:lang w:eastAsia="zh-CN"/>
        </w:rPr>
        <w:t>。</w:t>
      </w:r>
    </w:p>
    <w:p>
      <w:pPr>
        <w:keepNext w:val="0"/>
        <w:keepLines w:val="0"/>
        <w:pageBreakBefore w:val="0"/>
        <w:widowControl w:val="0"/>
        <w:kinsoku/>
        <w:wordWrap/>
        <w:overflowPunct/>
        <w:topLinePunct w:val="0"/>
        <w:autoSpaceDE/>
        <w:autoSpaceDN/>
        <w:bidi w:val="0"/>
        <w:adjustRightInd/>
        <w:snapToGrid/>
        <w:spacing w:line="500" w:lineRule="atLeast"/>
        <w:ind w:firstLine="640"/>
        <w:contextualSpacing w:val="0"/>
        <w:textAlignment w:val="auto"/>
        <w:outlineLvl w:val="9"/>
        <w:rPr>
          <w:rFonts w:hint="eastAsia" w:ascii="仿宋_GB2312" w:hAnsi="仿宋_GB2312" w:eastAsia="仿宋_GB2312" w:cs="仿宋_GB2312"/>
          <w:kern w:val="1"/>
          <w:sz w:val="32"/>
          <w:szCs w:val="32"/>
          <w:highlight w:val="none"/>
          <w:lang w:val="en-US" w:eastAsia="zh-CN"/>
        </w:rPr>
      </w:pPr>
      <w:r>
        <w:rPr>
          <w:rFonts w:hint="eastAsia" w:ascii="仿宋_GB2312" w:hAnsi="仿宋_GB2312" w:eastAsia="仿宋_GB2312" w:cs="仿宋_GB2312"/>
          <w:color w:val="000000"/>
          <w:kern w:val="1"/>
          <w:sz w:val="32"/>
          <w:szCs w:val="32"/>
          <w:highlight w:val="none"/>
        </w:rPr>
        <w:t>202</w:t>
      </w:r>
      <w:r>
        <w:rPr>
          <w:rFonts w:hint="eastAsia" w:ascii="仿宋_GB2312" w:hAnsi="仿宋_GB2312" w:cs="仿宋_GB2312"/>
          <w:color w:val="000000"/>
          <w:kern w:val="1"/>
          <w:sz w:val="32"/>
          <w:szCs w:val="32"/>
          <w:highlight w:val="none"/>
          <w:lang w:val="en-US" w:eastAsia="zh-CN"/>
        </w:rPr>
        <w:t>0年</w:t>
      </w:r>
      <w:r>
        <w:rPr>
          <w:rFonts w:hint="eastAsia" w:cs="仿宋_GB2312"/>
          <w:color w:val="000000"/>
          <w:kern w:val="1"/>
          <w:sz w:val="32"/>
          <w:szCs w:val="32"/>
          <w:highlight w:val="none"/>
          <w:lang w:val="en-US" w:eastAsia="zh-CN"/>
        </w:rPr>
        <w:t>美丽家园城桥镇地区</w:t>
      </w:r>
      <w:r>
        <w:rPr>
          <w:rFonts w:hint="eastAsia" w:ascii="仿宋_GB2312" w:hAnsi="仿宋_GB2312" w:eastAsia="仿宋_GB2312" w:cs="仿宋_GB2312"/>
          <w:color w:val="000000"/>
          <w:kern w:val="1"/>
          <w:sz w:val="32"/>
          <w:szCs w:val="32"/>
          <w:highlight w:val="none"/>
        </w:rPr>
        <w:t>项目总体实施情况较好，基本按照</w:t>
      </w:r>
      <w:r>
        <w:rPr>
          <w:rFonts w:hint="eastAsia" w:cs="仿宋_GB2312"/>
          <w:color w:val="000000"/>
          <w:kern w:val="1"/>
          <w:sz w:val="32"/>
          <w:szCs w:val="32"/>
          <w:highlight w:val="none"/>
          <w:lang w:val="en-US" w:eastAsia="zh-CN"/>
        </w:rPr>
        <w:t>改造</w:t>
      </w:r>
      <w:r>
        <w:rPr>
          <w:rFonts w:hint="eastAsia" w:ascii="仿宋_GB2312" w:hAnsi="仿宋_GB2312" w:eastAsia="仿宋_GB2312" w:cs="仿宋_GB2312"/>
          <w:color w:val="000000"/>
          <w:kern w:val="1"/>
          <w:sz w:val="32"/>
          <w:szCs w:val="32"/>
          <w:highlight w:val="none"/>
        </w:rPr>
        <w:t>计划完成相关工作，</w:t>
      </w:r>
      <w:r>
        <w:rPr>
          <w:rFonts w:hint="eastAsia" w:ascii="仿宋_GB2312" w:hAnsi="仿宋_GB2312" w:cs="仿宋_GB2312"/>
          <w:color w:val="000000"/>
          <w:kern w:val="1"/>
          <w:sz w:val="32"/>
          <w:szCs w:val="32"/>
          <w:highlight w:val="none"/>
          <w:lang w:val="en-US" w:eastAsia="zh-CN"/>
        </w:rPr>
        <w:t>在工程量经过合理变更后，完成</w:t>
      </w:r>
      <w:r>
        <w:rPr>
          <w:rFonts w:hint="eastAsia" w:cs="仿宋_GB2312"/>
          <w:color w:val="000000"/>
          <w:kern w:val="1"/>
          <w:sz w:val="32"/>
          <w:szCs w:val="32"/>
          <w:highlight w:val="none"/>
          <w:lang w:val="en-US" w:eastAsia="zh-CN"/>
        </w:rPr>
        <w:t>7</w:t>
      </w:r>
      <w:r>
        <w:rPr>
          <w:rFonts w:hint="eastAsia" w:ascii="仿宋_GB2312" w:hAnsi="仿宋_GB2312" w:cs="仿宋_GB2312"/>
          <w:color w:val="000000"/>
          <w:kern w:val="1"/>
          <w:sz w:val="32"/>
          <w:szCs w:val="32"/>
          <w:highlight w:val="none"/>
          <w:lang w:val="en-US" w:eastAsia="zh-CN"/>
        </w:rPr>
        <w:t>项工程建设内容，包括</w:t>
      </w:r>
      <w:r>
        <w:rPr>
          <w:rFonts w:hint="eastAsia"/>
          <w:sz w:val="32"/>
          <w:szCs w:val="32"/>
          <w:lang w:val="en-US" w:eastAsia="zh-CN"/>
        </w:rPr>
        <w:t>道路维修</w:t>
      </w:r>
      <w:r>
        <w:rPr>
          <w:rFonts w:hint="eastAsia"/>
          <w:sz w:val="32"/>
          <w:szCs w:val="32"/>
          <w:highlight w:val="none"/>
        </w:rPr>
        <w:t>101523平方米、</w:t>
      </w:r>
      <w:r>
        <w:rPr>
          <w:rFonts w:hint="eastAsia"/>
          <w:sz w:val="32"/>
          <w:szCs w:val="32"/>
          <w:highlight w:val="none"/>
          <w:lang w:val="en-US" w:eastAsia="zh-CN"/>
        </w:rPr>
        <w:t>屋面维修88822平方米</w:t>
      </w:r>
      <w:r>
        <w:rPr>
          <w:rFonts w:hint="eastAsia"/>
          <w:sz w:val="32"/>
          <w:szCs w:val="32"/>
          <w:highlight w:val="none"/>
          <w:lang w:eastAsia="zh-CN"/>
        </w:rPr>
        <w:t>、</w:t>
      </w:r>
      <w:r>
        <w:rPr>
          <w:rFonts w:hint="eastAsia"/>
          <w:sz w:val="32"/>
          <w:szCs w:val="32"/>
          <w:highlight w:val="none"/>
          <w:lang w:val="en-US" w:eastAsia="zh-CN"/>
        </w:rPr>
        <w:t>外立面维修214436平方米、</w:t>
      </w:r>
      <w:r>
        <w:rPr>
          <w:rFonts w:hint="eastAsia"/>
          <w:sz w:val="32"/>
          <w:szCs w:val="32"/>
          <w:highlight w:val="none"/>
        </w:rPr>
        <w:t>绿化提升16319</w:t>
      </w:r>
      <w:r>
        <w:rPr>
          <w:rFonts w:hint="eastAsia"/>
          <w:sz w:val="32"/>
          <w:szCs w:val="32"/>
          <w:highlight w:val="none"/>
          <w:lang w:val="en-US" w:eastAsia="zh-CN"/>
        </w:rPr>
        <w:t>平方米</w:t>
      </w:r>
      <w:r>
        <w:rPr>
          <w:rFonts w:hint="eastAsia"/>
          <w:sz w:val="32"/>
          <w:szCs w:val="32"/>
          <w:highlight w:val="none"/>
        </w:rPr>
        <w:t>、</w:t>
      </w:r>
      <w:r>
        <w:rPr>
          <w:rFonts w:hint="eastAsia"/>
          <w:sz w:val="32"/>
          <w:szCs w:val="32"/>
          <w:highlight w:val="none"/>
          <w:lang w:val="en-US" w:eastAsia="zh-CN"/>
        </w:rPr>
        <w:t>管线入地266667平方米</w:t>
      </w:r>
      <w:r>
        <w:rPr>
          <w:rFonts w:hint="eastAsia"/>
          <w:sz w:val="32"/>
          <w:szCs w:val="32"/>
          <w:highlight w:val="none"/>
        </w:rPr>
        <w:t>、</w:t>
      </w:r>
      <w:r>
        <w:rPr>
          <w:rFonts w:hint="eastAsia"/>
          <w:sz w:val="32"/>
          <w:szCs w:val="32"/>
          <w:highlight w:val="none"/>
          <w:lang w:val="en-US" w:eastAsia="zh-CN"/>
        </w:rPr>
        <w:t>敷设雨污管道52524米、其他设施更新10</w:t>
      </w:r>
      <w:r>
        <w:rPr>
          <w:rFonts w:hint="eastAsia"/>
          <w:sz w:val="32"/>
          <w:szCs w:val="32"/>
          <w:highlight w:val="none"/>
        </w:rPr>
        <w:t>项</w:t>
      </w:r>
      <w:r>
        <w:rPr>
          <w:rFonts w:hint="eastAsia" w:ascii="仿宋_GB2312" w:hAnsi="仿宋_GB2312" w:cs="仿宋_GB2312"/>
          <w:color w:val="000000"/>
          <w:kern w:val="1"/>
          <w:sz w:val="32"/>
          <w:szCs w:val="32"/>
          <w:highlight w:val="none"/>
          <w:lang w:val="en-US" w:eastAsia="zh-CN"/>
        </w:rPr>
        <w:t>；</w:t>
      </w:r>
      <w:r>
        <w:rPr>
          <w:rFonts w:hint="eastAsia"/>
          <w:sz w:val="32"/>
          <w:szCs w:val="32"/>
          <w:highlight w:val="none"/>
          <w:lang w:val="en-US" w:eastAsia="zh-CN"/>
        </w:rPr>
        <w:t>项目建设顺利通过专业验收和综合</w:t>
      </w:r>
      <w:r>
        <w:rPr>
          <w:rFonts w:hint="eastAsia"/>
          <w:sz w:val="32"/>
          <w:szCs w:val="32"/>
          <w:highlight w:val="none"/>
        </w:rPr>
        <w:t>验收；项目的实施</w:t>
      </w:r>
      <w:r>
        <w:rPr>
          <w:rFonts w:hint="eastAsia"/>
          <w:sz w:val="32"/>
          <w:szCs w:val="32"/>
          <w:lang w:val="en-US" w:eastAsia="zh-CN"/>
        </w:rPr>
        <w:t>优化了旧房的建筑结构、完善了社区功能、健全了社区配套设施、回应了群众期待，</w:t>
      </w:r>
      <w:r>
        <w:rPr>
          <w:rFonts w:hint="eastAsia" w:hAnsi="黑体" w:cs="Times New Roman"/>
          <w:sz w:val="32"/>
          <w:szCs w:val="32"/>
          <w:highlight w:val="none"/>
          <w:lang w:val="en-US" w:eastAsia="zh-CN"/>
        </w:rPr>
        <w:t>老旧小区的部分痛难点得到了有效缓解，根据社会调查显示，有96.96%的居民表示改造后小区建筑风貌得到了明显提升，95.79%的居民表示改造后小区环境变得更加干净有序了，82.71%的居民表示改造后社区安全性得到了提升，82.87%的居民表示小区停车难问题得到了有效缓解，85.98%的居民表示美丽家园改造切实提升了自身的幸福感和获得感，在对各项新建公共设施的使用上，居民综合利用率达到93.7%，也显示出居民对改造内容的高认可度。</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hint="eastAsia" w:ascii="Calibri" w:hAnsi="Calibri" w:cs="Times New Roman"/>
          <w:b/>
          <w:bCs/>
          <w:kern w:val="1"/>
          <w:sz w:val="32"/>
          <w:szCs w:val="22"/>
          <w:lang w:val="en-US" w:eastAsia="zh-CN"/>
        </w:rPr>
      </w:pPr>
      <w:r>
        <w:rPr>
          <w:rFonts w:hint="eastAsia" w:ascii="仿宋_GB2312" w:hAnsi="仿宋_GB2312" w:cs="仿宋_GB2312"/>
          <w:kern w:val="1"/>
          <w:sz w:val="32"/>
          <w:szCs w:val="32"/>
          <w:highlight w:val="none"/>
          <w:lang w:val="en-US" w:eastAsia="zh-CN"/>
        </w:rPr>
        <w:t>但主要还存在以下不足：一是</w:t>
      </w:r>
      <w:r>
        <w:rPr>
          <w:rFonts w:hint="eastAsia"/>
          <w:sz w:val="32"/>
          <w:szCs w:val="32"/>
          <w:highlight w:val="none"/>
        </w:rPr>
        <w:t>在</w:t>
      </w:r>
      <w:r>
        <w:rPr>
          <w:rFonts w:hint="eastAsia"/>
          <w:sz w:val="32"/>
          <w:szCs w:val="32"/>
          <w:highlight w:val="none"/>
          <w:lang w:val="en-US" w:eastAsia="zh-CN"/>
        </w:rPr>
        <w:t>改造成效</w:t>
      </w:r>
      <w:r>
        <w:rPr>
          <w:rFonts w:hint="eastAsia"/>
          <w:sz w:val="32"/>
          <w:szCs w:val="32"/>
          <w:highlight w:val="none"/>
        </w:rPr>
        <w:t>方面，部分</w:t>
      </w:r>
      <w:r>
        <w:rPr>
          <w:rFonts w:hint="eastAsia"/>
          <w:sz w:val="32"/>
          <w:szCs w:val="32"/>
          <w:highlight w:val="none"/>
          <w:lang w:val="en-US" w:eastAsia="zh-CN"/>
        </w:rPr>
        <w:t>子项目的房屋外立面、空调架、污水管道等改造效果</w:t>
      </w:r>
      <w:r>
        <w:rPr>
          <w:rFonts w:hint="eastAsia"/>
          <w:sz w:val="32"/>
          <w:szCs w:val="32"/>
          <w:highlight w:val="none"/>
        </w:rPr>
        <w:t>不佳</w:t>
      </w:r>
      <w:r>
        <w:rPr>
          <w:rFonts w:hint="eastAsia"/>
          <w:sz w:val="32"/>
          <w:szCs w:val="32"/>
          <w:highlight w:val="none"/>
          <w:lang w:eastAsia="zh-CN"/>
        </w:rPr>
        <w:t>；</w:t>
      </w:r>
      <w:r>
        <w:rPr>
          <w:rFonts w:hint="eastAsia"/>
          <w:sz w:val="32"/>
          <w:szCs w:val="32"/>
          <w:highlight w:val="none"/>
          <w:lang w:val="en-US" w:eastAsia="zh-CN"/>
        </w:rPr>
        <w:t>二是</w:t>
      </w:r>
      <w:r>
        <w:rPr>
          <w:rFonts w:hint="eastAsia"/>
          <w:sz w:val="32"/>
          <w:szCs w:val="32"/>
          <w:highlight w:val="none"/>
        </w:rPr>
        <w:t>时效性方面，</w:t>
      </w:r>
      <w:r>
        <w:rPr>
          <w:rFonts w:hint="eastAsia"/>
          <w:sz w:val="32"/>
          <w:szCs w:val="32"/>
          <w:highlight w:val="none"/>
          <w:lang w:val="en-US" w:eastAsia="zh-CN"/>
        </w:rPr>
        <w:t>前期准备工作</w:t>
      </w:r>
      <w:r>
        <w:rPr>
          <w:rFonts w:hint="eastAsia"/>
          <w:sz w:val="32"/>
          <w:szCs w:val="32"/>
          <w:highlight w:val="none"/>
        </w:rPr>
        <w:t>落后于计划</w:t>
      </w:r>
      <w:r>
        <w:rPr>
          <w:rFonts w:hint="eastAsia"/>
          <w:sz w:val="32"/>
          <w:szCs w:val="32"/>
          <w:highlight w:val="none"/>
          <w:lang w:eastAsia="zh-CN"/>
        </w:rPr>
        <w:t>；</w:t>
      </w:r>
      <w:r>
        <w:rPr>
          <w:rFonts w:hint="eastAsia"/>
          <w:sz w:val="32"/>
          <w:szCs w:val="32"/>
          <w:highlight w:val="none"/>
          <w:lang w:val="en-US" w:eastAsia="zh-CN"/>
        </w:rPr>
        <w:t>三是成本控制方面，个别同类材料造价不合理，个别二类费合同价偏高</w:t>
      </w:r>
      <w:r>
        <w:rPr>
          <w:rFonts w:hint="eastAsia" w:ascii="仿宋_GB2312" w:hAnsi="仿宋_GB2312" w:cs="仿宋_GB2312"/>
          <w:kern w:val="1"/>
          <w:sz w:val="32"/>
          <w:szCs w:val="32"/>
          <w:highlight w:val="none"/>
          <w:lang w:val="en-US" w:eastAsia="zh-CN"/>
        </w:rPr>
        <w:t>；</w:t>
      </w:r>
      <w:r>
        <w:rPr>
          <w:rFonts w:hint="eastAsia" w:cs="仿宋_GB2312"/>
          <w:kern w:val="1"/>
          <w:sz w:val="32"/>
          <w:szCs w:val="32"/>
          <w:highlight w:val="none"/>
          <w:lang w:val="en-US" w:eastAsia="zh-CN"/>
        </w:rPr>
        <w:t>四</w:t>
      </w:r>
      <w:r>
        <w:rPr>
          <w:rFonts w:hint="eastAsia" w:ascii="仿宋_GB2312" w:hAnsi="仿宋_GB2312" w:cs="仿宋_GB2312"/>
          <w:kern w:val="1"/>
          <w:sz w:val="32"/>
          <w:szCs w:val="32"/>
          <w:highlight w:val="none"/>
          <w:lang w:val="en-US" w:eastAsia="zh-CN"/>
        </w:rPr>
        <w:t>是</w:t>
      </w:r>
      <w:r>
        <w:rPr>
          <w:rFonts w:hint="eastAsia"/>
          <w:sz w:val="32"/>
          <w:szCs w:val="32"/>
          <w:highlight w:val="none"/>
        </w:rPr>
        <w:t>项目的</w:t>
      </w:r>
      <w:r>
        <w:rPr>
          <w:rFonts w:hint="eastAsia"/>
          <w:sz w:val="32"/>
          <w:szCs w:val="32"/>
          <w:highlight w:val="none"/>
          <w:lang w:val="en-US" w:eastAsia="zh-CN"/>
        </w:rPr>
        <w:t>建后管护</w:t>
      </w:r>
      <w:r>
        <w:rPr>
          <w:rFonts w:hint="eastAsia"/>
          <w:sz w:val="32"/>
          <w:szCs w:val="32"/>
          <w:highlight w:val="none"/>
        </w:rPr>
        <w:t>执行情况不佳，</w:t>
      </w:r>
      <w:r>
        <w:rPr>
          <w:rFonts w:hint="eastAsia"/>
          <w:sz w:val="32"/>
          <w:szCs w:val="32"/>
          <w:highlight w:val="none"/>
          <w:lang w:val="en-US" w:eastAsia="zh-CN"/>
        </w:rPr>
        <w:t>小区绿化提升效果不明显</w:t>
      </w:r>
      <w:r>
        <w:rPr>
          <w:rFonts w:hint="eastAsia" w:ascii="仿宋_GB2312" w:hAnsi="仿宋_GB2312" w:cs="仿宋_GB2312"/>
          <w:kern w:val="1"/>
          <w:sz w:val="32"/>
          <w:szCs w:val="32"/>
          <w:highlight w:val="none"/>
          <w:lang w:val="en-US" w:eastAsia="zh-CN"/>
        </w:rPr>
        <w:t>。</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22"/>
        </w:rPr>
      </w:pPr>
      <w:r>
        <w:rPr>
          <w:rFonts w:hint="eastAsia" w:ascii="Calibri" w:hAnsi="Calibri" w:cs="Times New Roman"/>
          <w:b/>
          <w:bCs/>
          <w:kern w:val="1"/>
          <w:sz w:val="32"/>
          <w:szCs w:val="22"/>
          <w:lang w:val="en-US" w:eastAsia="zh-CN"/>
        </w:rPr>
        <w:t>四、</w:t>
      </w:r>
      <w:r>
        <w:rPr>
          <w:rFonts w:hint="eastAsia" w:ascii="Calibri" w:hAnsi="Calibri" w:cs="Times New Roman"/>
          <w:b/>
          <w:bCs/>
          <w:kern w:val="1"/>
          <w:sz w:val="32"/>
          <w:szCs w:val="22"/>
        </w:rPr>
        <w:t>主要经验及做法、</w:t>
      </w:r>
      <w:r>
        <w:rPr>
          <w:rFonts w:ascii="Calibri" w:hAnsi="Calibri" w:cs="Times New Roman"/>
          <w:b/>
          <w:bCs/>
          <w:kern w:val="1"/>
          <w:sz w:val="32"/>
          <w:szCs w:val="22"/>
        </w:rPr>
        <w:t>存在问题</w:t>
      </w:r>
      <w:r>
        <w:rPr>
          <w:rFonts w:hint="eastAsia" w:ascii="Calibri" w:hAnsi="Calibri" w:cs="Times New Roman"/>
          <w:b/>
          <w:bCs/>
          <w:kern w:val="1"/>
          <w:sz w:val="32"/>
          <w:szCs w:val="22"/>
        </w:rPr>
        <w:t>、</w:t>
      </w:r>
      <w:r>
        <w:rPr>
          <w:rFonts w:ascii="Calibri" w:hAnsi="Calibri" w:cs="Times New Roman"/>
          <w:b/>
          <w:bCs/>
          <w:kern w:val="1"/>
          <w:sz w:val="32"/>
          <w:szCs w:val="22"/>
        </w:rPr>
        <w:t>建议</w:t>
      </w:r>
      <w:bookmarkEnd w:id="5"/>
      <w:bookmarkEnd w:id="6"/>
      <w:r>
        <w:rPr>
          <w:rFonts w:hint="eastAsia" w:ascii="Calibri" w:hAnsi="Calibri" w:cs="Times New Roman"/>
          <w:b/>
          <w:bCs/>
          <w:kern w:val="1"/>
          <w:sz w:val="32"/>
          <w:szCs w:val="22"/>
        </w:rPr>
        <w:t>和改进措施</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22"/>
        </w:rPr>
      </w:pPr>
      <w:r>
        <w:rPr>
          <w:rFonts w:ascii="Calibri" w:hAnsi="Calibri" w:cs="Times New Roman"/>
          <w:b/>
          <w:bCs/>
          <w:kern w:val="1"/>
          <w:sz w:val="32"/>
          <w:szCs w:val="22"/>
        </w:rPr>
        <w:t>（</w:t>
      </w:r>
      <w:r>
        <w:rPr>
          <w:rFonts w:hint="eastAsia" w:ascii="Calibri" w:hAnsi="Calibri" w:cs="Times New Roman"/>
          <w:b/>
          <w:bCs/>
          <w:kern w:val="1"/>
          <w:sz w:val="32"/>
          <w:szCs w:val="22"/>
        </w:rPr>
        <w:t>一</w:t>
      </w:r>
      <w:r>
        <w:rPr>
          <w:rFonts w:ascii="Calibri" w:hAnsi="Calibri" w:cs="Times New Roman"/>
          <w:b/>
          <w:bCs/>
          <w:kern w:val="1"/>
          <w:sz w:val="32"/>
          <w:szCs w:val="22"/>
        </w:rPr>
        <w:t>）</w:t>
      </w:r>
      <w:r>
        <w:rPr>
          <w:rFonts w:hint="eastAsia" w:ascii="Calibri" w:hAnsi="Calibri" w:cs="Times New Roman"/>
          <w:b/>
          <w:bCs/>
          <w:kern w:val="1"/>
          <w:sz w:val="32"/>
          <w:szCs w:val="22"/>
        </w:rPr>
        <w:t>主要经验及做法</w:t>
      </w:r>
    </w:p>
    <w:p>
      <w:pPr>
        <w:ind w:firstLine="560"/>
        <w:rPr>
          <w:rFonts w:hint="default" w:hAnsi="黑体" w:eastAsia="仿宋_GB2312" w:cs="Times New Roman"/>
          <w:sz w:val="32"/>
          <w:szCs w:val="32"/>
          <w:lang w:val="en-US" w:eastAsia="zh-CN"/>
        </w:rPr>
      </w:pPr>
      <w:bookmarkStart w:id="7" w:name="_Toc51284847"/>
      <w:bookmarkStart w:id="8" w:name="_Toc47894312"/>
      <w:r>
        <w:rPr>
          <w:rFonts w:hint="eastAsia" w:hAnsi="黑体" w:cs="Times New Roman"/>
          <w:b/>
          <w:bCs/>
          <w:sz w:val="32"/>
          <w:szCs w:val="32"/>
          <w:lang w:val="en-US" w:eastAsia="zh-CN"/>
        </w:rPr>
        <w:t>健全会商机制，保障居民参与</w:t>
      </w:r>
    </w:p>
    <w:p>
      <w:pPr>
        <w:ind w:firstLine="560"/>
        <w:rPr>
          <w:rFonts w:hint="default" w:ascii="Calibri" w:hAnsi="Calibri" w:cs="Times New Roman"/>
          <w:b/>
          <w:bCs/>
          <w:kern w:val="1"/>
          <w:sz w:val="32"/>
          <w:szCs w:val="32"/>
          <w:lang w:val="en-US"/>
        </w:rPr>
      </w:pPr>
      <w:r>
        <w:rPr>
          <w:rFonts w:hint="eastAsia" w:hAnsi="黑体" w:cs="Times New Roman"/>
          <w:sz w:val="32"/>
          <w:szCs w:val="32"/>
        </w:rPr>
        <w:t>城桥镇镇政府通过健全党建微网格组织体系，搭建议事平台，建立定期会商机制，及时反映业主意愿，分析、研究、讨论、化解矛盾，更好地推动各方参与社区建设，</w:t>
      </w:r>
      <w:r>
        <w:rPr>
          <w:rFonts w:hint="eastAsia" w:hAnsi="黑体" w:cs="Times New Roman"/>
          <w:sz w:val="32"/>
          <w:szCs w:val="32"/>
          <w:lang w:val="en-US" w:eastAsia="zh-CN"/>
        </w:rPr>
        <w:t>社会调查显示居民对项目开展的知晓率达到99.3%</w:t>
      </w:r>
      <w:r>
        <w:rPr>
          <w:rFonts w:hint="eastAsia" w:hAnsi="黑体" w:cs="Times New Roman"/>
          <w:sz w:val="32"/>
          <w:szCs w:val="32"/>
        </w:rPr>
        <w:t>；</w:t>
      </w:r>
      <w:r>
        <w:rPr>
          <w:rFonts w:hint="eastAsia" w:hAnsi="黑体" w:cs="Times New Roman"/>
          <w:sz w:val="32"/>
          <w:szCs w:val="32"/>
          <w:lang w:val="en-US" w:eastAsia="zh-CN"/>
        </w:rPr>
        <w:t>事前</w:t>
      </w:r>
      <w:r>
        <w:rPr>
          <w:rFonts w:hint="eastAsia" w:hAnsi="黑体" w:cs="Times New Roman"/>
          <w:sz w:val="32"/>
          <w:szCs w:val="32"/>
        </w:rPr>
        <w:t>集思广益，充分调动群众参与改造方案的制定，围绕群众普遍反映的短板问题，将改造内容从“政府排单”转变为“群众点单”</w:t>
      </w:r>
      <w:r>
        <w:rPr>
          <w:rFonts w:hint="eastAsia" w:hAnsi="黑体" w:cs="Times New Roman"/>
          <w:sz w:val="32"/>
          <w:szCs w:val="32"/>
          <w:lang w:eastAsia="zh-CN"/>
        </w:rPr>
        <w:t>，</w:t>
      </w:r>
      <w:r>
        <w:rPr>
          <w:rFonts w:hint="eastAsia" w:hAnsi="黑体" w:cs="Times New Roman"/>
          <w:sz w:val="32"/>
          <w:szCs w:val="32"/>
          <w:lang w:val="en-US" w:eastAsia="zh-CN"/>
        </w:rPr>
        <w:t>社会调查显示居民参与改造意见反馈的比例超过60%</w:t>
      </w:r>
      <w:r>
        <w:rPr>
          <w:rFonts w:hint="eastAsia" w:hAnsi="黑体" w:cs="Times New Roman"/>
          <w:sz w:val="32"/>
          <w:szCs w:val="32"/>
          <w:lang w:eastAsia="zh-CN"/>
        </w:rPr>
        <w:t>。</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32"/>
        </w:rPr>
      </w:pPr>
      <w:r>
        <w:rPr>
          <w:rFonts w:ascii="Calibri" w:hAnsi="Calibri" w:cs="Times New Roman"/>
          <w:b/>
          <w:bCs/>
          <w:kern w:val="1"/>
          <w:sz w:val="32"/>
          <w:szCs w:val="32"/>
        </w:rPr>
        <w:t>（</w:t>
      </w:r>
      <w:r>
        <w:rPr>
          <w:rFonts w:hint="eastAsia" w:ascii="Calibri" w:hAnsi="Calibri" w:cs="Times New Roman"/>
          <w:b/>
          <w:bCs/>
          <w:kern w:val="1"/>
          <w:sz w:val="32"/>
          <w:szCs w:val="32"/>
        </w:rPr>
        <w:t>二</w:t>
      </w:r>
      <w:r>
        <w:rPr>
          <w:rFonts w:ascii="Calibri" w:hAnsi="Calibri" w:cs="Times New Roman"/>
          <w:b/>
          <w:bCs/>
          <w:kern w:val="1"/>
          <w:sz w:val="32"/>
          <w:szCs w:val="32"/>
        </w:rPr>
        <w:t>）存在问题</w:t>
      </w:r>
      <w:bookmarkEnd w:id="7"/>
      <w:bookmarkEnd w:id="8"/>
    </w:p>
    <w:p>
      <w:pPr>
        <w:ind w:firstLine="560"/>
        <w:rPr>
          <w:rFonts w:hint="default" w:hAnsi="宋体"/>
          <w:sz w:val="32"/>
          <w:szCs w:val="32"/>
          <w:lang w:val="en-US"/>
        </w:rPr>
      </w:pPr>
      <w:r>
        <w:rPr>
          <w:rFonts w:hint="eastAsia" w:hAnsi="宋体"/>
          <w:b/>
          <w:bCs/>
          <w:sz w:val="32"/>
          <w:szCs w:val="32"/>
          <w:lang w:val="en-US" w:eastAsia="zh-CN"/>
        </w:rPr>
        <w:t>1</w:t>
      </w:r>
      <w:r>
        <w:rPr>
          <w:rFonts w:hint="eastAsia" w:hAnsi="宋体"/>
          <w:b/>
          <w:bCs/>
          <w:sz w:val="32"/>
          <w:szCs w:val="32"/>
        </w:rPr>
        <w:t>.</w:t>
      </w:r>
      <w:r>
        <w:rPr>
          <w:rFonts w:hint="eastAsia" w:hAnsi="宋体"/>
          <w:b/>
          <w:bCs/>
          <w:sz w:val="32"/>
          <w:szCs w:val="32"/>
          <w:lang w:val="en-US" w:eastAsia="zh-CN"/>
        </w:rPr>
        <w:t>项目部分材料单价控制不合理，二类费取价有偏差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eastAsia" w:hAnsi="宋体"/>
          <w:sz w:val="32"/>
          <w:szCs w:val="32"/>
        </w:rPr>
      </w:pPr>
      <w:r>
        <w:rPr>
          <w:rFonts w:hint="eastAsia" w:cs="仿宋_GB2312"/>
          <w:b w:val="0"/>
          <w:bCs w:val="0"/>
          <w:kern w:val="1"/>
          <w:sz w:val="32"/>
          <w:szCs w:val="32"/>
          <w:lang w:val="en-US" w:eastAsia="zh-CN"/>
        </w:rPr>
        <w:t>根据各子项目的审价报告，项目同类材料造价有出现不一致的情况，包括外墙喷刷涂料、内墙喷刷涂料和室外T型不锈钢晒衣架的单价，一般通用材料的单价控制不合理。在项目二类费用计价方面，</w:t>
      </w:r>
      <w:r>
        <w:rPr>
          <w:rFonts w:hint="eastAsia" w:ascii="仿宋_GB2312" w:hAnsi="仿宋_GB2312" w:eastAsia="仿宋_GB2312" w:cs="仿宋_GB2312"/>
          <w:b w:val="0"/>
          <w:bCs w:val="0"/>
          <w:kern w:val="1"/>
          <w:sz w:val="32"/>
          <w:szCs w:val="32"/>
          <w:lang w:val="en-US" w:eastAsia="zh-CN"/>
        </w:rPr>
        <w:t>城西新村项目的施工监理合同价高于</w:t>
      </w:r>
      <w:r>
        <w:rPr>
          <w:rFonts w:hint="eastAsia" w:cs="仿宋_GB2312"/>
          <w:b w:val="0"/>
          <w:bCs w:val="0"/>
          <w:kern w:val="1"/>
          <w:sz w:val="32"/>
          <w:szCs w:val="32"/>
          <w:lang w:val="en-US" w:eastAsia="zh-CN"/>
        </w:rPr>
        <w:t>行业</w:t>
      </w:r>
      <w:r>
        <w:rPr>
          <w:rFonts w:hint="eastAsia" w:ascii="仿宋_GB2312" w:hAnsi="仿宋_GB2312" w:eastAsia="仿宋_GB2312" w:cs="仿宋_GB2312"/>
          <w:b w:val="0"/>
          <w:bCs w:val="0"/>
          <w:kern w:val="1"/>
          <w:sz w:val="32"/>
          <w:szCs w:val="32"/>
          <w:lang w:val="en-US" w:eastAsia="zh-CN"/>
        </w:rPr>
        <w:t>标准价</w:t>
      </w:r>
      <w:r>
        <w:rPr>
          <w:rFonts w:hint="eastAsia" w:cs="仿宋_GB2312"/>
          <w:b w:val="0"/>
          <w:bCs w:val="0"/>
          <w:kern w:val="1"/>
          <w:sz w:val="32"/>
          <w:szCs w:val="32"/>
          <w:lang w:val="en-US" w:eastAsia="zh-CN"/>
        </w:rPr>
        <w:t>，取价有偏差</w:t>
      </w:r>
      <w:r>
        <w:rPr>
          <w:rFonts w:hint="eastAsia" w:hAnsi="宋体"/>
          <w:sz w:val="32"/>
          <w:szCs w:val="32"/>
        </w:rPr>
        <w:t>。</w:t>
      </w:r>
    </w:p>
    <w:p>
      <w:pPr>
        <w:ind w:firstLine="560"/>
        <w:rPr>
          <w:rFonts w:hint="default" w:hAnsi="宋体" w:eastAsia="仿宋_GB2312"/>
          <w:sz w:val="32"/>
          <w:szCs w:val="32"/>
          <w:lang w:val="en-US" w:eastAsia="zh-CN"/>
        </w:rPr>
      </w:pPr>
      <w:r>
        <w:rPr>
          <w:rFonts w:hint="eastAsia" w:hAnsi="宋体"/>
          <w:b/>
          <w:bCs/>
          <w:sz w:val="32"/>
          <w:szCs w:val="32"/>
          <w:lang w:val="en-US" w:eastAsia="zh-CN"/>
        </w:rPr>
        <w:t>2</w:t>
      </w:r>
      <w:r>
        <w:rPr>
          <w:rFonts w:hint="eastAsia" w:hAnsi="宋体"/>
          <w:b/>
          <w:bCs/>
          <w:sz w:val="32"/>
          <w:szCs w:val="32"/>
        </w:rPr>
        <w:t>.</w:t>
      </w:r>
      <w:r>
        <w:rPr>
          <w:rFonts w:hint="eastAsia" w:hAnsi="宋体"/>
          <w:b/>
          <w:bCs/>
          <w:sz w:val="32"/>
          <w:szCs w:val="32"/>
          <w:lang w:val="en-US" w:eastAsia="zh-CN"/>
        </w:rPr>
        <w:t>部分改造内容效果不佳，外立面管护情况不到位</w:t>
      </w:r>
    </w:p>
    <w:p>
      <w:pPr>
        <w:ind w:firstLine="560"/>
        <w:rPr>
          <w:rFonts w:hint="eastAsia"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根据评价组实地调研</w:t>
      </w:r>
      <w:r>
        <w:rPr>
          <w:rFonts w:hint="eastAsia" w:cs="仿宋_GB2312"/>
          <w:kern w:val="1"/>
          <w:sz w:val="32"/>
          <w:szCs w:val="32"/>
          <w:lang w:val="en-US" w:eastAsia="zh-CN"/>
        </w:rPr>
        <w:t>和访谈小区物业、居委和居民的</w:t>
      </w:r>
      <w:r>
        <w:rPr>
          <w:rFonts w:hint="eastAsia" w:ascii="仿宋_GB2312" w:hAnsi="仿宋_GB2312" w:cs="仿宋_GB2312"/>
          <w:kern w:val="1"/>
          <w:sz w:val="32"/>
          <w:szCs w:val="32"/>
          <w:lang w:val="en-US" w:eastAsia="zh-CN"/>
        </w:rPr>
        <w:t>结果，</w:t>
      </w:r>
      <w:r>
        <w:rPr>
          <w:rFonts w:hint="eastAsia" w:cs="仿宋_GB2312"/>
          <w:kern w:val="1"/>
          <w:sz w:val="32"/>
          <w:szCs w:val="32"/>
          <w:lang w:val="en-US" w:eastAsia="zh-CN"/>
        </w:rPr>
        <w:t>获悉部分项目改造内容效果不佳，例如南门路小区项目在改造完成后有出现雨污管道返工、污水管堵塞报修、局部屋面漏水等问题</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西门北村项目在改造完成后有出现外立面墙面开裂、剥落而需修补的情况，南门新村项目在改造完成后有出现雨污管道的报修、空调架子脱落的情况，</w:t>
      </w:r>
      <w:r>
        <w:rPr>
          <w:rFonts w:hint="eastAsia" w:ascii="仿宋_GB2312" w:hAnsi="仿宋_GB2312" w:cs="仿宋_GB2312"/>
          <w:kern w:val="1"/>
          <w:sz w:val="32"/>
          <w:szCs w:val="32"/>
          <w:lang w:val="en-US" w:eastAsia="zh-CN"/>
        </w:rPr>
        <w:t>以上情况</w:t>
      </w:r>
      <w:r>
        <w:rPr>
          <w:rFonts w:hint="eastAsia" w:cs="仿宋_GB2312"/>
          <w:kern w:val="1"/>
          <w:sz w:val="32"/>
          <w:szCs w:val="32"/>
          <w:lang w:val="en-US" w:eastAsia="zh-CN"/>
        </w:rPr>
        <w:t>均</w:t>
      </w:r>
      <w:r>
        <w:rPr>
          <w:rFonts w:hint="eastAsia" w:ascii="仿宋_GB2312" w:hAnsi="仿宋_GB2312" w:cs="仿宋_GB2312"/>
          <w:kern w:val="1"/>
          <w:sz w:val="32"/>
          <w:szCs w:val="32"/>
          <w:lang w:val="en-US" w:eastAsia="zh-CN"/>
        </w:rPr>
        <w:t>属于装修工程质保期内出现了质量问题</w:t>
      </w:r>
      <w:r>
        <w:rPr>
          <w:rFonts w:hint="eastAsia" w:cs="仿宋_GB2312"/>
          <w:kern w:val="1"/>
          <w:sz w:val="32"/>
          <w:szCs w:val="32"/>
          <w:lang w:val="en-US" w:eastAsia="zh-CN"/>
        </w:rPr>
        <w:t>；</w:t>
      </w:r>
      <w:r>
        <w:rPr>
          <w:rFonts w:hint="eastAsia" w:cs="仿宋_GB2312"/>
          <w:b w:val="0"/>
          <w:bCs w:val="0"/>
          <w:kern w:val="1"/>
          <w:sz w:val="32"/>
          <w:szCs w:val="32"/>
          <w:lang w:val="en-US" w:eastAsia="zh-CN"/>
        </w:rPr>
        <w:t>在绿化改造方面，提升效果不佳，根据评价组对居民的随访调查，在各项改造成效满意度中，居民对绿化提升的满意度是最低的，接受调研的423名居民中</w:t>
      </w:r>
      <w:r>
        <w:rPr>
          <w:rFonts w:hint="eastAsia" w:cs="仿宋_GB2312"/>
          <w:b w:val="0"/>
          <w:bCs w:val="0"/>
          <w:kern w:val="1"/>
          <w:sz w:val="32"/>
          <w:szCs w:val="32"/>
          <w:highlight w:val="none"/>
          <w:lang w:val="en-US" w:eastAsia="zh-CN"/>
        </w:rPr>
        <w:t>给予绿化效果正面评价的占比仅为58.4%，项目原先“保留修剪、改良美化、添景加彩”的目标未能完全实现；这些都直接</w:t>
      </w:r>
      <w:r>
        <w:rPr>
          <w:rFonts w:hint="eastAsia" w:cs="仿宋_GB2312"/>
          <w:kern w:val="1"/>
          <w:sz w:val="32"/>
          <w:szCs w:val="32"/>
          <w:lang w:val="en-US" w:eastAsia="zh-CN"/>
        </w:rPr>
        <w:t>影响了最终改造效果</w:t>
      </w:r>
      <w:r>
        <w:rPr>
          <w:rFonts w:hint="eastAsia" w:ascii="仿宋_GB2312" w:hAnsi="仿宋_GB2312" w:cs="仿宋_GB2312"/>
          <w:kern w:val="1"/>
          <w:sz w:val="32"/>
          <w:szCs w:val="32"/>
          <w:lang w:val="en-US" w:eastAsia="zh-CN"/>
        </w:rPr>
        <w:t>。</w:t>
      </w:r>
    </w:p>
    <w:p>
      <w:pPr>
        <w:ind w:firstLine="560"/>
        <w:rPr>
          <w:rFonts w:hint="default"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在建后管护方面，出现外立面的管护不到位情况，主要涉及：南门新村、城西新村、西门北村和南门新村等小区的建筑外立面涂料发生明显剥落、鼓包等情况，且在居民报修后修补不及时</w:t>
      </w:r>
      <w:r>
        <w:rPr>
          <w:rFonts w:hint="eastAsia" w:ascii="仿宋_GB2312" w:hAnsi="仿宋_GB2312" w:cs="仿宋_GB2312"/>
          <w:b w:val="0"/>
          <w:bCs w:val="0"/>
          <w:kern w:val="1"/>
          <w:sz w:val="32"/>
          <w:szCs w:val="32"/>
          <w:lang w:val="en-US" w:eastAsia="zh-CN"/>
        </w:rPr>
        <w:t>。</w:t>
      </w:r>
    </w:p>
    <w:p>
      <w:pPr>
        <w:ind w:firstLine="560"/>
        <w:rPr>
          <w:rFonts w:hint="default" w:hAnsi="宋体" w:eastAsia="仿宋_GB2312"/>
          <w:sz w:val="32"/>
          <w:szCs w:val="32"/>
          <w:highlight w:val="yellow"/>
          <w:lang w:val="en-US" w:eastAsia="zh-CN"/>
        </w:rPr>
      </w:pPr>
      <w:r>
        <w:rPr>
          <w:rFonts w:hint="eastAsia" w:hAnsi="宋体"/>
          <w:b/>
          <w:bCs/>
          <w:sz w:val="32"/>
          <w:szCs w:val="32"/>
          <w:lang w:val="en-US" w:eastAsia="zh-CN"/>
        </w:rPr>
        <w:t>3</w:t>
      </w:r>
      <w:r>
        <w:rPr>
          <w:rFonts w:hint="eastAsia" w:hAnsi="宋体"/>
          <w:b/>
          <w:bCs/>
          <w:sz w:val="32"/>
          <w:szCs w:val="32"/>
        </w:rPr>
        <w:t>.</w:t>
      </w:r>
      <w:r>
        <w:rPr>
          <w:rFonts w:hint="eastAsia" w:hAnsi="宋体"/>
          <w:b/>
          <w:bCs/>
          <w:sz w:val="32"/>
          <w:szCs w:val="32"/>
          <w:lang w:val="en-US" w:eastAsia="zh-CN"/>
        </w:rPr>
        <w:t>信息公开全面性不足，事前基层调研待优化</w:t>
      </w:r>
    </w:p>
    <w:p>
      <w:pPr>
        <w:ind w:firstLine="560"/>
        <w:rPr>
          <w:rFonts w:hint="eastAsia" w:hAnsi="宋体"/>
          <w:sz w:val="32"/>
          <w:szCs w:val="32"/>
        </w:rPr>
      </w:pPr>
      <w:r>
        <w:rPr>
          <w:rFonts w:hint="eastAsia" w:cs="仿宋_GB2312"/>
          <w:kern w:val="1"/>
          <w:sz w:val="32"/>
          <w:szCs w:val="22"/>
          <w:lang w:val="en-US" w:eastAsia="zh-CN"/>
        </w:rPr>
        <w:t>本</w:t>
      </w:r>
      <w:r>
        <w:rPr>
          <w:rFonts w:hint="eastAsia" w:ascii="仿宋_GB2312" w:hAnsi="仿宋_GB2312" w:cs="仿宋_GB2312"/>
          <w:kern w:val="1"/>
          <w:sz w:val="32"/>
          <w:szCs w:val="22"/>
          <w:lang w:val="en-US" w:eastAsia="zh-CN"/>
        </w:rPr>
        <w:t>项目</w:t>
      </w:r>
      <w:r>
        <w:rPr>
          <w:rFonts w:hint="eastAsia" w:cs="仿宋_GB2312"/>
          <w:kern w:val="1"/>
          <w:sz w:val="32"/>
          <w:szCs w:val="22"/>
          <w:lang w:val="en-US" w:eastAsia="zh-CN"/>
        </w:rPr>
        <w:t>在信息公开方面，侧重于对决策结果的公示公开，但对公众关心的决策依据、过程等内容公开力度不足，例如本项目在</w:t>
      </w:r>
      <w:r>
        <w:rPr>
          <w:rFonts w:hint="eastAsia" w:ascii="仿宋_GB2312" w:hAnsi="仿宋_GB2312" w:cs="仿宋_GB2312"/>
          <w:kern w:val="1"/>
          <w:sz w:val="32"/>
          <w:szCs w:val="22"/>
          <w:lang w:val="en-US" w:eastAsia="zh-CN"/>
        </w:rPr>
        <w:t>选取</w:t>
      </w:r>
      <w:r>
        <w:rPr>
          <w:rFonts w:hint="eastAsia" w:cs="仿宋_GB2312"/>
          <w:kern w:val="1"/>
          <w:sz w:val="32"/>
          <w:szCs w:val="22"/>
          <w:lang w:val="en-US" w:eastAsia="zh-CN"/>
        </w:rPr>
        <w:t>城桥镇地区具体</w:t>
      </w:r>
      <w:r>
        <w:rPr>
          <w:rFonts w:hint="eastAsia" w:ascii="仿宋_GB2312" w:hAnsi="仿宋_GB2312" w:cs="仿宋_GB2312"/>
          <w:kern w:val="1"/>
          <w:sz w:val="32"/>
          <w:szCs w:val="22"/>
          <w:lang w:val="en-US" w:eastAsia="zh-CN"/>
        </w:rPr>
        <w:t>改造对象</w:t>
      </w:r>
      <w:r>
        <w:rPr>
          <w:rFonts w:hint="eastAsia" w:cs="仿宋_GB2312"/>
          <w:kern w:val="1"/>
          <w:sz w:val="32"/>
          <w:szCs w:val="22"/>
          <w:lang w:val="en-US" w:eastAsia="zh-CN"/>
        </w:rPr>
        <w:t>时遵循</w:t>
      </w:r>
      <w:r>
        <w:rPr>
          <w:rFonts w:hint="eastAsia" w:ascii="仿宋_GB2312" w:hAnsi="仿宋_GB2312" w:cs="仿宋_GB2312"/>
          <w:kern w:val="1"/>
          <w:sz w:val="32"/>
          <w:szCs w:val="22"/>
          <w:lang w:val="en-US" w:eastAsia="zh-CN"/>
        </w:rPr>
        <w:t>的先后原则</w:t>
      </w:r>
      <w:r>
        <w:rPr>
          <w:rFonts w:hint="eastAsia" w:cs="仿宋_GB2312"/>
          <w:kern w:val="1"/>
          <w:sz w:val="32"/>
          <w:szCs w:val="22"/>
          <w:lang w:val="en-US" w:eastAsia="zh-CN"/>
        </w:rPr>
        <w:t>、政策依据、决策过程等</w:t>
      </w:r>
      <w:r>
        <w:rPr>
          <w:rFonts w:hint="eastAsia" w:hAnsi="宋体"/>
          <w:sz w:val="32"/>
          <w:szCs w:val="32"/>
        </w:rPr>
        <w:t>。</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eastAsia"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同时，本项目在前期准备工作阶段，虽有开展居民意见征询，但并未形成调研报告等书面形式材料，也间接导致本项目的实际改造内容与群众改造需求的匹配度未能达到最理想状态，项目的前期基层调研工作还需加强</w:t>
      </w:r>
      <w:r>
        <w:rPr>
          <w:rFonts w:hint="eastAsia" w:ascii="仿宋_GB2312" w:hAnsi="仿宋_GB2312" w:eastAsia="仿宋_GB2312" w:cs="仿宋_GB2312"/>
          <w:b w:val="0"/>
          <w:bCs w:val="0"/>
          <w:kern w:val="1"/>
          <w:sz w:val="32"/>
          <w:szCs w:val="32"/>
          <w:lang w:val="en-US" w:eastAsia="zh-CN"/>
        </w:rPr>
        <w:t>。</w:t>
      </w:r>
    </w:p>
    <w:p>
      <w:pPr>
        <w:ind w:firstLine="560"/>
        <w:rPr>
          <w:rFonts w:hint="default" w:hAnsi="宋体" w:eastAsia="仿宋_GB2312"/>
          <w:sz w:val="32"/>
          <w:szCs w:val="32"/>
          <w:lang w:val="en-US" w:eastAsia="zh-CN"/>
        </w:rPr>
      </w:pPr>
      <w:r>
        <w:rPr>
          <w:rFonts w:hint="eastAsia" w:hAnsi="宋体"/>
          <w:b/>
          <w:bCs/>
          <w:sz w:val="32"/>
          <w:szCs w:val="32"/>
          <w:lang w:val="en-US" w:eastAsia="zh-CN"/>
        </w:rPr>
        <w:t>4.合同要素不完备，支付履约不及时</w:t>
      </w:r>
    </w:p>
    <w:p>
      <w:pPr>
        <w:ind w:firstLine="560"/>
        <w:rPr>
          <w:rFonts w:hint="eastAsia" w:hAnsi="宋体"/>
          <w:b/>
          <w:bCs/>
          <w:sz w:val="32"/>
          <w:szCs w:val="32"/>
          <w:lang w:val="en-US" w:eastAsia="zh-CN"/>
        </w:rPr>
      </w:pPr>
      <w:r>
        <w:rPr>
          <w:rFonts w:hint="eastAsia" w:hAnsi="宋体"/>
          <w:sz w:val="32"/>
          <w:szCs w:val="32"/>
        </w:rPr>
        <w:t>经评价组梳理发现，本项目的</w:t>
      </w:r>
      <w:r>
        <w:rPr>
          <w:rFonts w:hint="eastAsia" w:hAnsi="宋体"/>
          <w:sz w:val="32"/>
          <w:szCs w:val="32"/>
          <w:lang w:val="en-US" w:eastAsia="zh-CN"/>
        </w:rPr>
        <w:t>部分合同的要素不完备，如</w:t>
      </w:r>
      <w:r>
        <w:rPr>
          <w:rFonts w:hint="eastAsia" w:hAnsi="宋体"/>
          <w:sz w:val="32"/>
          <w:szCs w:val="32"/>
        </w:rPr>
        <w:t>方案设计合同、物探合同缺少交付期限条款</w:t>
      </w:r>
      <w:r>
        <w:rPr>
          <w:rFonts w:hint="eastAsia" w:hAnsi="宋体"/>
          <w:sz w:val="32"/>
          <w:szCs w:val="32"/>
          <w:lang w:eastAsia="zh-CN"/>
        </w:rPr>
        <w:t>，</w:t>
      </w:r>
      <w:r>
        <w:rPr>
          <w:rFonts w:hint="eastAsia" w:hAnsi="宋体"/>
          <w:sz w:val="32"/>
          <w:szCs w:val="32"/>
        </w:rPr>
        <w:t>物探、管道CCTV检测合同缺少合同签订日期。</w:t>
      </w:r>
      <w:r>
        <w:rPr>
          <w:rFonts w:hint="eastAsia" w:hAnsi="宋体"/>
          <w:sz w:val="32"/>
          <w:szCs w:val="32"/>
          <w:lang w:val="en-US" w:eastAsia="zh-CN"/>
        </w:rPr>
        <w:t>在履行支付条款时，部分合同履约不及时：</w:t>
      </w:r>
      <w:r>
        <w:rPr>
          <w:rFonts w:hint="eastAsia" w:hAnsi="宋体"/>
          <w:sz w:val="32"/>
          <w:szCs w:val="32"/>
        </w:rPr>
        <w:t>如管道CCTV检测合同和设计、监理招标代理合同，</w:t>
      </w:r>
      <w:r>
        <w:rPr>
          <w:rFonts w:hint="eastAsia" w:hAnsi="宋体"/>
          <w:sz w:val="32"/>
          <w:szCs w:val="32"/>
          <w:lang w:val="en-US" w:eastAsia="zh-CN"/>
        </w:rPr>
        <w:t>根据合同条款，业主方需在第三方完成服务内容、提供相关报告后，一周内完成支付合同费用，实际各项目的</w:t>
      </w:r>
      <w:r>
        <w:rPr>
          <w:rFonts w:hint="eastAsia" w:hAnsi="宋体"/>
          <w:sz w:val="32"/>
          <w:szCs w:val="32"/>
        </w:rPr>
        <w:t>CCTV检测服务</w:t>
      </w:r>
      <w:r>
        <w:rPr>
          <w:rFonts w:hint="eastAsia" w:hAnsi="宋体"/>
          <w:sz w:val="32"/>
          <w:szCs w:val="32"/>
          <w:lang w:eastAsia="zh-CN"/>
        </w:rPr>
        <w:t>、</w:t>
      </w:r>
      <w:r>
        <w:rPr>
          <w:rFonts w:hint="eastAsia" w:hAnsi="宋体"/>
          <w:sz w:val="32"/>
          <w:szCs w:val="32"/>
        </w:rPr>
        <w:t>报告</w:t>
      </w:r>
      <w:r>
        <w:rPr>
          <w:rFonts w:hint="eastAsia" w:hAnsi="宋体"/>
          <w:sz w:val="32"/>
          <w:szCs w:val="32"/>
          <w:lang w:val="en-US" w:eastAsia="zh-CN"/>
        </w:rPr>
        <w:t>和</w:t>
      </w:r>
      <w:r>
        <w:rPr>
          <w:rFonts w:hint="eastAsia" w:hAnsi="宋体"/>
          <w:sz w:val="32"/>
          <w:szCs w:val="32"/>
        </w:rPr>
        <w:t>设计、监理招标代理</w:t>
      </w:r>
      <w:r>
        <w:rPr>
          <w:rFonts w:hint="eastAsia" w:hAnsi="宋体"/>
          <w:sz w:val="32"/>
          <w:szCs w:val="32"/>
          <w:lang w:val="en-US" w:eastAsia="zh-CN"/>
        </w:rPr>
        <w:t>评标报告</w:t>
      </w:r>
      <w:r>
        <w:rPr>
          <w:rFonts w:hint="eastAsia" w:hAnsi="宋体"/>
          <w:sz w:val="32"/>
          <w:szCs w:val="32"/>
        </w:rPr>
        <w:t>均已</w:t>
      </w:r>
      <w:r>
        <w:rPr>
          <w:rFonts w:hint="eastAsia" w:hAnsi="宋体"/>
          <w:sz w:val="32"/>
          <w:szCs w:val="32"/>
          <w:lang w:val="en-US" w:eastAsia="zh-CN"/>
        </w:rPr>
        <w:t>出具</w:t>
      </w:r>
      <w:r>
        <w:rPr>
          <w:rFonts w:hint="eastAsia" w:hAnsi="宋体"/>
          <w:sz w:val="32"/>
          <w:szCs w:val="32"/>
        </w:rPr>
        <w:t>，但6个项目的</w:t>
      </w:r>
      <w:r>
        <w:rPr>
          <w:rFonts w:hint="eastAsia" w:hAnsi="宋体"/>
          <w:sz w:val="32"/>
          <w:szCs w:val="32"/>
          <w:lang w:val="en-US" w:eastAsia="zh-CN"/>
        </w:rPr>
        <w:t>相关</w:t>
      </w:r>
      <w:r>
        <w:rPr>
          <w:rFonts w:hint="eastAsia" w:hAnsi="宋体"/>
          <w:sz w:val="32"/>
          <w:szCs w:val="32"/>
        </w:rPr>
        <w:t>合同价款均未</w:t>
      </w:r>
      <w:r>
        <w:rPr>
          <w:rFonts w:hint="eastAsia" w:hAnsi="宋体"/>
          <w:sz w:val="32"/>
          <w:szCs w:val="32"/>
          <w:lang w:val="en-US" w:eastAsia="zh-CN"/>
        </w:rPr>
        <w:t>完成</w:t>
      </w:r>
      <w:r>
        <w:rPr>
          <w:rFonts w:hint="eastAsia" w:hAnsi="宋体"/>
          <w:sz w:val="32"/>
          <w:szCs w:val="32"/>
        </w:rPr>
        <w:t>支付。</w:t>
      </w:r>
      <w:r>
        <w:rPr>
          <w:rFonts w:hint="eastAsia" w:hAnsi="Microsoft JhengHei" w:cs="Times New Roman"/>
          <w:sz w:val="32"/>
          <w:szCs w:val="32"/>
          <w:highlight w:val="none"/>
          <w:lang w:val="en-US" w:eastAsia="zh-CN"/>
        </w:rPr>
        <w:t>究其原因，是项目单位对日常合同管理工作的不严谨。</w:t>
      </w:r>
    </w:p>
    <w:p>
      <w:pPr>
        <w:ind w:firstLine="560"/>
        <w:rPr>
          <w:rFonts w:hint="eastAsia" w:hAnsi="宋体"/>
          <w:b/>
          <w:bCs/>
          <w:sz w:val="32"/>
          <w:szCs w:val="32"/>
          <w:lang w:val="en-US" w:eastAsia="zh-CN"/>
        </w:rPr>
      </w:pPr>
      <w:r>
        <w:rPr>
          <w:rFonts w:hint="eastAsia" w:hAnsi="宋体"/>
          <w:b/>
          <w:bCs/>
          <w:sz w:val="32"/>
          <w:szCs w:val="32"/>
          <w:lang w:val="en-US" w:eastAsia="zh-CN"/>
        </w:rPr>
        <w:t>5.绩效目标设定欠合理，填报质量需优化</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default" w:ascii="仿宋_GB2312" w:hAnsi="仿宋_GB2312" w:eastAsia="仿宋_GB2312" w:cs="仿宋_GB2312"/>
          <w:b w:val="0"/>
          <w:bCs w:val="0"/>
          <w:kern w:val="1"/>
          <w:sz w:val="32"/>
          <w:szCs w:val="32"/>
          <w:lang w:val="en-US" w:eastAsia="zh-CN"/>
        </w:rPr>
      </w:pPr>
      <w:r>
        <w:rPr>
          <w:rFonts w:hint="eastAsia" w:hAnsi="宋体"/>
          <w:b w:val="0"/>
          <w:bCs w:val="0"/>
          <w:sz w:val="32"/>
          <w:szCs w:val="32"/>
          <w:lang w:val="en-US" w:eastAsia="zh-CN"/>
        </w:rPr>
        <w:t>在绩效目标申报表填报方面，项目单位在对项目目标提炼和目标值设定方面存在着一定的偏差，例如产出质量指标“工程验收合格率”指标的目标值设置为了“合格”，不合理，应设置为100%；经济效益指标设置“提升区域经济效应”不合理，旧住房修缮项目不存在经济效益。绩效目标表的整体填报质量还需要进一步优化，究其原因，是项目单位的目标填报流程和技能还需要优化。</w:t>
      </w:r>
    </w:p>
    <w:p>
      <w:pPr>
        <w:keepNext w:val="0"/>
        <w:keepLines w:val="0"/>
        <w:pageBreakBefore w:val="0"/>
        <w:widowControl w:val="0"/>
        <w:kinsoku/>
        <w:wordWrap/>
        <w:overflowPunct/>
        <w:topLinePunct w:val="0"/>
        <w:autoSpaceDE/>
        <w:autoSpaceDN/>
        <w:bidi w:val="0"/>
        <w:spacing w:line="500" w:lineRule="atLeast"/>
        <w:ind w:firstLine="643"/>
        <w:contextualSpacing w:val="0"/>
        <w:textAlignment w:val="auto"/>
        <w:outlineLvl w:val="9"/>
        <w:rPr>
          <w:rFonts w:ascii="Calibri" w:hAnsi="Calibri" w:cs="Times New Roman"/>
          <w:b/>
          <w:bCs/>
          <w:kern w:val="1"/>
          <w:sz w:val="32"/>
          <w:szCs w:val="32"/>
        </w:rPr>
      </w:pPr>
      <w:bookmarkStart w:id="9" w:name="_Toc51284848"/>
      <w:bookmarkStart w:id="10" w:name="_Toc47894313"/>
      <w:r>
        <w:rPr>
          <w:rFonts w:ascii="Calibri" w:hAnsi="Calibri" w:cs="Times New Roman"/>
          <w:b/>
          <w:bCs/>
          <w:kern w:val="1"/>
          <w:sz w:val="32"/>
          <w:szCs w:val="32"/>
        </w:rPr>
        <w:t>（</w:t>
      </w:r>
      <w:r>
        <w:rPr>
          <w:rFonts w:hint="eastAsia" w:ascii="Calibri" w:hAnsi="Calibri" w:cs="Times New Roman"/>
          <w:b/>
          <w:bCs/>
          <w:kern w:val="1"/>
          <w:sz w:val="32"/>
          <w:szCs w:val="32"/>
        </w:rPr>
        <w:t>三</w:t>
      </w:r>
      <w:r>
        <w:rPr>
          <w:rFonts w:ascii="Calibri" w:hAnsi="Calibri" w:cs="Times New Roman"/>
          <w:b/>
          <w:bCs/>
          <w:kern w:val="1"/>
          <w:sz w:val="32"/>
          <w:szCs w:val="32"/>
        </w:rPr>
        <w:t>）建议和改进举措</w:t>
      </w:r>
      <w:bookmarkEnd w:id="9"/>
      <w:bookmarkEnd w:id="10"/>
    </w:p>
    <w:p>
      <w:pPr>
        <w:ind w:firstLine="560"/>
        <w:rPr>
          <w:rFonts w:hint="default" w:hAnsi="黑体" w:eastAsia="仿宋_GB2312" w:cs="Times New Roman"/>
          <w:sz w:val="32"/>
          <w:szCs w:val="32"/>
          <w:lang w:val="en-US" w:eastAsia="zh-CN"/>
        </w:rPr>
      </w:pPr>
      <w:r>
        <w:rPr>
          <w:rFonts w:hint="eastAsia" w:hAnsi="黑体" w:cs="Times New Roman"/>
          <w:b/>
          <w:bCs/>
          <w:sz w:val="32"/>
          <w:szCs w:val="32"/>
        </w:rPr>
        <w:t>1.</w:t>
      </w:r>
      <w:r>
        <w:rPr>
          <w:rFonts w:hint="eastAsia" w:hAnsi="黑体" w:cs="Times New Roman"/>
          <w:b/>
          <w:bCs/>
          <w:sz w:val="32"/>
          <w:szCs w:val="32"/>
          <w:lang w:val="en-US" w:eastAsia="zh-CN"/>
        </w:rPr>
        <w:t>进一步明确招标阶段需求，提高造价合理性</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项目造价合理性的控制，需从源头寻找答案</w:t>
      </w:r>
      <w:r>
        <w:rPr>
          <w:rFonts w:hint="eastAsia" w:hAnsi="黑体" w:cs="Times New Roman"/>
          <w:sz w:val="32"/>
          <w:szCs w:val="32"/>
        </w:rPr>
        <w:t>。</w:t>
      </w:r>
      <w:r>
        <w:rPr>
          <w:rFonts w:hint="eastAsia" w:hAnsi="黑体" w:cs="Times New Roman"/>
          <w:sz w:val="32"/>
          <w:szCs w:val="32"/>
          <w:lang w:val="en-US" w:eastAsia="zh-CN"/>
        </w:rPr>
        <w:t>纵观各子项目的招标文件，项目在方案设计和施工招标阶段，均未对常见的建筑主材提出明确的规格和参数要求，以至于出现同批项目中同类材料造价差异较大的情况。建议项目单位在今后实施同类项目时，在编制招标需求时，对诸如腻子、底漆、面漆的性能参数、最低单价，对室外晾晒架的材料、管径、长度高度等关键参数，对空调架的钢材型号、厚度、性能参数等，应作出更明确清晰的要求，提高造价合理性。</w:t>
      </w:r>
    </w:p>
    <w:p>
      <w:pPr>
        <w:ind w:firstLine="560"/>
        <w:rPr>
          <w:rFonts w:hint="default" w:hAnsi="黑体" w:eastAsia="仿宋_GB2312" w:cs="Times New Roman"/>
          <w:sz w:val="32"/>
          <w:szCs w:val="32"/>
          <w:lang w:val="en-US" w:eastAsia="zh-CN"/>
        </w:rPr>
      </w:pPr>
      <w:r>
        <w:rPr>
          <w:rFonts w:hint="eastAsia" w:cs="仿宋_GB2312"/>
          <w:b w:val="0"/>
          <w:bCs w:val="0"/>
          <w:kern w:val="1"/>
          <w:sz w:val="32"/>
          <w:szCs w:val="32"/>
          <w:lang w:val="en-US" w:eastAsia="zh-CN"/>
        </w:rPr>
        <w:t>在项目二类费用计价方面，建议项目单位加强合同价的审核，对确有不合理的部分，在审价阶段予以纠正，加强项目成本控制。</w:t>
      </w:r>
    </w:p>
    <w:p>
      <w:pPr>
        <w:ind w:firstLine="560"/>
        <w:rPr>
          <w:rFonts w:hint="default" w:hAnsi="黑体" w:eastAsia="仿宋_GB2312" w:cs="Times New Roman"/>
          <w:sz w:val="32"/>
          <w:szCs w:val="32"/>
          <w:lang w:val="en-US" w:eastAsia="zh-CN"/>
        </w:rPr>
      </w:pPr>
      <w:r>
        <w:rPr>
          <w:rFonts w:hint="eastAsia" w:hAnsi="黑体" w:cs="Times New Roman"/>
          <w:b/>
          <w:bCs/>
          <w:sz w:val="32"/>
          <w:szCs w:val="32"/>
        </w:rPr>
        <w:t>2.</w:t>
      </w:r>
      <w:r>
        <w:rPr>
          <w:rFonts w:hint="eastAsia" w:hAnsi="黑体" w:cs="Times New Roman"/>
          <w:b/>
          <w:bCs/>
          <w:sz w:val="32"/>
          <w:szCs w:val="32"/>
          <w:lang w:val="en-US" w:eastAsia="zh-CN"/>
        </w:rPr>
        <w:t>完善建后管护机制，督促施工单位落实维修责任</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根据项目现有管护机制，</w:t>
      </w:r>
      <w:r>
        <w:rPr>
          <w:rFonts w:hint="eastAsia"/>
          <w:sz w:val="32"/>
          <w:szCs w:val="32"/>
          <w:lang w:val="en-US" w:eastAsia="zh-CN"/>
        </w:rPr>
        <w:t>项目完成改造的2年内，各项设施设备的管护工作由施工单位负责，包括屋面和外立面、雨污管道、非机动车棚、户外晾晒架等设施的维护</w:t>
      </w:r>
      <w:r>
        <w:rPr>
          <w:rFonts w:hint="eastAsia" w:hAnsi="黑体" w:cs="Times New Roman"/>
          <w:sz w:val="32"/>
          <w:szCs w:val="32"/>
        </w:rPr>
        <w:t>。</w:t>
      </w:r>
      <w:r>
        <w:rPr>
          <w:rFonts w:hint="eastAsia" w:hAnsi="黑体" w:cs="Times New Roman"/>
          <w:sz w:val="32"/>
          <w:szCs w:val="32"/>
          <w:lang w:val="en-US" w:eastAsia="zh-CN"/>
        </w:rPr>
        <w:t>在合同中，有明确约定维修时效，但对维修不及时等情况的违约责任，未作出明确规定，不利于约束施工方履行建后管护责任，建议项目单位在后续项目的合同签订阶段进一步明确管护违约责任，并在现阶段督促施工单位更有效落实居民的报修反馈。</w:t>
      </w:r>
    </w:p>
    <w:p>
      <w:pPr>
        <w:ind w:firstLine="560"/>
        <w:rPr>
          <w:rFonts w:hint="default" w:hAnsi="黑体" w:cs="Times New Roman"/>
          <w:sz w:val="32"/>
          <w:szCs w:val="32"/>
          <w:lang w:val="en-US" w:eastAsia="zh-CN"/>
        </w:rPr>
      </w:pPr>
      <w:r>
        <w:rPr>
          <w:rFonts w:hint="eastAsia" w:hAnsi="黑体" w:cs="Times New Roman"/>
          <w:sz w:val="32"/>
          <w:szCs w:val="32"/>
          <w:lang w:val="en-US" w:eastAsia="zh-CN"/>
        </w:rPr>
        <w:t>针对居民反映的绿化提升效果不明显问题，建议优化后续项目绿化相关的设计方案，针对早已成熟的老旧小区，谨慎实施提升性绿化改造，建议以补植、修剪等基础性改造为主，同时提升对养护工作的重视，在养护机制方面，明确养护责任主体（建议形成物业、居委、业委会、志愿者共管的模式），并以原先的提升性改造资金改为设立专项养护基金等形式，解决养护资金匮乏的问题，提升绿化养护的长期效益。</w:t>
      </w:r>
    </w:p>
    <w:p>
      <w:pPr>
        <w:ind w:firstLine="560"/>
        <w:rPr>
          <w:rFonts w:hint="default" w:hAnsi="黑体" w:eastAsia="仿宋_GB2312" w:cs="Times New Roman"/>
          <w:b/>
          <w:bCs/>
          <w:sz w:val="32"/>
          <w:szCs w:val="32"/>
          <w:lang w:val="en-US" w:eastAsia="zh-CN"/>
        </w:rPr>
      </w:pPr>
      <w:r>
        <w:rPr>
          <w:rFonts w:hint="eastAsia" w:hAnsi="黑体" w:cs="Times New Roman"/>
          <w:b/>
          <w:bCs/>
          <w:sz w:val="32"/>
          <w:szCs w:val="32"/>
        </w:rPr>
        <w:t>3.</w:t>
      </w:r>
      <w:r>
        <w:rPr>
          <w:rFonts w:hint="eastAsia" w:hAnsi="黑体" w:cs="Times New Roman"/>
          <w:b/>
          <w:bCs/>
          <w:sz w:val="32"/>
          <w:szCs w:val="32"/>
          <w:lang w:val="en-US" w:eastAsia="zh-CN"/>
        </w:rPr>
        <w:t>加强事前调研和过程公开，提升施策透明度</w:t>
      </w:r>
    </w:p>
    <w:p>
      <w:pPr>
        <w:ind w:firstLine="560"/>
        <w:rPr>
          <w:rFonts w:hint="eastAsia" w:hAnsi="黑体" w:cs="Times New Roman"/>
          <w:sz w:val="32"/>
          <w:szCs w:val="32"/>
          <w:lang w:val="en-US" w:eastAsia="zh-CN"/>
        </w:rPr>
      </w:pPr>
      <w:r>
        <w:rPr>
          <w:rFonts w:hint="eastAsia" w:hAnsi="黑体" w:cs="Times New Roman"/>
          <w:sz w:val="32"/>
          <w:szCs w:val="32"/>
        </w:rPr>
        <w:t>旧房改造是涉及多方利益的重大民生问题，</w:t>
      </w:r>
      <w:r>
        <w:rPr>
          <w:rFonts w:hint="eastAsia" w:hAnsi="黑体" w:cs="Times New Roman"/>
          <w:sz w:val="32"/>
          <w:szCs w:val="32"/>
          <w:lang w:val="en-US" w:eastAsia="zh-CN"/>
        </w:rPr>
        <w:t>必须</w:t>
      </w:r>
      <w:r>
        <w:rPr>
          <w:rFonts w:hint="eastAsia" w:hAnsi="黑体" w:cs="Times New Roman"/>
          <w:sz w:val="32"/>
          <w:szCs w:val="32"/>
        </w:rPr>
        <w:t>坚持行政公开的原则，即涉及改造的每个环节的信息都要做到：以公开为常态，以不公开为例外。</w:t>
      </w:r>
      <w:r>
        <w:rPr>
          <w:rFonts w:hint="eastAsia" w:hAnsi="黑体" w:cs="Times New Roman"/>
          <w:sz w:val="32"/>
          <w:szCs w:val="32"/>
          <w:lang w:val="en-US" w:eastAsia="zh-CN"/>
        </w:rPr>
        <w:t>这是保障项目公平性和赢得公众广泛支持的先决条件，因而项目事前调研和决策阶段的信息公开就显得尤为重要。</w:t>
      </w:r>
    </w:p>
    <w:p>
      <w:pPr>
        <w:ind w:firstLine="560"/>
        <w:rPr>
          <w:rFonts w:hint="default" w:hAnsi="黑体" w:cs="Times New Roman"/>
          <w:sz w:val="32"/>
          <w:szCs w:val="32"/>
          <w:lang w:val="en-US" w:eastAsia="zh-CN"/>
        </w:rPr>
      </w:pPr>
      <w:r>
        <w:rPr>
          <w:rFonts w:hint="eastAsia" w:hAnsi="黑体" w:cs="Times New Roman"/>
          <w:sz w:val="32"/>
          <w:szCs w:val="32"/>
          <w:lang w:val="en-US" w:eastAsia="zh-CN"/>
        </w:rPr>
        <w:t>因此，在事前调研方面，评价组建议加大民生类项目事前调研工作的充分性，必要时，除可行性研究报告外，可委托专业的第三方调研机构，进行更广泛深入的群众调研，采用诸如以居民代表形式参与的政府决策咨询会、研讨会、招待会、资政会等，适合全民参与的网络民意调查、设立小区改造意见箱等形式，充分了解公众意愿，并出具专业的民意征询报告，为决策提供基层民意数据支撑。</w:t>
      </w:r>
    </w:p>
    <w:p>
      <w:pPr>
        <w:ind w:firstLine="560"/>
        <w:rPr>
          <w:rFonts w:hint="default" w:hAnsi="黑体" w:cs="Times New Roman"/>
          <w:sz w:val="32"/>
          <w:szCs w:val="32"/>
          <w:lang w:val="en-US" w:eastAsia="zh-CN"/>
        </w:rPr>
      </w:pPr>
      <w:r>
        <w:rPr>
          <w:rFonts w:hint="eastAsia" w:hAnsi="黑体" w:cs="Times New Roman"/>
          <w:sz w:val="32"/>
          <w:szCs w:val="32"/>
          <w:lang w:val="en-US" w:eastAsia="zh-CN"/>
        </w:rPr>
        <w:t>在信息公开方面，基于民生类项目特点，评价组建议进一步加强过程类信息的公开力度，以美丽家园改造项目为例，应加强对群众关心的“</w:t>
      </w:r>
      <w:r>
        <w:rPr>
          <w:rFonts w:hint="eastAsia" w:ascii="仿宋_GB2312" w:hAnsi="仿宋_GB2312" w:cs="仿宋_GB2312"/>
          <w:kern w:val="1"/>
          <w:sz w:val="32"/>
          <w:szCs w:val="22"/>
          <w:lang w:val="en-US" w:eastAsia="zh-CN"/>
        </w:rPr>
        <w:t>改造对象</w:t>
      </w:r>
      <w:r>
        <w:rPr>
          <w:rFonts w:hint="eastAsia" w:cs="仿宋_GB2312"/>
          <w:kern w:val="1"/>
          <w:sz w:val="32"/>
          <w:szCs w:val="22"/>
          <w:lang w:val="en-US" w:eastAsia="zh-CN"/>
        </w:rPr>
        <w:t>选取的依据、标准、过程</w:t>
      </w:r>
      <w:r>
        <w:rPr>
          <w:rFonts w:hint="eastAsia" w:hAnsi="黑体" w:cs="Times New Roman"/>
          <w:sz w:val="32"/>
          <w:szCs w:val="32"/>
          <w:lang w:val="en-US" w:eastAsia="zh-CN"/>
        </w:rPr>
        <w:t>”等内容的公开。在执行层面，应积极拓宽公众知晓信息的渠道，除政府门户网站和社区公告栏等传统渠道外，可加强对政府公众号、视频号等新媒体工具的应用，对决策过程进行更清晰的公开和说明，例如集中说明前期调研的主要结论、本次选择优先改造小区的标准和理由、改造内容的确定是基于何种考量、为何有些需求在现阶段无法满足等，进而提高施策透明度，也能更大程度获取群众最广泛的理解和支持。</w:t>
      </w:r>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4.加强合同签订监管</w:t>
      </w:r>
      <w:r>
        <w:rPr>
          <w:rFonts w:hint="eastAsia" w:hAnsi="黑体" w:cs="Times New Roman"/>
          <w:b/>
          <w:bCs/>
          <w:sz w:val="32"/>
          <w:szCs w:val="32"/>
          <w:lang w:eastAsia="zh-CN"/>
        </w:rPr>
        <w:t>，</w:t>
      </w:r>
      <w:r>
        <w:rPr>
          <w:rFonts w:hint="eastAsia" w:hAnsi="黑体" w:cs="Times New Roman"/>
          <w:b/>
          <w:bCs/>
          <w:sz w:val="32"/>
          <w:szCs w:val="32"/>
          <w:lang w:val="en-US" w:eastAsia="zh-CN"/>
        </w:rPr>
        <w:t>提升合同内容规范性</w:t>
      </w:r>
    </w:p>
    <w:p>
      <w:pPr>
        <w:ind w:firstLine="560"/>
        <w:rPr>
          <w:rFonts w:hint="eastAsia" w:hAnsi="黑体" w:cs="Times New Roman"/>
          <w:b/>
          <w:bCs/>
          <w:sz w:val="32"/>
          <w:szCs w:val="32"/>
          <w:lang w:val="en-US" w:eastAsia="zh-CN"/>
        </w:rPr>
      </w:pPr>
      <w:r>
        <w:rPr>
          <w:rFonts w:hint="eastAsia" w:hAnsi="黑体" w:cs="Times New Roman"/>
          <w:sz w:val="32"/>
          <w:szCs w:val="32"/>
        </w:rPr>
        <w:t>建议项目单位加强</w:t>
      </w:r>
      <w:r>
        <w:rPr>
          <w:rFonts w:hint="eastAsia" w:hAnsi="黑体" w:cs="Times New Roman"/>
          <w:sz w:val="32"/>
          <w:szCs w:val="32"/>
          <w:lang w:val="en-US" w:eastAsia="zh-CN"/>
        </w:rPr>
        <w:t>对养老机构与保险公司</w:t>
      </w:r>
      <w:r>
        <w:rPr>
          <w:rFonts w:hint="eastAsia" w:hAnsi="黑体" w:cs="Times New Roman"/>
          <w:sz w:val="32"/>
          <w:szCs w:val="32"/>
        </w:rPr>
        <w:t>合同</w:t>
      </w:r>
      <w:r>
        <w:rPr>
          <w:rFonts w:hint="eastAsia" w:hAnsi="黑体" w:cs="Times New Roman"/>
          <w:sz w:val="32"/>
          <w:szCs w:val="32"/>
          <w:lang w:val="en-US" w:eastAsia="zh-CN"/>
        </w:rPr>
        <w:t>签订的合规性监管，并加强</w:t>
      </w:r>
      <w:r>
        <w:rPr>
          <w:rFonts w:hint="eastAsia" w:hAnsi="黑体" w:cs="Times New Roman"/>
          <w:sz w:val="32"/>
          <w:szCs w:val="32"/>
        </w:rPr>
        <w:t>《中华人民共和国民法典》（合同编）</w:t>
      </w:r>
      <w:r>
        <w:rPr>
          <w:rFonts w:hint="eastAsia" w:hAnsi="黑体" w:cs="Times New Roman"/>
          <w:sz w:val="32"/>
          <w:szCs w:val="32"/>
          <w:lang w:val="en-US" w:eastAsia="zh-CN"/>
        </w:rPr>
        <w:t>内容的学习</w:t>
      </w:r>
      <w:r>
        <w:rPr>
          <w:rFonts w:hint="eastAsia" w:hAnsi="黑体" w:cs="Times New Roman"/>
          <w:sz w:val="32"/>
          <w:szCs w:val="32"/>
        </w:rPr>
        <w:t>。在后续签订</w:t>
      </w:r>
      <w:r>
        <w:rPr>
          <w:rFonts w:hint="eastAsia" w:hAnsi="黑体" w:cs="Times New Roman"/>
          <w:sz w:val="32"/>
          <w:szCs w:val="32"/>
          <w:lang w:val="en-US" w:eastAsia="zh-CN"/>
        </w:rPr>
        <w:t>相关</w:t>
      </w:r>
      <w:r>
        <w:rPr>
          <w:rFonts w:hint="eastAsia" w:hAnsi="黑体" w:cs="Times New Roman"/>
          <w:sz w:val="32"/>
          <w:szCs w:val="32"/>
        </w:rPr>
        <w:t>合同时，</w:t>
      </w:r>
      <w:r>
        <w:rPr>
          <w:rFonts w:hint="eastAsia" w:hAnsi="黑体" w:cs="Times New Roman"/>
          <w:sz w:val="32"/>
          <w:szCs w:val="32"/>
          <w:lang w:val="en-US" w:eastAsia="zh-CN"/>
        </w:rPr>
        <w:t>重视</w:t>
      </w:r>
      <w:r>
        <w:rPr>
          <w:rFonts w:hint="eastAsia" w:hAnsi="黑体" w:cs="Times New Roman"/>
          <w:sz w:val="32"/>
          <w:szCs w:val="32"/>
        </w:rPr>
        <w:t>完善</w:t>
      </w:r>
      <w:r>
        <w:rPr>
          <w:rFonts w:hint="eastAsia" w:hAnsi="黑体" w:cs="Times New Roman"/>
          <w:sz w:val="32"/>
          <w:szCs w:val="32"/>
          <w:lang w:val="en-US" w:eastAsia="zh-CN"/>
        </w:rPr>
        <w:t>签订日期等必需的</w:t>
      </w:r>
      <w:r>
        <w:rPr>
          <w:rFonts w:hint="eastAsia" w:hAnsi="黑体" w:cs="Times New Roman"/>
          <w:sz w:val="32"/>
          <w:szCs w:val="32"/>
        </w:rPr>
        <w:t>合同要素，明确双方权责，减少合同签订不规范带来的法律隐患。</w:t>
      </w:r>
    </w:p>
    <w:p>
      <w:pPr>
        <w:ind w:firstLine="560"/>
        <w:rPr>
          <w:rFonts w:hint="default" w:hAnsi="黑体" w:cs="Times New Roman"/>
          <w:b/>
          <w:bCs/>
          <w:sz w:val="32"/>
          <w:szCs w:val="32"/>
          <w:lang w:val="en-US" w:eastAsia="zh-CN"/>
        </w:rPr>
      </w:pPr>
      <w:r>
        <w:rPr>
          <w:rFonts w:hint="eastAsia" w:hAnsi="黑体" w:cs="Times New Roman"/>
          <w:b/>
          <w:bCs/>
          <w:sz w:val="32"/>
          <w:szCs w:val="32"/>
          <w:lang w:val="en-US" w:eastAsia="zh-CN"/>
        </w:rPr>
        <w:t>5.明确内部分工，提高填报质量</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hint="eastAsia" w:hAnsi="黑体" w:cs="Times New Roman"/>
          <w:sz w:val="32"/>
          <w:szCs w:val="32"/>
          <w:lang w:val="en-US" w:eastAsia="zh-CN"/>
        </w:rPr>
      </w:pPr>
      <w:r>
        <w:rPr>
          <w:rFonts w:hint="eastAsia" w:hAnsi="黑体" w:cs="Times New Roman"/>
          <w:sz w:val="32"/>
          <w:szCs w:val="32"/>
        </w:rPr>
        <w:t>建议项目</w:t>
      </w:r>
      <w:r>
        <w:rPr>
          <w:rFonts w:hint="eastAsia" w:hAnsi="黑体" w:cs="Times New Roman"/>
          <w:sz w:val="32"/>
          <w:szCs w:val="32"/>
          <w:lang w:val="en-US" w:eastAsia="zh-CN"/>
        </w:rPr>
        <w:t>单位加强绩效目标填报规范性文件的学习，同时在年初填报目标时，加强业务科室和财务科室的配合，由业务科室提供明确的量化目标数据，由财务科室参照填报规范，转化成合理明确的绩效指标，提高绩效目标填报质量。</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hint="eastAsia" w:hAnsi="黑体" w:cs="Times New Roman"/>
          <w:sz w:val="32"/>
          <w:szCs w:val="32"/>
          <w:lang w:val="en-US" w:eastAsia="zh-CN"/>
        </w:rPr>
      </w:pPr>
      <w:r>
        <w:rPr>
          <w:rFonts w:ascii="Calibri" w:hAnsi="Calibri" w:cs="Times New Roman"/>
          <w:b/>
          <w:bCs/>
          <w:kern w:val="1"/>
          <w:sz w:val="32"/>
          <w:szCs w:val="32"/>
        </w:rPr>
        <w:t>（</w:t>
      </w:r>
      <w:r>
        <w:rPr>
          <w:rFonts w:hint="eastAsia" w:ascii="Calibri" w:hAnsi="Calibri" w:cs="Times New Roman"/>
          <w:b/>
          <w:bCs/>
          <w:kern w:val="1"/>
          <w:sz w:val="32"/>
          <w:szCs w:val="32"/>
          <w:lang w:val="en-US" w:eastAsia="zh-CN"/>
        </w:rPr>
        <w:t>四</w:t>
      </w:r>
      <w:r>
        <w:rPr>
          <w:rFonts w:ascii="Calibri" w:hAnsi="Calibri" w:cs="Times New Roman"/>
          <w:b/>
          <w:bCs/>
          <w:kern w:val="1"/>
          <w:sz w:val="32"/>
          <w:szCs w:val="32"/>
        </w:rPr>
        <w:t>）</w:t>
      </w:r>
      <w:r>
        <w:rPr>
          <w:rFonts w:hint="eastAsia" w:ascii="Calibri" w:hAnsi="Calibri" w:cs="Times New Roman"/>
          <w:b/>
          <w:bCs/>
          <w:kern w:val="1"/>
          <w:sz w:val="32"/>
          <w:szCs w:val="32"/>
          <w:lang w:val="en-US" w:eastAsia="zh-CN"/>
        </w:rPr>
        <w:t>其他</w:t>
      </w:r>
      <w:r>
        <w:rPr>
          <w:rFonts w:ascii="Calibri" w:hAnsi="Calibri" w:cs="Times New Roman"/>
          <w:b/>
          <w:bCs/>
          <w:kern w:val="1"/>
          <w:sz w:val="32"/>
          <w:szCs w:val="32"/>
        </w:rPr>
        <w:t>建议</w:t>
      </w:r>
    </w:p>
    <w:p>
      <w:pPr>
        <w:ind w:firstLine="560"/>
        <w:rPr>
          <w:rFonts w:hint="default" w:hAnsi="黑体" w:cs="Times New Roman"/>
          <w:sz w:val="32"/>
          <w:szCs w:val="32"/>
          <w:lang w:val="en-US"/>
        </w:rPr>
      </w:pPr>
      <w:r>
        <w:rPr>
          <w:rFonts w:hint="eastAsia" w:hAnsi="黑体" w:cs="Times New Roman"/>
          <w:b/>
          <w:bCs/>
          <w:sz w:val="32"/>
          <w:szCs w:val="32"/>
          <w:lang w:val="en-US" w:eastAsia="zh-CN"/>
        </w:rPr>
        <w:t>提升审价审计工作效率</w:t>
      </w:r>
      <w:r>
        <w:rPr>
          <w:rFonts w:hint="eastAsia" w:hAnsi="黑体" w:cs="Times New Roman"/>
          <w:b/>
          <w:bCs/>
          <w:sz w:val="32"/>
          <w:szCs w:val="32"/>
          <w:lang w:eastAsia="zh-CN"/>
        </w:rPr>
        <w:t>，</w:t>
      </w:r>
      <w:r>
        <w:rPr>
          <w:rFonts w:hint="eastAsia" w:hAnsi="黑体" w:cs="Times New Roman"/>
          <w:b/>
          <w:bCs/>
          <w:sz w:val="32"/>
          <w:szCs w:val="32"/>
          <w:lang w:val="en-US" w:eastAsia="zh-CN"/>
        </w:rPr>
        <w:t>探索以奖代补可行性</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本项目各项工程全部完成竣工验收的时间是2021年9月22日，但截至本报告定稿，各子项目刚刚完成审价工作，整个审价工作持续时间接近20个月，后续还将开展审计工作，两项工作合计所花费的时间过于漫长，效率低下。而由于本项目的市级补贴资金将在完成审价审计工作的基础上与区完成清算，故审价审计工作的低效也直接延缓了市级补贴资金的到位，客观上降低了财政资金的运转效率。</w:t>
      </w:r>
    </w:p>
    <w:p>
      <w:pPr>
        <w:ind w:firstLine="560"/>
        <w:rPr>
          <w:rFonts w:hint="default" w:hAnsi="黑体" w:cs="Times New Roman"/>
          <w:sz w:val="32"/>
          <w:szCs w:val="32"/>
          <w:lang w:val="en-US" w:eastAsia="zh-CN"/>
        </w:rPr>
      </w:pPr>
      <w:r>
        <w:rPr>
          <w:rFonts w:hint="eastAsia" w:hAnsi="黑体" w:cs="Times New Roman"/>
          <w:sz w:val="32"/>
          <w:szCs w:val="32"/>
          <w:lang w:val="en-US" w:eastAsia="zh-CN"/>
        </w:rPr>
        <w:t>究其原因，一方面是由于本项目财权与事权的不匹配，其使得基层政府推进项目清算的积极性不高，客观上影响了执行速度；另一方面，主管部门对基层政府的项目推进时间节点和效率未有明确约束。</w:t>
      </w:r>
    </w:p>
    <w:p>
      <w:pPr>
        <w:keepNext w:val="0"/>
        <w:keepLines w:val="0"/>
        <w:pageBreakBefore w:val="0"/>
        <w:widowControl w:val="0"/>
        <w:kinsoku/>
        <w:wordWrap/>
        <w:overflowPunct/>
        <w:topLinePunct w:val="0"/>
        <w:autoSpaceDE/>
        <w:autoSpaceDN/>
        <w:bidi w:val="0"/>
        <w:spacing w:line="500" w:lineRule="atLeast"/>
        <w:ind w:firstLine="640"/>
        <w:contextualSpacing w:val="0"/>
        <w:textAlignment w:val="auto"/>
        <w:outlineLvl w:val="9"/>
        <w:rPr>
          <w:rFonts w:hint="eastAsia" w:hAnsi="黑体" w:cs="Times New Roman"/>
          <w:sz w:val="32"/>
          <w:szCs w:val="32"/>
          <w:lang w:val="en-US" w:eastAsia="zh-CN"/>
        </w:rPr>
      </w:pPr>
      <w:r>
        <w:rPr>
          <w:rFonts w:hint="eastAsia" w:hAnsi="黑体" w:cs="Times New Roman"/>
          <w:sz w:val="32"/>
          <w:szCs w:val="32"/>
          <w:lang w:val="en-US" w:eastAsia="zh-CN"/>
        </w:rPr>
        <w:t>基于以上事实，建议区级有关部门探索以奖代补模式的可行性，将美丽家园改造项目的资金分担模式由区级直接承担，变为乡镇先行承担，完成审价审计工作后，再以奖补的形式完成区镇结算，以此减轻区级财政压力，提高基层政府的工作积极性。另一方面，在制定相关奖补政策时，可以一并增加对项目竣工验收、审价审计工作的时效性要求，建议约束审价审计工作在项目完成竣工验收后最多不超过1年时间内完成，提高项目的整体执行效率。</w:t>
      </w:r>
    </w:p>
    <w:p>
      <w:pPr>
        <w:ind w:firstLine="0" w:firstLineChars="0"/>
        <w:contextualSpacing w:val="0"/>
        <w:jc w:val="left"/>
        <w:rPr>
          <w:rFonts w:hint="eastAsia" w:ascii="黑体" w:hAnsi="黑体" w:eastAsia="黑体" w:cs="黑体"/>
          <w:sz w:val="32"/>
          <w:szCs w:val="32"/>
          <w:lang w:eastAsia="zh-CN"/>
        </w:rPr>
      </w:pPr>
    </w:p>
    <w:p>
      <w:pPr>
        <w:ind w:firstLine="0" w:firstLineChars="0"/>
        <w:contextualSpacing w:val="0"/>
        <w:jc w:val="left"/>
        <w:rPr>
          <w:rFonts w:hint="eastAsia" w:ascii="黑体" w:hAnsi="黑体" w:eastAsia="黑体" w:cs="黑体"/>
          <w:sz w:val="32"/>
          <w:szCs w:val="32"/>
          <w:lang w:eastAsia="zh-CN"/>
        </w:rPr>
        <w:sectPr>
          <w:footerReference r:id="rId13" w:type="default"/>
          <w:pgSz w:w="11906" w:h="16838"/>
          <w:pgMar w:top="1440" w:right="1797" w:bottom="1440" w:left="1797" w:header="851" w:footer="567" w:gutter="0"/>
          <w:pgNumType w:fmt="decimal" w:start="1"/>
          <w:cols w:space="720" w:num="1"/>
          <w:docGrid w:linePitch="381" w:charSpace="0"/>
        </w:sectPr>
      </w:pPr>
    </w:p>
    <w:p>
      <w:pPr>
        <w:ind w:firstLine="0" w:firstLineChars="0"/>
        <w:contextualSpacing w:val="0"/>
        <w:jc w:val="center"/>
        <w:rPr>
          <w:rFonts w:hint="eastAsia" w:ascii="黑体" w:hAnsi="黑体" w:eastAsia="黑体" w:cs="黑体"/>
          <w:sz w:val="32"/>
          <w:szCs w:val="32"/>
          <w:lang w:eastAsia="zh-CN"/>
        </w:rPr>
      </w:pPr>
      <w:r>
        <w:rPr>
          <w:rFonts w:hint="eastAsia" w:ascii="黑体" w:hAnsi="黑体" w:eastAsia="黑体" w:cs="黑体"/>
          <w:sz w:val="32"/>
          <w:szCs w:val="32"/>
          <w:lang w:eastAsia="zh-CN"/>
        </w:rPr>
        <w:t>2020年美丽家园城桥镇地区项目</w:t>
      </w:r>
      <w:r>
        <w:rPr>
          <w:rFonts w:hint="eastAsia" w:ascii="黑体" w:hAnsi="黑体" w:eastAsia="黑体" w:cs="黑体"/>
          <w:sz w:val="32"/>
          <w:szCs w:val="32"/>
        </w:rPr>
        <w:t>绩效评价</w:t>
      </w:r>
      <w:r>
        <w:rPr>
          <w:rFonts w:hint="eastAsia" w:ascii="黑体" w:hAnsi="黑体" w:eastAsia="黑体" w:cs="黑体"/>
          <w:sz w:val="32"/>
          <w:szCs w:val="32"/>
          <w:lang w:val="en-US" w:eastAsia="zh-CN"/>
        </w:rPr>
        <w:t>报告</w:t>
      </w:r>
    </w:p>
    <w:p>
      <w:pPr>
        <w:ind w:firstLine="560"/>
      </w:pPr>
      <w:r>
        <w:rPr>
          <w:rFonts w:hint="eastAsia" w:hAnsi="Times New Roman" w:cs="Times New Roman"/>
          <w:sz w:val="32"/>
          <w:szCs w:val="32"/>
        </w:rPr>
        <w:t>为贯彻落实上海市全面实施预算绩效管理的工作要求，加强崇明区财政支出管理，提高财政资金使用效益，根据《关于印发</w:t>
      </w:r>
      <w:r>
        <w:rPr>
          <w:rFonts w:hint="eastAsia"/>
          <w:sz w:val="32"/>
          <w:szCs w:val="32"/>
          <w:lang w:val="en-US" w:eastAsia="zh-CN"/>
        </w:rPr>
        <w:t>〈</w:t>
      </w:r>
      <w:r>
        <w:rPr>
          <w:rFonts w:hint="eastAsia" w:hAnsi="Times New Roman" w:cs="Times New Roman"/>
          <w:sz w:val="32"/>
          <w:szCs w:val="32"/>
        </w:rPr>
        <w:t>上海市财政项目支出预算绩效管理办法（试行）</w:t>
      </w:r>
      <w:r>
        <w:rPr>
          <w:rFonts w:hint="eastAsia"/>
          <w:sz w:val="32"/>
          <w:szCs w:val="32"/>
          <w:lang w:val="en-US" w:eastAsia="zh-CN"/>
        </w:rPr>
        <w:t>〉</w:t>
      </w:r>
      <w:r>
        <w:rPr>
          <w:rFonts w:hint="eastAsia" w:hAnsi="Times New Roman" w:cs="Times New Roman"/>
          <w:sz w:val="32"/>
          <w:szCs w:val="32"/>
        </w:rPr>
        <w:t>的通知》（沪财绩〔2020〕6号）、《中共上海市崇明区委 上海市崇明区人民政府关于我区全面实施预算绩效管理的实施意见》（崇委发〔2019〕21号）、《关于印发</w:t>
      </w:r>
      <w:r>
        <w:rPr>
          <w:rFonts w:hint="eastAsia"/>
          <w:sz w:val="32"/>
          <w:szCs w:val="32"/>
          <w:lang w:val="en-US" w:eastAsia="zh-CN"/>
        </w:rPr>
        <w:t>〈</w:t>
      </w:r>
      <w:r>
        <w:rPr>
          <w:rFonts w:hint="eastAsia" w:hAnsi="Times New Roman" w:cs="Times New Roman"/>
          <w:sz w:val="32"/>
          <w:szCs w:val="32"/>
        </w:rPr>
        <w:t>2023年崇明区预算绩效管理工作要点</w:t>
      </w:r>
      <w:r>
        <w:rPr>
          <w:rFonts w:hint="eastAsia"/>
          <w:sz w:val="32"/>
          <w:szCs w:val="32"/>
          <w:lang w:val="en-US" w:eastAsia="zh-CN"/>
        </w:rPr>
        <w:t>〉</w:t>
      </w:r>
      <w:r>
        <w:rPr>
          <w:rFonts w:hint="eastAsia" w:hAnsi="Times New Roman" w:cs="Times New Roman"/>
          <w:sz w:val="32"/>
          <w:szCs w:val="32"/>
        </w:rPr>
        <w:t>的通知》（沪崇财绩〔2023〕1号）等文件，上海首絮维施企业管理咨询有限公司</w:t>
      </w:r>
      <w:r>
        <w:rPr>
          <w:rFonts w:hint="eastAsia" w:hAnsi="Times New Roman" w:cs="Times New Roman"/>
          <w:sz w:val="32"/>
          <w:szCs w:val="32"/>
          <w:lang w:val="en-US" w:eastAsia="zh-CN"/>
        </w:rPr>
        <w:t>受</w:t>
      </w:r>
      <w:r>
        <w:rPr>
          <w:rFonts w:hint="eastAsia" w:hAnsi="Times New Roman" w:cs="Times New Roman"/>
          <w:sz w:val="32"/>
          <w:szCs w:val="32"/>
        </w:rPr>
        <w:t>崇明区财政局</w:t>
      </w:r>
      <w:r>
        <w:rPr>
          <w:rFonts w:hint="eastAsia" w:hAnsi="Times New Roman" w:cs="Times New Roman"/>
          <w:sz w:val="32"/>
          <w:szCs w:val="32"/>
          <w:lang w:val="en-US" w:eastAsia="zh-CN"/>
        </w:rPr>
        <w:t>的</w:t>
      </w:r>
      <w:r>
        <w:rPr>
          <w:rFonts w:hint="eastAsia" w:hAnsi="Times New Roman" w:cs="Times New Roman"/>
          <w:sz w:val="32"/>
          <w:szCs w:val="32"/>
        </w:rPr>
        <w:t>委托，</w:t>
      </w:r>
      <w:r>
        <w:rPr>
          <w:rFonts w:hint="eastAsia" w:hAnsi="Times New Roman" w:cs="Times New Roman"/>
          <w:sz w:val="32"/>
          <w:szCs w:val="32"/>
          <w:lang w:val="en-US" w:eastAsia="zh-CN"/>
        </w:rPr>
        <w:t>对</w:t>
      </w:r>
      <w:r>
        <w:rPr>
          <w:rFonts w:hint="eastAsia"/>
          <w:sz w:val="32"/>
          <w:szCs w:val="32"/>
        </w:rPr>
        <w:t>崇明区住房保障和房屋管理局</w:t>
      </w:r>
      <w:r>
        <w:rPr>
          <w:rFonts w:hint="eastAsia"/>
          <w:sz w:val="32"/>
          <w:szCs w:val="32"/>
          <w:lang w:val="en-US" w:eastAsia="zh-CN"/>
        </w:rPr>
        <w:t>的</w:t>
      </w:r>
      <w:r>
        <w:rPr>
          <w:rFonts w:hint="eastAsia" w:hAnsi="Times New Roman" w:cs="Times New Roman"/>
          <w:sz w:val="32"/>
          <w:szCs w:val="32"/>
        </w:rPr>
        <w:t>“</w:t>
      </w:r>
      <w:r>
        <w:rPr>
          <w:rFonts w:hint="eastAsia" w:hAnsi="Times New Roman" w:cs="Times New Roman"/>
          <w:sz w:val="32"/>
          <w:szCs w:val="32"/>
          <w:lang w:eastAsia="zh-CN"/>
        </w:rPr>
        <w:t>2020年美丽家园城桥镇地区项目</w:t>
      </w:r>
      <w:r>
        <w:rPr>
          <w:rFonts w:hint="eastAsia" w:hAnsi="Times New Roman" w:cs="Times New Roman"/>
          <w:sz w:val="32"/>
          <w:szCs w:val="32"/>
        </w:rPr>
        <w:t>”</w:t>
      </w:r>
      <w:r>
        <w:rPr>
          <w:rFonts w:hint="eastAsia" w:hAnsi="Times New Roman" w:cs="Times New Roman"/>
          <w:sz w:val="32"/>
          <w:szCs w:val="32"/>
          <w:lang w:val="en-US" w:eastAsia="zh-CN"/>
        </w:rPr>
        <w:t>进行</w:t>
      </w:r>
      <w:r>
        <w:rPr>
          <w:rFonts w:hint="eastAsia" w:hAnsi="Times New Roman" w:cs="Times New Roman"/>
          <w:sz w:val="32"/>
          <w:szCs w:val="32"/>
        </w:rPr>
        <w:t>绩效评价。评价组在取数、调研以及分析基础上，并按照专家评审后的绩效评价方案，围绕评价关注的重点，形成了本报告</w:t>
      </w:r>
      <w:r>
        <w:rPr>
          <w:rFonts w:hint="eastAsia"/>
          <w:sz w:val="32"/>
          <w:szCs w:val="32"/>
        </w:rPr>
        <w:t>。</w:t>
      </w:r>
    </w:p>
    <w:p>
      <w:pPr>
        <w:pStyle w:val="2"/>
        <w:ind w:firstLine="643" w:firstLineChars="200"/>
        <w:rPr>
          <w:rFonts w:hint="eastAsia" w:eastAsia="黑体"/>
          <w:lang w:eastAsia="zh-CN"/>
        </w:rPr>
      </w:pPr>
      <w:bookmarkStart w:id="11" w:name="_Toc14645"/>
      <w:bookmarkStart w:id="12" w:name="_Toc18217"/>
      <w:r>
        <w:rPr>
          <w:rFonts w:hint="eastAsia" w:ascii="黑体" w:hAnsi="黑体" w:eastAsia="黑体" w:cs="黑体"/>
          <w:sz w:val="32"/>
          <w:szCs w:val="32"/>
        </w:rPr>
        <w:t>一、项目</w:t>
      </w:r>
      <w:bookmarkEnd w:id="11"/>
      <w:r>
        <w:rPr>
          <w:rFonts w:hint="eastAsia" w:ascii="黑体" w:hAnsi="黑体" w:eastAsia="黑体" w:cs="黑体"/>
          <w:sz w:val="32"/>
          <w:szCs w:val="32"/>
          <w:lang w:val="en-US" w:eastAsia="zh-CN"/>
        </w:rPr>
        <w:t>基本情况</w:t>
      </w:r>
      <w:bookmarkEnd w:id="12"/>
    </w:p>
    <w:p>
      <w:pPr>
        <w:pStyle w:val="3"/>
        <w:rPr>
          <w:rFonts w:hint="default" w:eastAsia="方正楷体_GB2312"/>
          <w:lang w:val="en-US" w:eastAsia="zh-CN"/>
        </w:rPr>
      </w:pPr>
      <w:bookmarkStart w:id="13" w:name="_Toc19319"/>
      <w:bookmarkStart w:id="14" w:name="_Toc32066"/>
      <w:r>
        <w:rPr>
          <w:rFonts w:hint="eastAsia" w:ascii="方正楷体_GB2312" w:hAnsi="方正楷体_GB2312" w:eastAsia="方正楷体_GB2312" w:cs="方正楷体_GB2312"/>
          <w:sz w:val="32"/>
          <w:szCs w:val="32"/>
        </w:rPr>
        <w:t>（一）项目立项背景</w:t>
      </w:r>
      <w:r>
        <w:rPr>
          <w:rFonts w:hint="eastAsia" w:ascii="方正楷体_GB2312" w:hAnsi="方正楷体_GB2312" w:eastAsia="方正楷体_GB2312" w:cs="方正楷体_GB2312"/>
          <w:sz w:val="32"/>
          <w:szCs w:val="32"/>
          <w:lang w:eastAsia="zh-CN"/>
        </w:rPr>
        <w:t>、</w:t>
      </w:r>
      <w:r>
        <w:rPr>
          <w:rFonts w:hint="eastAsia" w:ascii="方正楷体_GB2312" w:hAnsi="方正楷体_GB2312" w:eastAsia="方正楷体_GB2312" w:cs="方正楷体_GB2312"/>
          <w:sz w:val="32"/>
          <w:szCs w:val="32"/>
        </w:rPr>
        <w:t>目的</w:t>
      </w:r>
      <w:bookmarkEnd w:id="13"/>
      <w:r>
        <w:rPr>
          <w:rFonts w:hint="eastAsia" w:ascii="方正楷体_GB2312" w:hAnsi="方正楷体_GB2312" w:eastAsia="方正楷体_GB2312" w:cs="方正楷体_GB2312"/>
          <w:sz w:val="32"/>
          <w:szCs w:val="32"/>
          <w:lang w:val="en-US" w:eastAsia="zh-CN"/>
        </w:rPr>
        <w:t>和依据</w:t>
      </w:r>
      <w:bookmarkEnd w:id="14"/>
    </w:p>
    <w:p>
      <w:pPr>
        <w:ind w:firstLine="562"/>
        <w:outlineLvl w:val="2"/>
        <w:rPr>
          <w:rFonts w:hint="eastAsia"/>
          <w:lang w:val="en-US" w:eastAsia="zh-CN"/>
        </w:rPr>
      </w:pPr>
      <w:bookmarkStart w:id="15" w:name="_Toc32631"/>
      <w:r>
        <w:rPr>
          <w:rFonts w:hint="eastAsia" w:hAnsi="Arial Unicode MS" w:cs="Arial Unicode MS"/>
          <w:b/>
          <w:sz w:val="32"/>
          <w:szCs w:val="32"/>
        </w:rPr>
        <w:t>1.立项背景</w:t>
      </w:r>
      <w:bookmarkEnd w:id="15"/>
    </w:p>
    <w:p>
      <w:pPr>
        <w:ind w:firstLine="560"/>
        <w:rPr>
          <w:rFonts w:hint="default" w:eastAsia="仿宋_GB2312"/>
          <w:sz w:val="32"/>
          <w:szCs w:val="32"/>
          <w:lang w:val="en-US" w:eastAsia="zh-CN"/>
        </w:rPr>
      </w:pPr>
      <w:r>
        <w:rPr>
          <w:rFonts w:hint="eastAsia" w:ascii="仿宋_GB2312" w:eastAsia="仿宋_GB2312"/>
          <w:sz w:val="32"/>
          <w:szCs w:val="32"/>
          <w:lang w:val="en-US" w:eastAsia="zh-CN"/>
        </w:rPr>
        <w:t>旧住房更新改造是重要的民生工程和民心工程，也是城市更新的重要组成部分，更是回应人民群众对美好环境与幸福生活的新期待、不断增强广大市民群众的获得感、幸福感和安全感的重要抓手。</w:t>
      </w:r>
    </w:p>
    <w:p>
      <w:pPr>
        <w:ind w:firstLine="560"/>
        <w:rPr>
          <w:rFonts w:hint="default" w:eastAsia="仿宋_GB2312"/>
          <w:sz w:val="32"/>
          <w:szCs w:val="32"/>
          <w:lang w:val="en-US" w:eastAsia="zh-CN"/>
        </w:rPr>
      </w:pPr>
      <w:r>
        <w:rPr>
          <w:rFonts w:hint="eastAsia" w:ascii="仿宋_GB2312" w:eastAsia="仿宋_GB2312"/>
          <w:sz w:val="32"/>
          <w:szCs w:val="32"/>
          <w:lang w:val="en-US" w:eastAsia="zh-CN"/>
        </w:rPr>
        <w:t>为了切实改善市民群众的居住条件和质量，上海在“十三五”期间先后出台了《关于“十三五”期间进一步加强本市旧住房修缮改造切实改善市民群众居住条件的通知》（沪建房修〔2016〕581号）和《上海市人民政府办公厅关于印发〈上海市住宅小区建设“美丽家园”三年行动计划（2018-2020）〉的通知》</w:t>
      </w:r>
      <w:r>
        <w:rPr>
          <w:rFonts w:hint="eastAsia" w:hAnsi="Times New Roman" w:cs="Times New Roman"/>
          <w:sz w:val="32"/>
          <w:szCs w:val="32"/>
        </w:rPr>
        <w:t>（</w:t>
      </w:r>
      <w:r>
        <w:rPr>
          <w:rFonts w:hint="eastAsia" w:ascii="仿宋_GB2312" w:eastAsia="仿宋_GB2312"/>
          <w:sz w:val="32"/>
          <w:szCs w:val="32"/>
          <w:lang w:val="en-US" w:eastAsia="zh-CN"/>
        </w:rPr>
        <w:t>沪府办发</w:t>
      </w:r>
      <w:r>
        <w:rPr>
          <w:rFonts w:hint="eastAsia"/>
          <w:sz w:val="32"/>
          <w:szCs w:val="32"/>
        </w:rPr>
        <w:t>〔20</w:t>
      </w:r>
      <w:r>
        <w:rPr>
          <w:rFonts w:hint="eastAsia" w:ascii="仿宋_GB2312" w:eastAsia="仿宋_GB2312"/>
          <w:sz w:val="32"/>
          <w:szCs w:val="32"/>
          <w:lang w:val="en-US" w:eastAsia="zh-CN"/>
        </w:rPr>
        <w:t>18</w:t>
      </w:r>
      <w:r>
        <w:rPr>
          <w:rFonts w:hint="eastAsia"/>
          <w:sz w:val="32"/>
          <w:szCs w:val="32"/>
        </w:rPr>
        <w:t>〕</w:t>
      </w:r>
      <w:r>
        <w:rPr>
          <w:rFonts w:hint="eastAsia" w:ascii="仿宋_GB2312" w:eastAsia="仿宋_GB2312"/>
          <w:sz w:val="32"/>
          <w:szCs w:val="32"/>
          <w:lang w:val="en-US" w:eastAsia="zh-CN"/>
        </w:rPr>
        <w:t>8号</w:t>
      </w:r>
      <w:r>
        <w:rPr>
          <w:rFonts w:hint="eastAsia" w:hAnsi="Times New Roman" w:cs="Times New Roman"/>
          <w:sz w:val="32"/>
          <w:szCs w:val="32"/>
        </w:rPr>
        <w:t>）</w:t>
      </w:r>
      <w:r>
        <w:rPr>
          <w:rFonts w:hint="eastAsia" w:hAnsi="Times New Roman" w:cs="Times New Roman"/>
          <w:sz w:val="32"/>
          <w:szCs w:val="32"/>
          <w:lang w:eastAsia="zh-CN"/>
        </w:rPr>
        <w:t>，</w:t>
      </w:r>
      <w:r>
        <w:rPr>
          <w:rFonts w:hint="eastAsia" w:hAnsi="Times New Roman" w:cs="Times New Roman"/>
          <w:sz w:val="32"/>
          <w:szCs w:val="32"/>
          <w:lang w:val="en-US" w:eastAsia="zh-CN"/>
        </w:rPr>
        <w:t>持续提升全市旧住房修缮改造力度。整个</w:t>
      </w:r>
      <w:r>
        <w:rPr>
          <w:rFonts w:hint="eastAsia" w:hAnsi="Times New Roman" w:cs="Times New Roman"/>
          <w:sz w:val="32"/>
          <w:szCs w:val="32"/>
          <w:lang w:eastAsia="zh-CN"/>
        </w:rPr>
        <w:t>“十三五”期间，上海</w:t>
      </w:r>
      <w:r>
        <w:rPr>
          <w:rFonts w:hint="eastAsia" w:hAnsi="Times New Roman" w:cs="Times New Roman"/>
          <w:sz w:val="32"/>
          <w:szCs w:val="32"/>
          <w:lang w:val="en-US" w:eastAsia="zh-CN"/>
        </w:rPr>
        <w:t>共</w:t>
      </w:r>
      <w:r>
        <w:rPr>
          <w:rFonts w:hint="eastAsia" w:hAnsi="Times New Roman" w:cs="Times New Roman"/>
          <w:sz w:val="32"/>
          <w:szCs w:val="32"/>
          <w:lang w:eastAsia="zh-CN"/>
        </w:rPr>
        <w:t>完成逾5000万平方米各类旧住房修缮改造，这里面既包含各类老旧小区修缮改造，也包含不成套旧住房改造。</w:t>
      </w:r>
    </w:p>
    <w:p>
      <w:pPr>
        <w:ind w:firstLine="560"/>
        <w:rPr>
          <w:rFonts w:hint="default" w:eastAsia="仿宋_GB2312"/>
          <w:sz w:val="32"/>
          <w:szCs w:val="32"/>
          <w:lang w:val="en-US" w:eastAsia="zh-CN"/>
        </w:rPr>
      </w:pPr>
      <w:r>
        <w:rPr>
          <w:rFonts w:hint="eastAsia" w:ascii="仿宋_GB2312" w:eastAsia="仿宋_GB2312"/>
          <w:sz w:val="32"/>
          <w:szCs w:val="32"/>
          <w:lang w:val="en-US" w:eastAsia="zh-CN"/>
        </w:rPr>
        <w:t>在区级层面，上海市崇明区遵照执行市级政策，于2018年启动首批“美丽家园”改造工程，重点对老旧公房和部分老旧商品房进行了屋面及相关设施改造。在管理方面，“美丽家园”改造工程全部纳入区级固定资产投资计划，预算由牵头部门（</w:t>
      </w:r>
      <w:r>
        <w:rPr>
          <w:rFonts w:hint="eastAsia"/>
          <w:sz w:val="32"/>
          <w:szCs w:val="32"/>
        </w:rPr>
        <w:t>上海市崇明区住房保障和房屋管理局</w:t>
      </w:r>
      <w:r>
        <w:rPr>
          <w:rFonts w:hint="eastAsia" w:ascii="仿宋_GB2312" w:eastAsia="仿宋_GB2312"/>
          <w:sz w:val="32"/>
          <w:szCs w:val="32"/>
          <w:lang w:val="en-US" w:eastAsia="zh-CN"/>
        </w:rPr>
        <w:t>）上报，项目具体实施则是由各改造小区所属乡镇人民政府负责，项目财权与事权分属区镇两级。截至2020年底，首批完成改造6个项目，涉及5个乡镇、8个老旧小区，合计建筑面积36.79万平方米，总投资16700万元。</w:t>
      </w:r>
      <w:r>
        <w:rPr>
          <w:rFonts w:hint="eastAsia"/>
          <w:sz w:val="32"/>
          <w:szCs w:val="32"/>
          <w:lang w:val="en-US" w:eastAsia="zh-CN"/>
        </w:rPr>
        <w:t>首批“美丽家园”改造工程的实施为后续崇明区更大规模推进旧住房改造工作积累了</w:t>
      </w:r>
      <w:r>
        <w:rPr>
          <w:rFonts w:hint="eastAsia"/>
          <w:sz w:val="32"/>
          <w:szCs w:val="32"/>
          <w:highlight w:val="none"/>
          <w:lang w:val="en-US" w:eastAsia="zh-CN"/>
        </w:rPr>
        <w:t>有益经验</w:t>
      </w:r>
      <w:r>
        <w:rPr>
          <w:rFonts w:hint="eastAsia"/>
          <w:sz w:val="32"/>
          <w:szCs w:val="32"/>
          <w:lang w:val="en-US" w:eastAsia="zh-CN"/>
        </w:rPr>
        <w:t>（包括改造内容的选择、居民对改造成效的实际反馈等），显著改善了老旧小区的居住条件、赢得了居民的普遍肯定，但是在提升改造效率、优化方案设计等方面，还有改进的空间。</w:t>
      </w:r>
    </w:p>
    <w:p>
      <w:pPr>
        <w:ind w:firstLine="560"/>
        <w:rPr>
          <w:rFonts w:hint="default" w:eastAsia="仿宋_GB2312"/>
          <w:sz w:val="32"/>
          <w:szCs w:val="32"/>
          <w:lang w:val="en-US" w:eastAsia="zh-CN"/>
        </w:rPr>
      </w:pPr>
      <w:r>
        <w:rPr>
          <w:rFonts w:hint="eastAsia" w:ascii="仿宋_GB2312" w:eastAsia="仿宋_GB2312"/>
          <w:sz w:val="32"/>
          <w:szCs w:val="32"/>
          <w:lang w:val="en-US" w:eastAsia="zh-CN"/>
        </w:rPr>
        <w:t>2020年，为了进一步改善居住区环境面貌，提升人民生活质量，崇明区启动第二批“美丽家园”改造工程建设，共涉及4个乡镇、12个项目，改造对象以2000年前建成的建筑结构较差、使用功能不完善、配套设施不健全、群众改造意愿迫切的各类老旧住房为主，总建筑面积89.86万平方米，全部纳入区政府重点工程，资金分摊方式由区财政按照350元/平方米（以建筑面积为补贴基准，含市区两级补贴）予以定额补贴，超出部分由乡镇自筹。</w:t>
      </w:r>
    </w:p>
    <w:p>
      <w:pPr>
        <w:ind w:firstLine="560"/>
        <w:rPr>
          <w:rFonts w:hint="default"/>
          <w:sz w:val="32"/>
          <w:szCs w:val="32"/>
          <w:lang w:val="en-US" w:eastAsia="zh-CN"/>
        </w:rPr>
      </w:pPr>
      <w:r>
        <w:rPr>
          <w:rFonts w:hint="eastAsia" w:ascii="仿宋_GB2312" w:eastAsia="仿宋_GB2312"/>
          <w:sz w:val="32"/>
          <w:szCs w:val="32"/>
          <w:lang w:val="en-US" w:eastAsia="zh-CN"/>
        </w:rPr>
        <w:t>在第二批12个项目中，有6个项目位于上海市崇明区城桥镇地区</w:t>
      </w:r>
      <w:r>
        <w:rPr>
          <w:rFonts w:hint="eastAsia"/>
          <w:sz w:val="32"/>
          <w:szCs w:val="32"/>
          <w:lang w:val="en-US" w:eastAsia="zh-CN"/>
        </w:rPr>
        <w:t>，</w:t>
      </w:r>
      <w:r>
        <w:rPr>
          <w:rFonts w:hint="eastAsia" w:ascii="仿宋_GB2312" w:eastAsia="仿宋_GB2312"/>
          <w:sz w:val="32"/>
          <w:szCs w:val="32"/>
          <w:lang w:val="en-US" w:eastAsia="zh-CN"/>
        </w:rPr>
        <w:t>由城桥镇人民政府负责属地管理工作</w:t>
      </w:r>
      <w:r>
        <w:rPr>
          <w:rFonts w:hint="eastAsia"/>
          <w:sz w:val="32"/>
          <w:szCs w:val="32"/>
          <w:lang w:val="en-US" w:eastAsia="zh-CN"/>
        </w:rPr>
        <w:t>。在总量上，城桥镇地区共有2000年前商品房和售后房小区面积125.78万平方米（建筑面积），</w:t>
      </w:r>
      <w:r>
        <w:rPr>
          <w:rFonts w:hint="eastAsia" w:ascii="仿宋_GB2312" w:eastAsia="仿宋_GB2312"/>
          <w:sz w:val="32"/>
          <w:szCs w:val="32"/>
          <w:lang w:val="en-US" w:eastAsia="zh-CN"/>
        </w:rPr>
        <w:t>在第一批</w:t>
      </w:r>
      <w:r>
        <w:rPr>
          <w:rFonts w:hint="eastAsia"/>
          <w:sz w:val="32"/>
          <w:szCs w:val="32"/>
          <w:lang w:val="en-US" w:eastAsia="zh-CN"/>
        </w:rPr>
        <w:t>美丽家园改造</w:t>
      </w:r>
      <w:r>
        <w:rPr>
          <w:rFonts w:hint="eastAsia" w:ascii="仿宋_GB2312" w:eastAsia="仿宋_GB2312"/>
          <w:sz w:val="32"/>
          <w:szCs w:val="32"/>
          <w:lang w:val="en-US" w:eastAsia="zh-CN"/>
        </w:rPr>
        <w:t>中，城桥镇共实施1个项目，</w:t>
      </w:r>
      <w:r>
        <w:rPr>
          <w:rFonts w:hint="eastAsia"/>
          <w:sz w:val="32"/>
          <w:szCs w:val="32"/>
          <w:lang w:val="en-US" w:eastAsia="zh-CN"/>
        </w:rPr>
        <w:t>即</w:t>
      </w:r>
      <w:r>
        <w:rPr>
          <w:rFonts w:hint="eastAsia" w:ascii="仿宋_GB2312" w:eastAsia="仿宋_GB2312"/>
          <w:sz w:val="32"/>
          <w:szCs w:val="32"/>
          <w:lang w:val="en-US" w:eastAsia="zh-CN"/>
        </w:rPr>
        <w:t>湄洲新村西区美丽家园改造，</w:t>
      </w:r>
      <w:r>
        <w:rPr>
          <w:rFonts w:hint="eastAsia"/>
          <w:sz w:val="32"/>
          <w:szCs w:val="32"/>
          <w:lang w:val="en-US" w:eastAsia="zh-CN"/>
        </w:rPr>
        <w:t>共计完成改造建筑面积7.38万平方米。第二批改造项目</w:t>
      </w:r>
      <w:r>
        <w:rPr>
          <w:rFonts w:hint="eastAsia" w:ascii="仿宋_GB2312" w:eastAsia="仿宋_GB2312"/>
          <w:sz w:val="32"/>
          <w:szCs w:val="32"/>
          <w:lang w:val="en-US" w:eastAsia="zh-CN"/>
        </w:rPr>
        <w:t>具体包括西门北村、南门路小区等、南门新村等、西门南村、北门新村、城西新村等6个老旧小区（片区）改造，涉及小区总建筑面积为44.29万平方米，</w:t>
      </w:r>
      <w:r>
        <w:rPr>
          <w:rFonts w:hint="eastAsia"/>
          <w:sz w:val="32"/>
          <w:szCs w:val="32"/>
          <w:lang w:val="en-US" w:eastAsia="zh-CN"/>
        </w:rPr>
        <w:t>余下74.11万平方米的改造任务将在结合区级财力实际的基础上分批有序推进。第二批</w:t>
      </w:r>
      <w:r>
        <w:rPr>
          <w:rFonts w:hint="eastAsia" w:ascii="仿宋_GB2312" w:eastAsia="仿宋_GB2312"/>
          <w:sz w:val="32"/>
          <w:szCs w:val="32"/>
          <w:lang w:val="en-US" w:eastAsia="zh-CN"/>
        </w:rPr>
        <w:t>实施改造内容主要包括：屋面修缮、管线入地、路面修复、绿化补植及其他附属工程等。根据《关于下达2020年财政性建设资金及准财政性固定资产投资项目计划的通知》（沪崇发改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16号），上述6个项目的2020年年初投资概算为15536.77万元。后为减少项目二类费用支出，同时避免二次开挖，影响居民生活出行，城桥镇对上述6个小区（片区）一并实施雨污混接改造，将6个小区（片区）的雨污混接改造工程分别打包进“美丽家园”改造项目中去，原先雨污混接改造资金与6个小区“美丽家园”改造资金进行合并调整，故年中项目投资概算调增6605.99万元，总投资增至22142.76万元。</w:t>
      </w:r>
    </w:p>
    <w:p>
      <w:pPr>
        <w:ind w:firstLine="560"/>
        <w:rPr>
          <w:sz w:val="32"/>
          <w:szCs w:val="32"/>
        </w:rPr>
      </w:pPr>
      <w:r>
        <w:rPr>
          <w:rFonts w:hint="eastAsia"/>
          <w:sz w:val="32"/>
          <w:szCs w:val="32"/>
        </w:rPr>
        <w:t>本次绩效评价的</w:t>
      </w:r>
      <w:r>
        <w:rPr>
          <w:rFonts w:hint="eastAsia" w:eastAsia="仿宋_GB2312"/>
          <w:sz w:val="32"/>
          <w:szCs w:val="32"/>
          <w:lang w:eastAsia="zh-CN"/>
        </w:rPr>
        <w:t>2020年美丽家园城桥镇地区项目</w:t>
      </w:r>
      <w:r>
        <w:rPr>
          <w:rFonts w:hint="eastAsia"/>
          <w:sz w:val="32"/>
          <w:szCs w:val="32"/>
        </w:rPr>
        <w:t>属于</w:t>
      </w:r>
      <w:r>
        <w:rPr>
          <w:rFonts w:hint="eastAsia" w:ascii="仿宋_GB2312" w:eastAsia="仿宋_GB2312"/>
          <w:sz w:val="32"/>
          <w:szCs w:val="32"/>
          <w:lang w:val="en-US" w:eastAsia="zh-CN"/>
        </w:rPr>
        <w:t>跨年度</w:t>
      </w:r>
      <w:r>
        <w:rPr>
          <w:rFonts w:hint="eastAsia"/>
          <w:sz w:val="32"/>
          <w:szCs w:val="32"/>
        </w:rPr>
        <w:t>一次性项目。</w:t>
      </w:r>
    </w:p>
    <w:p>
      <w:pPr>
        <w:ind w:firstLine="562"/>
        <w:outlineLvl w:val="2"/>
        <w:rPr>
          <w:rFonts w:hAnsi="Arial Unicode MS" w:cs="Arial Unicode MS"/>
          <w:b/>
          <w:sz w:val="32"/>
          <w:szCs w:val="32"/>
        </w:rPr>
      </w:pPr>
      <w:bookmarkStart w:id="16" w:name="_Toc29643"/>
      <w:r>
        <w:rPr>
          <w:rFonts w:hint="eastAsia" w:hAnsi="Arial Unicode MS" w:cs="Arial Unicode MS"/>
          <w:b/>
          <w:sz w:val="32"/>
          <w:szCs w:val="32"/>
        </w:rPr>
        <w:t>2.项目目的</w:t>
      </w:r>
      <w:bookmarkEnd w:id="16"/>
    </w:p>
    <w:p>
      <w:pPr>
        <w:ind w:firstLine="560"/>
        <w:rPr>
          <w:rFonts w:hint="default"/>
          <w:sz w:val="32"/>
          <w:szCs w:val="32"/>
          <w:lang w:val="en-US"/>
        </w:rPr>
      </w:pPr>
      <w:r>
        <w:rPr>
          <w:rFonts w:hint="eastAsia" w:ascii="仿宋_GB2312" w:hAnsi="仿宋_GB2312" w:eastAsia="仿宋_GB2312" w:cs="仿宋_GB2312"/>
          <w:sz w:val="32"/>
          <w:szCs w:val="32"/>
          <w:lang w:val="en-US" w:eastAsia="zh-CN"/>
        </w:rPr>
        <w:t>通过本项目的实施，对城桥镇地区的6个老旧小区（片区）住房进行集中修缮和雨污分流改造，进一步优化建筑结构、完善社区功能、健全配套设施、回应群众期待，将它们建设成为生态宜居、文明有序、美丽整洁、幸福和谐的“美丽家园”，让老旧小区变得更安全、更有序、更干净，不断提升居民的幸福感、获得感和满意度。</w:t>
      </w:r>
    </w:p>
    <w:p>
      <w:pPr>
        <w:outlineLvl w:val="2"/>
        <w:rPr>
          <w:sz w:val="32"/>
          <w:szCs w:val="32"/>
        </w:rPr>
      </w:pPr>
      <w:bookmarkStart w:id="17" w:name="_Toc13348"/>
      <w:bookmarkStart w:id="18" w:name="_Toc27765"/>
      <w:r>
        <w:rPr>
          <w:rFonts w:hint="eastAsia" w:hAnsi="Arial Unicode MS" w:cs="Arial Unicode MS"/>
          <w:b/>
          <w:sz w:val="32"/>
          <w:szCs w:val="32"/>
          <w:lang w:val="en-US" w:eastAsia="zh-CN"/>
        </w:rPr>
        <w:t>3.</w:t>
      </w:r>
      <w:r>
        <w:rPr>
          <w:rFonts w:hint="eastAsia" w:hAnsi="Arial Unicode MS" w:cs="Arial Unicode MS"/>
          <w:b/>
          <w:sz w:val="32"/>
          <w:szCs w:val="32"/>
        </w:rPr>
        <w:t>项目立项依据</w:t>
      </w:r>
      <w:bookmarkEnd w:id="17"/>
      <w:bookmarkEnd w:id="18"/>
    </w:p>
    <w:p>
      <w:pPr>
        <w:ind w:firstLine="560"/>
        <w:rPr>
          <w:rFonts w:hint="default" w:hAnsi="Arial Unicode MS" w:eastAsia="仿宋_GB2312" w:cs="Arial Unicode MS"/>
          <w:bCs/>
          <w:sz w:val="32"/>
          <w:szCs w:val="32"/>
          <w:lang w:val="en-US" w:eastAsia="zh-CN"/>
        </w:rPr>
      </w:pPr>
      <w:r>
        <w:rPr>
          <w:rFonts w:hint="eastAsia" w:hAnsi="Arial Unicode MS" w:cs="Arial Unicode MS"/>
          <w:b/>
          <w:bCs w:val="0"/>
          <w:sz w:val="32"/>
          <w:szCs w:val="32"/>
          <w:lang w:eastAsia="zh-CN"/>
        </w:rPr>
        <w:t>（</w:t>
      </w:r>
      <w:r>
        <w:rPr>
          <w:rFonts w:hint="eastAsia" w:hAnsi="Arial Unicode MS" w:cs="Arial Unicode MS"/>
          <w:b/>
          <w:bCs w:val="0"/>
          <w:sz w:val="32"/>
          <w:szCs w:val="32"/>
          <w:lang w:val="en-US" w:eastAsia="zh-CN"/>
        </w:rPr>
        <w:t>1</w:t>
      </w:r>
      <w:r>
        <w:rPr>
          <w:rFonts w:hint="eastAsia" w:hAnsi="Arial Unicode MS" w:cs="Arial Unicode MS"/>
          <w:b/>
          <w:bCs w:val="0"/>
          <w:sz w:val="32"/>
          <w:szCs w:val="32"/>
          <w:lang w:eastAsia="zh-CN"/>
        </w:rPr>
        <w:t>）</w:t>
      </w:r>
      <w:r>
        <w:rPr>
          <w:rFonts w:hint="eastAsia" w:hAnsi="Arial Unicode MS" w:cs="Arial Unicode MS"/>
          <w:b/>
          <w:bCs w:val="0"/>
          <w:sz w:val="32"/>
          <w:szCs w:val="32"/>
          <w:lang w:val="en-US" w:eastAsia="zh-CN"/>
        </w:rPr>
        <w:t>市级政策文件</w:t>
      </w:r>
    </w:p>
    <w:p>
      <w:pPr>
        <w:ind w:firstLine="560"/>
        <w:rPr>
          <w:rFonts w:hint="eastAsia"/>
          <w:sz w:val="32"/>
          <w:szCs w:val="32"/>
          <w:lang w:val="en-US" w:eastAsia="zh-CN"/>
        </w:rPr>
      </w:pPr>
      <w:r>
        <w:rPr>
          <w:rFonts w:hint="eastAsia"/>
          <w:sz w:val="32"/>
          <w:szCs w:val="32"/>
          <w:lang w:val="en-US" w:eastAsia="zh-CN"/>
        </w:rPr>
        <w:t>①《上海市人民政府办公厅转发市建设管理委、市住房保障房屋管理局〈关于加强本市住宅小区综合治理工作意见〉的通知》（沪府办发</w:t>
      </w:r>
      <w:r>
        <w:rPr>
          <w:rFonts w:hint="eastAsia"/>
          <w:sz w:val="32"/>
          <w:szCs w:val="32"/>
        </w:rPr>
        <w:t>〔20</w:t>
      </w:r>
      <w:r>
        <w:rPr>
          <w:rFonts w:hint="eastAsia"/>
          <w:sz w:val="32"/>
          <w:szCs w:val="32"/>
          <w:lang w:val="en-US" w:eastAsia="zh-CN"/>
        </w:rPr>
        <w:t>15</w:t>
      </w:r>
      <w:r>
        <w:rPr>
          <w:rFonts w:hint="eastAsia"/>
          <w:sz w:val="32"/>
          <w:szCs w:val="32"/>
        </w:rPr>
        <w:t>〕</w:t>
      </w:r>
      <w:r>
        <w:rPr>
          <w:rFonts w:hint="eastAsia"/>
          <w:sz w:val="32"/>
          <w:szCs w:val="32"/>
          <w:lang w:val="en-US" w:eastAsia="zh-CN"/>
        </w:rPr>
        <w:t>3号）</w:t>
      </w:r>
    </w:p>
    <w:p>
      <w:pPr>
        <w:ind w:firstLine="560"/>
        <w:rPr>
          <w:rFonts w:hint="eastAsia"/>
          <w:sz w:val="32"/>
          <w:szCs w:val="32"/>
          <w:lang w:val="en-US" w:eastAsia="zh-CN"/>
        </w:rPr>
      </w:pPr>
      <w:r>
        <w:rPr>
          <w:rFonts w:hint="eastAsia"/>
          <w:sz w:val="32"/>
          <w:szCs w:val="32"/>
          <w:lang w:eastAsia="zh-CN"/>
        </w:rPr>
        <w:t>“对原以职工住宅立项“售后房”小区的公共设施维修资金缺失问题，按照初始筹集标准，由市、区县政府支持解决。”</w:t>
      </w:r>
    </w:p>
    <w:p>
      <w:pPr>
        <w:ind w:firstLine="560"/>
        <w:rPr>
          <w:rFonts w:hint="eastAsia"/>
          <w:sz w:val="32"/>
          <w:szCs w:val="32"/>
        </w:rPr>
      </w:pPr>
      <w:r>
        <w:rPr>
          <w:rFonts w:hint="eastAsia"/>
          <w:sz w:val="32"/>
          <w:szCs w:val="32"/>
          <w:lang w:val="en-US" w:eastAsia="zh-CN"/>
        </w:rPr>
        <w:t>②《上海市人民政府办公厅关于印发〈上海市住宅小区建设“美丽家园”三年行动计划（2018-2020）〉的通知》</w:t>
      </w:r>
      <w:r>
        <w:rPr>
          <w:rFonts w:hint="eastAsia" w:hAnsi="Times New Roman" w:cs="Times New Roman"/>
          <w:sz w:val="32"/>
          <w:szCs w:val="32"/>
        </w:rPr>
        <w:t>（</w:t>
      </w:r>
      <w:r>
        <w:rPr>
          <w:rFonts w:hint="eastAsia"/>
          <w:sz w:val="32"/>
          <w:szCs w:val="32"/>
          <w:lang w:val="en-US" w:eastAsia="zh-CN"/>
        </w:rPr>
        <w:t>沪府办发</w:t>
      </w:r>
      <w:r>
        <w:rPr>
          <w:rFonts w:hint="eastAsia"/>
          <w:sz w:val="32"/>
          <w:szCs w:val="32"/>
        </w:rPr>
        <w:t>〔20</w:t>
      </w:r>
      <w:r>
        <w:rPr>
          <w:rFonts w:hint="eastAsia"/>
          <w:sz w:val="32"/>
          <w:szCs w:val="32"/>
          <w:lang w:val="en-US" w:eastAsia="zh-CN"/>
        </w:rPr>
        <w:t>18</w:t>
      </w:r>
      <w:r>
        <w:rPr>
          <w:rFonts w:hint="eastAsia"/>
          <w:sz w:val="32"/>
          <w:szCs w:val="32"/>
        </w:rPr>
        <w:t>〕</w:t>
      </w:r>
      <w:r>
        <w:rPr>
          <w:rFonts w:hint="eastAsia"/>
          <w:sz w:val="32"/>
          <w:szCs w:val="32"/>
          <w:lang w:val="en-US" w:eastAsia="zh-CN"/>
        </w:rPr>
        <w:t>8号</w:t>
      </w:r>
      <w:r>
        <w:rPr>
          <w:rFonts w:hint="eastAsia" w:hAnsi="Times New Roman" w:cs="Times New Roman"/>
          <w:sz w:val="32"/>
          <w:szCs w:val="32"/>
        </w:rPr>
        <w:t>）</w:t>
      </w:r>
    </w:p>
    <w:p>
      <w:pPr>
        <w:ind w:firstLine="560"/>
        <w:rPr>
          <w:rFonts w:hint="eastAsia"/>
          <w:sz w:val="32"/>
          <w:szCs w:val="32"/>
          <w:lang w:val="en-US" w:eastAsia="zh-CN"/>
        </w:rPr>
      </w:pPr>
      <w:r>
        <w:rPr>
          <w:rFonts w:hint="eastAsia"/>
          <w:sz w:val="32"/>
          <w:szCs w:val="32"/>
          <w:lang w:eastAsia="zh-CN"/>
        </w:rPr>
        <w:t>“实施各类旧住房修缮改造。重点实施纳入保障性安居工程的成套改造、屋面及相关设施改造、厨卫改造等三类旧住房综合改造。拓展旧住房修缮改造内涵，统筹管线入地、二次供水设施改造、消防设施改造、雨污分流整治、环境整治、道路整修、违法建筑整治等工作。”</w:t>
      </w:r>
    </w:p>
    <w:p>
      <w:pPr>
        <w:ind w:firstLine="560"/>
        <w:rPr>
          <w:rFonts w:hint="default"/>
          <w:sz w:val="32"/>
          <w:szCs w:val="32"/>
          <w:lang w:val="en-US" w:eastAsia="zh-CN"/>
        </w:rPr>
      </w:pPr>
      <w:r>
        <w:rPr>
          <w:rFonts w:hint="eastAsia" w:ascii="仿宋_GB2312" w:eastAsia="仿宋_GB2312"/>
          <w:b/>
          <w:bCs/>
          <w:sz w:val="32"/>
          <w:szCs w:val="32"/>
          <w:lang w:val="en-US" w:eastAsia="zh-CN"/>
        </w:rPr>
        <w:t>（2）区</w:t>
      </w:r>
      <w:r>
        <w:rPr>
          <w:rFonts w:hint="eastAsia" w:hAnsi="Arial Unicode MS" w:cs="Arial Unicode MS"/>
          <w:b/>
          <w:bCs w:val="0"/>
          <w:sz w:val="32"/>
          <w:szCs w:val="32"/>
          <w:lang w:val="en-US" w:eastAsia="zh-CN"/>
        </w:rPr>
        <w:t>级政策文件</w:t>
      </w:r>
    </w:p>
    <w:p>
      <w:pPr>
        <w:ind w:firstLine="560"/>
        <w:rPr>
          <w:rFonts w:hint="eastAsia"/>
          <w:sz w:val="32"/>
          <w:szCs w:val="32"/>
          <w:lang w:val="en-US" w:eastAsia="zh-CN"/>
        </w:rPr>
      </w:pPr>
      <w:r>
        <w:rPr>
          <w:rFonts w:hint="eastAsia" w:ascii="仿宋_GB2312" w:eastAsia="仿宋_GB2312"/>
          <w:sz w:val="32"/>
          <w:szCs w:val="32"/>
          <w:lang w:val="en-US" w:eastAsia="zh-CN"/>
        </w:rPr>
        <w:t>《上海市崇明区人民政府办公室关于印发本区住宅小区建设“生态美丽家园”三年行动计划（2018—2020）的通知》（沪崇府办发〔2018〕27号）</w:t>
      </w:r>
    </w:p>
    <w:p>
      <w:pPr>
        <w:ind w:firstLine="560"/>
        <w:rPr>
          <w:rFonts w:hint="eastAsia"/>
          <w:sz w:val="32"/>
          <w:szCs w:val="32"/>
          <w:lang w:val="en-US" w:eastAsia="zh-CN"/>
        </w:rPr>
      </w:pPr>
      <w:r>
        <w:rPr>
          <w:rFonts w:hint="eastAsia" w:ascii="仿宋_GB2312" w:eastAsia="仿宋_GB2312"/>
          <w:sz w:val="32"/>
          <w:szCs w:val="32"/>
          <w:lang w:val="en-US" w:eastAsia="zh-CN"/>
        </w:rPr>
        <w:t>“推进‘生态美丽家园’建设专项行动。重点聚焦建成区2000年前建成的住宅小区，根据‘先试点，后推进’‘成熟一个，申报一个，整治一个’原则，以强化社区治理和顽症整治为核心，以居民主动参与、改造工程与物业服务提升相衔接为前提，逐步推进‘生态美丽家园’建设全区覆盖，建设内容涵盖加装电梯、各类管线入地、雨污混接改造、二次供水设施改造、房屋修缮、安防技防物防设施改造、无障碍设施建设、消防设施改造、停车设施改造、环卫设施改造与其他公共区域设施设备改造等方面。”</w:t>
      </w:r>
    </w:p>
    <w:p>
      <w:pPr>
        <w:ind w:firstLine="560"/>
        <w:rPr>
          <w:rFonts w:hint="eastAsia"/>
          <w:sz w:val="32"/>
          <w:szCs w:val="32"/>
          <w:lang w:val="en-US" w:eastAsia="zh-CN"/>
        </w:rPr>
      </w:pPr>
      <w:r>
        <w:rPr>
          <w:rFonts w:hint="eastAsia" w:ascii="仿宋_GB2312" w:eastAsia="仿宋_GB2312"/>
          <w:b/>
          <w:bCs/>
          <w:sz w:val="32"/>
          <w:szCs w:val="32"/>
          <w:lang w:val="en-US" w:eastAsia="zh-CN"/>
        </w:rPr>
        <w:t>（3）区发改委批复（6个）</w:t>
      </w:r>
    </w:p>
    <w:p>
      <w:pPr>
        <w:ind w:firstLine="560"/>
        <w:rPr>
          <w:rFonts w:hint="eastAsia"/>
          <w:sz w:val="32"/>
          <w:szCs w:val="32"/>
        </w:rPr>
      </w:pPr>
      <w:r>
        <w:rPr>
          <w:rFonts w:hint="eastAsia" w:ascii="仿宋_GB2312" w:eastAsia="仿宋_GB2312"/>
          <w:sz w:val="32"/>
          <w:szCs w:val="32"/>
          <w:lang w:val="en-US" w:eastAsia="zh-CN"/>
        </w:rPr>
        <w:t>《上海市崇明区发展和改革委员会关于城桥镇西门北村“美丽家园”改造工程可行性研究报告(兼项目建议书)的批复》</w:t>
      </w:r>
      <w:r>
        <w:rPr>
          <w:rFonts w:hint="eastAsia"/>
          <w:sz w:val="32"/>
          <w:szCs w:val="32"/>
        </w:rPr>
        <w:t>（沪崇</w:t>
      </w:r>
      <w:r>
        <w:rPr>
          <w:rFonts w:hint="eastAsia" w:ascii="仿宋_GB2312" w:eastAsia="仿宋_GB2312"/>
          <w:sz w:val="32"/>
          <w:szCs w:val="32"/>
          <w:lang w:val="en-US" w:eastAsia="zh-CN"/>
        </w:rPr>
        <w:t>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209</w:t>
      </w:r>
      <w:r>
        <w:rPr>
          <w:rFonts w:hint="eastAsia"/>
          <w:sz w:val="32"/>
          <w:szCs w:val="32"/>
        </w:rPr>
        <w:t>号）</w:t>
      </w:r>
      <w:r>
        <w:rPr>
          <w:rFonts w:hint="eastAsia" w:eastAsia="仿宋_GB2312"/>
          <w:sz w:val="32"/>
          <w:szCs w:val="32"/>
          <w:lang w:eastAsia="zh-CN"/>
        </w:rPr>
        <w:t>、</w:t>
      </w:r>
      <w:r>
        <w:rPr>
          <w:rFonts w:hint="eastAsia" w:ascii="仿宋_GB2312" w:eastAsia="仿宋_GB2312"/>
          <w:sz w:val="32"/>
          <w:szCs w:val="32"/>
          <w:lang w:val="en-US" w:eastAsia="zh-CN"/>
        </w:rPr>
        <w:t>《上海市崇明区发展和改革委员会关于城桥镇南门路小区等“美丽家园”改造工程可行性研究报告(兼项目建议书)的批复》</w:t>
      </w:r>
      <w:r>
        <w:rPr>
          <w:rFonts w:hint="eastAsia"/>
          <w:sz w:val="32"/>
          <w:szCs w:val="32"/>
        </w:rPr>
        <w:t>（沪崇</w:t>
      </w:r>
      <w:r>
        <w:rPr>
          <w:rFonts w:hint="eastAsia" w:ascii="仿宋_GB2312" w:eastAsia="仿宋_GB2312"/>
          <w:sz w:val="32"/>
          <w:szCs w:val="32"/>
          <w:lang w:val="en-US" w:eastAsia="zh-CN"/>
        </w:rPr>
        <w:t>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210</w:t>
      </w:r>
      <w:r>
        <w:rPr>
          <w:rFonts w:hint="eastAsia"/>
          <w:sz w:val="32"/>
          <w:szCs w:val="32"/>
        </w:rPr>
        <w:t>号）</w:t>
      </w:r>
      <w:r>
        <w:rPr>
          <w:rFonts w:hint="eastAsia" w:eastAsia="仿宋_GB2312"/>
          <w:sz w:val="32"/>
          <w:szCs w:val="32"/>
          <w:lang w:eastAsia="zh-CN"/>
        </w:rPr>
        <w:t>、</w:t>
      </w:r>
      <w:r>
        <w:rPr>
          <w:rFonts w:hint="eastAsia" w:ascii="仿宋_GB2312" w:eastAsia="仿宋_GB2312"/>
          <w:sz w:val="32"/>
          <w:szCs w:val="32"/>
          <w:lang w:val="en-US" w:eastAsia="zh-CN"/>
        </w:rPr>
        <w:t>《上海市崇明区发展和改革委员会关于城桥镇南门新村等“美丽家园”改造工程可行性研究报告(兼项目建议书)的批复》</w:t>
      </w:r>
      <w:r>
        <w:rPr>
          <w:rFonts w:hint="eastAsia"/>
          <w:sz w:val="32"/>
          <w:szCs w:val="32"/>
        </w:rPr>
        <w:t>（沪崇</w:t>
      </w:r>
      <w:r>
        <w:rPr>
          <w:rFonts w:hint="eastAsia" w:ascii="仿宋_GB2312" w:eastAsia="仿宋_GB2312"/>
          <w:sz w:val="32"/>
          <w:szCs w:val="32"/>
          <w:lang w:val="en-US" w:eastAsia="zh-CN"/>
        </w:rPr>
        <w:t>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211</w:t>
      </w:r>
      <w:r>
        <w:rPr>
          <w:rFonts w:hint="eastAsia"/>
          <w:sz w:val="32"/>
          <w:szCs w:val="32"/>
        </w:rPr>
        <w:t>号）</w:t>
      </w:r>
      <w:r>
        <w:rPr>
          <w:rFonts w:hint="eastAsia" w:eastAsia="仿宋_GB2312"/>
          <w:sz w:val="32"/>
          <w:szCs w:val="32"/>
          <w:lang w:eastAsia="zh-CN"/>
        </w:rPr>
        <w:t>、</w:t>
      </w:r>
      <w:r>
        <w:rPr>
          <w:rFonts w:hint="eastAsia" w:ascii="仿宋_GB2312" w:eastAsia="仿宋_GB2312"/>
          <w:sz w:val="32"/>
          <w:szCs w:val="32"/>
          <w:lang w:val="en-US" w:eastAsia="zh-CN"/>
        </w:rPr>
        <w:t>《上海市崇明区发展和改革委员会关于城桥镇西门南村“美丽家园”改造工程可行性研究报告(兼项目建议书)的批复》</w:t>
      </w:r>
      <w:r>
        <w:rPr>
          <w:rFonts w:hint="eastAsia"/>
          <w:sz w:val="32"/>
          <w:szCs w:val="32"/>
        </w:rPr>
        <w:t>（沪崇</w:t>
      </w:r>
      <w:r>
        <w:rPr>
          <w:rFonts w:hint="eastAsia" w:ascii="仿宋_GB2312" w:eastAsia="仿宋_GB2312"/>
          <w:sz w:val="32"/>
          <w:szCs w:val="32"/>
          <w:lang w:val="en-US" w:eastAsia="zh-CN"/>
        </w:rPr>
        <w:t>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212</w:t>
      </w:r>
      <w:r>
        <w:rPr>
          <w:rFonts w:hint="eastAsia"/>
          <w:sz w:val="32"/>
          <w:szCs w:val="32"/>
        </w:rPr>
        <w:t>号）</w:t>
      </w:r>
      <w:r>
        <w:rPr>
          <w:rFonts w:hint="eastAsia" w:eastAsia="仿宋_GB2312"/>
          <w:sz w:val="32"/>
          <w:szCs w:val="32"/>
          <w:lang w:eastAsia="zh-CN"/>
        </w:rPr>
        <w:t>、</w:t>
      </w:r>
      <w:r>
        <w:rPr>
          <w:rFonts w:hint="eastAsia" w:ascii="仿宋_GB2312" w:eastAsia="仿宋_GB2312"/>
          <w:sz w:val="32"/>
          <w:szCs w:val="32"/>
          <w:lang w:val="en-US" w:eastAsia="zh-CN"/>
        </w:rPr>
        <w:t>《上海市崇明区发展和改革委员会关于城桥镇北门新村“美丽家园”改造工程可行性研究报告(兼项目建议书)的批复》</w:t>
      </w:r>
      <w:r>
        <w:rPr>
          <w:rFonts w:hint="eastAsia"/>
          <w:sz w:val="32"/>
          <w:szCs w:val="32"/>
        </w:rPr>
        <w:t>（沪崇</w:t>
      </w:r>
      <w:r>
        <w:rPr>
          <w:rFonts w:hint="eastAsia" w:ascii="仿宋_GB2312" w:eastAsia="仿宋_GB2312"/>
          <w:sz w:val="32"/>
          <w:szCs w:val="32"/>
          <w:lang w:val="en-US" w:eastAsia="zh-CN"/>
        </w:rPr>
        <w:t>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213</w:t>
      </w:r>
      <w:r>
        <w:rPr>
          <w:rFonts w:hint="eastAsia"/>
          <w:sz w:val="32"/>
          <w:szCs w:val="32"/>
        </w:rPr>
        <w:t>号）</w:t>
      </w:r>
      <w:r>
        <w:rPr>
          <w:rFonts w:hint="eastAsia" w:eastAsia="仿宋_GB2312"/>
          <w:sz w:val="32"/>
          <w:szCs w:val="32"/>
          <w:lang w:eastAsia="zh-CN"/>
        </w:rPr>
        <w:t>、</w:t>
      </w:r>
      <w:r>
        <w:rPr>
          <w:rFonts w:hint="eastAsia" w:ascii="仿宋_GB2312" w:eastAsia="仿宋_GB2312"/>
          <w:sz w:val="32"/>
          <w:szCs w:val="32"/>
          <w:lang w:val="en-US" w:eastAsia="zh-CN"/>
        </w:rPr>
        <w:t>《上海市崇明区发展和改革委员会关于城桥镇城西新村等“美丽家园”改造工程可行性研究报告(兼项目建议书)的批复》</w:t>
      </w:r>
      <w:r>
        <w:rPr>
          <w:rFonts w:hint="eastAsia"/>
          <w:sz w:val="32"/>
          <w:szCs w:val="32"/>
        </w:rPr>
        <w:t>（沪崇</w:t>
      </w:r>
      <w:r>
        <w:rPr>
          <w:rFonts w:hint="eastAsia" w:ascii="仿宋_GB2312" w:eastAsia="仿宋_GB2312"/>
          <w:sz w:val="32"/>
          <w:szCs w:val="32"/>
          <w:lang w:val="en-US" w:eastAsia="zh-CN"/>
        </w:rPr>
        <w:t>发改</w:t>
      </w:r>
      <w:r>
        <w:rPr>
          <w:rFonts w:hint="eastAsia"/>
          <w:sz w:val="32"/>
          <w:szCs w:val="32"/>
        </w:rPr>
        <w:t>〔20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214</w:t>
      </w:r>
      <w:r>
        <w:rPr>
          <w:rFonts w:hint="eastAsia"/>
          <w:sz w:val="32"/>
          <w:szCs w:val="32"/>
        </w:rPr>
        <w:t>号）</w:t>
      </w:r>
    </w:p>
    <w:p>
      <w:pPr>
        <w:ind w:firstLine="560"/>
        <w:rPr>
          <w:rFonts w:hint="default" w:eastAsia="仿宋_GB2312"/>
          <w:sz w:val="32"/>
          <w:szCs w:val="32"/>
          <w:lang w:val="en-US" w:eastAsia="zh-CN"/>
        </w:rPr>
      </w:pPr>
      <w:r>
        <w:rPr>
          <w:rFonts w:hint="eastAsia" w:ascii="仿宋_GB2312" w:eastAsia="仿宋_GB2312"/>
          <w:b/>
          <w:bCs/>
          <w:sz w:val="32"/>
          <w:szCs w:val="32"/>
          <w:lang w:val="en-US" w:eastAsia="zh-CN"/>
        </w:rPr>
        <w:t>（4）区房管局批复（6个）</w:t>
      </w:r>
    </w:p>
    <w:p>
      <w:pPr>
        <w:ind w:firstLine="560"/>
        <w:rPr>
          <w:rFonts w:hint="eastAsia"/>
          <w:sz w:val="32"/>
          <w:szCs w:val="32"/>
          <w:lang w:eastAsia="zh-CN"/>
        </w:rPr>
      </w:pPr>
      <w:r>
        <w:rPr>
          <w:rFonts w:hint="eastAsia" w:eastAsia="仿宋_GB2312"/>
          <w:sz w:val="32"/>
          <w:szCs w:val="32"/>
          <w:lang w:eastAsia="zh-CN"/>
        </w:rPr>
        <w:t>《</w:t>
      </w:r>
      <w:r>
        <w:rPr>
          <w:rFonts w:hint="eastAsia"/>
          <w:sz w:val="32"/>
          <w:szCs w:val="32"/>
        </w:rPr>
        <w:t>关于同意实施城桥镇西门北村“美丽家园</w:t>
      </w:r>
      <w:r>
        <w:rPr>
          <w:rFonts w:hint="eastAsia" w:eastAsia="仿宋_GB2312"/>
          <w:sz w:val="32"/>
          <w:szCs w:val="32"/>
          <w:lang w:eastAsia="zh-CN"/>
        </w:rPr>
        <w:t>”</w:t>
      </w:r>
      <w:r>
        <w:rPr>
          <w:rFonts w:hint="eastAsia"/>
          <w:sz w:val="32"/>
          <w:szCs w:val="32"/>
        </w:rPr>
        <w:t>改造工程的批复</w:t>
      </w:r>
      <w:r>
        <w:rPr>
          <w:rFonts w:hint="eastAsia" w:eastAsia="仿宋_GB2312"/>
          <w:sz w:val="32"/>
          <w:szCs w:val="32"/>
          <w:lang w:eastAsia="zh-CN"/>
        </w:rPr>
        <w:t>》</w:t>
      </w:r>
      <w:r>
        <w:rPr>
          <w:rFonts w:hint="eastAsia"/>
          <w:sz w:val="32"/>
          <w:szCs w:val="32"/>
        </w:rPr>
        <w:t>（沪崇房管〔20</w:t>
      </w:r>
      <w:r>
        <w:rPr>
          <w:rFonts w:hint="eastAsia" w:ascii="仿宋_GB2312" w:eastAsia="仿宋_GB2312"/>
          <w:sz w:val="32"/>
          <w:szCs w:val="32"/>
          <w:lang w:val="en-US" w:eastAsia="zh-CN"/>
        </w:rPr>
        <w:t>20</w:t>
      </w:r>
      <w:r>
        <w:rPr>
          <w:rFonts w:hint="eastAsia"/>
          <w:sz w:val="32"/>
          <w:szCs w:val="32"/>
        </w:rPr>
        <w:t>〕36号）</w:t>
      </w:r>
      <w:r>
        <w:rPr>
          <w:rFonts w:hint="eastAsia" w:eastAsia="仿宋_GB2312"/>
          <w:sz w:val="32"/>
          <w:szCs w:val="32"/>
          <w:lang w:eastAsia="zh-CN"/>
        </w:rPr>
        <w:t>、《</w:t>
      </w:r>
      <w:r>
        <w:rPr>
          <w:rFonts w:hint="eastAsia"/>
          <w:sz w:val="32"/>
          <w:szCs w:val="32"/>
        </w:rPr>
        <w:t>关于同意实施城桥镇</w:t>
      </w:r>
      <w:r>
        <w:rPr>
          <w:rFonts w:hint="eastAsia" w:ascii="仿宋_GB2312" w:eastAsia="仿宋_GB2312"/>
          <w:sz w:val="32"/>
          <w:szCs w:val="32"/>
          <w:lang w:val="en-US" w:eastAsia="zh-CN"/>
        </w:rPr>
        <w:t>南门路小区</w:t>
      </w:r>
      <w:r>
        <w:rPr>
          <w:rFonts w:hint="eastAsia"/>
          <w:sz w:val="32"/>
          <w:szCs w:val="32"/>
        </w:rPr>
        <w:t>“美丽家园</w:t>
      </w:r>
      <w:r>
        <w:rPr>
          <w:rFonts w:hint="eastAsia" w:eastAsia="仿宋_GB2312"/>
          <w:sz w:val="32"/>
          <w:szCs w:val="32"/>
          <w:lang w:eastAsia="zh-CN"/>
        </w:rPr>
        <w:t>”</w:t>
      </w:r>
      <w:r>
        <w:rPr>
          <w:rFonts w:hint="eastAsia"/>
          <w:sz w:val="32"/>
          <w:szCs w:val="32"/>
        </w:rPr>
        <w:t>改造工程的批复</w:t>
      </w:r>
      <w:r>
        <w:rPr>
          <w:rFonts w:hint="eastAsia" w:eastAsia="仿宋_GB2312"/>
          <w:sz w:val="32"/>
          <w:szCs w:val="32"/>
          <w:lang w:eastAsia="zh-CN"/>
        </w:rPr>
        <w:t>》</w:t>
      </w:r>
      <w:r>
        <w:rPr>
          <w:rFonts w:hint="eastAsia"/>
          <w:sz w:val="32"/>
          <w:szCs w:val="32"/>
        </w:rPr>
        <w:t>（沪崇房管〔20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41</w:t>
      </w:r>
      <w:r>
        <w:rPr>
          <w:rFonts w:hint="eastAsia"/>
          <w:sz w:val="32"/>
          <w:szCs w:val="32"/>
        </w:rPr>
        <w:t>号）</w:t>
      </w:r>
      <w:r>
        <w:rPr>
          <w:rFonts w:hint="eastAsia" w:eastAsia="仿宋_GB2312"/>
          <w:sz w:val="32"/>
          <w:szCs w:val="32"/>
          <w:lang w:eastAsia="zh-CN"/>
        </w:rPr>
        <w:t>、《</w:t>
      </w:r>
      <w:r>
        <w:rPr>
          <w:rFonts w:hint="eastAsia"/>
          <w:sz w:val="32"/>
          <w:szCs w:val="32"/>
        </w:rPr>
        <w:t>关于同意实施城桥镇</w:t>
      </w:r>
      <w:r>
        <w:rPr>
          <w:rFonts w:hint="eastAsia" w:ascii="仿宋_GB2312" w:eastAsia="仿宋_GB2312"/>
          <w:sz w:val="32"/>
          <w:szCs w:val="32"/>
          <w:lang w:val="en-US" w:eastAsia="zh-CN"/>
        </w:rPr>
        <w:t>南门新村等</w:t>
      </w:r>
      <w:r>
        <w:rPr>
          <w:rFonts w:hint="eastAsia"/>
          <w:sz w:val="32"/>
          <w:szCs w:val="32"/>
        </w:rPr>
        <w:t>“美丽家园</w:t>
      </w:r>
      <w:r>
        <w:rPr>
          <w:rFonts w:hint="eastAsia" w:eastAsia="仿宋_GB2312"/>
          <w:sz w:val="32"/>
          <w:szCs w:val="32"/>
          <w:lang w:eastAsia="zh-CN"/>
        </w:rPr>
        <w:t>”</w:t>
      </w:r>
      <w:r>
        <w:rPr>
          <w:rFonts w:hint="eastAsia"/>
          <w:sz w:val="32"/>
          <w:szCs w:val="32"/>
        </w:rPr>
        <w:t>改造工程的批复</w:t>
      </w:r>
      <w:r>
        <w:rPr>
          <w:rFonts w:hint="eastAsia" w:eastAsia="仿宋_GB2312"/>
          <w:sz w:val="32"/>
          <w:szCs w:val="32"/>
          <w:lang w:eastAsia="zh-CN"/>
        </w:rPr>
        <w:t>》</w:t>
      </w:r>
      <w:r>
        <w:rPr>
          <w:rFonts w:hint="eastAsia"/>
          <w:sz w:val="32"/>
          <w:szCs w:val="32"/>
        </w:rPr>
        <w:t>（沪崇房管〔20</w:t>
      </w:r>
      <w:r>
        <w:rPr>
          <w:rFonts w:hint="eastAsia" w:ascii="仿宋_GB2312" w:eastAsia="仿宋_GB2312"/>
          <w:sz w:val="32"/>
          <w:szCs w:val="32"/>
          <w:lang w:val="en-US" w:eastAsia="zh-CN"/>
        </w:rPr>
        <w:t>20</w:t>
      </w:r>
      <w:r>
        <w:rPr>
          <w:rFonts w:hint="eastAsia"/>
          <w:sz w:val="32"/>
          <w:szCs w:val="32"/>
        </w:rPr>
        <w:t>〕3</w:t>
      </w:r>
      <w:r>
        <w:rPr>
          <w:rFonts w:hint="eastAsia" w:ascii="仿宋_GB2312" w:eastAsia="仿宋_GB2312"/>
          <w:sz w:val="32"/>
          <w:szCs w:val="32"/>
          <w:lang w:val="en-US" w:eastAsia="zh-CN"/>
        </w:rPr>
        <w:t>8</w:t>
      </w:r>
      <w:r>
        <w:rPr>
          <w:rFonts w:hint="eastAsia"/>
          <w:sz w:val="32"/>
          <w:szCs w:val="32"/>
        </w:rPr>
        <w:t>号）</w:t>
      </w:r>
      <w:r>
        <w:rPr>
          <w:rFonts w:hint="eastAsia" w:eastAsia="仿宋_GB2312"/>
          <w:sz w:val="32"/>
          <w:szCs w:val="32"/>
          <w:lang w:eastAsia="zh-CN"/>
        </w:rPr>
        <w:t>、《</w:t>
      </w:r>
      <w:r>
        <w:rPr>
          <w:rFonts w:hint="eastAsia"/>
          <w:sz w:val="32"/>
          <w:szCs w:val="32"/>
        </w:rPr>
        <w:t>关于同意实施城桥镇西门</w:t>
      </w:r>
      <w:r>
        <w:rPr>
          <w:rFonts w:hint="eastAsia" w:ascii="仿宋_GB2312" w:eastAsia="仿宋_GB2312"/>
          <w:sz w:val="32"/>
          <w:szCs w:val="32"/>
          <w:lang w:val="en-US" w:eastAsia="zh-CN"/>
        </w:rPr>
        <w:t>南</w:t>
      </w:r>
      <w:r>
        <w:rPr>
          <w:rFonts w:hint="eastAsia"/>
          <w:sz w:val="32"/>
          <w:szCs w:val="32"/>
        </w:rPr>
        <w:t>村“美丽家园</w:t>
      </w:r>
      <w:r>
        <w:rPr>
          <w:rFonts w:hint="eastAsia" w:eastAsia="仿宋_GB2312"/>
          <w:sz w:val="32"/>
          <w:szCs w:val="32"/>
          <w:lang w:eastAsia="zh-CN"/>
        </w:rPr>
        <w:t>”</w:t>
      </w:r>
      <w:r>
        <w:rPr>
          <w:rFonts w:hint="eastAsia"/>
          <w:sz w:val="32"/>
          <w:szCs w:val="32"/>
        </w:rPr>
        <w:t>改造工程的批复</w:t>
      </w:r>
      <w:r>
        <w:rPr>
          <w:rFonts w:hint="eastAsia" w:eastAsia="仿宋_GB2312"/>
          <w:sz w:val="32"/>
          <w:szCs w:val="32"/>
          <w:lang w:eastAsia="zh-CN"/>
        </w:rPr>
        <w:t>》</w:t>
      </w:r>
      <w:r>
        <w:rPr>
          <w:rFonts w:hint="eastAsia"/>
          <w:sz w:val="32"/>
          <w:szCs w:val="32"/>
        </w:rPr>
        <w:t>（沪崇房管〔20</w:t>
      </w:r>
      <w:r>
        <w:rPr>
          <w:rFonts w:hint="eastAsia" w:ascii="仿宋_GB2312" w:eastAsia="仿宋_GB2312"/>
          <w:sz w:val="32"/>
          <w:szCs w:val="32"/>
          <w:lang w:val="en-US" w:eastAsia="zh-CN"/>
        </w:rPr>
        <w:t>20</w:t>
      </w:r>
      <w:r>
        <w:rPr>
          <w:rFonts w:hint="eastAsia"/>
          <w:sz w:val="32"/>
          <w:szCs w:val="32"/>
        </w:rPr>
        <w:t>〕3</w:t>
      </w:r>
      <w:r>
        <w:rPr>
          <w:rFonts w:hint="eastAsia" w:ascii="仿宋_GB2312" w:eastAsia="仿宋_GB2312"/>
          <w:sz w:val="32"/>
          <w:szCs w:val="32"/>
          <w:lang w:val="en-US" w:eastAsia="zh-CN"/>
        </w:rPr>
        <w:t>7</w:t>
      </w:r>
      <w:r>
        <w:rPr>
          <w:rFonts w:hint="eastAsia"/>
          <w:sz w:val="32"/>
          <w:szCs w:val="32"/>
        </w:rPr>
        <w:t>号）</w:t>
      </w:r>
      <w:r>
        <w:rPr>
          <w:rFonts w:hint="eastAsia" w:eastAsia="仿宋_GB2312"/>
          <w:sz w:val="32"/>
          <w:szCs w:val="32"/>
          <w:lang w:eastAsia="zh-CN"/>
        </w:rPr>
        <w:t>、《</w:t>
      </w:r>
      <w:r>
        <w:rPr>
          <w:rFonts w:hint="eastAsia"/>
          <w:sz w:val="32"/>
          <w:szCs w:val="32"/>
        </w:rPr>
        <w:t>关于同意实施城桥镇</w:t>
      </w:r>
      <w:r>
        <w:rPr>
          <w:rFonts w:hint="eastAsia" w:ascii="仿宋_GB2312" w:eastAsia="仿宋_GB2312"/>
          <w:sz w:val="32"/>
          <w:szCs w:val="32"/>
          <w:lang w:val="en-US" w:eastAsia="zh-CN"/>
        </w:rPr>
        <w:t>北门新村</w:t>
      </w:r>
      <w:r>
        <w:rPr>
          <w:rFonts w:hint="eastAsia"/>
          <w:sz w:val="32"/>
          <w:szCs w:val="32"/>
        </w:rPr>
        <w:t>“美丽家园</w:t>
      </w:r>
      <w:r>
        <w:rPr>
          <w:rFonts w:hint="eastAsia" w:eastAsia="仿宋_GB2312"/>
          <w:sz w:val="32"/>
          <w:szCs w:val="32"/>
          <w:lang w:eastAsia="zh-CN"/>
        </w:rPr>
        <w:t>”</w:t>
      </w:r>
      <w:r>
        <w:rPr>
          <w:rFonts w:hint="eastAsia"/>
          <w:sz w:val="32"/>
          <w:szCs w:val="32"/>
        </w:rPr>
        <w:t>改造工程的批复</w:t>
      </w:r>
      <w:r>
        <w:rPr>
          <w:rFonts w:hint="eastAsia" w:eastAsia="仿宋_GB2312"/>
          <w:sz w:val="32"/>
          <w:szCs w:val="32"/>
          <w:lang w:eastAsia="zh-CN"/>
        </w:rPr>
        <w:t>》</w:t>
      </w:r>
      <w:r>
        <w:rPr>
          <w:rFonts w:hint="eastAsia"/>
          <w:sz w:val="32"/>
          <w:szCs w:val="32"/>
        </w:rPr>
        <w:t>（沪崇房管〔20</w:t>
      </w:r>
      <w:r>
        <w:rPr>
          <w:rFonts w:hint="eastAsia" w:ascii="仿宋_GB2312" w:eastAsia="仿宋_GB2312"/>
          <w:sz w:val="32"/>
          <w:szCs w:val="32"/>
          <w:lang w:val="en-US" w:eastAsia="zh-CN"/>
        </w:rPr>
        <w:t>20</w:t>
      </w:r>
      <w:r>
        <w:rPr>
          <w:rFonts w:hint="eastAsia"/>
          <w:sz w:val="32"/>
          <w:szCs w:val="32"/>
        </w:rPr>
        <w:t>〕</w:t>
      </w:r>
      <w:r>
        <w:rPr>
          <w:rFonts w:hint="eastAsia" w:ascii="仿宋_GB2312" w:eastAsia="仿宋_GB2312"/>
          <w:sz w:val="32"/>
          <w:szCs w:val="32"/>
          <w:lang w:val="en-US" w:eastAsia="zh-CN"/>
        </w:rPr>
        <w:t>40</w:t>
      </w:r>
      <w:r>
        <w:rPr>
          <w:rFonts w:hint="eastAsia"/>
          <w:sz w:val="32"/>
          <w:szCs w:val="32"/>
        </w:rPr>
        <w:t>号）</w:t>
      </w:r>
      <w:r>
        <w:rPr>
          <w:rFonts w:hint="eastAsia" w:eastAsia="仿宋_GB2312"/>
          <w:sz w:val="32"/>
          <w:szCs w:val="32"/>
          <w:lang w:eastAsia="zh-CN"/>
        </w:rPr>
        <w:t>、《</w:t>
      </w:r>
      <w:r>
        <w:rPr>
          <w:rFonts w:hint="eastAsia"/>
          <w:sz w:val="32"/>
          <w:szCs w:val="32"/>
        </w:rPr>
        <w:t>关于同意实施城桥镇</w:t>
      </w:r>
      <w:r>
        <w:rPr>
          <w:rFonts w:hint="eastAsia" w:ascii="仿宋_GB2312" w:eastAsia="仿宋_GB2312"/>
          <w:sz w:val="32"/>
          <w:szCs w:val="32"/>
          <w:lang w:val="en-US" w:eastAsia="zh-CN"/>
        </w:rPr>
        <w:t>城西新村等</w:t>
      </w:r>
      <w:r>
        <w:rPr>
          <w:rFonts w:hint="eastAsia"/>
          <w:sz w:val="32"/>
          <w:szCs w:val="32"/>
        </w:rPr>
        <w:t>“美丽家园</w:t>
      </w:r>
      <w:r>
        <w:rPr>
          <w:rFonts w:hint="eastAsia" w:eastAsia="仿宋_GB2312"/>
          <w:sz w:val="32"/>
          <w:szCs w:val="32"/>
          <w:lang w:eastAsia="zh-CN"/>
        </w:rPr>
        <w:t>”</w:t>
      </w:r>
      <w:r>
        <w:rPr>
          <w:rFonts w:hint="eastAsia"/>
          <w:sz w:val="32"/>
          <w:szCs w:val="32"/>
        </w:rPr>
        <w:t>改造工程的批复</w:t>
      </w:r>
      <w:r>
        <w:rPr>
          <w:rFonts w:hint="eastAsia" w:eastAsia="仿宋_GB2312"/>
          <w:sz w:val="32"/>
          <w:szCs w:val="32"/>
          <w:lang w:eastAsia="zh-CN"/>
        </w:rPr>
        <w:t>》</w:t>
      </w:r>
      <w:r>
        <w:rPr>
          <w:rFonts w:hint="eastAsia"/>
          <w:sz w:val="32"/>
          <w:szCs w:val="32"/>
        </w:rPr>
        <w:t>（沪崇房管〔20</w:t>
      </w:r>
      <w:r>
        <w:rPr>
          <w:rFonts w:hint="eastAsia" w:ascii="仿宋_GB2312" w:eastAsia="仿宋_GB2312"/>
          <w:sz w:val="32"/>
          <w:szCs w:val="32"/>
          <w:lang w:val="en-US" w:eastAsia="zh-CN"/>
        </w:rPr>
        <w:t>20</w:t>
      </w:r>
      <w:r>
        <w:rPr>
          <w:rFonts w:hint="eastAsia"/>
          <w:sz w:val="32"/>
          <w:szCs w:val="32"/>
        </w:rPr>
        <w:t>〕3</w:t>
      </w:r>
      <w:r>
        <w:rPr>
          <w:rFonts w:hint="eastAsia" w:ascii="仿宋_GB2312" w:eastAsia="仿宋_GB2312"/>
          <w:sz w:val="32"/>
          <w:szCs w:val="32"/>
          <w:lang w:val="en-US" w:eastAsia="zh-CN"/>
        </w:rPr>
        <w:t>9</w:t>
      </w:r>
      <w:r>
        <w:rPr>
          <w:rFonts w:hint="eastAsia"/>
          <w:sz w:val="32"/>
          <w:szCs w:val="32"/>
        </w:rPr>
        <w:t>号）</w:t>
      </w:r>
      <w:r>
        <w:rPr>
          <w:rFonts w:hint="eastAsia" w:eastAsia="仿宋_GB2312"/>
          <w:sz w:val="32"/>
          <w:szCs w:val="32"/>
          <w:lang w:eastAsia="zh-CN"/>
        </w:rPr>
        <w:t>。</w:t>
      </w:r>
    </w:p>
    <w:p>
      <w:pPr>
        <w:ind w:firstLine="560"/>
        <w:rPr>
          <w:rFonts w:hint="eastAsia" w:eastAsia="仿宋_GB2312"/>
          <w:sz w:val="32"/>
          <w:szCs w:val="32"/>
          <w:lang w:eastAsia="zh-CN"/>
        </w:rPr>
      </w:pPr>
      <w:r>
        <w:rPr>
          <w:rFonts w:hint="eastAsia" w:ascii="仿宋_GB2312" w:eastAsia="仿宋_GB2312"/>
          <w:sz w:val="32"/>
          <w:szCs w:val="32"/>
          <w:lang w:val="en-US" w:eastAsia="zh-CN"/>
        </w:rPr>
        <w:t>立项文件详见附件6。</w:t>
      </w:r>
    </w:p>
    <w:p>
      <w:pPr>
        <w:pStyle w:val="3"/>
        <w:rPr>
          <w:rFonts w:hint="default" w:eastAsia="方正楷体_GB2312"/>
          <w:sz w:val="32"/>
          <w:szCs w:val="32"/>
          <w:lang w:val="en-US" w:eastAsia="zh-CN"/>
        </w:rPr>
      </w:pPr>
      <w:bookmarkStart w:id="19" w:name="_Toc4849"/>
      <w:bookmarkStart w:id="20" w:name="_Toc10775"/>
      <w:bookmarkStart w:id="21" w:name="_Toc314496157"/>
      <w:bookmarkStart w:id="22" w:name="_Toc320534547"/>
      <w:bookmarkStart w:id="23" w:name="_Toc313951560"/>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二</w:t>
      </w:r>
      <w:r>
        <w:rPr>
          <w:rFonts w:hint="eastAsia" w:ascii="方正楷体_GB2312" w:hAnsi="方正楷体_GB2312" w:eastAsia="方正楷体_GB2312" w:cs="方正楷体_GB2312"/>
          <w:sz w:val="32"/>
          <w:szCs w:val="32"/>
        </w:rPr>
        <w:t>）项目实施计划</w:t>
      </w:r>
      <w:bookmarkEnd w:id="19"/>
      <w:r>
        <w:rPr>
          <w:rFonts w:hint="eastAsia" w:ascii="方正楷体_GB2312" w:hAnsi="方正楷体_GB2312" w:eastAsia="方正楷体_GB2312" w:cs="方正楷体_GB2312"/>
          <w:sz w:val="32"/>
          <w:szCs w:val="32"/>
          <w:lang w:val="en-US" w:eastAsia="zh-CN"/>
        </w:rPr>
        <w:t>及完成情况</w:t>
      </w:r>
      <w:bookmarkEnd w:id="20"/>
    </w:p>
    <w:p>
      <w:pPr>
        <w:ind w:firstLine="649" w:firstLineChars="202"/>
        <w:contextualSpacing w:val="0"/>
        <w:outlineLvl w:val="2"/>
        <w:rPr>
          <w:rFonts w:hint="default"/>
          <w:sz w:val="32"/>
          <w:szCs w:val="32"/>
          <w:lang w:val="en-US" w:eastAsia="zh-CN"/>
        </w:rPr>
      </w:pPr>
      <w:bookmarkStart w:id="24" w:name="_Toc1406"/>
      <w:r>
        <w:rPr>
          <w:rFonts w:hint="eastAsia"/>
          <w:b/>
          <w:bCs/>
          <w:sz w:val="32"/>
          <w:szCs w:val="32"/>
          <w:lang w:val="en-US" w:eastAsia="zh-CN"/>
        </w:rPr>
        <w:t>1.项目计划实施内容</w:t>
      </w:r>
      <w:bookmarkEnd w:id="24"/>
    </w:p>
    <w:p>
      <w:pPr>
        <w:ind w:firstLine="646" w:firstLineChars="202"/>
        <w:contextualSpacing w:val="0"/>
        <w:rPr>
          <w:rFonts w:hint="default"/>
          <w:lang w:val="en-US" w:eastAsia="zh-CN"/>
        </w:rPr>
      </w:pPr>
      <w:r>
        <w:rPr>
          <w:rFonts w:hint="eastAsia" w:ascii="仿宋_GB2312" w:eastAsia="仿宋_GB2312"/>
          <w:sz w:val="32"/>
          <w:szCs w:val="32"/>
          <w:highlight w:val="none"/>
          <w:lang w:val="en-US" w:eastAsia="zh-CN"/>
        </w:rPr>
        <w:t>项目建设地位于崇明区城桥镇，包括西门北村、南门路小区等、南门新村等、西门南村、北门新村、城西新村等6个老旧小区（片区），全部为2000年以前建成的老旧房屋，在选择优先改造对象时，城桥镇人民政府本次以城区主干道周边房屋为主，项目</w:t>
      </w:r>
      <w:r>
        <w:rPr>
          <w:rFonts w:hint="eastAsia" w:ascii="仿宋_GB2312" w:eastAsia="仿宋_GB2312"/>
          <w:sz w:val="32"/>
          <w:szCs w:val="32"/>
          <w:lang w:val="en-US" w:eastAsia="zh-CN"/>
        </w:rPr>
        <w:t>改造内容均为屋面及相关设施改造</w:t>
      </w:r>
      <w:r>
        <w:rPr>
          <w:rFonts w:hint="eastAsia" w:eastAsia="仿宋_GB2312"/>
          <w:sz w:val="32"/>
          <w:szCs w:val="32"/>
          <w:lang w:eastAsia="zh-CN"/>
        </w:rPr>
        <w:t>，</w:t>
      </w:r>
      <w:r>
        <w:rPr>
          <w:rFonts w:hint="eastAsia" w:ascii="仿宋_GB2312" w:eastAsia="仿宋_GB2312"/>
          <w:sz w:val="32"/>
          <w:szCs w:val="32"/>
          <w:lang w:val="en-US" w:eastAsia="zh-CN"/>
        </w:rPr>
        <w:t>小区基本情况和具体改造内容见下表1-1，项目改造平面图，详见附件</w:t>
      </w:r>
      <w:r>
        <w:rPr>
          <w:rFonts w:hint="eastAsia"/>
          <w:sz w:val="32"/>
          <w:szCs w:val="32"/>
          <w:lang w:val="en-US" w:eastAsia="zh-CN"/>
        </w:rPr>
        <w:t>2</w:t>
      </w:r>
      <w:r>
        <w:rPr>
          <w:rFonts w:hint="eastAsia" w:ascii="仿宋_GB2312" w:eastAsia="仿宋_GB2312"/>
          <w:sz w:val="32"/>
          <w:szCs w:val="32"/>
          <w:lang w:val="en-US" w:eastAsia="zh-CN"/>
        </w:rPr>
        <w:t>。</w:t>
      </w:r>
    </w:p>
    <w:p>
      <w:pPr>
        <w:ind w:firstLine="0" w:firstLineChars="0"/>
        <w:jc w:val="center"/>
        <w:rPr>
          <w:rFonts w:hint="eastAsia" w:hAnsi="Microsoft JhengHei" w:eastAsia="仿宋_GB2312"/>
          <w:lang w:eastAsia="zh-CN"/>
        </w:rPr>
      </w:pPr>
      <w:r>
        <w:rPr>
          <w:rFonts w:hint="eastAsia" w:hAnsi="Microsoft JhengHei"/>
          <w:b/>
          <w:bCs/>
          <w:sz w:val="24"/>
          <w:szCs w:val="24"/>
        </w:rPr>
        <w:t>表</w:t>
      </w:r>
      <w:r>
        <w:rPr>
          <w:rFonts w:hint="eastAsia" w:hAnsi="Microsoft JhengHei"/>
          <w:b/>
          <w:bCs/>
          <w:sz w:val="24"/>
          <w:szCs w:val="24"/>
          <w:lang w:val="en-US" w:eastAsia="zh-CN"/>
        </w:rPr>
        <w:t>1-1</w:t>
      </w:r>
      <w:r>
        <w:rPr>
          <w:rFonts w:hint="eastAsia" w:hAnsi="Microsoft JhengHei"/>
          <w:b/>
          <w:bCs/>
          <w:sz w:val="24"/>
          <w:szCs w:val="24"/>
        </w:rPr>
        <w:t xml:space="preserve"> </w:t>
      </w:r>
      <w:r>
        <w:rPr>
          <w:rFonts w:hint="eastAsia" w:hAnsi="Microsoft JhengHei"/>
          <w:b/>
          <w:bCs/>
          <w:sz w:val="24"/>
          <w:szCs w:val="24"/>
          <w:lang w:val="en-US" w:eastAsia="zh-CN"/>
        </w:rPr>
        <w:t>项目计划实施内容</w:t>
      </w:r>
      <w:r>
        <w:rPr>
          <w:rFonts w:hint="eastAsia" w:hAnsi="Microsoft JhengHei"/>
          <w:b/>
          <w:bCs/>
          <w:sz w:val="24"/>
          <w:szCs w:val="24"/>
        </w:rPr>
        <w:t>表</w:t>
      </w:r>
      <w:r>
        <w:rPr>
          <w:rFonts w:hint="eastAsia" w:hAnsi="Microsoft JhengHei"/>
          <w:b/>
          <w:bCs/>
          <w:sz w:val="24"/>
          <w:szCs w:val="24"/>
          <w:lang w:eastAsia="zh-CN"/>
        </w:rPr>
        <w:t>（</w:t>
      </w:r>
      <w:r>
        <w:rPr>
          <w:rFonts w:hint="eastAsia" w:hAnsi="Microsoft JhengHei"/>
          <w:b/>
          <w:bCs/>
          <w:sz w:val="24"/>
          <w:szCs w:val="24"/>
          <w:lang w:val="en-US" w:eastAsia="zh-CN"/>
        </w:rPr>
        <w:t>按小区分</w:t>
      </w:r>
      <w:r>
        <w:rPr>
          <w:rFonts w:hint="eastAsia" w:hAnsi="Microsoft JhengHei"/>
          <w:b/>
          <w:bCs/>
          <w:sz w:val="24"/>
          <w:szCs w:val="24"/>
          <w:lang w:eastAsia="zh-CN"/>
        </w:rPr>
        <w:t>）</w:t>
      </w:r>
    </w:p>
    <w:tbl>
      <w:tblPr>
        <w:tblStyle w:val="37"/>
        <w:tblW w:w="8434" w:type="dxa"/>
        <w:tblInd w:w="108" w:type="dxa"/>
        <w:tblLayout w:type="fixed"/>
        <w:tblCellMar>
          <w:top w:w="0" w:type="dxa"/>
          <w:left w:w="108" w:type="dxa"/>
          <w:bottom w:w="0" w:type="dxa"/>
          <w:right w:w="108" w:type="dxa"/>
        </w:tblCellMar>
      </w:tblPr>
      <w:tblGrid>
        <w:gridCol w:w="682"/>
        <w:gridCol w:w="852"/>
        <w:gridCol w:w="3420"/>
        <w:gridCol w:w="3480"/>
      </w:tblGrid>
      <w:tr>
        <w:tblPrEx>
          <w:tblLayout w:type="fixed"/>
          <w:tblCellMar>
            <w:top w:w="0" w:type="dxa"/>
            <w:left w:w="108" w:type="dxa"/>
            <w:bottom w:w="0" w:type="dxa"/>
            <w:right w:w="108" w:type="dxa"/>
          </w:tblCellMar>
        </w:tblPrEx>
        <w:trPr>
          <w:trHeight w:val="327" w:hRule="atLeast"/>
          <w:tblHeader/>
        </w:trPr>
        <w:tc>
          <w:tcPr>
            <w:tcW w:w="682"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Ansi="宋体" w:cs="宋体"/>
                <w:b/>
                <w:bCs/>
                <w:color w:val="000000"/>
                <w:kern w:val="0"/>
                <w:sz w:val="21"/>
                <w:szCs w:val="21"/>
              </w:rPr>
            </w:pPr>
            <w:r>
              <w:rPr>
                <w:rFonts w:hint="eastAsia" w:hAnsi="宋体" w:cs="宋体"/>
                <w:b/>
                <w:bCs/>
                <w:color w:val="000000"/>
                <w:kern w:val="0"/>
                <w:sz w:val="21"/>
                <w:szCs w:val="21"/>
              </w:rPr>
              <w:t>序号</w:t>
            </w:r>
          </w:p>
        </w:tc>
        <w:tc>
          <w:tcPr>
            <w:tcW w:w="852"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小区</w:t>
            </w:r>
          </w:p>
        </w:tc>
        <w:tc>
          <w:tcPr>
            <w:tcW w:w="3420"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小区基本情况</w:t>
            </w:r>
          </w:p>
        </w:tc>
        <w:tc>
          <w:tcPr>
            <w:tcW w:w="3480"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hAnsi="宋体" w:cs="宋体"/>
                <w:b/>
                <w:bCs/>
                <w:color w:val="000000"/>
                <w:kern w:val="0"/>
                <w:sz w:val="21"/>
                <w:szCs w:val="21"/>
                <w:lang w:val="en-US" w:eastAsia="zh-CN"/>
              </w:rPr>
            </w:pPr>
            <w:r>
              <w:rPr>
                <w:rFonts w:hint="eastAsia" w:hAnsi="宋体" w:cs="宋体"/>
                <w:b/>
                <w:bCs/>
                <w:color w:val="000000"/>
                <w:kern w:val="0"/>
                <w:sz w:val="21"/>
                <w:szCs w:val="21"/>
                <w:lang w:val="en-US" w:eastAsia="zh-CN"/>
              </w:rPr>
              <w:t>具体建设内容（发改委批复）</w:t>
            </w:r>
          </w:p>
        </w:tc>
      </w:tr>
      <w:tr>
        <w:tblPrEx>
          <w:tblLayout w:type="fixed"/>
          <w:tblCellMar>
            <w:top w:w="0" w:type="dxa"/>
            <w:left w:w="108" w:type="dxa"/>
            <w:bottom w:w="0" w:type="dxa"/>
            <w:right w:w="108" w:type="dxa"/>
          </w:tblCellMar>
        </w:tblPrEx>
        <w:trPr>
          <w:trHeight w:val="327"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1</w:t>
            </w:r>
          </w:p>
        </w:tc>
        <w:tc>
          <w:tcPr>
            <w:tcW w:w="852"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西门北村</w:t>
            </w:r>
          </w:p>
        </w:tc>
        <w:tc>
          <w:tcPr>
            <w:tcW w:w="342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hAnsi="宋体" w:cs="宋体"/>
                <w:color w:val="000000"/>
                <w:kern w:val="0"/>
                <w:sz w:val="21"/>
                <w:szCs w:val="21"/>
                <w:lang w:val="en-US" w:eastAsia="zh-CN"/>
              </w:rPr>
              <w:t>住户总建筑面积为95006.2</w:t>
            </w:r>
            <w:r>
              <w:rPr>
                <w:rFonts w:hint="eastAsia" w:hAnsi="宋体" w:cs="宋体"/>
                <w:color w:val="000000"/>
                <w:kern w:val="0"/>
                <w:sz w:val="21"/>
                <w:szCs w:val="21"/>
                <w:lang w:val="en-US" w:eastAsia="zh-CN" w:bidi="ar-SA"/>
              </w:rPr>
              <w:t>平方米</w:t>
            </w:r>
            <w:r>
              <w:rPr>
                <w:rFonts w:hint="default" w:hAnsi="宋体" w:cs="宋体"/>
                <w:color w:val="000000"/>
                <w:kern w:val="0"/>
                <w:sz w:val="21"/>
                <w:szCs w:val="21"/>
                <w:lang w:val="en-US" w:eastAsia="zh-CN"/>
              </w:rPr>
              <w:t>，涉及户数1550户。共有6层砖混结构房屋11幢，5层砖混结构房屋32幢。87个单元。小区为售后公房。</w:t>
            </w:r>
          </w:p>
        </w:tc>
        <w:tc>
          <w:tcPr>
            <w:tcW w:w="348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ascii="仿宋_GB2312" w:hAnsi="宋体" w:eastAsia="仿宋_GB2312" w:cs="宋体"/>
                <w:color w:val="000000"/>
                <w:kern w:val="0"/>
                <w:sz w:val="21"/>
                <w:szCs w:val="21"/>
                <w:lang w:val="en-US" w:eastAsia="zh-CN" w:bidi="ar-SA"/>
              </w:rPr>
              <w:t>道路维修26260.37</w:t>
            </w:r>
            <w:r>
              <w:rPr>
                <w:rFonts w:hint="eastAsia" w:hAnsi="宋体" w:cs="宋体"/>
                <w:color w:val="000000"/>
                <w:kern w:val="0"/>
                <w:sz w:val="21"/>
                <w:szCs w:val="21"/>
                <w:lang w:val="en-US" w:eastAsia="zh-CN" w:bidi="ar-SA"/>
              </w:rPr>
              <w:t>平方米</w:t>
            </w:r>
            <w:r>
              <w:rPr>
                <w:rFonts w:hint="default" w:ascii="仿宋_GB2312" w:hAnsi="宋体" w:eastAsia="仿宋_GB2312" w:cs="宋体"/>
                <w:color w:val="000000"/>
                <w:kern w:val="0"/>
                <w:sz w:val="21"/>
                <w:szCs w:val="21"/>
                <w:lang w:val="en-US" w:eastAsia="zh-CN" w:bidi="ar-SA"/>
              </w:rPr>
              <w:t>，铺侧、平石7886.07米，植草砖等停车位2157.95平方米，绿化提升14925.47平方米，屋面维修5992.24平方米，外立面维修67649.48平方米，非机动车库维修8420.82平方米，管线入地95006.2平方米及健身步道、安防设施等;敷设雨水管道6446米，污水管道6760米及检查井、化类池、道路修复等</w:t>
            </w:r>
          </w:p>
        </w:tc>
      </w:tr>
      <w:tr>
        <w:tblPrEx>
          <w:tblLayout w:type="fixed"/>
          <w:tblCellMar>
            <w:top w:w="0" w:type="dxa"/>
            <w:left w:w="108" w:type="dxa"/>
            <w:bottom w:w="0" w:type="dxa"/>
            <w:right w:w="108" w:type="dxa"/>
          </w:tblCellMar>
        </w:tblPrEx>
        <w:trPr>
          <w:trHeight w:val="327"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2</w:t>
            </w:r>
          </w:p>
        </w:tc>
        <w:tc>
          <w:tcPr>
            <w:tcW w:w="852"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南门路小区等</w:t>
            </w:r>
          </w:p>
        </w:tc>
        <w:tc>
          <w:tcPr>
            <w:tcW w:w="342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eastAsia" w:hAnsi="宋体" w:cs="宋体"/>
                <w:color w:val="000000"/>
                <w:kern w:val="0"/>
                <w:sz w:val="21"/>
                <w:szCs w:val="21"/>
                <w:lang w:val="en-US" w:eastAsia="zh-CN"/>
              </w:rPr>
            </w:pPr>
            <w:r>
              <w:rPr>
                <w:rFonts w:hint="default" w:hAnsi="宋体" w:cs="宋体"/>
                <w:color w:val="000000"/>
                <w:kern w:val="0"/>
                <w:sz w:val="21"/>
                <w:szCs w:val="21"/>
                <w:lang w:val="en-US" w:eastAsia="zh-CN"/>
              </w:rPr>
              <w:t>住户</w:t>
            </w:r>
            <w:r>
              <w:rPr>
                <w:rFonts w:hint="default" w:ascii="仿宋_GB2312" w:hAnsi="宋体" w:eastAsia="仿宋_GB2312" w:cs="宋体"/>
                <w:color w:val="000000"/>
                <w:kern w:val="0"/>
                <w:sz w:val="21"/>
                <w:szCs w:val="21"/>
                <w:lang w:val="en-US" w:eastAsia="zh-CN" w:bidi="ar-SA"/>
              </w:rPr>
              <w:t>总建筑面积42985.61平米，共21幢新工房，总户数673户</w:t>
            </w:r>
            <w:r>
              <w:rPr>
                <w:rFonts w:hint="eastAsia" w:hAnsi="宋体" w:cs="宋体"/>
                <w:color w:val="000000"/>
                <w:kern w:val="0"/>
                <w:sz w:val="21"/>
                <w:szCs w:val="21"/>
                <w:lang w:val="en-US" w:eastAsia="zh-CN" w:bidi="ar-SA"/>
              </w:rPr>
              <w:t>，除南门路小区外</w:t>
            </w:r>
            <w:r>
              <w:rPr>
                <w:rFonts w:hint="eastAsia" w:hAnsi="宋体" w:cs="宋体"/>
                <w:color w:val="000000"/>
                <w:kern w:val="0"/>
                <w:sz w:val="21"/>
                <w:szCs w:val="21"/>
                <w:lang w:val="en-US" w:eastAsia="zh-CN"/>
              </w:rPr>
              <w:t>全部为售后公房，具体包括：</w:t>
            </w:r>
          </w:p>
          <w:p>
            <w:pPr>
              <w:widowControl/>
              <w:spacing w:line="240" w:lineRule="auto"/>
              <w:ind w:firstLine="0" w:firstLineChars="0"/>
              <w:contextualSpacing w:val="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（1）南门路小区，涉及户数260户</w:t>
            </w:r>
          </w:p>
          <w:p>
            <w:pPr>
              <w:widowControl/>
              <w:spacing w:line="240" w:lineRule="auto"/>
              <w:ind w:firstLine="0" w:firstLineChars="0"/>
              <w:contextualSpacing w:val="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（2）八一路上的六栋楼，涉及户数197户</w:t>
            </w:r>
          </w:p>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（3）崇安路上的五栋楼，涉及户数101户</w:t>
            </w:r>
          </w:p>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（4）南门港街29号，涉及户数40户</w:t>
            </w:r>
          </w:p>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（5）西门南村48号、49号，涉及户数75户</w:t>
            </w:r>
          </w:p>
        </w:tc>
        <w:tc>
          <w:tcPr>
            <w:tcW w:w="348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ascii="仿宋_GB2312" w:hAnsi="宋体" w:eastAsia="仿宋_GB2312" w:cs="宋体"/>
                <w:color w:val="000000"/>
                <w:kern w:val="0"/>
                <w:sz w:val="21"/>
                <w:szCs w:val="21"/>
                <w:lang w:val="en-US" w:eastAsia="zh-CN" w:bidi="ar-SA"/>
              </w:rPr>
              <w:t>屋面维修8695平方米，外立面维修33605.1平方米，内墙粉刷11029.2平方米，窗户更换813.3平方米，避雷带更换2019米及技防、路灯等;敷设雨水管道3215米，污水管道3570米及窖井、道路修复等</w:t>
            </w:r>
          </w:p>
        </w:tc>
      </w:tr>
      <w:tr>
        <w:tblPrEx>
          <w:tblLayout w:type="fixed"/>
          <w:tblCellMar>
            <w:top w:w="0" w:type="dxa"/>
            <w:left w:w="108" w:type="dxa"/>
            <w:bottom w:w="0" w:type="dxa"/>
            <w:right w:w="108" w:type="dxa"/>
          </w:tblCellMar>
        </w:tblPrEx>
        <w:trPr>
          <w:trHeight w:val="327"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3</w:t>
            </w:r>
          </w:p>
        </w:tc>
        <w:tc>
          <w:tcPr>
            <w:tcW w:w="852"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南门新村等</w:t>
            </w:r>
          </w:p>
        </w:tc>
        <w:tc>
          <w:tcPr>
            <w:tcW w:w="3420" w:type="dxa"/>
            <w:tcBorders>
              <w:top w:val="nil"/>
              <w:left w:val="nil"/>
              <w:bottom w:val="single" w:color="000000" w:sz="8" w:space="0"/>
              <w:right w:val="single" w:color="000000" w:sz="8" w:space="0"/>
            </w:tcBorders>
            <w:shd w:val="clear" w:color="auto" w:fill="auto"/>
            <w:vAlign w:val="center"/>
          </w:tcPr>
          <w:p>
            <w:pPr>
              <w:keepNext w:val="0"/>
              <w:keepLines w:val="0"/>
              <w:widowControl/>
              <w:suppressLineNumbers w:val="0"/>
              <w:spacing w:line="240" w:lineRule="auto"/>
              <w:ind w:left="0" w:leftChars="0" w:firstLine="0" w:firstLineChars="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包括：（1）川心街小区，住户总建筑面积为</w:t>
            </w:r>
            <w:r>
              <w:rPr>
                <w:rFonts w:hint="default" w:hAnsi="宋体" w:cs="宋体"/>
                <w:color w:val="000000"/>
                <w:kern w:val="0"/>
                <w:sz w:val="21"/>
                <w:szCs w:val="21"/>
                <w:lang w:val="en-US" w:eastAsia="zh-CN"/>
              </w:rPr>
              <w:t>24232.32</w:t>
            </w:r>
            <w:r>
              <w:rPr>
                <w:rFonts w:hint="default" w:hAnsi="宋体" w:eastAsia="仿宋_GB2312" w:cs="宋体"/>
                <w:color w:val="000000"/>
                <w:kern w:val="0"/>
                <w:sz w:val="21"/>
                <w:szCs w:val="21"/>
                <w:lang w:val="en-US" w:eastAsia="zh-CN"/>
              </w:rPr>
              <w:t>平方米</w:t>
            </w:r>
            <w:r>
              <w:rPr>
                <w:rFonts w:hint="eastAsia" w:hAnsi="宋体" w:cs="宋体"/>
                <w:color w:val="000000"/>
                <w:kern w:val="0"/>
                <w:sz w:val="21"/>
                <w:szCs w:val="21"/>
                <w:lang w:val="en-US" w:eastAsia="zh-CN"/>
              </w:rPr>
              <w:t>，涉及户数</w:t>
            </w:r>
            <w:r>
              <w:rPr>
                <w:rFonts w:hint="default" w:hAnsi="宋体" w:cs="宋体"/>
                <w:color w:val="000000"/>
                <w:kern w:val="0"/>
                <w:sz w:val="21"/>
                <w:szCs w:val="21"/>
                <w:lang w:val="en-US" w:eastAsia="zh-CN"/>
              </w:rPr>
              <w:t>434</w:t>
            </w:r>
            <w:r>
              <w:rPr>
                <w:rFonts w:hint="eastAsia" w:hAnsi="宋体" w:cs="宋体"/>
                <w:color w:val="000000"/>
                <w:kern w:val="0"/>
                <w:sz w:val="21"/>
                <w:szCs w:val="21"/>
                <w:lang w:val="en-US" w:eastAsia="zh-CN"/>
              </w:rPr>
              <w:t>户；</w:t>
            </w:r>
          </w:p>
          <w:p>
            <w:pPr>
              <w:keepNext w:val="0"/>
              <w:keepLines w:val="0"/>
              <w:widowControl/>
              <w:suppressLineNumbers w:val="0"/>
              <w:spacing w:line="240" w:lineRule="auto"/>
              <w:ind w:left="0" w:leftChars="0" w:firstLine="0" w:firstLineChars="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（2）南门新村，住户总建筑面积为</w:t>
            </w:r>
            <w:r>
              <w:rPr>
                <w:rFonts w:hint="default" w:hAnsi="宋体" w:cs="宋体"/>
                <w:color w:val="000000"/>
                <w:kern w:val="0"/>
                <w:sz w:val="21"/>
                <w:szCs w:val="21"/>
                <w:lang w:val="en-US" w:eastAsia="zh-CN"/>
              </w:rPr>
              <w:t>13200.6</w:t>
            </w:r>
            <w:r>
              <w:rPr>
                <w:rFonts w:hint="default" w:hAnsi="宋体" w:eastAsia="仿宋_GB2312" w:cs="宋体"/>
                <w:color w:val="000000"/>
                <w:kern w:val="0"/>
                <w:sz w:val="21"/>
                <w:szCs w:val="21"/>
                <w:lang w:val="en-US" w:eastAsia="zh-CN"/>
              </w:rPr>
              <w:t>平方米</w:t>
            </w:r>
            <w:r>
              <w:rPr>
                <w:rFonts w:hint="eastAsia" w:hAnsi="宋体" w:cs="宋体"/>
                <w:color w:val="000000"/>
                <w:kern w:val="0"/>
                <w:sz w:val="21"/>
                <w:szCs w:val="21"/>
                <w:lang w:val="en-US" w:eastAsia="zh-CN"/>
              </w:rPr>
              <w:t>，涉及户数</w:t>
            </w:r>
            <w:r>
              <w:rPr>
                <w:rFonts w:hint="default" w:hAnsi="宋体" w:cs="宋体"/>
                <w:color w:val="000000"/>
                <w:kern w:val="0"/>
                <w:sz w:val="21"/>
                <w:szCs w:val="21"/>
                <w:lang w:val="en-US" w:eastAsia="zh-CN"/>
              </w:rPr>
              <w:t>224</w:t>
            </w:r>
            <w:r>
              <w:rPr>
                <w:rFonts w:hint="eastAsia" w:hAnsi="宋体" w:cs="宋体"/>
                <w:color w:val="000000"/>
                <w:kern w:val="0"/>
                <w:sz w:val="21"/>
                <w:szCs w:val="21"/>
                <w:lang w:val="en-US" w:eastAsia="zh-CN"/>
              </w:rPr>
              <w:t>户；</w:t>
            </w:r>
          </w:p>
          <w:p>
            <w:pPr>
              <w:keepNext w:val="0"/>
              <w:keepLines w:val="0"/>
              <w:widowControl/>
              <w:suppressLineNumbers w:val="0"/>
              <w:spacing w:line="240" w:lineRule="auto"/>
              <w:ind w:left="0" w:leftChars="0" w:firstLine="0" w:firstLineChars="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（3）学宫路</w:t>
            </w:r>
            <w:r>
              <w:rPr>
                <w:rFonts w:hint="default" w:hAnsi="宋体" w:cs="宋体"/>
                <w:color w:val="000000"/>
                <w:kern w:val="0"/>
                <w:sz w:val="21"/>
                <w:szCs w:val="21"/>
                <w:lang w:val="en-US" w:eastAsia="zh-CN"/>
              </w:rPr>
              <w:t>405</w:t>
            </w:r>
            <w:r>
              <w:rPr>
                <w:rFonts w:hint="eastAsia" w:hAnsi="宋体" w:cs="宋体"/>
                <w:color w:val="000000"/>
                <w:kern w:val="0"/>
                <w:sz w:val="21"/>
                <w:szCs w:val="21"/>
                <w:lang w:val="en-US" w:eastAsia="zh-CN"/>
              </w:rPr>
              <w:t>弄</w:t>
            </w:r>
            <w:r>
              <w:rPr>
                <w:rFonts w:hint="default" w:hAnsi="宋体" w:cs="宋体"/>
                <w:color w:val="000000"/>
                <w:kern w:val="0"/>
                <w:sz w:val="21"/>
                <w:szCs w:val="21"/>
                <w:lang w:val="en-US" w:eastAsia="zh-CN"/>
              </w:rPr>
              <w:t>1-4</w:t>
            </w:r>
            <w:r>
              <w:rPr>
                <w:rFonts w:hint="eastAsia" w:hAnsi="宋体" w:cs="宋体"/>
                <w:color w:val="000000"/>
                <w:kern w:val="0"/>
                <w:sz w:val="21"/>
                <w:szCs w:val="21"/>
                <w:lang w:val="en-US" w:eastAsia="zh-CN"/>
              </w:rPr>
              <w:t>幢，住户总建筑面积为</w:t>
            </w:r>
            <w:r>
              <w:rPr>
                <w:rFonts w:hint="default" w:hAnsi="宋体" w:cs="宋体"/>
                <w:color w:val="000000"/>
                <w:kern w:val="0"/>
                <w:sz w:val="21"/>
                <w:szCs w:val="21"/>
                <w:lang w:val="en-US" w:eastAsia="zh-CN"/>
              </w:rPr>
              <w:t>8947.01</w:t>
            </w:r>
            <w:r>
              <w:rPr>
                <w:rFonts w:hint="default" w:hAnsi="宋体" w:eastAsia="仿宋_GB2312" w:cs="宋体"/>
                <w:color w:val="000000"/>
                <w:kern w:val="0"/>
                <w:sz w:val="21"/>
                <w:szCs w:val="21"/>
                <w:lang w:val="en-US" w:eastAsia="zh-CN"/>
              </w:rPr>
              <w:t>平方米</w:t>
            </w:r>
            <w:r>
              <w:rPr>
                <w:rFonts w:hint="eastAsia" w:hAnsi="宋体" w:cs="宋体"/>
                <w:color w:val="000000"/>
                <w:kern w:val="0"/>
                <w:sz w:val="21"/>
                <w:szCs w:val="21"/>
                <w:lang w:val="en-US" w:eastAsia="zh-CN"/>
              </w:rPr>
              <w:t>，涉及户数</w:t>
            </w:r>
            <w:r>
              <w:rPr>
                <w:rFonts w:hint="default" w:hAnsi="宋体" w:cs="宋体"/>
                <w:color w:val="000000"/>
                <w:kern w:val="0"/>
                <w:sz w:val="21"/>
                <w:szCs w:val="21"/>
                <w:lang w:val="en-US" w:eastAsia="zh-CN"/>
              </w:rPr>
              <w:t>178</w:t>
            </w:r>
            <w:r>
              <w:rPr>
                <w:rFonts w:hint="eastAsia" w:hAnsi="宋体" w:cs="宋体"/>
                <w:color w:val="000000"/>
                <w:kern w:val="0"/>
                <w:sz w:val="21"/>
                <w:szCs w:val="21"/>
                <w:lang w:val="en-US" w:eastAsia="zh-CN"/>
              </w:rPr>
              <w:t>户；</w:t>
            </w:r>
          </w:p>
          <w:p>
            <w:pPr>
              <w:keepNext w:val="0"/>
              <w:keepLines w:val="0"/>
              <w:widowControl/>
              <w:suppressLineNumbers w:val="0"/>
              <w:spacing w:line="240" w:lineRule="auto"/>
              <w:ind w:left="0" w:leftChars="0" w:firstLine="0" w:firstLineChars="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（4）育麟桥路</w:t>
            </w:r>
            <w:r>
              <w:rPr>
                <w:rFonts w:hint="default" w:hAnsi="宋体" w:cs="宋体"/>
                <w:color w:val="000000"/>
                <w:kern w:val="0"/>
                <w:sz w:val="21"/>
                <w:szCs w:val="21"/>
                <w:lang w:val="en-US" w:eastAsia="zh-CN"/>
              </w:rPr>
              <w:t>367-1#</w:t>
            </w:r>
            <w:r>
              <w:rPr>
                <w:rFonts w:hint="eastAsia" w:hAnsi="宋体" w:cs="宋体"/>
                <w:color w:val="000000"/>
                <w:kern w:val="0"/>
                <w:sz w:val="21"/>
                <w:szCs w:val="21"/>
                <w:lang w:val="en-US" w:eastAsia="zh-CN"/>
              </w:rPr>
              <w:t>、</w:t>
            </w:r>
            <w:r>
              <w:rPr>
                <w:rFonts w:hint="default" w:hAnsi="宋体" w:cs="宋体"/>
                <w:color w:val="000000"/>
                <w:kern w:val="0"/>
                <w:sz w:val="21"/>
                <w:szCs w:val="21"/>
                <w:lang w:val="en-US" w:eastAsia="zh-CN"/>
              </w:rPr>
              <w:t>367-2#</w:t>
            </w:r>
            <w:r>
              <w:rPr>
                <w:rFonts w:hint="eastAsia" w:hAnsi="宋体" w:cs="宋体"/>
                <w:color w:val="000000"/>
                <w:kern w:val="0"/>
                <w:sz w:val="21"/>
                <w:szCs w:val="21"/>
                <w:lang w:val="en-US" w:eastAsia="zh-CN"/>
              </w:rPr>
              <w:t>，住户总建筑面积为</w:t>
            </w:r>
            <w:r>
              <w:rPr>
                <w:rFonts w:hint="default" w:hAnsi="宋体" w:cs="宋体"/>
                <w:color w:val="000000"/>
                <w:kern w:val="0"/>
                <w:sz w:val="21"/>
                <w:szCs w:val="21"/>
                <w:lang w:val="en-US" w:eastAsia="zh-CN"/>
              </w:rPr>
              <w:t>1957.7</w:t>
            </w:r>
            <w:r>
              <w:rPr>
                <w:rFonts w:hint="default" w:hAnsi="宋体" w:eastAsia="仿宋_GB2312" w:cs="宋体"/>
                <w:color w:val="000000"/>
                <w:kern w:val="0"/>
                <w:sz w:val="21"/>
                <w:szCs w:val="21"/>
                <w:lang w:val="en-US" w:eastAsia="zh-CN"/>
              </w:rPr>
              <w:t>平方米</w:t>
            </w:r>
            <w:r>
              <w:rPr>
                <w:rFonts w:hint="eastAsia" w:hAnsi="宋体" w:cs="宋体"/>
                <w:color w:val="000000"/>
                <w:kern w:val="0"/>
                <w:sz w:val="21"/>
                <w:szCs w:val="21"/>
                <w:lang w:val="en-US" w:eastAsia="zh-CN"/>
              </w:rPr>
              <w:t>，涉及户数</w:t>
            </w:r>
            <w:r>
              <w:rPr>
                <w:rFonts w:hint="default" w:hAnsi="宋体" w:cs="宋体"/>
                <w:color w:val="000000"/>
                <w:kern w:val="0"/>
                <w:sz w:val="21"/>
                <w:szCs w:val="21"/>
                <w:lang w:val="en-US" w:eastAsia="zh-CN"/>
              </w:rPr>
              <w:t>40</w:t>
            </w:r>
            <w:r>
              <w:rPr>
                <w:rFonts w:hint="eastAsia" w:hAnsi="宋体" w:cs="宋体"/>
                <w:color w:val="000000"/>
                <w:kern w:val="0"/>
                <w:sz w:val="21"/>
                <w:szCs w:val="21"/>
                <w:lang w:val="en-US" w:eastAsia="zh-CN"/>
              </w:rPr>
              <w:t>户；</w:t>
            </w:r>
          </w:p>
          <w:p>
            <w:pPr>
              <w:keepNext w:val="0"/>
              <w:keepLines w:val="0"/>
              <w:widowControl/>
              <w:suppressLineNumbers w:val="0"/>
              <w:spacing w:line="240" w:lineRule="auto"/>
              <w:ind w:left="0" w:leftChars="0" w:firstLine="0" w:firstLineChars="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（5）东门路</w:t>
            </w:r>
            <w:r>
              <w:rPr>
                <w:rFonts w:hint="default" w:hAnsi="宋体" w:cs="宋体"/>
                <w:color w:val="000000"/>
                <w:kern w:val="0"/>
                <w:sz w:val="21"/>
                <w:szCs w:val="21"/>
                <w:lang w:val="en-US" w:eastAsia="zh-CN"/>
              </w:rPr>
              <w:t>184#</w:t>
            </w:r>
            <w:r>
              <w:rPr>
                <w:rFonts w:hint="eastAsia" w:hAnsi="宋体" w:cs="宋体"/>
                <w:color w:val="000000"/>
                <w:kern w:val="0"/>
                <w:sz w:val="21"/>
                <w:szCs w:val="21"/>
                <w:lang w:val="en-US" w:eastAsia="zh-CN"/>
              </w:rPr>
              <w:t>，住户总建筑面积为</w:t>
            </w:r>
            <w:r>
              <w:rPr>
                <w:rFonts w:hint="default" w:hAnsi="宋体" w:cs="宋体"/>
                <w:color w:val="000000"/>
                <w:kern w:val="0"/>
                <w:sz w:val="21"/>
                <w:szCs w:val="21"/>
                <w:lang w:val="en-US" w:eastAsia="zh-CN"/>
              </w:rPr>
              <w:t>1087.8</w:t>
            </w:r>
            <w:r>
              <w:rPr>
                <w:rFonts w:hint="default" w:hAnsi="宋体" w:eastAsia="仿宋_GB2312" w:cs="宋体"/>
                <w:color w:val="000000"/>
                <w:kern w:val="0"/>
                <w:sz w:val="21"/>
                <w:szCs w:val="21"/>
                <w:lang w:val="en-US" w:eastAsia="zh-CN"/>
              </w:rPr>
              <w:t>平方米</w:t>
            </w:r>
            <w:r>
              <w:rPr>
                <w:rFonts w:hint="eastAsia" w:hAnsi="宋体" w:cs="宋体"/>
                <w:color w:val="000000"/>
                <w:kern w:val="0"/>
                <w:sz w:val="21"/>
                <w:szCs w:val="21"/>
                <w:lang w:val="en-US" w:eastAsia="zh-CN"/>
              </w:rPr>
              <w:t>，涉及户数</w:t>
            </w:r>
            <w:r>
              <w:rPr>
                <w:rFonts w:hint="default" w:hAnsi="宋体" w:cs="宋体"/>
                <w:color w:val="000000"/>
                <w:kern w:val="0"/>
                <w:sz w:val="21"/>
                <w:szCs w:val="21"/>
                <w:lang w:val="en-US" w:eastAsia="zh-CN"/>
              </w:rPr>
              <w:t>20</w:t>
            </w:r>
            <w:r>
              <w:rPr>
                <w:rFonts w:hint="eastAsia" w:hAnsi="宋体" w:cs="宋体"/>
                <w:color w:val="000000"/>
                <w:kern w:val="0"/>
                <w:sz w:val="21"/>
                <w:szCs w:val="21"/>
                <w:lang w:val="en-US" w:eastAsia="zh-CN"/>
              </w:rPr>
              <w:t xml:space="preserve">户；  </w:t>
            </w:r>
          </w:p>
          <w:p>
            <w:pPr>
              <w:keepNext w:val="0"/>
              <w:keepLines w:val="0"/>
              <w:widowControl/>
              <w:suppressLineNumbers w:val="0"/>
              <w:spacing w:line="240" w:lineRule="auto"/>
              <w:ind w:left="0" w:leftChars="0" w:firstLine="420" w:firstLineChars="200"/>
              <w:jc w:val="left"/>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房屋性质均属于售后公房</w:t>
            </w:r>
          </w:p>
        </w:tc>
        <w:tc>
          <w:tcPr>
            <w:tcW w:w="348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ascii="仿宋_GB2312" w:hAnsi="宋体" w:eastAsia="仿宋_GB2312" w:cs="宋体"/>
                <w:color w:val="000000"/>
                <w:kern w:val="0"/>
                <w:sz w:val="21"/>
                <w:szCs w:val="21"/>
                <w:lang w:val="en-US" w:eastAsia="zh-CN" w:bidi="ar-SA"/>
              </w:rPr>
              <w:t>绿化提升11712平方米，屋面维修10723平方米，外墙涂料32201.9平方米,更换窗2109.93平方米,公共部位乳胶漆19550平方米等;敷设污水管道951.5米及客井、道路修复等</w:t>
            </w:r>
          </w:p>
        </w:tc>
      </w:tr>
      <w:tr>
        <w:tblPrEx>
          <w:tblLayout w:type="fixed"/>
          <w:tblCellMar>
            <w:top w:w="0" w:type="dxa"/>
            <w:left w:w="108" w:type="dxa"/>
            <w:bottom w:w="0" w:type="dxa"/>
            <w:right w:w="108" w:type="dxa"/>
          </w:tblCellMar>
        </w:tblPrEx>
        <w:trPr>
          <w:trHeight w:val="327"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4</w:t>
            </w:r>
          </w:p>
        </w:tc>
        <w:tc>
          <w:tcPr>
            <w:tcW w:w="852"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西门南村</w:t>
            </w:r>
          </w:p>
        </w:tc>
        <w:tc>
          <w:tcPr>
            <w:tcW w:w="342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eastAsia" w:ascii="仿宋_GB2312" w:hAnsi="宋体" w:eastAsia="仿宋_GB2312" w:cs="宋体"/>
                <w:color w:val="000000"/>
                <w:kern w:val="0"/>
                <w:sz w:val="21"/>
                <w:szCs w:val="21"/>
                <w:lang w:val="en-US" w:eastAsia="zh-CN" w:bidi="ar-SA"/>
              </w:rPr>
            </w:pPr>
            <w:r>
              <w:rPr>
                <w:rFonts w:hint="default" w:hAnsi="宋体" w:cs="宋体"/>
                <w:color w:val="000000"/>
                <w:kern w:val="0"/>
                <w:sz w:val="21"/>
                <w:szCs w:val="21"/>
                <w:lang w:val="en-US" w:eastAsia="zh-CN"/>
              </w:rPr>
              <w:t>住户总建筑面积为103902.9</w:t>
            </w:r>
            <w:r>
              <w:rPr>
                <w:rFonts w:hint="default" w:hAnsi="宋体" w:eastAsia="仿宋_GB2312" w:cs="宋体"/>
                <w:color w:val="000000"/>
                <w:kern w:val="0"/>
                <w:sz w:val="21"/>
                <w:szCs w:val="21"/>
                <w:lang w:val="en-US" w:eastAsia="zh-CN"/>
              </w:rPr>
              <w:t>平方米</w:t>
            </w:r>
            <w:r>
              <w:rPr>
                <w:rFonts w:hint="default" w:hAnsi="宋体" w:cs="宋体"/>
                <w:color w:val="000000"/>
                <w:kern w:val="0"/>
                <w:sz w:val="21"/>
                <w:szCs w:val="21"/>
                <w:lang w:val="en-US" w:eastAsia="zh-CN"/>
              </w:rPr>
              <w:t>，涉及户数1976户</w:t>
            </w:r>
            <w:r>
              <w:rPr>
                <w:rFonts w:hint="eastAsia" w:hAnsi="宋体" w:cs="宋体"/>
                <w:color w:val="000000"/>
                <w:kern w:val="0"/>
                <w:sz w:val="21"/>
                <w:szCs w:val="21"/>
                <w:lang w:val="en-US" w:eastAsia="zh-CN"/>
              </w:rPr>
              <w:t>，共有房屋57幢</w:t>
            </w:r>
          </w:p>
        </w:tc>
        <w:tc>
          <w:tcPr>
            <w:tcW w:w="3480"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hAnsi="宋体" w:cs="宋体"/>
                <w:color w:val="000000"/>
                <w:kern w:val="0"/>
                <w:sz w:val="21"/>
                <w:szCs w:val="21"/>
                <w:lang w:val="en-US" w:eastAsia="zh-CN"/>
              </w:rPr>
              <w:t>道路维修22922平方米，铺侧、平石4000米，植草砖等停车位600平方米，绿化提升11693平方米，屋面维修20957.37平方米，外立面维修63443.52平方米，非机动车库维修5215.57平方米，管线入地103902.9平方米及文体、安防设施等;敷设雨水管道6398米，污水管道5262.2米及检查井、化类池、道路修复等</w:t>
            </w:r>
          </w:p>
        </w:tc>
      </w:tr>
      <w:tr>
        <w:tblPrEx>
          <w:tblLayout w:type="fixed"/>
          <w:tblCellMar>
            <w:top w:w="0" w:type="dxa"/>
            <w:left w:w="108" w:type="dxa"/>
            <w:bottom w:w="0" w:type="dxa"/>
            <w:right w:w="108" w:type="dxa"/>
          </w:tblCellMar>
        </w:tblPrEx>
        <w:trPr>
          <w:trHeight w:val="342"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eastAsia="仿宋_GB2312" w:cs="宋体"/>
                <w:color w:val="000000"/>
                <w:kern w:val="0"/>
                <w:sz w:val="21"/>
                <w:szCs w:val="21"/>
                <w:lang w:eastAsia="zh-CN"/>
              </w:rPr>
            </w:pPr>
            <w:r>
              <w:rPr>
                <w:rFonts w:hint="eastAsia" w:hAnsi="宋体" w:cs="宋体"/>
                <w:color w:val="000000"/>
                <w:kern w:val="0"/>
                <w:sz w:val="21"/>
                <w:szCs w:val="21"/>
                <w:lang w:val="en-US" w:eastAsia="zh-CN"/>
              </w:rPr>
              <w:t>5</w:t>
            </w:r>
          </w:p>
        </w:tc>
        <w:tc>
          <w:tcPr>
            <w:tcW w:w="852"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北门新村</w:t>
            </w:r>
          </w:p>
        </w:tc>
        <w:tc>
          <w:tcPr>
            <w:tcW w:w="3420" w:type="dxa"/>
            <w:tcBorders>
              <w:top w:val="nil"/>
              <w:left w:val="nil"/>
              <w:bottom w:val="single" w:color="000000" w:sz="8" w:space="0"/>
              <w:right w:val="single" w:color="000000" w:sz="8" w:space="0"/>
            </w:tcBorders>
            <w:vAlign w:val="center"/>
          </w:tcPr>
          <w:p>
            <w:pPr>
              <w:keepNext w:val="0"/>
              <w:keepLines w:val="0"/>
              <w:widowControl/>
              <w:suppressLineNumbers w:val="0"/>
              <w:spacing w:line="240" w:lineRule="auto"/>
              <w:ind w:left="0" w:leftChars="0" w:firstLine="0" w:firstLineChars="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小区共有房屋29幢，小区总建筑面积67757.4</w:t>
            </w:r>
            <w:r>
              <w:rPr>
                <w:rFonts w:hint="eastAsia" w:hAnsi="宋体" w:cs="宋体"/>
                <w:color w:val="000000"/>
                <w:kern w:val="0"/>
                <w:sz w:val="21"/>
                <w:szCs w:val="21"/>
                <w:highlight w:val="none"/>
                <w:lang w:val="en-US" w:eastAsia="zh-CN"/>
              </w:rPr>
              <w:t>平方米</w:t>
            </w:r>
            <w:r>
              <w:rPr>
                <w:rFonts w:hint="eastAsia" w:hAnsi="宋体" w:cs="宋体"/>
                <w:color w:val="000000"/>
                <w:kern w:val="0"/>
                <w:sz w:val="21"/>
                <w:szCs w:val="21"/>
                <w:lang w:val="en-US" w:eastAsia="zh-CN"/>
              </w:rPr>
              <w:t>，住户1352户，房屋类型为新工房和商品房</w:t>
            </w:r>
          </w:p>
        </w:tc>
        <w:tc>
          <w:tcPr>
            <w:tcW w:w="3480"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hAnsi="宋体" w:eastAsia="仿宋_GB2312" w:cs="宋体"/>
                <w:color w:val="000000"/>
                <w:kern w:val="0"/>
                <w:sz w:val="21"/>
                <w:szCs w:val="21"/>
                <w:lang w:val="en-US" w:eastAsia="zh-CN"/>
              </w:rPr>
              <w:t>道路维修8314平方米，公共部位维修27045.9平方米，绿化提升7575.4平方米，屋面维修12950平方米，外立面维修57613.2平方米,非机动车库等维修650平方米,管线入地67757.4平方米及健身设施等:敷设雨、污水管道5093.4米及客井、道路修复等</w:t>
            </w:r>
          </w:p>
        </w:tc>
      </w:tr>
      <w:tr>
        <w:tblPrEx>
          <w:tblLayout w:type="fixed"/>
          <w:tblCellMar>
            <w:top w:w="0" w:type="dxa"/>
            <w:left w:w="108" w:type="dxa"/>
            <w:bottom w:w="0" w:type="dxa"/>
            <w:right w:w="108" w:type="dxa"/>
          </w:tblCellMar>
        </w:tblPrEx>
        <w:trPr>
          <w:trHeight w:val="327" w:hRule="atLeast"/>
        </w:trPr>
        <w:tc>
          <w:tcPr>
            <w:tcW w:w="68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eastAsia="仿宋_GB2312" w:cs="宋体"/>
                <w:color w:val="000000"/>
                <w:kern w:val="0"/>
                <w:sz w:val="21"/>
                <w:szCs w:val="21"/>
                <w:lang w:eastAsia="zh-CN"/>
              </w:rPr>
            </w:pPr>
            <w:r>
              <w:rPr>
                <w:rFonts w:hint="eastAsia" w:hAnsi="宋体" w:cs="宋体"/>
                <w:color w:val="000000"/>
                <w:kern w:val="0"/>
                <w:sz w:val="21"/>
                <w:szCs w:val="21"/>
                <w:lang w:val="en-US" w:eastAsia="zh-CN"/>
              </w:rPr>
              <w:t>6</w:t>
            </w:r>
          </w:p>
        </w:tc>
        <w:tc>
          <w:tcPr>
            <w:tcW w:w="852"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城西新村等</w:t>
            </w:r>
          </w:p>
        </w:tc>
        <w:tc>
          <w:tcPr>
            <w:tcW w:w="3420"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共</w:t>
            </w:r>
            <w:r>
              <w:rPr>
                <w:rFonts w:hint="default" w:hAnsi="宋体" w:cs="宋体"/>
                <w:color w:val="000000"/>
                <w:kern w:val="0"/>
                <w:sz w:val="21"/>
                <w:szCs w:val="21"/>
                <w:lang w:val="en-US" w:eastAsia="zh-CN"/>
              </w:rPr>
              <w:t>45幢房屋</w:t>
            </w:r>
            <w:r>
              <w:rPr>
                <w:rFonts w:hint="eastAsia" w:hAnsi="宋体" w:cs="宋体"/>
                <w:color w:val="000000"/>
                <w:kern w:val="0"/>
                <w:sz w:val="21"/>
                <w:szCs w:val="21"/>
                <w:lang w:val="en-US" w:eastAsia="zh-CN"/>
              </w:rPr>
              <w:t>，</w:t>
            </w:r>
            <w:r>
              <w:rPr>
                <w:rFonts w:hint="default" w:hAnsi="宋体" w:cs="宋体"/>
                <w:color w:val="000000"/>
                <w:kern w:val="0"/>
                <w:sz w:val="21"/>
                <w:szCs w:val="21"/>
                <w:lang w:val="en-US" w:eastAsia="zh-CN"/>
              </w:rPr>
              <w:t>总建筑面积为83870.22</w:t>
            </w:r>
            <w:r>
              <w:rPr>
                <w:rFonts w:hint="default" w:hAnsi="宋体" w:eastAsia="仿宋_GB2312" w:cs="宋体"/>
                <w:color w:val="000000"/>
                <w:kern w:val="0"/>
                <w:sz w:val="21"/>
                <w:szCs w:val="21"/>
                <w:lang w:val="en-US" w:eastAsia="zh-CN"/>
              </w:rPr>
              <w:t>平方米</w:t>
            </w:r>
            <w:r>
              <w:rPr>
                <w:rFonts w:hint="default" w:hAnsi="宋体" w:cs="宋体"/>
                <w:color w:val="000000"/>
                <w:kern w:val="0"/>
                <w:sz w:val="21"/>
                <w:szCs w:val="21"/>
                <w:lang w:val="en-US" w:eastAsia="zh-CN"/>
              </w:rPr>
              <w:t>。总户数1526户</w:t>
            </w:r>
            <w:r>
              <w:rPr>
                <w:rFonts w:hint="eastAsia" w:hAnsi="宋体" w:cs="宋体"/>
                <w:color w:val="000000"/>
                <w:kern w:val="0"/>
                <w:sz w:val="21"/>
                <w:szCs w:val="21"/>
                <w:lang w:val="en-US" w:eastAsia="zh-CN"/>
              </w:rPr>
              <w:t>，全部为售后公房，具体包括：</w:t>
            </w:r>
          </w:p>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（1）西门北村55、56、59~83、88~92号，涉及户数1064户，共有房屋32幢。</w:t>
            </w:r>
          </w:p>
          <w:p>
            <w:pPr>
              <w:widowControl/>
              <w:spacing w:line="240" w:lineRule="auto"/>
              <w:ind w:firstLine="0" w:firstLineChars="0"/>
              <w:contextualSpacing w:val="0"/>
              <w:jc w:val="left"/>
            </w:pPr>
            <w:r>
              <w:rPr>
                <w:rFonts w:hint="eastAsia" w:hAnsi="宋体" w:cs="宋体"/>
                <w:color w:val="000000"/>
                <w:kern w:val="0"/>
                <w:sz w:val="21"/>
                <w:szCs w:val="21"/>
                <w:lang w:val="en-US" w:eastAsia="zh-CN"/>
              </w:rPr>
              <w:t>（2）八一路165、199、207号，涉及户数120户，共有房屋3幢。</w:t>
            </w:r>
          </w:p>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（3）中津桥路10号、利民95号，涉及户数84户。</w:t>
            </w:r>
          </w:p>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（4）人民路46号、八一路119、121、131、133、125、127、139号，共有房屋5幢，涉及户数148户。</w:t>
            </w:r>
          </w:p>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（5）东门路36号、学宫路518号、528号，共有房屋3幢，涉及户数110户。</w:t>
            </w:r>
          </w:p>
        </w:tc>
        <w:tc>
          <w:tcPr>
            <w:tcW w:w="3480"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default" w:ascii="仿宋_GB2312" w:hAnsi="宋体" w:eastAsia="仿宋_GB2312" w:cs="宋体"/>
                <w:color w:val="000000"/>
                <w:kern w:val="0"/>
                <w:sz w:val="21"/>
                <w:szCs w:val="21"/>
                <w:lang w:val="en-US" w:eastAsia="zh-CN" w:bidi="ar-SA"/>
              </w:rPr>
              <w:t>道路维修21832.71平方米，铺侧、平石9279.53米，绿化提升8256.79平方米，外立面维修62648.3平方米，围墙维修2699.5平方米及安防设施等:敷设雨水管道6006米，污水管道4284米及检查井、道路修复等</w:t>
            </w:r>
          </w:p>
        </w:tc>
      </w:tr>
    </w:tbl>
    <w:p>
      <w:pPr>
        <w:ind w:left="0" w:leftChars="0" w:firstLine="0" w:firstLineChars="0"/>
        <w:contextualSpacing w:val="0"/>
        <w:rPr>
          <w:rFonts w:hint="default"/>
          <w:lang w:val="en-US" w:eastAsia="zh-CN"/>
        </w:rPr>
      </w:pPr>
    </w:p>
    <w:p>
      <w:pPr>
        <w:ind w:left="0" w:leftChars="0" w:firstLine="640" w:firstLineChars="200"/>
        <w:contextualSpacing w:val="0"/>
        <w:rPr>
          <w:rFonts w:hint="default"/>
          <w:lang w:val="en-US" w:eastAsia="zh-CN"/>
        </w:rPr>
      </w:pPr>
      <w:r>
        <w:rPr>
          <w:rFonts w:hint="eastAsia" w:ascii="仿宋_GB2312" w:eastAsia="仿宋_GB2312"/>
          <w:sz w:val="32"/>
          <w:szCs w:val="32"/>
          <w:lang w:val="en-US" w:eastAsia="zh-CN"/>
        </w:rPr>
        <w:t>按改造项目类别区分，共计改造7大方面：</w:t>
      </w:r>
      <w:r>
        <w:rPr>
          <w:rFonts w:hint="eastAsia"/>
          <w:sz w:val="32"/>
          <w:szCs w:val="32"/>
        </w:rPr>
        <w:t>道路</w:t>
      </w:r>
      <w:r>
        <w:rPr>
          <w:rFonts w:hint="eastAsia" w:ascii="仿宋_GB2312" w:eastAsia="仿宋_GB2312"/>
          <w:sz w:val="32"/>
          <w:szCs w:val="32"/>
          <w:lang w:val="en-US" w:eastAsia="zh-CN"/>
        </w:rPr>
        <w:t>维修</w:t>
      </w:r>
      <w:r>
        <w:rPr>
          <w:rFonts w:hint="eastAsia"/>
          <w:sz w:val="32"/>
          <w:szCs w:val="32"/>
        </w:rPr>
        <w:t>、</w:t>
      </w:r>
      <w:r>
        <w:rPr>
          <w:rFonts w:hint="eastAsia" w:ascii="仿宋_GB2312" w:hAnsiTheme="minorHAnsi" w:cstheme="minorHAnsi"/>
          <w:sz w:val="32"/>
          <w:szCs w:val="32"/>
          <w:lang w:val="en-US" w:eastAsia="zh-CN"/>
        </w:rPr>
        <w:t>屋面维修</w:t>
      </w:r>
      <w:r>
        <w:rPr>
          <w:rFonts w:hint="eastAsia"/>
          <w:sz w:val="32"/>
          <w:szCs w:val="32"/>
        </w:rPr>
        <w:t>、</w:t>
      </w:r>
      <w:r>
        <w:rPr>
          <w:rFonts w:hint="eastAsia" w:ascii="仿宋_GB2312" w:hAnsiTheme="minorHAnsi" w:cstheme="minorHAnsi"/>
          <w:sz w:val="32"/>
          <w:szCs w:val="32"/>
          <w:lang w:val="en-US" w:eastAsia="zh-CN"/>
        </w:rPr>
        <w:t>外立面维修</w:t>
      </w:r>
      <w:r>
        <w:rPr>
          <w:rFonts w:hint="eastAsia"/>
          <w:sz w:val="32"/>
          <w:szCs w:val="32"/>
        </w:rPr>
        <w:t>、</w:t>
      </w:r>
      <w:r>
        <w:rPr>
          <w:rFonts w:hint="eastAsia" w:ascii="仿宋_GB2312" w:hAnsiTheme="minorHAnsi" w:cstheme="minorHAnsi"/>
          <w:sz w:val="32"/>
          <w:szCs w:val="32"/>
          <w:lang w:val="en-US" w:eastAsia="zh-CN"/>
        </w:rPr>
        <w:t>绿化提升</w:t>
      </w:r>
      <w:r>
        <w:rPr>
          <w:rFonts w:hint="eastAsia"/>
          <w:sz w:val="32"/>
          <w:szCs w:val="32"/>
        </w:rPr>
        <w:t>、</w:t>
      </w:r>
      <w:r>
        <w:rPr>
          <w:rFonts w:hint="eastAsia" w:ascii="仿宋_GB2312" w:hAnsiTheme="minorHAnsi" w:cstheme="minorHAnsi"/>
          <w:sz w:val="32"/>
          <w:szCs w:val="32"/>
          <w:lang w:val="en-US" w:eastAsia="zh-CN"/>
        </w:rPr>
        <w:t>管线入地</w:t>
      </w:r>
      <w:r>
        <w:rPr>
          <w:rFonts w:hint="eastAsia"/>
          <w:sz w:val="32"/>
          <w:szCs w:val="32"/>
        </w:rPr>
        <w:t>、</w:t>
      </w:r>
      <w:r>
        <w:rPr>
          <w:rFonts w:hint="eastAsia" w:ascii="仿宋_GB2312" w:hAnsiTheme="minorHAnsi" w:cstheme="minorHAnsi"/>
          <w:sz w:val="32"/>
          <w:szCs w:val="32"/>
          <w:lang w:val="en-US" w:eastAsia="zh-CN"/>
        </w:rPr>
        <w:t>敷设雨污管道以及其他设施更新工作10项</w:t>
      </w:r>
      <w:r>
        <w:rPr>
          <w:rFonts w:hint="eastAsia" w:eastAsia="仿宋_GB2312"/>
          <w:sz w:val="32"/>
          <w:szCs w:val="32"/>
          <w:lang w:eastAsia="zh-CN"/>
        </w:rPr>
        <w:t>，</w:t>
      </w:r>
      <w:r>
        <w:rPr>
          <w:rFonts w:hint="eastAsia" w:ascii="仿宋_GB2312" w:eastAsia="仿宋_GB2312"/>
          <w:sz w:val="32"/>
          <w:szCs w:val="32"/>
          <w:lang w:val="en-US" w:eastAsia="zh-CN"/>
        </w:rPr>
        <w:t>改造内容如下表1-2：</w:t>
      </w:r>
    </w:p>
    <w:p>
      <w:pPr>
        <w:ind w:firstLine="0" w:firstLineChars="0"/>
        <w:jc w:val="center"/>
        <w:rPr>
          <w:rFonts w:hint="eastAsia" w:hAnsi="Microsoft JhengHei" w:eastAsia="仿宋_GB2312"/>
          <w:lang w:eastAsia="zh-CN"/>
        </w:rPr>
      </w:pPr>
      <w:r>
        <w:rPr>
          <w:rFonts w:hint="eastAsia" w:hAnsi="Microsoft JhengHei"/>
          <w:b/>
          <w:bCs/>
          <w:sz w:val="24"/>
          <w:szCs w:val="24"/>
        </w:rPr>
        <w:t>表</w:t>
      </w:r>
      <w:r>
        <w:rPr>
          <w:rFonts w:hint="eastAsia" w:hAnsi="Microsoft JhengHei"/>
          <w:b/>
          <w:bCs/>
          <w:sz w:val="24"/>
          <w:szCs w:val="24"/>
          <w:lang w:val="en-US" w:eastAsia="zh-CN"/>
        </w:rPr>
        <w:t>1-2</w:t>
      </w:r>
      <w:r>
        <w:rPr>
          <w:rFonts w:hint="eastAsia" w:hAnsi="Microsoft JhengHei"/>
          <w:b/>
          <w:bCs/>
          <w:sz w:val="24"/>
          <w:szCs w:val="24"/>
        </w:rPr>
        <w:t xml:space="preserve"> </w:t>
      </w:r>
      <w:r>
        <w:rPr>
          <w:rFonts w:hint="eastAsia" w:hAnsi="Microsoft JhengHei"/>
          <w:b/>
          <w:bCs/>
          <w:sz w:val="24"/>
          <w:szCs w:val="24"/>
          <w:lang w:val="en-US" w:eastAsia="zh-CN"/>
        </w:rPr>
        <w:t>项目计划实施内容</w:t>
      </w:r>
      <w:r>
        <w:rPr>
          <w:rFonts w:hint="eastAsia" w:hAnsi="Microsoft JhengHei"/>
          <w:b/>
          <w:bCs/>
          <w:sz w:val="24"/>
          <w:szCs w:val="24"/>
        </w:rPr>
        <w:t>表</w:t>
      </w:r>
      <w:r>
        <w:rPr>
          <w:rFonts w:hint="eastAsia" w:hAnsi="Microsoft JhengHei"/>
          <w:b/>
          <w:bCs/>
          <w:sz w:val="24"/>
          <w:szCs w:val="24"/>
          <w:lang w:eastAsia="zh-CN"/>
        </w:rPr>
        <w:t>（</w:t>
      </w:r>
      <w:r>
        <w:rPr>
          <w:rFonts w:hint="eastAsia" w:hAnsi="Microsoft JhengHei"/>
          <w:b/>
          <w:bCs/>
          <w:sz w:val="24"/>
          <w:szCs w:val="24"/>
          <w:lang w:val="en-US" w:eastAsia="zh-CN"/>
        </w:rPr>
        <w:t>按项目类别分</w:t>
      </w:r>
      <w:r>
        <w:rPr>
          <w:rFonts w:hint="eastAsia" w:hAnsi="Microsoft JhengHei"/>
          <w:b/>
          <w:bCs/>
          <w:sz w:val="24"/>
          <w:szCs w:val="24"/>
          <w:lang w:eastAsia="zh-CN"/>
        </w:rPr>
        <w:t>）</w:t>
      </w:r>
    </w:p>
    <w:tbl>
      <w:tblPr>
        <w:tblStyle w:val="37"/>
        <w:tblW w:w="8410" w:type="dxa"/>
        <w:tblInd w:w="108" w:type="dxa"/>
        <w:tblLayout w:type="fixed"/>
        <w:tblCellMar>
          <w:top w:w="0" w:type="dxa"/>
          <w:left w:w="108" w:type="dxa"/>
          <w:bottom w:w="0" w:type="dxa"/>
          <w:right w:w="108" w:type="dxa"/>
        </w:tblCellMar>
      </w:tblPr>
      <w:tblGrid>
        <w:gridCol w:w="670"/>
        <w:gridCol w:w="2016"/>
        <w:gridCol w:w="5724"/>
      </w:tblGrid>
      <w:tr>
        <w:tblPrEx>
          <w:tblLayout w:type="fixed"/>
        </w:tblPrEx>
        <w:trPr>
          <w:trHeight w:val="327" w:hRule="atLeast"/>
          <w:tblHeader/>
        </w:trPr>
        <w:tc>
          <w:tcPr>
            <w:tcW w:w="670"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Ansi="宋体" w:cs="宋体"/>
                <w:b/>
                <w:bCs/>
                <w:color w:val="000000"/>
                <w:kern w:val="0"/>
                <w:sz w:val="21"/>
                <w:szCs w:val="21"/>
              </w:rPr>
            </w:pPr>
            <w:r>
              <w:rPr>
                <w:rFonts w:hint="eastAsia" w:hAnsi="宋体" w:cs="宋体"/>
                <w:b/>
                <w:bCs/>
                <w:color w:val="000000"/>
                <w:kern w:val="0"/>
                <w:sz w:val="21"/>
                <w:szCs w:val="21"/>
              </w:rPr>
              <w:t>序号</w:t>
            </w:r>
          </w:p>
        </w:tc>
        <w:tc>
          <w:tcPr>
            <w:tcW w:w="2016"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项目类别</w:t>
            </w:r>
          </w:p>
        </w:tc>
        <w:tc>
          <w:tcPr>
            <w:tcW w:w="5724"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具体建设内容（发改委批复）</w:t>
            </w:r>
          </w:p>
        </w:tc>
      </w:tr>
      <w:tr>
        <w:tblPrEx>
          <w:tblLayout w:type="fixed"/>
        </w:tblPrEx>
        <w:trPr>
          <w:trHeight w:val="327"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1</w:t>
            </w:r>
          </w:p>
        </w:tc>
        <w:tc>
          <w:tcPr>
            <w:tcW w:w="2016"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ascii="仿宋_GB2312" w:hAnsiTheme="minorHAnsi" w:cstheme="minorHAnsi"/>
                <w:sz w:val="21"/>
                <w:szCs w:val="21"/>
                <w:lang w:val="en-US" w:eastAsia="zh-CN"/>
              </w:rPr>
              <w:t>道路维修</w:t>
            </w:r>
          </w:p>
        </w:tc>
        <w:tc>
          <w:tcPr>
            <w:tcW w:w="5724"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涉及4个小区（片区）：北门新村</w:t>
            </w:r>
            <w:r>
              <w:rPr>
                <w:rFonts w:hint="default" w:hAnsi="宋体" w:eastAsia="仿宋_GB2312" w:cs="宋体"/>
                <w:color w:val="000000"/>
                <w:kern w:val="0"/>
                <w:sz w:val="21"/>
                <w:szCs w:val="21"/>
                <w:lang w:val="en-US" w:eastAsia="zh-CN"/>
              </w:rPr>
              <w:t>8314平方米</w:t>
            </w:r>
            <w:r>
              <w:rPr>
                <w:rFonts w:hint="eastAsia" w:hAnsi="宋体" w:cs="宋体"/>
                <w:color w:val="000000"/>
                <w:kern w:val="0"/>
                <w:sz w:val="21"/>
                <w:szCs w:val="21"/>
                <w:lang w:val="en-US" w:eastAsia="zh-CN"/>
              </w:rPr>
              <w:t>、西门南村</w:t>
            </w:r>
            <w:r>
              <w:rPr>
                <w:rFonts w:hint="default" w:hAnsi="宋体" w:cs="宋体"/>
                <w:color w:val="000000"/>
                <w:kern w:val="0"/>
                <w:sz w:val="21"/>
                <w:szCs w:val="21"/>
                <w:lang w:val="en-US" w:eastAsia="zh-CN"/>
              </w:rPr>
              <w:t>22922平方米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城西新村等</w:t>
            </w:r>
            <w:r>
              <w:rPr>
                <w:rFonts w:hint="default" w:ascii="仿宋_GB2312" w:hAnsi="宋体" w:eastAsia="仿宋_GB2312" w:cs="宋体"/>
                <w:color w:val="000000"/>
                <w:kern w:val="0"/>
                <w:sz w:val="21"/>
                <w:szCs w:val="21"/>
                <w:lang w:val="en-US" w:eastAsia="zh-CN" w:bidi="ar-SA"/>
              </w:rPr>
              <w:t>21832.71平方米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西门北村</w:t>
            </w:r>
            <w:r>
              <w:rPr>
                <w:rFonts w:hint="default" w:ascii="仿宋_GB2312" w:hAnsi="宋体" w:eastAsia="仿宋_GB2312" w:cs="宋体"/>
                <w:color w:val="000000"/>
                <w:kern w:val="0"/>
                <w:sz w:val="21"/>
                <w:szCs w:val="21"/>
                <w:lang w:val="en-US" w:eastAsia="zh-CN" w:bidi="ar-SA"/>
              </w:rPr>
              <w:t>26260.37</w:t>
            </w:r>
            <w:r>
              <w:rPr>
                <w:rFonts w:hint="eastAsia" w:hAnsi="宋体" w:cs="宋体"/>
                <w:color w:val="000000"/>
                <w:kern w:val="0"/>
                <w:sz w:val="21"/>
                <w:szCs w:val="21"/>
                <w:lang w:val="en-US" w:eastAsia="zh-CN" w:bidi="ar-SA"/>
              </w:rPr>
              <w:t>平方米</w:t>
            </w:r>
            <w:r>
              <w:rPr>
                <w:rFonts w:hint="eastAsia" w:hAnsi="宋体" w:cs="宋体"/>
                <w:color w:val="000000"/>
                <w:kern w:val="0"/>
                <w:sz w:val="21"/>
                <w:szCs w:val="21"/>
                <w:lang w:val="en-US" w:eastAsia="zh-CN"/>
              </w:rPr>
              <w:t>，合计</w:t>
            </w:r>
            <w:r>
              <w:rPr>
                <w:rFonts w:hint="eastAsia" w:ascii="仿宋_GB2312" w:hAnsiTheme="minorHAnsi" w:cstheme="minorHAnsi"/>
                <w:sz w:val="21"/>
                <w:szCs w:val="21"/>
                <w:lang w:val="en-US" w:eastAsia="zh-CN"/>
              </w:rPr>
              <w:t>79329平方米</w:t>
            </w:r>
          </w:p>
        </w:tc>
      </w:tr>
      <w:tr>
        <w:tblPrEx>
          <w:tblLayout w:type="fixed"/>
        </w:tblPrEx>
        <w:trPr>
          <w:trHeight w:val="90"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2</w:t>
            </w:r>
          </w:p>
        </w:tc>
        <w:tc>
          <w:tcPr>
            <w:tcW w:w="2016"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ascii="仿宋_GB2312" w:hAnsiTheme="minorHAnsi" w:cstheme="minorHAnsi"/>
                <w:sz w:val="21"/>
                <w:szCs w:val="21"/>
                <w:lang w:val="en-US" w:eastAsia="zh-CN"/>
              </w:rPr>
              <w:t>屋面维修</w:t>
            </w:r>
          </w:p>
        </w:tc>
        <w:tc>
          <w:tcPr>
            <w:tcW w:w="572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涉及5</w:t>
            </w:r>
            <w:r>
              <w:rPr>
                <w:rFonts w:hint="eastAsia" w:hAnsi="宋体" w:cs="宋体"/>
                <w:color w:val="000000"/>
                <w:kern w:val="0"/>
                <w:sz w:val="21"/>
                <w:szCs w:val="21"/>
                <w:lang w:val="en-US" w:eastAsia="zh-CN"/>
              </w:rPr>
              <w:t>个小区（片区）：北门新村</w:t>
            </w:r>
            <w:r>
              <w:rPr>
                <w:rFonts w:hint="default" w:hAnsi="宋体" w:eastAsia="仿宋_GB2312" w:cs="宋体"/>
                <w:color w:val="000000"/>
                <w:kern w:val="0"/>
                <w:sz w:val="21"/>
                <w:szCs w:val="21"/>
                <w:lang w:val="en-US" w:eastAsia="zh-CN"/>
              </w:rPr>
              <w:t>12950平方米</w:t>
            </w:r>
            <w:r>
              <w:rPr>
                <w:rFonts w:hint="eastAsia" w:hAnsi="宋体" w:cs="宋体"/>
                <w:color w:val="000000"/>
                <w:kern w:val="0"/>
                <w:sz w:val="21"/>
                <w:szCs w:val="21"/>
                <w:lang w:val="en-US" w:eastAsia="zh-CN"/>
              </w:rPr>
              <w:t>、南门新村等</w:t>
            </w:r>
            <w:r>
              <w:rPr>
                <w:rFonts w:hint="default" w:ascii="仿宋_GB2312" w:hAnsi="宋体" w:eastAsia="仿宋_GB2312" w:cs="宋体"/>
                <w:color w:val="000000"/>
                <w:kern w:val="0"/>
                <w:sz w:val="21"/>
                <w:szCs w:val="21"/>
                <w:lang w:val="en-US" w:eastAsia="zh-CN" w:bidi="ar-SA"/>
              </w:rPr>
              <w:t>10723平方米</w:t>
            </w:r>
            <w:r>
              <w:rPr>
                <w:rFonts w:hint="eastAsia" w:hAnsi="宋体" w:cs="宋体"/>
                <w:color w:val="000000"/>
                <w:kern w:val="0"/>
                <w:sz w:val="21"/>
                <w:szCs w:val="21"/>
                <w:lang w:val="en-US" w:eastAsia="zh-CN"/>
              </w:rPr>
              <w:t>、西门南村</w:t>
            </w:r>
            <w:r>
              <w:rPr>
                <w:rFonts w:hint="default" w:hAnsi="宋体" w:cs="宋体"/>
                <w:color w:val="000000"/>
                <w:kern w:val="0"/>
                <w:sz w:val="21"/>
                <w:szCs w:val="21"/>
                <w:lang w:val="en-US" w:eastAsia="zh-CN"/>
              </w:rPr>
              <w:t>20957.37平方米</w:t>
            </w:r>
            <w:r>
              <w:rPr>
                <w:rFonts w:hint="eastAsia" w:hAnsi="宋体" w:cs="宋体"/>
                <w:color w:val="000000"/>
                <w:kern w:val="0"/>
                <w:sz w:val="21"/>
                <w:szCs w:val="21"/>
                <w:lang w:val="en-US" w:eastAsia="zh-CN"/>
              </w:rPr>
              <w:t>、南门路小区等</w:t>
            </w:r>
            <w:r>
              <w:rPr>
                <w:rFonts w:hint="default" w:ascii="仿宋_GB2312" w:hAnsi="宋体" w:eastAsia="仿宋_GB2312" w:cs="宋体"/>
                <w:color w:val="000000"/>
                <w:kern w:val="0"/>
                <w:sz w:val="21"/>
                <w:szCs w:val="21"/>
                <w:lang w:val="en-US" w:eastAsia="zh-CN" w:bidi="ar-SA"/>
              </w:rPr>
              <w:t>8695平方米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西门北村</w:t>
            </w:r>
            <w:r>
              <w:rPr>
                <w:rFonts w:hint="default" w:ascii="仿宋_GB2312" w:hAnsi="宋体" w:eastAsia="仿宋_GB2312" w:cs="宋体"/>
                <w:color w:val="000000"/>
                <w:kern w:val="0"/>
                <w:sz w:val="21"/>
                <w:szCs w:val="21"/>
                <w:lang w:val="en-US" w:eastAsia="zh-CN" w:bidi="ar-SA"/>
              </w:rPr>
              <w:t>5992.24平方米</w:t>
            </w:r>
            <w:r>
              <w:rPr>
                <w:rFonts w:hint="eastAsia" w:hAnsi="宋体" w:cs="宋体"/>
                <w:color w:val="000000"/>
                <w:kern w:val="0"/>
                <w:sz w:val="21"/>
                <w:szCs w:val="21"/>
                <w:lang w:val="en-US" w:eastAsia="zh-CN" w:bidi="ar-SA"/>
              </w:rPr>
              <w:t>，</w:t>
            </w:r>
            <w:r>
              <w:rPr>
                <w:rFonts w:hint="eastAsia" w:hAnsi="宋体" w:cs="宋体"/>
                <w:color w:val="000000"/>
                <w:kern w:val="0"/>
                <w:sz w:val="21"/>
                <w:szCs w:val="21"/>
                <w:lang w:val="en-US" w:eastAsia="zh-CN"/>
              </w:rPr>
              <w:t>合计</w:t>
            </w:r>
            <w:r>
              <w:rPr>
                <w:rFonts w:hint="eastAsia" w:ascii="仿宋_GB2312" w:hAnsiTheme="minorHAnsi" w:cstheme="minorHAnsi"/>
                <w:sz w:val="21"/>
                <w:szCs w:val="21"/>
                <w:lang w:val="en-US" w:eastAsia="zh-CN"/>
              </w:rPr>
              <w:t>59318平方米</w:t>
            </w:r>
          </w:p>
        </w:tc>
      </w:tr>
      <w:tr>
        <w:tblPrEx>
          <w:tblLayout w:type="fixed"/>
          <w:tblCellMar>
            <w:top w:w="0" w:type="dxa"/>
            <w:left w:w="108" w:type="dxa"/>
            <w:bottom w:w="0" w:type="dxa"/>
            <w:right w:w="108" w:type="dxa"/>
          </w:tblCellMar>
        </w:tblPrEx>
        <w:trPr>
          <w:trHeight w:val="342"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rPr>
            </w:pPr>
            <w:r>
              <w:rPr>
                <w:rFonts w:hint="eastAsia" w:hAnsi="宋体" w:cs="宋体"/>
                <w:color w:val="000000"/>
                <w:kern w:val="0"/>
                <w:sz w:val="21"/>
                <w:szCs w:val="21"/>
              </w:rPr>
              <w:t>3</w:t>
            </w:r>
          </w:p>
        </w:tc>
        <w:tc>
          <w:tcPr>
            <w:tcW w:w="2016"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ascii="仿宋_GB2312" w:hAnsiTheme="minorHAnsi" w:cstheme="minorHAnsi"/>
                <w:sz w:val="21"/>
                <w:szCs w:val="21"/>
                <w:lang w:val="en-US" w:eastAsia="zh-CN"/>
              </w:rPr>
              <w:t>外立面维修</w:t>
            </w:r>
          </w:p>
        </w:tc>
        <w:tc>
          <w:tcPr>
            <w:tcW w:w="572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bidi="ar-SA"/>
              </w:rPr>
              <w:t>涉及6</w:t>
            </w:r>
            <w:r>
              <w:rPr>
                <w:rFonts w:hint="eastAsia" w:hAnsi="宋体" w:cs="宋体"/>
                <w:color w:val="000000"/>
                <w:kern w:val="0"/>
                <w:sz w:val="21"/>
                <w:szCs w:val="21"/>
                <w:lang w:val="en-US" w:eastAsia="zh-CN"/>
              </w:rPr>
              <w:t>个小区（片区）：北门新村</w:t>
            </w:r>
            <w:r>
              <w:rPr>
                <w:rFonts w:hint="default" w:hAnsi="宋体" w:eastAsia="仿宋_GB2312" w:cs="宋体"/>
                <w:color w:val="000000"/>
                <w:kern w:val="0"/>
                <w:sz w:val="21"/>
                <w:szCs w:val="21"/>
                <w:lang w:val="en-US" w:eastAsia="zh-CN"/>
              </w:rPr>
              <w:t>57613.2平方米</w:t>
            </w:r>
            <w:r>
              <w:rPr>
                <w:rFonts w:hint="eastAsia" w:hAnsi="宋体" w:cs="宋体"/>
                <w:color w:val="000000"/>
                <w:kern w:val="0"/>
                <w:sz w:val="21"/>
                <w:szCs w:val="21"/>
                <w:lang w:val="en-US" w:eastAsia="zh-CN"/>
              </w:rPr>
              <w:t>、南门新村等</w:t>
            </w:r>
            <w:r>
              <w:rPr>
                <w:rFonts w:hint="default" w:ascii="仿宋_GB2312" w:hAnsi="宋体" w:eastAsia="仿宋_GB2312" w:cs="宋体"/>
                <w:color w:val="000000"/>
                <w:kern w:val="0"/>
                <w:sz w:val="21"/>
                <w:szCs w:val="21"/>
                <w:lang w:val="en-US" w:eastAsia="zh-CN" w:bidi="ar-SA"/>
              </w:rPr>
              <w:t>32201.9平方米</w:t>
            </w:r>
            <w:r>
              <w:rPr>
                <w:rFonts w:hint="eastAsia" w:hAnsi="宋体" w:cs="宋体"/>
                <w:color w:val="000000"/>
                <w:kern w:val="0"/>
                <w:sz w:val="21"/>
                <w:szCs w:val="21"/>
                <w:lang w:val="en-US" w:eastAsia="zh-CN"/>
              </w:rPr>
              <w:t>、西门南村</w:t>
            </w:r>
            <w:r>
              <w:rPr>
                <w:rFonts w:hint="default" w:hAnsi="宋体" w:cs="宋体"/>
                <w:color w:val="000000"/>
                <w:kern w:val="0"/>
                <w:sz w:val="21"/>
                <w:szCs w:val="21"/>
                <w:lang w:val="en-US" w:eastAsia="zh-CN"/>
              </w:rPr>
              <w:t>63443.52平方米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城西新村等</w:t>
            </w:r>
            <w:r>
              <w:rPr>
                <w:rFonts w:hint="default" w:ascii="仿宋_GB2312" w:hAnsi="宋体" w:eastAsia="仿宋_GB2312" w:cs="宋体"/>
                <w:color w:val="000000"/>
                <w:kern w:val="0"/>
                <w:sz w:val="21"/>
                <w:szCs w:val="21"/>
                <w:lang w:val="en-US" w:eastAsia="zh-CN" w:bidi="ar-SA"/>
              </w:rPr>
              <w:t>62648.3平方米</w:t>
            </w:r>
            <w:r>
              <w:rPr>
                <w:rFonts w:hint="eastAsia" w:hAnsi="宋体" w:cs="宋体"/>
                <w:color w:val="000000"/>
                <w:kern w:val="0"/>
                <w:sz w:val="21"/>
                <w:szCs w:val="21"/>
                <w:lang w:val="en-US" w:eastAsia="zh-CN" w:bidi="ar-SA"/>
              </w:rPr>
              <w:t>、</w:t>
            </w:r>
            <w:r>
              <w:rPr>
                <w:rFonts w:hint="eastAsia" w:hAnsi="宋体" w:cs="宋体"/>
                <w:color w:val="000000"/>
                <w:kern w:val="0"/>
                <w:sz w:val="21"/>
                <w:szCs w:val="21"/>
                <w:lang w:val="en-US" w:eastAsia="zh-CN"/>
              </w:rPr>
              <w:t>南门路小区等</w:t>
            </w:r>
            <w:r>
              <w:rPr>
                <w:rFonts w:hint="default" w:ascii="仿宋_GB2312" w:hAnsi="宋体" w:eastAsia="仿宋_GB2312" w:cs="宋体"/>
                <w:color w:val="000000"/>
                <w:kern w:val="0"/>
                <w:sz w:val="21"/>
                <w:szCs w:val="21"/>
                <w:lang w:val="en-US" w:eastAsia="zh-CN" w:bidi="ar-SA"/>
              </w:rPr>
              <w:t>33605.1平方米</w:t>
            </w:r>
            <w:r>
              <w:rPr>
                <w:rFonts w:hint="eastAsia" w:hAnsi="宋体" w:cs="宋体"/>
                <w:color w:val="000000"/>
                <w:kern w:val="0"/>
                <w:sz w:val="21"/>
                <w:szCs w:val="21"/>
                <w:lang w:val="en-US" w:eastAsia="zh-CN" w:bidi="ar-SA"/>
              </w:rPr>
              <w:t>、西门北村</w:t>
            </w:r>
            <w:r>
              <w:rPr>
                <w:rFonts w:hint="default" w:ascii="仿宋_GB2312" w:hAnsi="宋体" w:eastAsia="仿宋_GB2312" w:cs="宋体"/>
                <w:color w:val="000000"/>
                <w:kern w:val="0"/>
                <w:sz w:val="21"/>
                <w:szCs w:val="21"/>
                <w:lang w:val="en-US" w:eastAsia="zh-CN" w:bidi="ar-SA"/>
              </w:rPr>
              <w:t>67649.48平方米</w:t>
            </w:r>
            <w:r>
              <w:rPr>
                <w:rFonts w:hint="eastAsia" w:hAnsi="宋体" w:cs="宋体"/>
                <w:color w:val="000000"/>
                <w:kern w:val="0"/>
                <w:sz w:val="21"/>
                <w:szCs w:val="21"/>
                <w:lang w:val="en-US" w:eastAsia="zh-CN" w:bidi="ar-SA"/>
              </w:rPr>
              <w:t>，合计</w:t>
            </w:r>
            <w:r>
              <w:rPr>
                <w:rFonts w:hint="eastAsia" w:ascii="仿宋_GB2312" w:hAnsiTheme="minorHAnsi" w:cstheme="minorHAnsi"/>
                <w:sz w:val="21"/>
                <w:szCs w:val="21"/>
                <w:lang w:val="en-US" w:eastAsia="zh-CN"/>
              </w:rPr>
              <w:t>317162平方米</w:t>
            </w:r>
          </w:p>
        </w:tc>
      </w:tr>
      <w:tr>
        <w:tblPrEx>
          <w:tblLayout w:type="fixed"/>
          <w:tblCellMar>
            <w:top w:w="0" w:type="dxa"/>
            <w:left w:w="108" w:type="dxa"/>
            <w:bottom w:w="0" w:type="dxa"/>
            <w:right w:w="108" w:type="dxa"/>
          </w:tblCellMar>
        </w:tblPrEx>
        <w:trPr>
          <w:trHeight w:val="327"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4</w:t>
            </w:r>
          </w:p>
        </w:tc>
        <w:tc>
          <w:tcPr>
            <w:tcW w:w="2016"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ascii="仿宋_GB2312" w:hAnsiTheme="minorHAnsi" w:cstheme="minorHAnsi"/>
                <w:sz w:val="21"/>
                <w:szCs w:val="21"/>
                <w:lang w:val="en-US" w:eastAsia="zh-CN"/>
              </w:rPr>
              <w:t>绿化提升</w:t>
            </w:r>
          </w:p>
        </w:tc>
        <w:tc>
          <w:tcPr>
            <w:tcW w:w="5724"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涉及5</w:t>
            </w:r>
            <w:r>
              <w:rPr>
                <w:rFonts w:hint="eastAsia" w:hAnsi="宋体" w:cs="宋体"/>
                <w:color w:val="000000"/>
                <w:kern w:val="0"/>
                <w:sz w:val="21"/>
                <w:szCs w:val="21"/>
                <w:lang w:val="en-US" w:eastAsia="zh-CN"/>
              </w:rPr>
              <w:t>个小区（片区）：北门新村</w:t>
            </w:r>
            <w:r>
              <w:rPr>
                <w:rFonts w:hint="default" w:hAnsi="宋体" w:eastAsia="仿宋_GB2312" w:cs="宋体"/>
                <w:color w:val="000000"/>
                <w:kern w:val="0"/>
                <w:sz w:val="21"/>
                <w:szCs w:val="21"/>
                <w:lang w:val="en-US" w:eastAsia="zh-CN"/>
              </w:rPr>
              <w:t>7575.4平方米</w:t>
            </w:r>
            <w:r>
              <w:rPr>
                <w:rFonts w:hint="eastAsia" w:hAnsi="宋体" w:cs="宋体"/>
                <w:color w:val="000000"/>
                <w:kern w:val="0"/>
                <w:sz w:val="21"/>
                <w:szCs w:val="21"/>
                <w:lang w:val="en-US" w:eastAsia="zh-CN"/>
              </w:rPr>
              <w:t>、南门新村等</w:t>
            </w:r>
            <w:r>
              <w:rPr>
                <w:rFonts w:hint="default" w:ascii="仿宋_GB2312" w:hAnsi="宋体" w:eastAsia="仿宋_GB2312" w:cs="宋体"/>
                <w:color w:val="000000"/>
                <w:kern w:val="0"/>
                <w:sz w:val="21"/>
                <w:szCs w:val="21"/>
                <w:lang w:val="en-US" w:eastAsia="zh-CN" w:bidi="ar-SA"/>
              </w:rPr>
              <w:t>11712平方米</w:t>
            </w:r>
            <w:r>
              <w:rPr>
                <w:rFonts w:hint="eastAsia" w:hAnsi="宋体" w:cs="宋体"/>
                <w:color w:val="000000"/>
                <w:kern w:val="0"/>
                <w:sz w:val="21"/>
                <w:szCs w:val="21"/>
                <w:lang w:val="en-US" w:eastAsia="zh-CN"/>
              </w:rPr>
              <w:t>、西门南村</w:t>
            </w:r>
            <w:r>
              <w:rPr>
                <w:rFonts w:hint="default" w:hAnsi="宋体" w:cs="宋体"/>
                <w:color w:val="000000"/>
                <w:kern w:val="0"/>
                <w:sz w:val="21"/>
                <w:szCs w:val="21"/>
                <w:lang w:val="en-US" w:eastAsia="zh-CN"/>
              </w:rPr>
              <w:t>11693平方米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城西新村等</w:t>
            </w:r>
            <w:r>
              <w:rPr>
                <w:rFonts w:hint="default" w:ascii="仿宋_GB2312" w:hAnsi="宋体" w:eastAsia="仿宋_GB2312" w:cs="宋体"/>
                <w:color w:val="000000"/>
                <w:kern w:val="0"/>
                <w:sz w:val="21"/>
                <w:szCs w:val="21"/>
                <w:lang w:val="en-US" w:eastAsia="zh-CN" w:bidi="ar-SA"/>
              </w:rPr>
              <w:t>8256.79平方米</w:t>
            </w:r>
            <w:r>
              <w:rPr>
                <w:rFonts w:hint="eastAsia" w:hAnsi="宋体" w:cs="宋体"/>
                <w:color w:val="000000"/>
                <w:kern w:val="0"/>
                <w:sz w:val="21"/>
                <w:szCs w:val="21"/>
                <w:lang w:val="en-US" w:eastAsia="zh-CN" w:bidi="ar-SA"/>
              </w:rPr>
              <w:t>、西门北村</w:t>
            </w:r>
            <w:r>
              <w:rPr>
                <w:rFonts w:hint="default" w:ascii="仿宋_GB2312" w:hAnsi="宋体" w:eastAsia="仿宋_GB2312" w:cs="宋体"/>
                <w:color w:val="000000"/>
                <w:kern w:val="0"/>
                <w:sz w:val="21"/>
                <w:szCs w:val="21"/>
                <w:lang w:val="en-US" w:eastAsia="zh-CN" w:bidi="ar-SA"/>
              </w:rPr>
              <w:t>14925.47平方米</w:t>
            </w:r>
            <w:r>
              <w:rPr>
                <w:rFonts w:hint="eastAsia" w:hAnsi="宋体" w:cs="宋体"/>
                <w:color w:val="000000"/>
                <w:kern w:val="0"/>
                <w:sz w:val="21"/>
                <w:szCs w:val="21"/>
                <w:lang w:val="en-US" w:eastAsia="zh-CN" w:bidi="ar-SA"/>
              </w:rPr>
              <w:t>，合计</w:t>
            </w:r>
            <w:r>
              <w:rPr>
                <w:rFonts w:hint="eastAsia" w:ascii="仿宋_GB2312" w:hAnsiTheme="minorHAnsi" w:cstheme="minorHAnsi"/>
                <w:sz w:val="21"/>
                <w:szCs w:val="21"/>
                <w:lang w:val="en-US" w:eastAsia="zh-CN"/>
              </w:rPr>
              <w:t>54163平方米</w:t>
            </w:r>
          </w:p>
        </w:tc>
      </w:tr>
      <w:tr>
        <w:tblPrEx>
          <w:tblLayout w:type="fixed"/>
          <w:tblCellMar>
            <w:top w:w="0" w:type="dxa"/>
            <w:left w:w="108" w:type="dxa"/>
            <w:bottom w:w="0" w:type="dxa"/>
            <w:right w:w="108" w:type="dxa"/>
          </w:tblCellMar>
        </w:tblPrEx>
        <w:trPr>
          <w:trHeight w:val="411"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ascii="仿宋_GB2312" w:hAnsi="宋体" w:eastAsia="仿宋_GB2312" w:cs="宋体"/>
                <w:color w:val="000000"/>
                <w:kern w:val="0"/>
                <w:sz w:val="21"/>
                <w:szCs w:val="21"/>
                <w:lang w:val="en-US" w:eastAsia="zh-CN" w:bidi="ar-SA"/>
              </w:rPr>
            </w:pPr>
            <w:r>
              <w:rPr>
                <w:rFonts w:hint="eastAsia" w:hAnsi="宋体" w:cs="宋体"/>
                <w:color w:val="000000"/>
                <w:kern w:val="0"/>
                <w:sz w:val="21"/>
                <w:szCs w:val="21"/>
              </w:rPr>
              <w:t>5</w:t>
            </w:r>
          </w:p>
        </w:tc>
        <w:tc>
          <w:tcPr>
            <w:tcW w:w="2016" w:type="dxa"/>
            <w:tcBorders>
              <w:top w:val="nil"/>
              <w:left w:val="single" w:color="auto" w:sz="4"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ascii="仿宋_GB2312" w:hAnsiTheme="minorHAnsi" w:cstheme="minorHAnsi"/>
                <w:sz w:val="21"/>
                <w:szCs w:val="21"/>
                <w:lang w:val="en-US" w:eastAsia="zh-CN"/>
              </w:rPr>
              <w:t>管线入地</w:t>
            </w:r>
          </w:p>
        </w:tc>
        <w:tc>
          <w:tcPr>
            <w:tcW w:w="5724" w:type="dxa"/>
            <w:tcBorders>
              <w:top w:val="nil"/>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涉及3</w:t>
            </w:r>
            <w:r>
              <w:rPr>
                <w:rFonts w:hint="eastAsia" w:hAnsi="宋体" w:cs="宋体"/>
                <w:color w:val="000000"/>
                <w:kern w:val="0"/>
                <w:sz w:val="21"/>
                <w:szCs w:val="21"/>
                <w:lang w:val="en-US" w:eastAsia="zh-CN"/>
              </w:rPr>
              <w:t>个小区（片区）：北门新村</w:t>
            </w:r>
            <w:r>
              <w:rPr>
                <w:rFonts w:hint="default" w:hAnsi="宋体" w:eastAsia="仿宋_GB2312" w:cs="宋体"/>
                <w:color w:val="000000"/>
                <w:kern w:val="0"/>
                <w:sz w:val="21"/>
                <w:szCs w:val="21"/>
                <w:lang w:val="en-US" w:eastAsia="zh-CN"/>
              </w:rPr>
              <w:t>67757.4平方米</w:t>
            </w:r>
            <w:r>
              <w:rPr>
                <w:rFonts w:hint="eastAsia" w:hAnsi="宋体" w:cs="宋体"/>
                <w:color w:val="000000"/>
                <w:kern w:val="0"/>
                <w:sz w:val="21"/>
                <w:szCs w:val="21"/>
                <w:lang w:val="en-US" w:eastAsia="zh-CN"/>
              </w:rPr>
              <w:t>、西门南村</w:t>
            </w:r>
            <w:r>
              <w:rPr>
                <w:rFonts w:hint="default" w:hAnsi="宋体" w:cs="宋体"/>
                <w:color w:val="000000"/>
                <w:kern w:val="0"/>
                <w:sz w:val="21"/>
                <w:szCs w:val="21"/>
                <w:lang w:val="en-US" w:eastAsia="zh-CN"/>
              </w:rPr>
              <w:t>103902.9平方米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西门北村</w:t>
            </w:r>
            <w:r>
              <w:rPr>
                <w:rFonts w:hint="default" w:ascii="仿宋_GB2312" w:hAnsi="宋体" w:eastAsia="仿宋_GB2312" w:cs="宋体"/>
                <w:color w:val="000000"/>
                <w:kern w:val="0"/>
                <w:sz w:val="21"/>
                <w:szCs w:val="21"/>
                <w:lang w:val="en-US" w:eastAsia="zh-CN" w:bidi="ar-SA"/>
              </w:rPr>
              <w:t>95006.2平方米</w:t>
            </w:r>
            <w:r>
              <w:rPr>
                <w:rFonts w:hint="eastAsia" w:hAnsi="宋体" w:cs="宋体"/>
                <w:color w:val="000000"/>
                <w:kern w:val="0"/>
                <w:sz w:val="21"/>
                <w:szCs w:val="21"/>
                <w:lang w:val="en-US" w:eastAsia="zh-CN"/>
              </w:rPr>
              <w:t>，合计</w:t>
            </w:r>
            <w:r>
              <w:rPr>
                <w:rFonts w:hint="eastAsia" w:ascii="仿宋_GB2312" w:hAnsiTheme="minorHAnsi" w:cstheme="minorHAnsi"/>
                <w:sz w:val="21"/>
                <w:szCs w:val="21"/>
                <w:lang w:val="en-US" w:eastAsia="zh-CN"/>
              </w:rPr>
              <w:t>266667平方米</w:t>
            </w:r>
          </w:p>
        </w:tc>
      </w:tr>
      <w:tr>
        <w:tblPrEx>
          <w:tblLayout w:type="fixed"/>
          <w:tblCellMar>
            <w:top w:w="0" w:type="dxa"/>
            <w:left w:w="108" w:type="dxa"/>
            <w:bottom w:w="0" w:type="dxa"/>
            <w:right w:w="108" w:type="dxa"/>
          </w:tblCellMar>
        </w:tblPrEx>
        <w:trPr>
          <w:trHeight w:val="327"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ascii="仿宋_GB2312" w:hAnsi="宋体" w:eastAsia="仿宋_GB2312" w:cs="宋体"/>
                <w:color w:val="000000"/>
                <w:kern w:val="0"/>
                <w:sz w:val="21"/>
                <w:szCs w:val="21"/>
                <w:lang w:val="en-US" w:eastAsia="zh-CN" w:bidi="ar-SA"/>
              </w:rPr>
            </w:pPr>
            <w:r>
              <w:rPr>
                <w:rFonts w:hint="eastAsia" w:hAnsi="宋体" w:cs="宋体"/>
                <w:color w:val="000000"/>
                <w:kern w:val="0"/>
                <w:sz w:val="21"/>
                <w:szCs w:val="21"/>
              </w:rPr>
              <w:t>6</w:t>
            </w:r>
          </w:p>
        </w:tc>
        <w:tc>
          <w:tcPr>
            <w:tcW w:w="2016" w:type="dxa"/>
            <w:tcBorders>
              <w:top w:val="nil"/>
              <w:left w:val="single" w:color="auto" w:sz="4"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ascii="仿宋_GB2312" w:hAnsiTheme="minorHAnsi" w:cstheme="minorHAnsi"/>
                <w:sz w:val="21"/>
                <w:szCs w:val="21"/>
                <w:lang w:val="en-US" w:eastAsia="zh-CN"/>
              </w:rPr>
              <w:t>敷设雨污管道</w:t>
            </w:r>
          </w:p>
        </w:tc>
        <w:tc>
          <w:tcPr>
            <w:tcW w:w="572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涉及6</w:t>
            </w:r>
            <w:r>
              <w:rPr>
                <w:rFonts w:hint="eastAsia" w:hAnsi="宋体" w:cs="宋体"/>
                <w:color w:val="000000"/>
                <w:kern w:val="0"/>
                <w:sz w:val="21"/>
                <w:szCs w:val="21"/>
                <w:lang w:val="en-US" w:eastAsia="zh-CN"/>
              </w:rPr>
              <w:t>个小区（片区）：北门新村</w:t>
            </w:r>
            <w:r>
              <w:rPr>
                <w:rFonts w:hint="default" w:hAnsi="宋体" w:eastAsia="仿宋_GB2312" w:cs="宋体"/>
                <w:color w:val="000000"/>
                <w:kern w:val="0"/>
                <w:sz w:val="21"/>
                <w:szCs w:val="21"/>
                <w:lang w:val="en-US" w:eastAsia="zh-CN"/>
              </w:rPr>
              <w:t>敷设雨、污水管道5093.4米</w:t>
            </w:r>
            <w:r>
              <w:rPr>
                <w:rFonts w:hint="eastAsia" w:hAnsi="宋体" w:cs="宋体"/>
                <w:color w:val="000000"/>
                <w:kern w:val="0"/>
                <w:sz w:val="21"/>
                <w:szCs w:val="21"/>
                <w:lang w:val="en-US" w:eastAsia="zh-CN"/>
              </w:rPr>
              <w:t>，南门新村等</w:t>
            </w:r>
            <w:r>
              <w:rPr>
                <w:rFonts w:hint="default" w:ascii="仿宋_GB2312" w:hAnsi="宋体" w:eastAsia="仿宋_GB2312" w:cs="宋体"/>
                <w:color w:val="000000"/>
                <w:kern w:val="0"/>
                <w:sz w:val="21"/>
                <w:szCs w:val="21"/>
                <w:lang w:val="en-US" w:eastAsia="zh-CN" w:bidi="ar-SA"/>
              </w:rPr>
              <w:t>敷设污水管道951.5米</w:t>
            </w:r>
            <w:r>
              <w:rPr>
                <w:rFonts w:hint="eastAsia" w:hAnsi="宋体" w:cs="宋体"/>
                <w:color w:val="000000"/>
                <w:kern w:val="0"/>
                <w:sz w:val="21"/>
                <w:szCs w:val="21"/>
                <w:lang w:val="en-US" w:eastAsia="zh-CN" w:bidi="ar-SA"/>
              </w:rPr>
              <w:t>，</w:t>
            </w:r>
            <w:r>
              <w:rPr>
                <w:rFonts w:hint="eastAsia" w:hAnsi="宋体" w:cs="宋体"/>
                <w:color w:val="000000"/>
                <w:kern w:val="0"/>
                <w:sz w:val="21"/>
                <w:szCs w:val="21"/>
                <w:lang w:val="en-US" w:eastAsia="zh-CN"/>
              </w:rPr>
              <w:t>西门南村</w:t>
            </w:r>
            <w:r>
              <w:rPr>
                <w:rFonts w:hint="default" w:hAnsi="宋体" w:cs="宋体"/>
                <w:color w:val="000000"/>
                <w:kern w:val="0"/>
                <w:sz w:val="21"/>
                <w:szCs w:val="21"/>
                <w:lang w:val="en-US" w:eastAsia="zh-CN"/>
              </w:rPr>
              <w:t>敷设雨水管道6398米</w:t>
            </w:r>
            <w:r>
              <w:rPr>
                <w:rFonts w:hint="eastAsia" w:hAnsi="宋体" w:cs="宋体"/>
                <w:color w:val="000000"/>
                <w:kern w:val="0"/>
                <w:sz w:val="21"/>
                <w:szCs w:val="21"/>
                <w:lang w:val="en-US" w:eastAsia="zh-CN"/>
              </w:rPr>
              <w:t>、</w:t>
            </w:r>
            <w:r>
              <w:rPr>
                <w:rFonts w:hint="default" w:hAnsi="宋体" w:cs="宋体"/>
                <w:color w:val="000000"/>
                <w:kern w:val="0"/>
                <w:sz w:val="21"/>
                <w:szCs w:val="21"/>
                <w:lang w:val="en-US" w:eastAsia="zh-CN"/>
              </w:rPr>
              <w:t>污水管道5262.2米</w:t>
            </w:r>
            <w:r>
              <w:rPr>
                <w:rFonts w:hint="eastAsia" w:hAnsi="宋体" w:cs="宋体"/>
                <w:color w:val="000000"/>
                <w:kern w:val="0"/>
                <w:sz w:val="21"/>
                <w:szCs w:val="21"/>
                <w:lang w:val="en-US" w:eastAsia="zh-CN"/>
              </w:rPr>
              <w:t>，</w:t>
            </w:r>
            <w:r>
              <w:rPr>
                <w:rFonts w:hint="eastAsia" w:hAnsi="宋体" w:cs="宋体"/>
                <w:color w:val="000000"/>
                <w:kern w:val="0"/>
                <w:sz w:val="21"/>
                <w:szCs w:val="21"/>
                <w:lang w:val="en-US" w:eastAsia="zh-CN" w:bidi="ar-SA"/>
              </w:rPr>
              <w:t>城西新村等</w:t>
            </w:r>
            <w:r>
              <w:rPr>
                <w:rFonts w:hint="default" w:ascii="仿宋_GB2312" w:hAnsi="宋体" w:eastAsia="仿宋_GB2312" w:cs="宋体"/>
                <w:color w:val="000000"/>
                <w:kern w:val="0"/>
                <w:sz w:val="21"/>
                <w:szCs w:val="21"/>
                <w:lang w:val="en-US" w:eastAsia="zh-CN" w:bidi="ar-SA"/>
              </w:rPr>
              <w:t>敷设雨水管道6006米</w:t>
            </w:r>
            <w:r>
              <w:rPr>
                <w:rFonts w:hint="eastAsia" w:hAnsi="宋体" w:cs="宋体"/>
                <w:color w:val="000000"/>
                <w:kern w:val="0"/>
                <w:sz w:val="21"/>
                <w:szCs w:val="21"/>
                <w:lang w:val="en-US" w:eastAsia="zh-CN" w:bidi="ar-SA"/>
              </w:rPr>
              <w:t>、</w:t>
            </w:r>
            <w:r>
              <w:rPr>
                <w:rFonts w:hint="default" w:ascii="仿宋_GB2312" w:hAnsi="宋体" w:eastAsia="仿宋_GB2312" w:cs="宋体"/>
                <w:color w:val="000000"/>
                <w:kern w:val="0"/>
                <w:sz w:val="21"/>
                <w:szCs w:val="21"/>
                <w:lang w:val="en-US" w:eastAsia="zh-CN" w:bidi="ar-SA"/>
              </w:rPr>
              <w:t>污水管道4284米</w:t>
            </w:r>
            <w:r>
              <w:rPr>
                <w:rFonts w:hint="eastAsia" w:hAnsi="宋体" w:cs="宋体"/>
                <w:color w:val="000000"/>
                <w:kern w:val="0"/>
                <w:sz w:val="21"/>
                <w:szCs w:val="21"/>
                <w:lang w:val="en-US" w:eastAsia="zh-CN" w:bidi="ar-SA"/>
              </w:rPr>
              <w:t>，</w:t>
            </w:r>
            <w:r>
              <w:rPr>
                <w:rFonts w:hint="eastAsia" w:hAnsi="宋体" w:cs="宋体"/>
                <w:color w:val="000000"/>
                <w:kern w:val="0"/>
                <w:sz w:val="21"/>
                <w:szCs w:val="21"/>
                <w:lang w:val="en-US" w:eastAsia="zh-CN"/>
              </w:rPr>
              <w:t>南门路小区等</w:t>
            </w:r>
            <w:r>
              <w:rPr>
                <w:rFonts w:hint="default" w:ascii="仿宋_GB2312" w:hAnsi="宋体" w:eastAsia="仿宋_GB2312" w:cs="宋体"/>
                <w:color w:val="000000"/>
                <w:kern w:val="0"/>
                <w:sz w:val="21"/>
                <w:szCs w:val="21"/>
                <w:lang w:val="en-US" w:eastAsia="zh-CN" w:bidi="ar-SA"/>
              </w:rPr>
              <w:t>敷设雨水管道3215米</w:t>
            </w:r>
            <w:r>
              <w:rPr>
                <w:rFonts w:hint="eastAsia" w:hAnsi="宋体" w:cs="宋体"/>
                <w:color w:val="000000"/>
                <w:kern w:val="0"/>
                <w:sz w:val="21"/>
                <w:szCs w:val="21"/>
                <w:lang w:val="en-US" w:eastAsia="zh-CN" w:bidi="ar-SA"/>
              </w:rPr>
              <w:t>、</w:t>
            </w:r>
            <w:r>
              <w:rPr>
                <w:rFonts w:hint="default" w:ascii="仿宋_GB2312" w:hAnsi="宋体" w:eastAsia="仿宋_GB2312" w:cs="宋体"/>
                <w:color w:val="000000"/>
                <w:kern w:val="0"/>
                <w:sz w:val="21"/>
                <w:szCs w:val="21"/>
                <w:lang w:val="en-US" w:eastAsia="zh-CN" w:bidi="ar-SA"/>
              </w:rPr>
              <w:t>污水管道3570米</w:t>
            </w:r>
            <w:r>
              <w:rPr>
                <w:rFonts w:hint="eastAsia" w:hAnsi="宋体" w:cs="宋体"/>
                <w:color w:val="000000"/>
                <w:kern w:val="0"/>
                <w:sz w:val="21"/>
                <w:szCs w:val="21"/>
                <w:lang w:val="en-US" w:eastAsia="zh-CN" w:bidi="ar-SA"/>
              </w:rPr>
              <w:t>，西门北村</w:t>
            </w:r>
            <w:r>
              <w:rPr>
                <w:rFonts w:hint="default" w:ascii="仿宋_GB2312" w:hAnsi="宋体" w:eastAsia="仿宋_GB2312" w:cs="宋体"/>
                <w:color w:val="000000"/>
                <w:kern w:val="0"/>
                <w:sz w:val="21"/>
                <w:szCs w:val="21"/>
                <w:lang w:val="en-US" w:eastAsia="zh-CN" w:bidi="ar-SA"/>
              </w:rPr>
              <w:t>敷设雨水管道6446米</w:t>
            </w:r>
            <w:r>
              <w:rPr>
                <w:rFonts w:hint="eastAsia" w:hAnsi="宋体" w:cs="宋体"/>
                <w:color w:val="000000"/>
                <w:kern w:val="0"/>
                <w:sz w:val="21"/>
                <w:szCs w:val="21"/>
                <w:lang w:val="en-US" w:eastAsia="zh-CN" w:bidi="ar-SA"/>
              </w:rPr>
              <w:t>、</w:t>
            </w:r>
            <w:r>
              <w:rPr>
                <w:rFonts w:hint="default" w:ascii="仿宋_GB2312" w:hAnsi="宋体" w:eastAsia="仿宋_GB2312" w:cs="宋体"/>
                <w:color w:val="000000"/>
                <w:kern w:val="0"/>
                <w:sz w:val="21"/>
                <w:szCs w:val="21"/>
                <w:lang w:val="en-US" w:eastAsia="zh-CN" w:bidi="ar-SA"/>
              </w:rPr>
              <w:t>污水管道6760米</w:t>
            </w:r>
            <w:r>
              <w:rPr>
                <w:rFonts w:hint="eastAsia" w:hAnsi="宋体" w:cs="宋体"/>
                <w:color w:val="000000"/>
                <w:kern w:val="0"/>
                <w:sz w:val="21"/>
                <w:szCs w:val="21"/>
                <w:lang w:val="en-US" w:eastAsia="zh-CN" w:bidi="ar-SA"/>
              </w:rPr>
              <w:t>，合计</w:t>
            </w:r>
            <w:r>
              <w:rPr>
                <w:rFonts w:hint="eastAsia" w:ascii="仿宋_GB2312" w:hAnsiTheme="minorHAnsi" w:cstheme="minorHAnsi"/>
                <w:sz w:val="21"/>
                <w:szCs w:val="21"/>
                <w:lang w:val="en-US" w:eastAsia="zh-CN"/>
              </w:rPr>
              <w:t>敷设雨污管道47986米</w:t>
            </w:r>
          </w:p>
        </w:tc>
      </w:tr>
      <w:tr>
        <w:tblPrEx>
          <w:tblLayout w:type="fixed"/>
          <w:tblCellMar>
            <w:top w:w="0" w:type="dxa"/>
            <w:left w:w="108" w:type="dxa"/>
            <w:bottom w:w="0" w:type="dxa"/>
            <w:right w:w="108" w:type="dxa"/>
          </w:tblCellMar>
        </w:tblPrEx>
        <w:trPr>
          <w:trHeight w:val="90" w:hRule="atLeast"/>
        </w:trPr>
        <w:tc>
          <w:tcPr>
            <w:tcW w:w="670"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rPr>
              <w:t>7</w:t>
            </w:r>
          </w:p>
        </w:tc>
        <w:tc>
          <w:tcPr>
            <w:tcW w:w="2016" w:type="dxa"/>
            <w:tcBorders>
              <w:top w:val="nil"/>
              <w:left w:val="single" w:color="auto" w:sz="4"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ascii="仿宋_GB2312" w:hAnsiTheme="minorHAnsi" w:cstheme="minorHAnsi"/>
                <w:sz w:val="21"/>
                <w:szCs w:val="21"/>
                <w:lang w:val="en-US" w:eastAsia="zh-CN"/>
              </w:rPr>
              <w:t>其他设施更新工作</w:t>
            </w:r>
          </w:p>
        </w:tc>
        <w:tc>
          <w:tcPr>
            <w:tcW w:w="57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包括</w:t>
            </w:r>
            <w:r>
              <w:rPr>
                <w:rFonts w:hint="default" w:hAnsi="宋体" w:eastAsia="仿宋_GB2312" w:cs="宋体"/>
                <w:color w:val="000000"/>
                <w:kern w:val="0"/>
                <w:sz w:val="21"/>
                <w:szCs w:val="21"/>
                <w:lang w:val="en-US" w:eastAsia="zh-CN"/>
              </w:rPr>
              <w:t>非机动车库维修</w:t>
            </w:r>
            <w:r>
              <w:rPr>
                <w:rFonts w:hint="eastAsia" w:hAnsi="宋体" w:cs="宋体"/>
                <w:color w:val="000000"/>
                <w:kern w:val="0"/>
                <w:sz w:val="21"/>
                <w:szCs w:val="21"/>
                <w:lang w:val="en-US" w:eastAsia="zh-CN"/>
              </w:rPr>
              <w:t>、</w:t>
            </w:r>
            <w:r>
              <w:rPr>
                <w:rFonts w:hint="default" w:hAnsi="宋体" w:eastAsia="仿宋_GB2312" w:cs="宋体"/>
                <w:color w:val="000000"/>
                <w:kern w:val="0"/>
                <w:sz w:val="21"/>
                <w:szCs w:val="21"/>
                <w:lang w:val="en-US" w:eastAsia="zh-CN"/>
              </w:rPr>
              <w:t>健身设施</w:t>
            </w:r>
            <w:r>
              <w:rPr>
                <w:rFonts w:hint="eastAsia" w:hAnsi="宋体" w:cs="宋体"/>
                <w:color w:val="000000"/>
                <w:kern w:val="0"/>
                <w:sz w:val="21"/>
                <w:szCs w:val="21"/>
                <w:lang w:val="en-US" w:eastAsia="zh-CN"/>
              </w:rPr>
              <w:t>更新、</w:t>
            </w:r>
            <w:r>
              <w:rPr>
                <w:rFonts w:hint="default" w:ascii="仿宋_GB2312" w:hAnsi="宋体" w:eastAsia="仿宋_GB2312" w:cs="宋体"/>
                <w:color w:val="000000"/>
                <w:kern w:val="0"/>
                <w:sz w:val="21"/>
                <w:szCs w:val="21"/>
                <w:lang w:val="en-US" w:eastAsia="zh-CN" w:bidi="ar-SA"/>
              </w:rPr>
              <w:t>更换窗</w:t>
            </w:r>
            <w:r>
              <w:rPr>
                <w:rFonts w:hint="eastAsia" w:hAnsi="宋体" w:cs="宋体"/>
                <w:color w:val="000000"/>
                <w:kern w:val="0"/>
                <w:sz w:val="21"/>
                <w:szCs w:val="21"/>
                <w:lang w:val="en-US" w:eastAsia="zh-CN" w:bidi="ar-SA"/>
              </w:rPr>
              <w:t>户、公共部位维修、改造</w:t>
            </w:r>
            <w:r>
              <w:rPr>
                <w:rFonts w:hint="default" w:hAnsi="宋体" w:cs="宋体"/>
                <w:color w:val="000000"/>
                <w:kern w:val="0"/>
                <w:sz w:val="21"/>
                <w:szCs w:val="21"/>
                <w:lang w:val="en-US" w:eastAsia="zh-CN"/>
              </w:rPr>
              <w:t>植草砖等停车位</w:t>
            </w:r>
            <w:r>
              <w:rPr>
                <w:rFonts w:hint="eastAsia" w:hAnsi="宋体" w:cs="宋体"/>
                <w:color w:val="000000"/>
                <w:kern w:val="0"/>
                <w:sz w:val="21"/>
                <w:szCs w:val="21"/>
                <w:lang w:val="en-US" w:eastAsia="zh-CN" w:bidi="ar-SA"/>
              </w:rPr>
              <w:t>、</w:t>
            </w:r>
            <w:r>
              <w:rPr>
                <w:rFonts w:hint="default" w:hAnsi="宋体" w:cs="宋体"/>
                <w:color w:val="000000"/>
                <w:kern w:val="0"/>
                <w:sz w:val="21"/>
                <w:szCs w:val="21"/>
                <w:lang w:val="en-US" w:eastAsia="zh-CN"/>
              </w:rPr>
              <w:t>安防设施</w:t>
            </w:r>
            <w:r>
              <w:rPr>
                <w:rFonts w:hint="eastAsia" w:hAnsi="宋体" w:cs="宋体"/>
                <w:color w:val="000000"/>
                <w:kern w:val="0"/>
                <w:sz w:val="21"/>
                <w:szCs w:val="21"/>
                <w:lang w:val="en-US" w:eastAsia="zh-CN"/>
              </w:rPr>
              <w:t>更新</w:t>
            </w:r>
            <w:r>
              <w:rPr>
                <w:rFonts w:hint="eastAsia" w:hAnsi="宋体" w:cs="宋体"/>
                <w:color w:val="000000"/>
                <w:kern w:val="0"/>
                <w:sz w:val="21"/>
                <w:szCs w:val="21"/>
                <w:lang w:val="en-US" w:eastAsia="zh-CN" w:bidi="ar-SA"/>
              </w:rPr>
              <w:t>、</w:t>
            </w:r>
            <w:r>
              <w:rPr>
                <w:rFonts w:hint="default" w:ascii="仿宋_GB2312" w:hAnsi="宋体" w:eastAsia="仿宋_GB2312" w:cs="宋体"/>
                <w:color w:val="000000"/>
                <w:kern w:val="0"/>
                <w:sz w:val="21"/>
                <w:szCs w:val="21"/>
                <w:lang w:val="en-US" w:eastAsia="zh-CN" w:bidi="ar-SA"/>
              </w:rPr>
              <w:t>围墙维修</w:t>
            </w:r>
            <w:r>
              <w:rPr>
                <w:rFonts w:hint="eastAsia" w:hAnsi="宋体" w:cs="宋体"/>
                <w:color w:val="000000"/>
                <w:kern w:val="0"/>
                <w:sz w:val="21"/>
                <w:szCs w:val="21"/>
                <w:lang w:val="en-US" w:eastAsia="zh-CN" w:bidi="ar-SA"/>
              </w:rPr>
              <w:t>、</w:t>
            </w:r>
            <w:r>
              <w:rPr>
                <w:rFonts w:hint="default" w:ascii="仿宋_GB2312" w:hAnsi="宋体" w:eastAsia="仿宋_GB2312" w:cs="宋体"/>
                <w:color w:val="000000"/>
                <w:kern w:val="0"/>
                <w:sz w:val="21"/>
                <w:szCs w:val="21"/>
                <w:lang w:val="en-US" w:eastAsia="zh-CN" w:bidi="ar-SA"/>
              </w:rPr>
              <w:t>避雷带更换</w:t>
            </w:r>
            <w:r>
              <w:rPr>
                <w:rFonts w:hint="eastAsia" w:hAnsi="宋体" w:cs="宋体"/>
                <w:color w:val="000000"/>
                <w:kern w:val="0"/>
                <w:sz w:val="21"/>
                <w:szCs w:val="21"/>
                <w:lang w:val="en-US" w:eastAsia="zh-CN" w:bidi="ar-SA"/>
              </w:rPr>
              <w:t>、新增</w:t>
            </w:r>
            <w:r>
              <w:rPr>
                <w:rFonts w:hint="default" w:ascii="仿宋_GB2312" w:hAnsi="宋体" w:eastAsia="仿宋_GB2312" w:cs="宋体"/>
                <w:color w:val="000000"/>
                <w:kern w:val="0"/>
                <w:sz w:val="21"/>
                <w:szCs w:val="21"/>
                <w:lang w:val="en-US" w:eastAsia="zh-CN" w:bidi="ar-SA"/>
              </w:rPr>
              <w:t>路灯</w:t>
            </w:r>
            <w:r>
              <w:rPr>
                <w:rFonts w:hint="eastAsia" w:hAnsi="宋体" w:cs="宋体"/>
                <w:color w:val="000000"/>
                <w:kern w:val="0"/>
                <w:sz w:val="21"/>
                <w:szCs w:val="21"/>
                <w:lang w:val="en-US" w:eastAsia="zh-CN" w:bidi="ar-SA"/>
              </w:rPr>
              <w:t>、新增</w:t>
            </w:r>
            <w:r>
              <w:rPr>
                <w:rFonts w:hint="default" w:ascii="仿宋_GB2312" w:hAnsi="宋体" w:eastAsia="仿宋_GB2312" w:cs="宋体"/>
                <w:color w:val="000000"/>
                <w:kern w:val="0"/>
                <w:sz w:val="21"/>
                <w:szCs w:val="21"/>
                <w:lang w:val="en-US" w:eastAsia="zh-CN" w:bidi="ar-SA"/>
              </w:rPr>
              <w:t>健身步道</w:t>
            </w:r>
            <w:r>
              <w:rPr>
                <w:rFonts w:hint="eastAsia" w:hAnsiTheme="minorHAnsi" w:cstheme="minorHAnsi"/>
                <w:sz w:val="21"/>
                <w:szCs w:val="21"/>
                <w:lang w:val="en-US" w:eastAsia="zh-CN"/>
              </w:rPr>
              <w:t>等</w:t>
            </w:r>
            <w:r>
              <w:rPr>
                <w:rFonts w:hint="eastAsia" w:ascii="仿宋_GB2312" w:hAnsiTheme="minorHAnsi" w:cstheme="minorHAnsi"/>
                <w:sz w:val="21"/>
                <w:szCs w:val="21"/>
                <w:lang w:val="en-US" w:eastAsia="zh-CN"/>
              </w:rPr>
              <w:t>10项</w:t>
            </w:r>
            <w:r>
              <w:rPr>
                <w:rFonts w:hint="eastAsia" w:hAnsiTheme="minorHAnsi" w:cstheme="minorHAnsi"/>
                <w:sz w:val="21"/>
                <w:szCs w:val="21"/>
                <w:lang w:val="en-US" w:eastAsia="zh-CN"/>
              </w:rPr>
              <w:t>设施更新工作（分散在各个项目中）</w:t>
            </w:r>
          </w:p>
        </w:tc>
      </w:tr>
    </w:tbl>
    <w:p>
      <w:pPr>
        <w:ind w:left="0" w:leftChars="0" w:firstLine="0" w:firstLineChars="0"/>
        <w:contextualSpacing w:val="0"/>
        <w:rPr>
          <w:rFonts w:hint="default"/>
          <w:lang w:val="en-US" w:eastAsia="zh-CN"/>
        </w:rPr>
      </w:pPr>
    </w:p>
    <w:p>
      <w:pPr>
        <w:ind w:left="0" w:leftChars="0" w:firstLine="643" w:firstLineChars="200"/>
        <w:contextualSpacing w:val="0"/>
        <w:outlineLvl w:val="2"/>
        <w:rPr>
          <w:rFonts w:hint="default"/>
          <w:sz w:val="32"/>
          <w:szCs w:val="32"/>
          <w:lang w:val="en-US" w:eastAsia="zh-CN"/>
        </w:rPr>
      </w:pPr>
      <w:bookmarkStart w:id="25" w:name="_Toc21525"/>
      <w:r>
        <w:rPr>
          <w:rFonts w:hint="eastAsia"/>
          <w:b/>
          <w:bCs/>
          <w:sz w:val="32"/>
          <w:szCs w:val="32"/>
          <w:lang w:val="en-US" w:eastAsia="zh-CN"/>
        </w:rPr>
        <w:t>2.项目实际完成情况</w:t>
      </w:r>
      <w:bookmarkEnd w:id="25"/>
    </w:p>
    <w:p>
      <w:pPr>
        <w:ind w:firstLine="646" w:firstLineChars="202"/>
        <w:contextualSpacing w:val="0"/>
      </w:pPr>
      <w:r>
        <w:rPr>
          <w:rFonts w:hint="eastAsia" w:ascii="仿宋_GB2312" w:hAnsi="仿宋_GB2312" w:eastAsia="仿宋_GB2312" w:cs="仿宋_GB2312"/>
          <w:sz w:val="32"/>
          <w:szCs w:val="32"/>
        </w:rPr>
        <w:t>截至目前，</w:t>
      </w:r>
      <w:r>
        <w:rPr>
          <w:rFonts w:hint="eastAsia" w:ascii="仿宋_GB2312" w:hAnsi="仿宋_GB2312" w:eastAsia="仿宋_GB2312" w:cs="仿宋_GB2312"/>
          <w:sz w:val="32"/>
          <w:szCs w:val="32"/>
          <w:lang w:val="en-US" w:eastAsia="zh-CN"/>
        </w:rPr>
        <w:t>2020年美丽家园城桥镇地区项目已于2021年10月全部完成工程建设，</w:t>
      </w:r>
      <w:r>
        <w:rPr>
          <w:rFonts w:hint="eastAsia" w:ascii="仿宋_GB2312" w:hAnsi="仿宋_GB2312" w:eastAsia="仿宋_GB2312" w:cs="仿宋_GB2312"/>
          <w:sz w:val="32"/>
          <w:szCs w:val="32"/>
          <w:highlight w:val="none"/>
          <w:lang w:val="en-US" w:eastAsia="zh-CN"/>
        </w:rPr>
        <w:t>并先后通过了区给排水管理所的专业验收以及由区有关部门联合城桥镇共同开展的综合验收，</w:t>
      </w:r>
      <w:r>
        <w:rPr>
          <w:rFonts w:hint="eastAsia" w:cs="仿宋_GB2312"/>
          <w:sz w:val="32"/>
          <w:szCs w:val="32"/>
          <w:highlight w:val="none"/>
          <w:lang w:val="en-US" w:eastAsia="zh-CN"/>
        </w:rPr>
        <w:t>截至本报告定稿，</w:t>
      </w:r>
      <w:r>
        <w:rPr>
          <w:rFonts w:hint="eastAsia" w:ascii="仿宋_GB2312" w:hAnsi="仿宋_GB2312" w:eastAsia="仿宋_GB2312" w:cs="仿宋_GB2312"/>
          <w:sz w:val="32"/>
          <w:szCs w:val="32"/>
          <w:highlight w:val="none"/>
          <w:lang w:val="en-US" w:eastAsia="zh-CN"/>
        </w:rPr>
        <w:t>项目</w:t>
      </w:r>
      <w:r>
        <w:rPr>
          <w:rFonts w:hint="eastAsia" w:cs="仿宋_GB2312"/>
          <w:sz w:val="32"/>
          <w:szCs w:val="32"/>
          <w:highlight w:val="none"/>
          <w:lang w:val="en-US" w:eastAsia="zh-CN"/>
        </w:rPr>
        <w:t>已</w:t>
      </w:r>
      <w:r>
        <w:rPr>
          <w:rFonts w:hint="eastAsia" w:ascii="仿宋_GB2312" w:hAnsi="仿宋_GB2312" w:eastAsia="仿宋_GB2312" w:cs="仿宋_GB2312"/>
          <w:sz w:val="32"/>
          <w:szCs w:val="32"/>
          <w:highlight w:val="none"/>
          <w:lang w:val="en-US" w:eastAsia="zh-CN"/>
        </w:rPr>
        <w:t>完成审价，</w:t>
      </w:r>
      <w:r>
        <w:rPr>
          <w:rFonts w:hint="eastAsia" w:cs="仿宋_GB2312"/>
          <w:sz w:val="32"/>
          <w:szCs w:val="32"/>
          <w:highlight w:val="none"/>
          <w:lang w:val="en-US" w:eastAsia="zh-CN"/>
        </w:rPr>
        <w:t>后续将开展审计工作，</w:t>
      </w:r>
      <w:r>
        <w:rPr>
          <w:rFonts w:hint="eastAsia" w:ascii="仿宋_GB2312" w:hAnsi="仿宋_GB2312" w:eastAsia="仿宋_GB2312" w:cs="仿宋_GB2312"/>
          <w:sz w:val="32"/>
          <w:szCs w:val="32"/>
          <w:highlight w:val="none"/>
          <w:lang w:val="en-US" w:eastAsia="zh-CN"/>
        </w:rPr>
        <w:t>项目固定资产移交工作将在工程质保期（2023年9月）过后开展。</w:t>
      </w:r>
      <w:r>
        <w:rPr>
          <w:rFonts w:hint="eastAsia" w:ascii="仿宋_GB2312" w:hAnsi="仿宋_GB2312" w:eastAsia="仿宋_GB2312" w:cs="仿宋_GB2312"/>
          <w:sz w:val="32"/>
          <w:szCs w:val="32"/>
        </w:rPr>
        <w:t>具体</w:t>
      </w:r>
      <w:r>
        <w:rPr>
          <w:rFonts w:hint="eastAsia" w:ascii="仿宋_GB2312" w:hAnsi="仿宋_GB2312" w:eastAsia="仿宋_GB2312" w:cs="仿宋_GB2312"/>
          <w:sz w:val="32"/>
          <w:szCs w:val="32"/>
          <w:lang w:val="en-US" w:eastAsia="zh-CN"/>
        </w:rPr>
        <w:t>实施计划及实际进度</w:t>
      </w:r>
      <w:r>
        <w:rPr>
          <w:rFonts w:hint="eastAsia" w:ascii="仿宋_GB2312" w:hAnsi="仿宋_GB2312" w:eastAsia="仿宋_GB2312" w:cs="仿宋_GB2312"/>
          <w:sz w:val="32"/>
          <w:szCs w:val="32"/>
        </w:rPr>
        <w:t>情况详见下表</w:t>
      </w:r>
      <w:r>
        <w:rPr>
          <w:rFonts w:hint="eastAsia" w:ascii="仿宋_GB2312" w:hAnsi="仿宋_GB2312" w:eastAsia="仿宋_GB2312" w:cs="仿宋_GB2312"/>
          <w:sz w:val="32"/>
          <w:szCs w:val="32"/>
          <w:lang w:val="en-US" w:eastAsia="zh-CN"/>
        </w:rPr>
        <w:t>1-3</w:t>
      </w:r>
      <w:r>
        <w:rPr>
          <w:rFonts w:hint="eastAsia" w:ascii="仿宋_GB2312" w:hAnsi="仿宋_GB2312" w:eastAsia="仿宋_GB2312" w:cs="仿宋_GB2312"/>
          <w:sz w:val="32"/>
          <w:szCs w:val="32"/>
        </w:rPr>
        <w:t>。</w:t>
      </w:r>
    </w:p>
    <w:p>
      <w:pPr>
        <w:ind w:firstLine="0" w:firstLineChars="0"/>
        <w:jc w:val="center"/>
        <w:rPr>
          <w:rFonts w:hint="eastAsia" w:hAnsi="Microsoft JhengHei"/>
          <w:b/>
          <w:bCs/>
          <w:sz w:val="24"/>
          <w:szCs w:val="24"/>
        </w:rPr>
        <w:sectPr>
          <w:footerReference r:id="rId14" w:type="default"/>
          <w:pgSz w:w="11906" w:h="16838"/>
          <w:pgMar w:top="1440" w:right="1797" w:bottom="1440" w:left="1797" w:header="851" w:footer="567" w:gutter="0"/>
          <w:pgNumType w:start="1"/>
          <w:cols w:space="720" w:num="1"/>
          <w:docGrid w:linePitch="381" w:charSpace="0"/>
        </w:sectPr>
      </w:pPr>
    </w:p>
    <w:p>
      <w:pPr>
        <w:ind w:firstLine="0" w:firstLineChars="0"/>
        <w:jc w:val="center"/>
        <w:rPr>
          <w:rFonts w:hAnsi="Microsoft JhengHei"/>
        </w:rPr>
      </w:pPr>
      <w:r>
        <w:rPr>
          <w:rFonts w:hint="eastAsia" w:hAnsi="Microsoft JhengHei"/>
          <w:b/>
          <w:bCs/>
          <w:sz w:val="24"/>
          <w:szCs w:val="24"/>
        </w:rPr>
        <w:t>表</w:t>
      </w:r>
      <w:r>
        <w:rPr>
          <w:rFonts w:hint="eastAsia" w:hAnsi="Microsoft JhengHei"/>
          <w:b/>
          <w:bCs/>
          <w:sz w:val="24"/>
          <w:szCs w:val="24"/>
          <w:lang w:val="en-US" w:eastAsia="zh-CN"/>
        </w:rPr>
        <w:t>1-3</w:t>
      </w:r>
      <w:r>
        <w:rPr>
          <w:rFonts w:hint="eastAsia" w:hAnsi="Microsoft JhengHei"/>
          <w:b/>
          <w:bCs/>
          <w:sz w:val="24"/>
          <w:szCs w:val="24"/>
        </w:rPr>
        <w:t xml:space="preserve"> </w:t>
      </w:r>
      <w:r>
        <w:rPr>
          <w:rFonts w:hint="eastAsia" w:hAnsi="Microsoft JhengHei"/>
          <w:b/>
          <w:bCs/>
          <w:sz w:val="24"/>
          <w:szCs w:val="24"/>
          <w:lang w:val="en-US" w:eastAsia="zh-CN"/>
        </w:rPr>
        <w:t>项目实施计划及实际进度</w:t>
      </w:r>
      <w:r>
        <w:rPr>
          <w:rFonts w:hint="eastAsia" w:hAnsi="Microsoft JhengHei"/>
          <w:b/>
          <w:bCs/>
          <w:sz w:val="24"/>
          <w:szCs w:val="24"/>
        </w:rPr>
        <w:t>表</w:t>
      </w:r>
    </w:p>
    <w:tbl>
      <w:tblPr>
        <w:tblStyle w:val="37"/>
        <w:tblW w:w="14835" w:type="dxa"/>
        <w:tblInd w:w="-271" w:type="dxa"/>
        <w:tblLayout w:type="fixed"/>
        <w:tblCellMar>
          <w:top w:w="0" w:type="dxa"/>
          <w:left w:w="108" w:type="dxa"/>
          <w:bottom w:w="0" w:type="dxa"/>
          <w:right w:w="108" w:type="dxa"/>
        </w:tblCellMar>
      </w:tblPr>
      <w:tblGrid>
        <w:gridCol w:w="672"/>
        <w:gridCol w:w="1104"/>
        <w:gridCol w:w="1224"/>
        <w:gridCol w:w="1104"/>
        <w:gridCol w:w="1272"/>
        <w:gridCol w:w="1188"/>
        <w:gridCol w:w="2112"/>
        <w:gridCol w:w="6159"/>
      </w:tblGrid>
      <w:tr>
        <w:tblPrEx>
          <w:tblLayout w:type="fixed"/>
          <w:tblCellMar>
            <w:top w:w="0" w:type="dxa"/>
            <w:left w:w="108" w:type="dxa"/>
            <w:bottom w:w="0" w:type="dxa"/>
            <w:right w:w="108" w:type="dxa"/>
          </w:tblCellMar>
        </w:tblPrEx>
        <w:trPr>
          <w:trHeight w:val="327" w:hRule="atLeast"/>
          <w:tblHeader/>
        </w:trPr>
        <w:tc>
          <w:tcPr>
            <w:tcW w:w="672" w:type="dxa"/>
            <w:tcBorders>
              <w:top w:val="single" w:color="000000" w:sz="8" w:space="0"/>
              <w:left w:val="single" w:color="000000" w:sz="8" w:space="0"/>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Ansi="宋体" w:cs="宋体"/>
                <w:b/>
                <w:bCs/>
                <w:color w:val="000000"/>
                <w:kern w:val="0"/>
                <w:sz w:val="21"/>
                <w:szCs w:val="21"/>
              </w:rPr>
            </w:pPr>
            <w:bookmarkStart w:id="26" w:name="_Toc1663"/>
            <w:r>
              <w:rPr>
                <w:rFonts w:hint="eastAsia" w:hAnsi="宋体" w:cs="宋体"/>
                <w:b/>
                <w:bCs/>
                <w:color w:val="000000"/>
                <w:kern w:val="0"/>
                <w:sz w:val="21"/>
                <w:szCs w:val="21"/>
              </w:rPr>
              <w:t>序号</w:t>
            </w:r>
          </w:p>
        </w:tc>
        <w:tc>
          <w:tcPr>
            <w:tcW w:w="1104" w:type="dxa"/>
            <w:tcBorders>
              <w:top w:val="single" w:color="000000" w:sz="8" w:space="0"/>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b/>
                <w:bCs/>
                <w:color w:val="000000"/>
                <w:kern w:val="0"/>
                <w:sz w:val="21"/>
                <w:szCs w:val="21"/>
                <w:lang w:val="en-US" w:eastAsia="zh-CN" w:bidi="ar-SA"/>
              </w:rPr>
            </w:pPr>
            <w:r>
              <w:rPr>
                <w:rFonts w:hint="eastAsia" w:hAnsi="宋体" w:cs="宋体"/>
                <w:b/>
                <w:bCs/>
                <w:color w:val="000000"/>
                <w:kern w:val="0"/>
                <w:sz w:val="21"/>
                <w:szCs w:val="21"/>
                <w:lang w:val="en-US" w:eastAsia="zh-CN"/>
              </w:rPr>
              <w:t>实施阶段</w:t>
            </w:r>
          </w:p>
        </w:tc>
        <w:tc>
          <w:tcPr>
            <w:tcW w:w="1224" w:type="dxa"/>
            <w:tcBorders>
              <w:top w:val="single" w:color="000000" w:sz="8" w:space="0"/>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b/>
                <w:bCs/>
                <w:color w:val="000000"/>
                <w:kern w:val="0"/>
                <w:sz w:val="21"/>
                <w:szCs w:val="21"/>
                <w:lang w:val="en-US" w:eastAsia="zh-CN"/>
              </w:rPr>
            </w:pPr>
            <w:r>
              <w:rPr>
                <w:rFonts w:hint="eastAsia" w:hAnsi="宋体" w:cs="宋体"/>
                <w:b/>
                <w:bCs/>
                <w:color w:val="000000"/>
                <w:kern w:val="0"/>
                <w:sz w:val="21"/>
                <w:szCs w:val="21"/>
                <w:lang w:val="en-US" w:eastAsia="zh-CN"/>
              </w:rPr>
              <w:t>工作内容</w:t>
            </w:r>
          </w:p>
        </w:tc>
        <w:tc>
          <w:tcPr>
            <w:tcW w:w="1104" w:type="dxa"/>
            <w:tcBorders>
              <w:top w:val="single" w:color="000000" w:sz="8" w:space="0"/>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计划节点</w:t>
            </w:r>
          </w:p>
        </w:tc>
        <w:tc>
          <w:tcPr>
            <w:tcW w:w="1272"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b/>
                <w:bCs/>
                <w:color w:val="000000"/>
                <w:kern w:val="0"/>
                <w:sz w:val="21"/>
                <w:szCs w:val="21"/>
                <w:lang w:val="en-US" w:eastAsia="zh-CN" w:bidi="ar-SA"/>
              </w:rPr>
            </w:pPr>
            <w:r>
              <w:rPr>
                <w:rFonts w:hint="eastAsia" w:hAnsi="宋体" w:cs="宋体"/>
                <w:b/>
                <w:bCs/>
                <w:color w:val="000000"/>
                <w:kern w:val="0"/>
                <w:sz w:val="21"/>
                <w:szCs w:val="21"/>
                <w:lang w:val="en-US" w:eastAsia="zh-CN"/>
              </w:rPr>
              <w:t>完成时间</w:t>
            </w:r>
          </w:p>
        </w:tc>
        <w:tc>
          <w:tcPr>
            <w:tcW w:w="1188"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b/>
                <w:bCs/>
                <w:color w:val="000000"/>
                <w:kern w:val="0"/>
                <w:sz w:val="21"/>
                <w:szCs w:val="21"/>
                <w:lang w:val="en-US" w:eastAsia="zh-CN"/>
              </w:rPr>
            </w:pPr>
            <w:r>
              <w:rPr>
                <w:rFonts w:hint="eastAsia" w:hAnsi="宋体" w:cs="宋体"/>
                <w:b/>
                <w:bCs/>
                <w:color w:val="000000"/>
                <w:kern w:val="0"/>
                <w:sz w:val="21"/>
                <w:szCs w:val="21"/>
                <w:lang w:val="en-US" w:eastAsia="zh-CN"/>
              </w:rPr>
              <w:t>进度对比</w:t>
            </w:r>
          </w:p>
        </w:tc>
        <w:tc>
          <w:tcPr>
            <w:tcW w:w="2112"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b/>
                <w:bCs/>
                <w:color w:val="000000"/>
                <w:kern w:val="0"/>
                <w:sz w:val="21"/>
                <w:szCs w:val="21"/>
                <w:lang w:val="en-US" w:eastAsia="zh-CN"/>
              </w:rPr>
            </w:pPr>
            <w:r>
              <w:rPr>
                <w:rFonts w:hint="eastAsia" w:hAnsi="宋体" w:cs="宋体"/>
                <w:b/>
                <w:bCs/>
                <w:color w:val="000000"/>
                <w:kern w:val="0"/>
                <w:sz w:val="21"/>
                <w:szCs w:val="21"/>
                <w:lang w:val="en-US" w:eastAsia="zh-CN"/>
              </w:rPr>
              <w:t>偏差原因</w:t>
            </w:r>
          </w:p>
        </w:tc>
        <w:tc>
          <w:tcPr>
            <w:tcW w:w="6159" w:type="dxa"/>
            <w:tcBorders>
              <w:top w:val="single" w:color="000000" w:sz="8" w:space="0"/>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b/>
                <w:bCs/>
                <w:color w:val="000000"/>
                <w:kern w:val="0"/>
                <w:sz w:val="21"/>
                <w:szCs w:val="21"/>
                <w:lang w:val="en-US" w:eastAsia="zh-CN"/>
              </w:rPr>
            </w:pPr>
            <w:r>
              <w:rPr>
                <w:rFonts w:hint="eastAsia" w:hAnsi="宋体" w:cs="宋体"/>
                <w:b/>
                <w:bCs/>
                <w:color w:val="000000"/>
                <w:kern w:val="0"/>
                <w:sz w:val="21"/>
                <w:szCs w:val="21"/>
                <w:lang w:val="en-US" w:eastAsia="zh-CN"/>
              </w:rPr>
              <w:t>具体执行情况</w:t>
            </w:r>
          </w:p>
        </w:tc>
      </w:tr>
      <w:tr>
        <w:tblPrEx>
          <w:tblLayout w:type="fixed"/>
          <w:tblCellMar>
            <w:top w:w="0" w:type="dxa"/>
            <w:left w:w="108" w:type="dxa"/>
            <w:bottom w:w="0" w:type="dxa"/>
            <w:right w:w="108" w:type="dxa"/>
          </w:tblCellMar>
        </w:tblPrEx>
        <w:trPr>
          <w:trHeight w:val="327" w:hRule="atLeast"/>
        </w:trPr>
        <w:tc>
          <w:tcPr>
            <w:tcW w:w="672" w:type="dxa"/>
            <w:vMerge w:val="restart"/>
            <w:tcBorders>
              <w:top w:val="nil"/>
              <w:left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r>
              <w:rPr>
                <w:rFonts w:hint="eastAsia" w:hAnsi="宋体" w:cs="宋体"/>
                <w:color w:val="000000"/>
                <w:kern w:val="0"/>
                <w:sz w:val="21"/>
                <w:szCs w:val="21"/>
              </w:rPr>
              <w:t>1</w:t>
            </w:r>
          </w:p>
        </w:tc>
        <w:tc>
          <w:tcPr>
            <w:tcW w:w="1104" w:type="dxa"/>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建设前期工作阶段</w:t>
            </w:r>
          </w:p>
        </w:tc>
        <w:tc>
          <w:tcPr>
            <w:tcW w:w="122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工可编制</w:t>
            </w:r>
          </w:p>
        </w:tc>
        <w:tc>
          <w:tcPr>
            <w:tcW w:w="110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2020.3</w:t>
            </w:r>
          </w:p>
        </w:tc>
        <w:tc>
          <w:tcPr>
            <w:tcW w:w="1272"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2020.4</w:t>
            </w:r>
          </w:p>
        </w:tc>
        <w:tc>
          <w:tcPr>
            <w:tcW w:w="1188"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落后计划1个月</w:t>
            </w:r>
          </w:p>
        </w:tc>
        <w:tc>
          <w:tcPr>
            <w:tcW w:w="2112" w:type="dxa"/>
            <w:vMerge w:val="restart"/>
            <w:tcBorders>
              <w:top w:val="nil"/>
              <w:left w:val="nil"/>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可研报告编制阶段修改易稿较多，导致定稿晚于预期</w:t>
            </w:r>
          </w:p>
        </w:tc>
        <w:tc>
          <w:tcPr>
            <w:tcW w:w="6159" w:type="dxa"/>
            <w:tcBorders>
              <w:top w:val="nil"/>
              <w:left w:val="nil"/>
              <w:bottom w:val="single" w:color="000000" w:sz="8" w:space="0"/>
              <w:right w:val="single" w:color="000000" w:sz="8" w:space="0"/>
            </w:tcBorders>
            <w:shd w:val="clear" w:color="auto" w:fill="auto"/>
            <w:vAlign w:val="center"/>
          </w:tcPr>
          <w:p>
            <w:pPr>
              <w:widowControl/>
              <w:spacing w:line="240" w:lineRule="auto"/>
              <w:ind w:firstLine="0" w:firstLineChars="0"/>
              <w:contextualSpacing w:val="0"/>
              <w:jc w:val="left"/>
              <w:rPr>
                <w:rFonts w:hint="default"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2019年10月，上海市崇明区城桥镇人民政府启动项目前期研究准备工作，委托上海容基工程项目管理有限公司，在多次现场踏勘调研和沟通的基础上，开展方案策划、咨询工作，并编制可行性研究报告（初步设计深度），完成后向崇明区发改委提交立项申请</w:t>
            </w:r>
          </w:p>
        </w:tc>
      </w:tr>
      <w:tr>
        <w:tblPrEx>
          <w:tblLayout w:type="fixed"/>
          <w:tblCellMar>
            <w:top w:w="0" w:type="dxa"/>
            <w:left w:w="108" w:type="dxa"/>
            <w:bottom w:w="0" w:type="dxa"/>
            <w:right w:w="108" w:type="dxa"/>
          </w:tblCellMar>
        </w:tblPrEx>
        <w:trPr>
          <w:trHeight w:val="342" w:hRule="atLeast"/>
        </w:trPr>
        <w:tc>
          <w:tcPr>
            <w:tcW w:w="672" w:type="dxa"/>
            <w:vMerge w:val="continue"/>
            <w:tcBorders>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p>
        </w:tc>
        <w:tc>
          <w:tcPr>
            <w:tcW w:w="1104" w:type="dxa"/>
            <w:vMerge w:val="continue"/>
            <w:tcBorders>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p>
        </w:tc>
        <w:tc>
          <w:tcPr>
            <w:tcW w:w="122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申报立项</w:t>
            </w:r>
          </w:p>
        </w:tc>
        <w:tc>
          <w:tcPr>
            <w:tcW w:w="110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2020.4</w:t>
            </w:r>
          </w:p>
        </w:tc>
        <w:tc>
          <w:tcPr>
            <w:tcW w:w="1272"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2020.5.13</w:t>
            </w:r>
          </w:p>
        </w:tc>
        <w:tc>
          <w:tcPr>
            <w:tcW w:w="1188"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落后计划1个月</w:t>
            </w:r>
          </w:p>
        </w:tc>
        <w:tc>
          <w:tcPr>
            <w:tcW w:w="2112" w:type="dxa"/>
            <w:vMerge w:val="continue"/>
            <w:tcBorders>
              <w:left w:val="nil"/>
              <w:bottom w:val="single" w:color="000000" w:sz="8" w:space="0"/>
              <w:right w:val="single" w:color="000000" w:sz="8"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p>
        </w:tc>
        <w:tc>
          <w:tcPr>
            <w:tcW w:w="6159"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上海市崇明区发展和改革委员会印发《上海市崇明区发展和改革委员会关于城桥镇西门北村“美丽家园”改造工程可行性研究报告(兼项目建议书)的批复》（沪崇发改〔2020〕209号）等6个项目的批复，批复项目总投资概算为22142.76万元</w:t>
            </w:r>
          </w:p>
        </w:tc>
      </w:tr>
      <w:tr>
        <w:tblPrEx>
          <w:tblLayout w:type="fixed"/>
          <w:tblCellMar>
            <w:top w:w="0" w:type="dxa"/>
            <w:left w:w="108" w:type="dxa"/>
            <w:bottom w:w="0" w:type="dxa"/>
            <w:right w:w="108" w:type="dxa"/>
          </w:tblCellMar>
        </w:tblPrEx>
        <w:trPr>
          <w:trHeight w:val="342" w:hRule="atLeast"/>
        </w:trPr>
        <w:tc>
          <w:tcPr>
            <w:tcW w:w="672" w:type="dxa"/>
            <w:vMerge w:val="restart"/>
            <w:tcBorders>
              <w:top w:val="nil"/>
              <w:left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2</w:t>
            </w:r>
          </w:p>
        </w:tc>
        <w:tc>
          <w:tcPr>
            <w:tcW w:w="1104" w:type="dxa"/>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建设准备阶段</w:t>
            </w:r>
          </w:p>
        </w:tc>
        <w:tc>
          <w:tcPr>
            <w:tcW w:w="122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物探、检测</w:t>
            </w:r>
          </w:p>
        </w:tc>
        <w:tc>
          <w:tcPr>
            <w:tcW w:w="1104" w:type="dxa"/>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2020.5</w:t>
            </w:r>
          </w:p>
        </w:tc>
        <w:tc>
          <w:tcPr>
            <w:tcW w:w="1272"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2020.5</w:t>
            </w:r>
          </w:p>
        </w:tc>
        <w:tc>
          <w:tcPr>
            <w:tcW w:w="1188" w:type="dxa"/>
            <w:vMerge w:val="restart"/>
            <w:tcBorders>
              <w:top w:val="nil"/>
              <w:left w:val="nil"/>
              <w:right w:val="single" w:color="000000" w:sz="8"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落后计划2个月</w:t>
            </w:r>
          </w:p>
        </w:tc>
        <w:tc>
          <w:tcPr>
            <w:tcW w:w="2112" w:type="dxa"/>
            <w:vMerge w:val="restart"/>
            <w:tcBorders>
              <w:top w:val="nil"/>
              <w:left w:val="nil"/>
              <w:right w:val="single" w:color="000000" w:sz="8"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施工招标启动时间较晚，招标开标评标工作时间较长</w:t>
            </w:r>
          </w:p>
        </w:tc>
        <w:tc>
          <w:tcPr>
            <w:tcW w:w="6159"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上海市崇明区城桥镇人民政府委托上海勘察设计研究院（集团）有限公司对各改造小区进行房屋完损检测和地下管线探测工作，委托上海立劲市政工程有限公司（负责4个小区）和上海崇明绿化养护有限公司（负责2个小区）开展管道CCTV检测工作，于5月份出具了各项检测报告</w:t>
            </w:r>
          </w:p>
        </w:tc>
      </w:tr>
      <w:tr>
        <w:tblPrEx>
          <w:tblLayout w:type="fixed"/>
          <w:tblCellMar>
            <w:top w:w="0" w:type="dxa"/>
            <w:left w:w="108" w:type="dxa"/>
            <w:bottom w:w="0" w:type="dxa"/>
            <w:right w:w="108" w:type="dxa"/>
          </w:tblCellMar>
        </w:tblPrEx>
        <w:trPr>
          <w:trHeight w:val="327" w:hRule="atLeast"/>
        </w:trPr>
        <w:tc>
          <w:tcPr>
            <w:tcW w:w="672" w:type="dxa"/>
            <w:vMerge w:val="continue"/>
            <w:tcBorders>
              <w:left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Ansi="宋体" w:cs="宋体"/>
                <w:color w:val="000000"/>
                <w:kern w:val="0"/>
                <w:sz w:val="21"/>
                <w:szCs w:val="21"/>
              </w:rPr>
            </w:pPr>
          </w:p>
        </w:tc>
        <w:tc>
          <w:tcPr>
            <w:tcW w:w="1104" w:type="dxa"/>
            <w:vMerge w:val="continue"/>
            <w:tcBorders>
              <w:left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p>
        </w:tc>
        <w:tc>
          <w:tcPr>
            <w:tcW w:w="12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报建</w:t>
            </w:r>
          </w:p>
        </w:tc>
        <w:tc>
          <w:tcPr>
            <w:tcW w:w="1104" w:type="dxa"/>
            <w:vMerge w:val="continue"/>
            <w:tcBorders>
              <w:left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p>
        </w:tc>
        <w:tc>
          <w:tcPr>
            <w:tcW w:w="1272"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2020.6.3</w:t>
            </w:r>
          </w:p>
        </w:tc>
        <w:tc>
          <w:tcPr>
            <w:tcW w:w="1188" w:type="dxa"/>
            <w:vMerge w:val="continue"/>
            <w:tcBorders>
              <w:left w:val="nil"/>
              <w:right w:val="single" w:color="000000" w:sz="8"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p>
        </w:tc>
        <w:tc>
          <w:tcPr>
            <w:tcW w:w="2112" w:type="dxa"/>
            <w:vMerge w:val="continue"/>
            <w:tcBorders>
              <w:left w:val="nil"/>
              <w:right w:val="single" w:color="000000" w:sz="8"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p>
        </w:tc>
        <w:tc>
          <w:tcPr>
            <w:tcW w:w="6159" w:type="dxa"/>
            <w:tcBorders>
              <w:top w:val="nil"/>
              <w:left w:val="nil"/>
              <w:bottom w:val="single" w:color="000000" w:sz="8" w:space="0"/>
              <w:right w:val="single" w:color="000000" w:sz="8"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2020年6月1日实施单位递交6个项目的《上海市建设工程报建表》，6月3日获批通过</w:t>
            </w:r>
          </w:p>
        </w:tc>
      </w:tr>
      <w:tr>
        <w:tblPrEx>
          <w:tblLayout w:type="fixed"/>
          <w:tblCellMar>
            <w:top w:w="0" w:type="dxa"/>
            <w:left w:w="108" w:type="dxa"/>
            <w:bottom w:w="0" w:type="dxa"/>
            <w:right w:w="108" w:type="dxa"/>
          </w:tblCellMar>
        </w:tblPrEx>
        <w:trPr>
          <w:trHeight w:val="411" w:hRule="atLeast"/>
        </w:trPr>
        <w:tc>
          <w:tcPr>
            <w:tcW w:w="672" w:type="dxa"/>
            <w:vMerge w:val="continue"/>
            <w:tcBorders>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ascii="仿宋_GB2312" w:hAnsi="宋体" w:eastAsia="仿宋_GB2312" w:cs="宋体"/>
                <w:color w:val="000000"/>
                <w:kern w:val="0"/>
                <w:sz w:val="21"/>
                <w:szCs w:val="21"/>
                <w:lang w:val="en-US" w:eastAsia="zh-CN" w:bidi="ar-SA"/>
              </w:rPr>
            </w:pPr>
          </w:p>
        </w:tc>
        <w:tc>
          <w:tcPr>
            <w:tcW w:w="1104"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p>
        </w:tc>
        <w:tc>
          <w:tcPr>
            <w:tcW w:w="12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招投标</w:t>
            </w:r>
          </w:p>
        </w:tc>
        <w:tc>
          <w:tcPr>
            <w:tcW w:w="1104"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p>
        </w:tc>
        <w:tc>
          <w:tcPr>
            <w:tcW w:w="1272" w:type="dxa"/>
            <w:tcBorders>
              <w:top w:val="nil"/>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2020.7.28</w:t>
            </w:r>
          </w:p>
        </w:tc>
        <w:tc>
          <w:tcPr>
            <w:tcW w:w="1188" w:type="dxa"/>
            <w:vMerge w:val="continue"/>
            <w:tcBorders>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bidi="ar-SA"/>
              </w:rPr>
            </w:pPr>
          </w:p>
        </w:tc>
        <w:tc>
          <w:tcPr>
            <w:tcW w:w="2112" w:type="dxa"/>
            <w:vMerge w:val="continue"/>
            <w:tcBorders>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bidi="ar-SA"/>
              </w:rPr>
            </w:pPr>
          </w:p>
        </w:tc>
        <w:tc>
          <w:tcPr>
            <w:tcW w:w="6159" w:type="dxa"/>
            <w:tcBorders>
              <w:top w:val="nil"/>
              <w:left w:val="nil"/>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left"/>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bidi="ar-SA"/>
              </w:rPr>
              <w:t>2020年5月13日，</w:t>
            </w:r>
            <w:r>
              <w:rPr>
                <w:rFonts w:hint="eastAsia" w:hAnsi="宋体" w:cs="宋体"/>
                <w:color w:val="000000"/>
                <w:kern w:val="0"/>
                <w:sz w:val="21"/>
                <w:szCs w:val="21"/>
                <w:lang w:val="en-US" w:eastAsia="zh-CN"/>
              </w:rPr>
              <w:t>上海九硕工程管理有限公司委托建正建设工程咨询有限公司承担6个项目的设计、监理招标代理工作，以公开招标方式于6月12日确认中标单位：确认上海协恒工程管理有限公司为城西新村、南门路小区、西门北村等3个项目的工程监理中标单位；确认上海智达工程顾问有限公司为北门新村、南门新村、西门南村等3个项目的工程监理中标单位；确认上海城凯建筑设计有限公司为城西新村、西门北村、西门南村等3个项目的工程设计中标单位；确认上海市房屋建筑设计院有限公司为北门新村、南门新村等2个项目的工程设计中标单位；确认上海伊腾建筑设计有限公司为南门路小区项目的工程设计中标单位；</w:t>
            </w:r>
          </w:p>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2020年6月16日，</w:t>
            </w:r>
            <w:r>
              <w:rPr>
                <w:rFonts w:hint="eastAsia" w:hAnsi="宋体" w:cs="宋体"/>
                <w:color w:val="000000"/>
                <w:kern w:val="0"/>
                <w:sz w:val="21"/>
                <w:szCs w:val="21"/>
                <w:lang w:val="en-US" w:eastAsia="zh-CN"/>
              </w:rPr>
              <w:t>上海九硕工程管理有限公司委托建正建设工程咨询有限公司承担6个项目的施工招标代理工作，以公开招标方式于7月28日确认中标单位：确认上海崇明建设（集团）有限公司为6个子项目的施工中标单位，总中标价为17635.47万元</w:t>
            </w:r>
          </w:p>
        </w:tc>
      </w:tr>
      <w:tr>
        <w:tblPrEx>
          <w:tblLayout w:type="fixed"/>
          <w:tblCellMar>
            <w:top w:w="0" w:type="dxa"/>
            <w:left w:w="108" w:type="dxa"/>
            <w:bottom w:w="0" w:type="dxa"/>
            <w:right w:w="108" w:type="dxa"/>
          </w:tblCellMar>
        </w:tblPrEx>
        <w:trPr>
          <w:trHeight w:val="886" w:hRule="atLeast"/>
        </w:trPr>
        <w:tc>
          <w:tcPr>
            <w:tcW w:w="67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3</w:t>
            </w:r>
          </w:p>
        </w:tc>
        <w:tc>
          <w:tcPr>
            <w:tcW w:w="1104" w:type="dxa"/>
            <w:vMerge w:val="restart"/>
            <w:tcBorders>
              <w:top w:val="single" w:color="auto" w:sz="4" w:space="0"/>
              <w:left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施工阶段</w:t>
            </w:r>
          </w:p>
        </w:tc>
        <w:tc>
          <w:tcPr>
            <w:tcW w:w="12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开工</w:t>
            </w:r>
          </w:p>
        </w:tc>
        <w:tc>
          <w:tcPr>
            <w:tcW w:w="110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2020.6</w:t>
            </w:r>
          </w:p>
        </w:tc>
        <w:tc>
          <w:tcPr>
            <w:tcW w:w="127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2020.10</w:t>
            </w:r>
          </w:p>
        </w:tc>
        <w:tc>
          <w:tcPr>
            <w:tcW w:w="118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bidi="ar-SA"/>
              </w:rPr>
            </w:pPr>
            <w:r>
              <w:rPr>
                <w:rFonts w:hint="eastAsia" w:hAnsi="宋体" w:cs="宋体"/>
                <w:color w:val="000000"/>
                <w:kern w:val="0"/>
                <w:sz w:val="21"/>
                <w:szCs w:val="21"/>
                <w:lang w:val="en-US" w:eastAsia="zh-CN"/>
              </w:rPr>
              <w:t>落后计划4个月</w:t>
            </w:r>
          </w:p>
        </w:tc>
        <w:tc>
          <w:tcPr>
            <w:tcW w:w="2112" w:type="dxa"/>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contextualSpacing w:val="0"/>
              <w:jc w:val="left"/>
              <w:rPr>
                <w:rFonts w:hint="eastAsia"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①2020年11月，根据市级政策通知，因消防安全需要，项目原竹脚手架需统一更换为钢脚手架，并由国家电网人员实施高压强电绝缘防护，导致施工进度延误；</w:t>
            </w:r>
          </w:p>
          <w:p>
            <w:pPr>
              <w:widowControl/>
              <w:spacing w:line="240" w:lineRule="auto"/>
              <w:ind w:firstLine="0" w:firstLineChars="0"/>
              <w:contextualSpacing w:val="0"/>
              <w:jc w:val="left"/>
              <w:rPr>
                <w:rFonts w:hint="eastAsia"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②因沥青等原材料优先保供全市重点项目（进博会、第十届花博会等），导致原材料采购困难，一定程度延误了施工进度；</w:t>
            </w:r>
          </w:p>
          <w:p>
            <w:pPr>
              <w:widowControl/>
              <w:spacing w:line="240" w:lineRule="auto"/>
              <w:ind w:firstLine="0" w:firstLineChars="0"/>
              <w:contextualSpacing w:val="0"/>
              <w:jc w:val="left"/>
              <w:rPr>
                <w:rFonts w:hint="default"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③2021年初疫情原因导致工人年后复工时间拉长，一定程度延误了施工进度</w:t>
            </w:r>
          </w:p>
        </w:tc>
        <w:tc>
          <w:tcPr>
            <w:tcW w:w="6159" w:type="dxa"/>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2020年8月8日，上海市崇明区城桥镇人民政府、上海九硕工程管理有限公司共同与上海崇明建设（集团）有限公司签订施工合同，2020年10月6个项目正式开工建设，2021年9月1日，西门北村、城西新村等2个项目完成施工建设；2021年9月18日，北门新村、南门新村等、西门南村3个项目完成施工建设；2021年9月22日，南门路小区等项目完成施工建设</w:t>
            </w:r>
          </w:p>
        </w:tc>
      </w:tr>
      <w:tr>
        <w:tblPrEx>
          <w:tblLayout w:type="fixed"/>
          <w:tblCellMar>
            <w:top w:w="0" w:type="dxa"/>
            <w:left w:w="108" w:type="dxa"/>
            <w:bottom w:w="0" w:type="dxa"/>
            <w:right w:w="108" w:type="dxa"/>
          </w:tblCellMar>
        </w:tblPrEx>
        <w:trPr>
          <w:trHeight w:val="872" w:hRule="atLeast"/>
        </w:trPr>
        <w:tc>
          <w:tcPr>
            <w:tcW w:w="672" w:type="dxa"/>
            <w:tcBorders>
              <w:top w:val="nil"/>
              <w:left w:val="single" w:color="000000" w:sz="8" w:space="0"/>
              <w:bottom w:val="single" w:color="000000" w:sz="8"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4</w:t>
            </w:r>
          </w:p>
        </w:tc>
        <w:tc>
          <w:tcPr>
            <w:tcW w:w="1104"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bidi="ar-SA"/>
              </w:rPr>
            </w:pPr>
          </w:p>
        </w:tc>
        <w:tc>
          <w:tcPr>
            <w:tcW w:w="12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bidi="ar-SA"/>
              </w:rPr>
            </w:pPr>
            <w:r>
              <w:rPr>
                <w:rFonts w:hint="eastAsia" w:hAnsi="宋体" w:cs="宋体"/>
                <w:color w:val="000000"/>
                <w:kern w:val="0"/>
                <w:sz w:val="21"/>
                <w:szCs w:val="21"/>
                <w:lang w:val="en-US" w:eastAsia="zh-CN" w:bidi="ar-SA"/>
              </w:rPr>
              <w:t>完工</w:t>
            </w:r>
          </w:p>
        </w:tc>
        <w:tc>
          <w:tcPr>
            <w:tcW w:w="110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2021.2</w:t>
            </w:r>
          </w:p>
        </w:tc>
        <w:tc>
          <w:tcPr>
            <w:tcW w:w="127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2021.9.22</w:t>
            </w:r>
          </w:p>
        </w:tc>
        <w:tc>
          <w:tcPr>
            <w:tcW w:w="1188"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落后计划7个月</w:t>
            </w:r>
          </w:p>
        </w:tc>
        <w:tc>
          <w:tcPr>
            <w:tcW w:w="2112" w:type="dxa"/>
            <w:vMerge w:val="continue"/>
            <w:tcBorders>
              <w:left w:val="single" w:color="auto" w:sz="4" w:space="0"/>
              <w:right w:val="single" w:color="auto" w:sz="4" w:space="0"/>
            </w:tcBorders>
            <w:shd w:val="clear" w:color="auto" w:fill="auto"/>
            <w:vAlign w:val="center"/>
          </w:tcPr>
          <w:p>
            <w:pPr>
              <w:widowControl/>
              <w:spacing w:line="240" w:lineRule="auto"/>
              <w:ind w:firstLine="0" w:firstLineChars="0"/>
              <w:contextualSpacing w:val="0"/>
              <w:jc w:val="left"/>
              <w:rPr>
                <w:rFonts w:hint="eastAsia" w:hAnsi="宋体" w:cs="宋体"/>
                <w:color w:val="000000"/>
                <w:kern w:val="0"/>
                <w:sz w:val="21"/>
                <w:szCs w:val="21"/>
                <w:lang w:val="en-US" w:eastAsia="zh-CN" w:bidi="ar-SA"/>
              </w:rPr>
            </w:pPr>
          </w:p>
        </w:tc>
        <w:tc>
          <w:tcPr>
            <w:tcW w:w="6159" w:type="dxa"/>
            <w:vMerge w:val="continue"/>
            <w:tcBorders>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left"/>
              <w:rPr>
                <w:rFonts w:hint="eastAsia" w:hAnsi="宋体" w:cs="宋体"/>
                <w:color w:val="000000"/>
                <w:kern w:val="0"/>
                <w:sz w:val="21"/>
                <w:szCs w:val="21"/>
                <w:lang w:val="en-US" w:eastAsia="zh-CN"/>
              </w:rPr>
            </w:pPr>
          </w:p>
        </w:tc>
      </w:tr>
      <w:tr>
        <w:tblPrEx>
          <w:tblLayout w:type="fixed"/>
          <w:tblCellMar>
            <w:top w:w="0" w:type="dxa"/>
            <w:left w:w="108" w:type="dxa"/>
            <w:bottom w:w="0" w:type="dxa"/>
            <w:right w:w="108" w:type="dxa"/>
          </w:tblCellMar>
        </w:tblPrEx>
        <w:trPr>
          <w:trHeight w:val="327" w:hRule="atLeast"/>
        </w:trPr>
        <w:tc>
          <w:tcPr>
            <w:tcW w:w="672" w:type="dxa"/>
            <w:tcBorders>
              <w:top w:val="nil"/>
              <w:left w:val="single" w:color="000000" w:sz="8" w:space="0"/>
              <w:bottom w:val="single" w:color="auto" w:sz="4" w:space="0"/>
              <w:right w:val="single" w:color="000000" w:sz="8"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5</w:t>
            </w:r>
          </w:p>
        </w:tc>
        <w:tc>
          <w:tcPr>
            <w:tcW w:w="1104" w:type="dxa"/>
            <w:tcBorders>
              <w:top w:val="single" w:color="auto" w:sz="4" w:space="0"/>
              <w:left w:val="nil"/>
              <w:bottom w:val="single" w:color="auto" w:sz="4" w:space="0"/>
              <w:right w:val="single" w:color="000000" w:sz="8"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竣工验收</w:t>
            </w:r>
          </w:p>
        </w:tc>
        <w:tc>
          <w:tcPr>
            <w:tcW w:w="1224" w:type="dxa"/>
            <w:tcBorders>
              <w:top w:val="single" w:color="auto" w:sz="4" w:space="0"/>
              <w:left w:val="nil"/>
              <w:bottom w:val="single" w:color="auto" w:sz="4" w:space="0"/>
              <w:right w:val="single" w:color="000000" w:sz="8" w:space="0"/>
            </w:tcBorders>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项目验收</w:t>
            </w:r>
          </w:p>
        </w:tc>
        <w:tc>
          <w:tcPr>
            <w:tcW w:w="1104" w:type="dxa"/>
            <w:tcBorders>
              <w:top w:val="single" w:color="auto" w:sz="4" w:space="0"/>
              <w:left w:val="nil"/>
              <w:bottom w:val="single" w:color="auto" w:sz="4" w:space="0"/>
              <w:right w:val="single" w:color="000000" w:sz="8"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2021.3</w:t>
            </w:r>
          </w:p>
        </w:tc>
        <w:tc>
          <w:tcPr>
            <w:tcW w:w="1272"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2021.9.22</w:t>
            </w:r>
          </w:p>
        </w:tc>
        <w:tc>
          <w:tcPr>
            <w:tcW w:w="118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r>
              <w:rPr>
                <w:rFonts w:hint="eastAsia" w:hAnsi="宋体" w:cs="宋体"/>
                <w:color w:val="000000"/>
                <w:kern w:val="0"/>
                <w:sz w:val="21"/>
                <w:szCs w:val="21"/>
                <w:lang w:val="en-US" w:eastAsia="zh-CN"/>
              </w:rPr>
              <w:t>落后计划6个月</w:t>
            </w:r>
          </w:p>
        </w:tc>
        <w:tc>
          <w:tcPr>
            <w:tcW w:w="2112"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hAnsi="宋体" w:cs="宋体"/>
                <w:color w:val="000000"/>
                <w:kern w:val="0"/>
                <w:sz w:val="21"/>
                <w:szCs w:val="21"/>
                <w:lang w:val="en-US" w:eastAsia="zh-CN"/>
              </w:rPr>
            </w:pPr>
          </w:p>
        </w:tc>
        <w:tc>
          <w:tcPr>
            <w:tcW w:w="615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2021年9月9日，城西新村等、南门新村等、北门新村、西门南村和西门北村5个项目顺利通过上海市崇明区给排水管理所开展的雨污排水验收并纳管入网；2021年9月17日，南门路小区等项目也顺利通过雨污排水验收并纳管入网；</w:t>
            </w:r>
          </w:p>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2021年9月1日，西门北村、城西新村等2个项目接受由施工单位、施工监理、设计单位、代建单位、物业单位和城桥镇人民政府（业主单位）6方共同开展的综合验收，确认工程建设符合设计及规范要求，一次验收合格；2021年9月18日，北门新村、南门新村等、西门南村3个项目也顺利通过综合验收；2021年9月22日，南门路小区等项目也顺利通过综合验收</w:t>
            </w:r>
          </w:p>
        </w:tc>
      </w:tr>
      <w:tr>
        <w:tblPrEx>
          <w:tblLayout w:type="fixed"/>
          <w:tblCellMar>
            <w:top w:w="0" w:type="dxa"/>
            <w:left w:w="108" w:type="dxa"/>
            <w:bottom w:w="0" w:type="dxa"/>
            <w:right w:w="108" w:type="dxa"/>
          </w:tblCellMar>
        </w:tblPrEx>
        <w:trPr>
          <w:trHeight w:val="327" w:hRule="atLeast"/>
        </w:trPr>
        <w:tc>
          <w:tcPr>
            <w:tcW w:w="672" w:type="dxa"/>
            <w:vMerge w:val="restart"/>
            <w:tcBorders>
              <w:top w:val="single" w:color="auto" w:sz="4" w:space="0"/>
              <w:left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6</w:t>
            </w:r>
          </w:p>
        </w:tc>
        <w:tc>
          <w:tcPr>
            <w:tcW w:w="1104" w:type="dxa"/>
            <w:vMerge w:val="restart"/>
            <w:tcBorders>
              <w:top w:val="single" w:color="auto" w:sz="4" w:space="0"/>
              <w:left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审价审计</w:t>
            </w:r>
          </w:p>
        </w:tc>
        <w:tc>
          <w:tcPr>
            <w:tcW w:w="12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审价</w:t>
            </w:r>
          </w:p>
        </w:tc>
        <w:tc>
          <w:tcPr>
            <w:tcW w:w="110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w:t>
            </w:r>
          </w:p>
        </w:tc>
        <w:tc>
          <w:tcPr>
            <w:tcW w:w="1272"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2021.10-2023.5</w:t>
            </w:r>
          </w:p>
        </w:tc>
        <w:tc>
          <w:tcPr>
            <w:tcW w:w="118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w:t>
            </w:r>
          </w:p>
        </w:tc>
        <w:tc>
          <w:tcPr>
            <w:tcW w:w="2112"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w:t>
            </w:r>
          </w:p>
        </w:tc>
        <w:tc>
          <w:tcPr>
            <w:tcW w:w="615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left"/>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整理工程台账资料，完成送审准备工作，截至2023年5月底，6个项目全部完成审价</w:t>
            </w:r>
          </w:p>
        </w:tc>
      </w:tr>
      <w:tr>
        <w:tblPrEx>
          <w:tblLayout w:type="fixed"/>
          <w:tblCellMar>
            <w:top w:w="0" w:type="dxa"/>
            <w:left w:w="108" w:type="dxa"/>
            <w:bottom w:w="0" w:type="dxa"/>
            <w:right w:w="108" w:type="dxa"/>
          </w:tblCellMar>
        </w:tblPrEx>
        <w:trPr>
          <w:trHeight w:val="327" w:hRule="atLeast"/>
        </w:trPr>
        <w:tc>
          <w:tcPr>
            <w:tcW w:w="672" w:type="dxa"/>
            <w:vMerge w:val="continue"/>
            <w:tcBorders>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p>
        </w:tc>
        <w:tc>
          <w:tcPr>
            <w:tcW w:w="1104" w:type="dxa"/>
            <w:vMerge w:val="continue"/>
            <w:tcBorders>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p>
        </w:tc>
        <w:tc>
          <w:tcPr>
            <w:tcW w:w="122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eastAsia"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rPr>
              <w:t>审计</w:t>
            </w:r>
          </w:p>
        </w:tc>
        <w:tc>
          <w:tcPr>
            <w:tcW w:w="1104"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ascii="仿宋_GB2312" w:hAnsi="宋体" w:eastAsia="仿宋_GB2312" w:cs="宋体"/>
                <w:color w:val="000000"/>
                <w:kern w:val="0"/>
                <w:sz w:val="21"/>
                <w:szCs w:val="21"/>
                <w:lang w:val="en-US" w:eastAsia="zh-CN" w:bidi="ar-SA"/>
              </w:rPr>
            </w:pPr>
            <w:r>
              <w:rPr>
                <w:rFonts w:hint="eastAsia" w:hAnsi="宋体" w:cs="宋体"/>
                <w:color w:val="000000"/>
                <w:kern w:val="0"/>
                <w:sz w:val="21"/>
                <w:szCs w:val="21"/>
                <w:lang w:val="en-US" w:eastAsia="zh-CN" w:bidi="ar-SA"/>
              </w:rPr>
              <w:t>/</w:t>
            </w:r>
          </w:p>
        </w:tc>
        <w:tc>
          <w:tcPr>
            <w:tcW w:w="1272"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w:t>
            </w:r>
          </w:p>
        </w:tc>
        <w:tc>
          <w:tcPr>
            <w:tcW w:w="1188"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w:t>
            </w:r>
          </w:p>
        </w:tc>
        <w:tc>
          <w:tcPr>
            <w:tcW w:w="2112"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center"/>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w:t>
            </w:r>
          </w:p>
        </w:tc>
        <w:tc>
          <w:tcPr>
            <w:tcW w:w="6159" w:type="dxa"/>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0" w:firstLineChars="0"/>
              <w:contextualSpacing w:val="0"/>
              <w:jc w:val="left"/>
              <w:rPr>
                <w:rFonts w:hint="default" w:hAnsi="宋体" w:cs="宋体"/>
                <w:color w:val="000000"/>
                <w:kern w:val="0"/>
                <w:sz w:val="21"/>
                <w:szCs w:val="21"/>
                <w:lang w:val="en-US" w:eastAsia="zh-CN"/>
              </w:rPr>
            </w:pPr>
            <w:r>
              <w:rPr>
                <w:rFonts w:hint="eastAsia" w:hAnsi="宋体" w:cs="宋体"/>
                <w:color w:val="000000"/>
                <w:kern w:val="0"/>
                <w:sz w:val="21"/>
                <w:szCs w:val="21"/>
                <w:lang w:val="en-US" w:eastAsia="zh-CN"/>
              </w:rPr>
              <w:t>将在审价工作完成后开展</w:t>
            </w:r>
          </w:p>
        </w:tc>
      </w:tr>
    </w:tbl>
    <w:p>
      <w:pPr>
        <w:ind w:left="0" w:leftChars="0" w:firstLine="0" w:firstLineChars="0"/>
        <w:rPr>
          <w:rFonts w:hint="eastAsia" w:ascii="仿宋_GB2312" w:eastAsia="仿宋_GB2312"/>
          <w:b/>
          <w:bCs/>
          <w:lang w:val="en-US" w:eastAsia="zh-CN"/>
        </w:rPr>
      </w:pPr>
    </w:p>
    <w:p>
      <w:pPr>
        <w:outlineLvl w:val="2"/>
        <w:rPr>
          <w:rFonts w:hint="eastAsia" w:ascii="仿宋_GB2312" w:eastAsia="仿宋_GB2312"/>
          <w:b/>
          <w:bCs/>
          <w:sz w:val="32"/>
          <w:szCs w:val="32"/>
          <w:lang w:val="en-US" w:eastAsia="zh-CN"/>
        </w:rPr>
        <w:sectPr>
          <w:pgSz w:w="16838" w:h="11906" w:orient="landscape"/>
          <w:pgMar w:top="1797" w:right="1440" w:bottom="1797" w:left="1440" w:header="851" w:footer="567" w:gutter="0"/>
          <w:cols w:space="720" w:num="1"/>
          <w:docGrid w:linePitch="381" w:charSpace="0"/>
        </w:sectPr>
      </w:pPr>
    </w:p>
    <w:p>
      <w:pPr>
        <w:outlineLvl w:val="2"/>
        <w:rPr>
          <w:rFonts w:hint="eastAsia"/>
          <w:sz w:val="32"/>
          <w:szCs w:val="32"/>
          <w:lang w:val="en-US" w:eastAsia="zh-CN"/>
        </w:rPr>
      </w:pPr>
      <w:bookmarkStart w:id="27" w:name="_Toc11482"/>
      <w:r>
        <w:rPr>
          <w:rFonts w:hint="eastAsia" w:ascii="仿宋_GB2312" w:eastAsia="仿宋_GB2312"/>
          <w:b/>
          <w:bCs/>
          <w:sz w:val="32"/>
          <w:szCs w:val="32"/>
          <w:lang w:val="en-US" w:eastAsia="zh-CN"/>
        </w:rPr>
        <w:t>3.项目合同签订及履约情况</w:t>
      </w:r>
      <w:bookmarkEnd w:id="27"/>
    </w:p>
    <w:p>
      <w:pPr>
        <w:rPr>
          <w:rFonts w:hint="eastAsia"/>
          <w:sz w:val="32"/>
          <w:szCs w:val="32"/>
          <w:lang w:val="en-US" w:eastAsia="zh-CN"/>
        </w:rPr>
      </w:pPr>
      <w:r>
        <w:rPr>
          <w:rFonts w:hint="eastAsia" w:ascii="仿宋_GB2312" w:eastAsia="仿宋_GB2312"/>
          <w:sz w:val="32"/>
          <w:szCs w:val="32"/>
          <w:lang w:val="en-US" w:eastAsia="zh-CN"/>
        </w:rPr>
        <w:t>本</w:t>
      </w:r>
      <w:r>
        <w:rPr>
          <w:rFonts w:hint="eastAsia"/>
          <w:sz w:val="32"/>
          <w:szCs w:val="32"/>
        </w:rPr>
        <w:t>项目</w:t>
      </w:r>
      <w:r>
        <w:rPr>
          <w:rFonts w:hint="eastAsia"/>
          <w:sz w:val="32"/>
          <w:szCs w:val="32"/>
          <w:lang w:val="en-US" w:eastAsia="zh-CN"/>
        </w:rPr>
        <w:t>6个子项目分别</w:t>
      </w:r>
      <w:r>
        <w:rPr>
          <w:rFonts w:hint="eastAsia"/>
          <w:sz w:val="32"/>
          <w:szCs w:val="32"/>
        </w:rPr>
        <w:t>从</w:t>
      </w:r>
      <w:r>
        <w:rPr>
          <w:rFonts w:hint="eastAsia"/>
          <w:sz w:val="32"/>
          <w:szCs w:val="32"/>
          <w:lang w:val="en-US" w:eastAsia="zh-CN"/>
        </w:rPr>
        <w:t>检测、物探、</w:t>
      </w:r>
      <w:r>
        <w:rPr>
          <w:rFonts w:hint="eastAsia" w:ascii="仿宋_GB2312" w:eastAsia="仿宋_GB2312"/>
          <w:sz w:val="32"/>
          <w:szCs w:val="32"/>
          <w:lang w:val="en-US" w:eastAsia="zh-CN"/>
        </w:rPr>
        <w:t>方案</w:t>
      </w:r>
      <w:r>
        <w:rPr>
          <w:rFonts w:hint="eastAsia"/>
          <w:sz w:val="32"/>
          <w:szCs w:val="32"/>
        </w:rPr>
        <w:t>设计、可行性研究、招投标到施工、监理等过程均委托了相关第三方服务单位开展了项目工作，合计签订</w:t>
      </w:r>
      <w:r>
        <w:rPr>
          <w:rFonts w:hint="eastAsia"/>
          <w:sz w:val="32"/>
          <w:szCs w:val="32"/>
          <w:lang w:val="en-US" w:eastAsia="zh-CN"/>
        </w:rPr>
        <w:t>66</w:t>
      </w:r>
      <w:r>
        <w:rPr>
          <w:rFonts w:hint="eastAsia"/>
          <w:sz w:val="32"/>
          <w:szCs w:val="32"/>
        </w:rPr>
        <w:t>份合同</w:t>
      </w:r>
      <w:r>
        <w:rPr>
          <w:rFonts w:hint="eastAsia"/>
          <w:sz w:val="32"/>
          <w:szCs w:val="32"/>
          <w:lang w:eastAsia="zh-CN"/>
        </w:rPr>
        <w:t>、</w:t>
      </w:r>
      <w:r>
        <w:rPr>
          <w:rFonts w:hint="eastAsia"/>
          <w:sz w:val="32"/>
          <w:szCs w:val="32"/>
          <w:lang w:val="en-US" w:eastAsia="zh-CN"/>
        </w:rPr>
        <w:t>6份施工补充协议，共涉及第三方服务单位13家。其中施工单位、工程监理单位和工程设计单位均以公开招投标方式确定，其余单位，</w:t>
      </w:r>
      <w:r>
        <w:rPr>
          <w:rFonts w:hint="eastAsia"/>
          <w:sz w:val="32"/>
          <w:szCs w:val="32"/>
          <w:highlight w:val="none"/>
          <w:lang w:val="en-US" w:eastAsia="zh-CN"/>
        </w:rPr>
        <w:t>包括工可单位、工程物探单位、房屋检测单位、管道CCTV检测单位、招标代理单位、财务监理单位、代建单位、工程监理单位等均以分散采购的方式，经镇“三重一大”讨论确定第三方。截至目前，除房屋检测合同（6份）已全部执行结束，其余代建、工程监理、财务监理、施工等60份合同尚需等审价审计工作结束后，完成最终结算。</w:t>
      </w:r>
    </w:p>
    <w:p>
      <w:pPr>
        <w:rPr>
          <w:rFonts w:hint="eastAsia"/>
          <w:sz w:val="32"/>
          <w:szCs w:val="32"/>
          <w:lang w:val="en-US" w:eastAsia="zh-CN"/>
        </w:rPr>
      </w:pPr>
      <w:r>
        <w:rPr>
          <w:rFonts w:hint="eastAsia"/>
          <w:sz w:val="32"/>
          <w:szCs w:val="32"/>
          <w:lang w:val="en-US" w:eastAsia="zh-CN"/>
        </w:rPr>
        <w:t>经评价组梳理发现，各项合同签订及执行过程中主要存在以下的问题：</w:t>
      </w:r>
    </w:p>
    <w:p>
      <w:pPr>
        <w:rPr>
          <w:rFonts w:hint="default"/>
          <w:sz w:val="32"/>
          <w:szCs w:val="32"/>
          <w:lang w:val="en-US" w:eastAsia="zh-CN"/>
        </w:rPr>
      </w:pPr>
      <w:r>
        <w:rPr>
          <w:rFonts w:hint="eastAsia"/>
          <w:sz w:val="32"/>
          <w:szCs w:val="32"/>
          <w:lang w:val="en-US" w:eastAsia="zh-CN"/>
        </w:rPr>
        <w:t>（1）部分合同要素有缺失，如方案设计合同、物探合同缺少交付期限条款；物探、管道CCTV检测合同，缺少合同签订日期。</w:t>
      </w:r>
    </w:p>
    <w:p>
      <w:pPr>
        <w:rPr>
          <w:rFonts w:hint="eastAsia"/>
          <w:sz w:val="32"/>
          <w:szCs w:val="32"/>
          <w:lang w:val="en-US" w:eastAsia="zh-CN"/>
        </w:rPr>
      </w:pPr>
      <w:r>
        <w:rPr>
          <w:rFonts w:hint="eastAsia"/>
          <w:sz w:val="32"/>
          <w:szCs w:val="32"/>
          <w:lang w:val="en-US" w:eastAsia="zh-CN"/>
        </w:rPr>
        <w:t>（2）支付履约不及时：如管道CCTV检测合同和设计、监理招标代理合同，服务和报告均已完成，但6个项目的合同价款均未支付。</w:t>
      </w:r>
    </w:p>
    <w:p>
      <w:pPr>
        <w:rPr>
          <w:rFonts w:hint="eastAsia"/>
        </w:rPr>
      </w:pPr>
      <w:r>
        <w:rPr>
          <w:rFonts w:hint="eastAsia"/>
          <w:sz w:val="32"/>
          <w:szCs w:val="32"/>
        </w:rPr>
        <w:t>各项合同服务</w:t>
      </w:r>
      <w:r>
        <w:rPr>
          <w:rFonts w:hint="eastAsia"/>
          <w:sz w:val="32"/>
          <w:szCs w:val="32"/>
          <w:lang w:val="en-US" w:eastAsia="zh-CN"/>
        </w:rPr>
        <w:t>主要</w:t>
      </w:r>
      <w:r>
        <w:rPr>
          <w:rFonts w:hint="eastAsia"/>
          <w:sz w:val="32"/>
          <w:szCs w:val="32"/>
        </w:rPr>
        <w:t>内容及履约情况</w:t>
      </w:r>
      <w:r>
        <w:rPr>
          <w:rFonts w:hint="eastAsia"/>
          <w:sz w:val="32"/>
          <w:szCs w:val="32"/>
          <w:lang w:val="en-US" w:eastAsia="zh-CN"/>
        </w:rPr>
        <w:t>详见附件3。</w:t>
      </w:r>
    </w:p>
    <w:p>
      <w:pPr>
        <w:ind w:left="0" w:leftChars="0" w:firstLine="560" w:firstLineChars="200"/>
        <w:outlineLvl w:val="9"/>
        <w:rPr>
          <w:rFonts w:hint="default" w:eastAsia="仿宋_GB2312"/>
          <w:lang w:val="en-US" w:eastAsia="zh-CN"/>
        </w:rPr>
        <w:sectPr>
          <w:pgSz w:w="11906" w:h="16838"/>
          <w:pgMar w:top="1440" w:right="1797" w:bottom="1440" w:left="1797" w:header="851" w:footer="567" w:gutter="0"/>
          <w:cols w:space="720" w:num="1"/>
          <w:docGrid w:linePitch="381" w:charSpace="0"/>
        </w:sectPr>
      </w:pPr>
    </w:p>
    <w:p>
      <w:pPr>
        <w:pStyle w:val="3"/>
        <w:ind w:left="0" w:leftChars="0" w:firstLine="643" w:firstLineChars="200"/>
        <w:rPr>
          <w:rFonts w:hint="default" w:eastAsia="仿宋_GB2312"/>
          <w:sz w:val="32"/>
          <w:szCs w:val="32"/>
          <w:lang w:val="en-US" w:eastAsia="zh-CN"/>
        </w:rPr>
      </w:pPr>
      <w:bookmarkStart w:id="28" w:name="_Toc24607"/>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三</w:t>
      </w:r>
      <w:r>
        <w:rPr>
          <w:rFonts w:hint="eastAsia" w:ascii="方正楷体_GB2312" w:hAnsi="方正楷体_GB2312" w:eastAsia="方正楷体_GB2312" w:cs="方正楷体_GB2312"/>
          <w:sz w:val="32"/>
          <w:szCs w:val="32"/>
        </w:rPr>
        <w:t>）</w:t>
      </w:r>
      <w:bookmarkEnd w:id="26"/>
      <w:r>
        <w:rPr>
          <w:rFonts w:hint="eastAsia" w:ascii="方正楷体_GB2312" w:hAnsi="方正楷体_GB2312" w:eastAsia="方正楷体_GB2312" w:cs="方正楷体_GB2312"/>
          <w:sz w:val="32"/>
          <w:szCs w:val="32"/>
        </w:rPr>
        <w:t>项目资金来源、项目预算及资金使用情况</w:t>
      </w:r>
      <w:bookmarkEnd w:id="28"/>
    </w:p>
    <w:p>
      <w:pPr>
        <w:ind w:left="2" w:firstLine="562"/>
        <w:contextualSpacing w:val="0"/>
        <w:outlineLvl w:val="2"/>
        <w:rPr>
          <w:rFonts w:hAnsi="Times New Roman" w:cs="Times New Roman"/>
          <w:b/>
          <w:sz w:val="32"/>
          <w:szCs w:val="32"/>
        </w:rPr>
      </w:pPr>
      <w:bookmarkStart w:id="29" w:name="_Toc11265"/>
      <w:r>
        <w:rPr>
          <w:rFonts w:hint="eastAsia" w:hAnsi="Times New Roman" w:cs="Times New Roman"/>
          <w:b/>
          <w:sz w:val="32"/>
          <w:szCs w:val="32"/>
        </w:rPr>
        <w:t>1.预算金额及资金来源</w:t>
      </w:r>
      <w:bookmarkEnd w:id="29"/>
    </w:p>
    <w:p>
      <w:pPr>
        <w:ind w:firstLine="560"/>
        <w:contextualSpacing w:val="0"/>
        <w:rPr>
          <w:rFonts w:hint="default" w:hAnsi="Times New Roman" w:eastAsia="仿宋_GB2312" w:cs="Times New Roman"/>
          <w:sz w:val="32"/>
          <w:szCs w:val="32"/>
          <w:highlight w:val="none"/>
          <w:lang w:val="en-US" w:eastAsia="zh-CN"/>
        </w:rPr>
      </w:pPr>
      <w:r>
        <w:rPr>
          <w:rFonts w:hint="eastAsia" w:hAnsi="Times New Roman" w:cs="Times New Roman"/>
          <w:sz w:val="32"/>
          <w:szCs w:val="32"/>
          <w:highlight w:val="none"/>
          <w:lang w:eastAsia="zh-CN"/>
        </w:rPr>
        <w:t>（</w:t>
      </w:r>
      <w:r>
        <w:rPr>
          <w:rFonts w:hint="eastAsia" w:hAnsi="Times New Roman" w:cs="Times New Roman"/>
          <w:sz w:val="32"/>
          <w:szCs w:val="32"/>
          <w:highlight w:val="none"/>
          <w:lang w:val="en-US" w:eastAsia="zh-CN"/>
        </w:rPr>
        <w:t>1</w:t>
      </w:r>
      <w:r>
        <w:rPr>
          <w:rFonts w:hint="eastAsia" w:hAnsi="Times New Roman" w:cs="Times New Roman"/>
          <w:sz w:val="32"/>
          <w:szCs w:val="32"/>
          <w:highlight w:val="none"/>
          <w:lang w:eastAsia="zh-CN"/>
        </w:rPr>
        <w:t>）</w:t>
      </w:r>
      <w:r>
        <w:rPr>
          <w:rFonts w:hint="eastAsia" w:hAnsi="Times New Roman" w:cs="Times New Roman"/>
          <w:sz w:val="32"/>
          <w:szCs w:val="32"/>
          <w:highlight w:val="yellow"/>
          <w:lang w:val="en-US" w:eastAsia="zh-CN"/>
        </w:rPr>
        <w:t>项目概算及组成</w:t>
      </w:r>
    </w:p>
    <w:p>
      <w:pPr>
        <w:ind w:firstLine="560"/>
        <w:contextualSpacing w:val="0"/>
        <w:rPr>
          <w:rFonts w:hint="eastAsia" w:hAnsi="Times New Roman" w:cs="Times New Roman"/>
          <w:sz w:val="32"/>
          <w:szCs w:val="32"/>
          <w:highlight w:val="none"/>
          <w:lang w:val="en-US" w:eastAsia="zh-CN"/>
        </w:rPr>
      </w:pPr>
      <w:r>
        <w:rPr>
          <w:rFonts w:hint="eastAsia" w:hAnsi="Times New Roman" w:cs="Times New Roman"/>
          <w:sz w:val="32"/>
          <w:szCs w:val="32"/>
          <w:highlight w:val="none"/>
          <w:lang w:val="en-US" w:eastAsia="zh-CN"/>
        </w:rPr>
        <w:t>依据区发改委的批复，本项目的总投资概算（由本项目工可编制单位出具）为22142.76万元，按照项目建设计划，资金来源由两部分构成：</w:t>
      </w:r>
    </w:p>
    <w:p>
      <w:pPr>
        <w:ind w:firstLine="560"/>
        <w:contextualSpacing w:val="0"/>
        <w:rPr>
          <w:rFonts w:hint="default" w:hAnsi="Times New Roman" w:cs="Times New Roman"/>
          <w:sz w:val="32"/>
          <w:szCs w:val="32"/>
          <w:highlight w:val="none"/>
          <w:lang w:val="en-US" w:eastAsia="zh-CN"/>
        </w:rPr>
      </w:pPr>
      <w:r>
        <w:rPr>
          <w:rFonts w:hint="eastAsia" w:hAnsi="Times New Roman" w:cs="Times New Roman"/>
          <w:sz w:val="32"/>
          <w:szCs w:val="32"/>
          <w:highlight w:val="none"/>
          <w:lang w:val="en-US" w:eastAsia="zh-CN"/>
        </w:rPr>
        <w:t>①市区两级补贴。根据区级有关规定，区财政对“美丽家园”改造项目按照350元/平方米（基于建筑面积）的标准予以定额补贴。其中包括市级相关补贴政策的资金：根据《关于下达本市旧住房修缮改造市级补贴标准的通知》（沪房更新</w:t>
      </w:r>
      <w:r>
        <w:rPr>
          <w:rFonts w:hint="eastAsia"/>
          <w:sz w:val="32"/>
          <w:szCs w:val="32"/>
        </w:rPr>
        <w:t>〔</w:t>
      </w:r>
      <w:r>
        <w:rPr>
          <w:rFonts w:hint="eastAsia" w:hAnsi="Times New Roman" w:cs="Times New Roman"/>
          <w:sz w:val="32"/>
          <w:szCs w:val="32"/>
          <w:highlight w:val="none"/>
          <w:lang w:val="en-US" w:eastAsia="zh-CN"/>
        </w:rPr>
        <w:t>2019</w:t>
      </w:r>
      <w:r>
        <w:rPr>
          <w:rFonts w:hint="eastAsia"/>
          <w:sz w:val="32"/>
          <w:szCs w:val="32"/>
        </w:rPr>
        <w:t>〕</w:t>
      </w:r>
      <w:r>
        <w:rPr>
          <w:rFonts w:hint="eastAsia" w:hAnsi="Times New Roman" w:cs="Times New Roman"/>
          <w:sz w:val="32"/>
          <w:szCs w:val="32"/>
          <w:highlight w:val="none"/>
          <w:lang w:val="en-US" w:eastAsia="zh-CN"/>
        </w:rPr>
        <w:t>80号）文精神，对实施屋面及相关设施改造的旧住房修缮改造项目，按项目控制单价500元/平方米（基于建筑面积）以内的50%据实补贴，最高为250元/平方米。本项目改造总建筑面积为442947.76平方米，则可争取的市区两级补贴总额最高为15503.17万元。</w:t>
      </w:r>
    </w:p>
    <w:p>
      <w:pPr>
        <w:ind w:firstLine="560"/>
        <w:rPr>
          <w:rFonts w:hint="eastAsia" w:hAnsi="Times New Roman" w:cs="Times New Roman"/>
          <w:sz w:val="32"/>
          <w:szCs w:val="32"/>
          <w:highlight w:val="none"/>
          <w:lang w:val="en-US" w:eastAsia="zh-CN"/>
        </w:rPr>
      </w:pPr>
      <w:r>
        <w:rPr>
          <w:rFonts w:hint="eastAsia" w:hAnsi="Times New Roman" w:cs="Times New Roman"/>
          <w:sz w:val="32"/>
          <w:szCs w:val="32"/>
          <w:highlight w:val="none"/>
          <w:lang w:val="en-US" w:eastAsia="zh-CN"/>
        </w:rPr>
        <w:t>②</w:t>
      </w:r>
      <w:r>
        <w:rPr>
          <w:rFonts w:hint="eastAsia" w:hAnsi="Times New Roman" w:cs="Times New Roman"/>
          <w:sz w:val="32"/>
          <w:szCs w:val="32"/>
          <w:highlight w:val="yellow"/>
          <w:lang w:val="en-US" w:eastAsia="zh-CN"/>
        </w:rPr>
        <w:t>余下部分资金由城桥镇自筹。</w:t>
      </w:r>
    </w:p>
    <w:p>
      <w:pPr>
        <w:ind w:firstLine="560"/>
        <w:contextualSpacing w:val="0"/>
        <w:rPr>
          <w:rFonts w:hint="default" w:hAnsi="Times New Roman" w:cs="Times New Roman"/>
          <w:sz w:val="32"/>
          <w:szCs w:val="32"/>
          <w:highlight w:val="none"/>
          <w:lang w:val="en-US" w:eastAsia="zh-CN"/>
        </w:rPr>
      </w:pPr>
      <w:r>
        <w:rPr>
          <w:rFonts w:hint="eastAsia" w:hAnsi="Times New Roman" w:cs="Times New Roman"/>
          <w:sz w:val="32"/>
          <w:szCs w:val="32"/>
          <w:highlight w:val="none"/>
          <w:lang w:val="en-US" w:eastAsia="zh-CN"/>
        </w:rPr>
        <w:t>（2）项目预算及资金来源</w:t>
      </w:r>
    </w:p>
    <w:p>
      <w:pPr>
        <w:ind w:firstLine="560"/>
        <w:contextualSpacing w:val="0"/>
        <w:rPr>
          <w:rFonts w:hint="default" w:hAnsi="Times New Roman" w:eastAsia="仿宋_GB2312" w:cs="Times New Roman"/>
          <w:sz w:val="32"/>
          <w:szCs w:val="32"/>
          <w:highlight w:val="none"/>
          <w:lang w:val="en-US" w:eastAsia="zh-CN"/>
        </w:rPr>
      </w:pPr>
      <w:r>
        <w:rPr>
          <w:rFonts w:hint="eastAsia" w:hAnsi="Times New Roman" w:cs="Times New Roman"/>
          <w:sz w:val="32"/>
          <w:szCs w:val="32"/>
          <w:highlight w:val="none"/>
        </w:rPr>
        <w:t>本项目</w:t>
      </w:r>
      <w:r>
        <w:rPr>
          <w:rFonts w:hint="eastAsia" w:hAnsi="Times New Roman" w:cs="Times New Roman"/>
          <w:sz w:val="32"/>
          <w:szCs w:val="32"/>
          <w:highlight w:val="none"/>
          <w:lang w:val="en-US" w:eastAsia="zh-CN"/>
        </w:rPr>
        <w:t>2020年年初安排预算363.36</w:t>
      </w:r>
      <w:r>
        <w:rPr>
          <w:rFonts w:hint="eastAsia" w:hAnsi="Times New Roman" w:cs="Times New Roman"/>
          <w:sz w:val="32"/>
          <w:szCs w:val="32"/>
          <w:highlight w:val="none"/>
        </w:rPr>
        <w:t>万元，</w:t>
      </w:r>
      <w:r>
        <w:rPr>
          <w:rFonts w:hint="eastAsia" w:hAnsi="Times New Roman" w:cs="Times New Roman"/>
          <w:sz w:val="32"/>
          <w:szCs w:val="32"/>
          <w:highlight w:val="none"/>
          <w:lang w:val="en-US" w:eastAsia="zh-CN"/>
        </w:rPr>
        <w:t>年中调增至6217.97万元；2021年年初未安排预算，年中调增至7054.17万元；2022年未安排预算。项目资金均为一般公共预算，来源均为区财政资金</w:t>
      </w:r>
      <w:r>
        <w:rPr>
          <w:rFonts w:hint="eastAsia" w:hAnsi="Times New Roman" w:cs="Times New Roman"/>
          <w:sz w:val="32"/>
          <w:szCs w:val="32"/>
          <w:highlight w:val="none"/>
        </w:rPr>
        <w:t>。</w:t>
      </w:r>
    </w:p>
    <w:p>
      <w:pPr>
        <w:numPr>
          <w:ilvl w:val="0"/>
          <w:numId w:val="0"/>
        </w:numPr>
        <w:ind w:left="560" w:leftChars="0"/>
        <w:contextualSpacing w:val="0"/>
        <w:outlineLvl w:val="2"/>
        <w:rPr>
          <w:rFonts w:hAnsi="Times New Roman" w:cs="Times New Roman"/>
          <w:b/>
          <w:sz w:val="32"/>
          <w:szCs w:val="32"/>
          <w:highlight w:val="none"/>
        </w:rPr>
      </w:pPr>
      <w:bookmarkStart w:id="30" w:name="_Toc31734"/>
      <w:r>
        <w:rPr>
          <w:rFonts w:hint="eastAsia" w:hAnsi="Times New Roman" w:cs="Times New Roman"/>
          <w:b/>
          <w:sz w:val="32"/>
          <w:szCs w:val="32"/>
          <w:highlight w:val="none"/>
          <w:lang w:val="en-US" w:eastAsia="zh-CN"/>
        </w:rPr>
        <w:t>2.</w:t>
      </w:r>
      <w:r>
        <w:rPr>
          <w:rFonts w:hint="eastAsia" w:hAnsi="Times New Roman" w:cs="Times New Roman"/>
          <w:b/>
          <w:sz w:val="32"/>
          <w:szCs w:val="32"/>
          <w:highlight w:val="none"/>
        </w:rPr>
        <w:t>预算执行情况</w:t>
      </w:r>
      <w:bookmarkEnd w:id="30"/>
    </w:p>
    <w:p>
      <w:pPr>
        <w:ind w:firstLine="560"/>
        <w:contextualSpacing w:val="0"/>
        <w:rPr>
          <w:rFonts w:hint="eastAsia" w:hAnsi="Times New Roman" w:cs="Times New Roman"/>
          <w:b/>
          <w:bCs/>
          <w:sz w:val="24"/>
          <w:szCs w:val="24"/>
          <w:highlight w:val="none"/>
          <w:lang w:val="en-US" w:eastAsia="zh-CN"/>
        </w:rPr>
      </w:pPr>
      <w:r>
        <w:rPr>
          <w:rFonts w:hint="eastAsia" w:hAnsi="Times New Roman" w:cs="Times New Roman"/>
          <w:sz w:val="32"/>
          <w:szCs w:val="32"/>
          <w:highlight w:val="none"/>
          <w:lang w:val="en-US" w:eastAsia="zh-CN"/>
        </w:rPr>
        <w:t>截至2022年底</w:t>
      </w:r>
      <w:r>
        <w:rPr>
          <w:rFonts w:hAnsi="Times New Roman" w:cs="Times New Roman"/>
          <w:sz w:val="32"/>
          <w:szCs w:val="32"/>
          <w:highlight w:val="none"/>
        </w:rPr>
        <w:t>，</w:t>
      </w:r>
      <w:r>
        <w:rPr>
          <w:rFonts w:hint="eastAsia" w:hAnsi="Times New Roman" w:cs="Times New Roman"/>
          <w:sz w:val="32"/>
          <w:szCs w:val="32"/>
          <w:highlight w:val="none"/>
          <w:lang w:val="en-US" w:eastAsia="zh-CN"/>
        </w:rPr>
        <w:t>本项目实际共计支出13272.14万元，资金来源全部为区财政资金。其中，2020年共支出6217.97万元，预算执行率100%；2021年共支出7054.17万元，预算执行率100%。2022年未发生支出。剩余所需支出金额将在项目审计完成后确定。具体执行情况见下表1-4：</w:t>
      </w:r>
    </w:p>
    <w:p>
      <w:pPr>
        <w:ind w:left="0" w:leftChars="0" w:firstLine="0" w:firstLineChars="0"/>
        <w:contextualSpacing w:val="0"/>
        <w:jc w:val="center"/>
        <w:rPr>
          <w:rFonts w:hint="eastAsia" w:hAnsi="Times New Roman" w:cs="Times New Roman"/>
          <w:b/>
          <w:bCs/>
          <w:sz w:val="24"/>
          <w:szCs w:val="24"/>
          <w:highlight w:val="none"/>
          <w:lang w:val="en-US" w:eastAsia="zh-CN"/>
        </w:rPr>
        <w:sectPr>
          <w:pgSz w:w="11906" w:h="16838"/>
          <w:pgMar w:top="1440" w:right="1797" w:bottom="1440" w:left="1797" w:header="851" w:footer="567" w:gutter="0"/>
          <w:cols w:space="720" w:num="1"/>
          <w:docGrid w:linePitch="381" w:charSpace="0"/>
        </w:sectPr>
      </w:pPr>
    </w:p>
    <w:p>
      <w:pPr>
        <w:spacing w:line="240" w:lineRule="auto"/>
        <w:ind w:left="0" w:leftChars="0" w:firstLine="0" w:firstLineChars="0"/>
        <w:contextualSpacing w:val="0"/>
        <w:jc w:val="center"/>
        <w:rPr>
          <w:rFonts w:hint="eastAsia" w:hAnsi="Times New Roman" w:cs="Times New Roman"/>
          <w:b/>
          <w:bCs/>
          <w:sz w:val="24"/>
          <w:szCs w:val="24"/>
          <w:highlight w:val="none"/>
          <w:lang w:val="en-US" w:eastAsia="zh-CN"/>
        </w:rPr>
      </w:pPr>
      <w:r>
        <w:rPr>
          <w:rFonts w:hint="eastAsia" w:hAnsi="Times New Roman" w:cs="Times New Roman"/>
          <w:b/>
          <w:bCs/>
          <w:sz w:val="24"/>
          <w:szCs w:val="24"/>
          <w:highlight w:val="none"/>
          <w:lang w:val="en-US" w:eastAsia="zh-CN"/>
        </w:rPr>
        <w:t>表1-4 2020-2021年预算支出明细表</w:t>
      </w:r>
    </w:p>
    <w:p>
      <w:pPr>
        <w:spacing w:line="240" w:lineRule="auto"/>
        <w:ind w:left="0" w:leftChars="0" w:firstLine="0" w:firstLineChars="0"/>
        <w:contextualSpacing w:val="0"/>
        <w:jc w:val="right"/>
        <w:rPr>
          <w:rFonts w:hint="default" w:hAnsi="Times New Roman" w:cs="Times New Roman"/>
          <w:b/>
          <w:bCs/>
          <w:sz w:val="24"/>
          <w:szCs w:val="24"/>
          <w:highlight w:val="none"/>
          <w:lang w:val="en-US" w:eastAsia="zh-CN"/>
        </w:rPr>
      </w:pPr>
      <w:r>
        <w:rPr>
          <w:rFonts w:hint="eastAsia" w:hAnsi="Times New Roman" w:cs="Times New Roman"/>
          <w:b/>
          <w:bCs/>
          <w:sz w:val="24"/>
          <w:szCs w:val="24"/>
          <w:highlight w:val="none"/>
          <w:lang w:val="en-US" w:eastAsia="zh-CN"/>
        </w:rPr>
        <w:t>金额单位：万元</w:t>
      </w:r>
    </w:p>
    <w:tbl>
      <w:tblPr>
        <w:tblStyle w:val="38"/>
        <w:tblW w:w="141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3"/>
        <w:gridCol w:w="2412"/>
        <w:gridCol w:w="1377"/>
        <w:gridCol w:w="3"/>
        <w:gridCol w:w="1272"/>
        <w:gridCol w:w="1416"/>
        <w:gridCol w:w="1440"/>
        <w:gridCol w:w="1356"/>
        <w:gridCol w:w="1344"/>
        <w:gridCol w:w="108"/>
        <w:gridCol w:w="1236"/>
        <w:gridCol w:w="15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74" w:type="dxa"/>
            <w:gridSpan w:val="12"/>
          </w:tcPr>
          <w:p>
            <w:pPr>
              <w:spacing w:line="240" w:lineRule="auto"/>
              <w:ind w:firstLine="0" w:firstLineChars="0"/>
              <w:contextualSpacing w:val="0"/>
              <w:jc w:val="center"/>
              <w:rPr>
                <w:rFonts w:hint="eastAsia" w:hAnsi="Times New Roman" w:cs="Times New Roman"/>
                <w:b/>
                <w:bCs/>
                <w:sz w:val="24"/>
                <w:szCs w:val="24"/>
                <w:highlight w:val="none"/>
                <w:vertAlign w:val="baseline"/>
                <w:lang w:val="en-US" w:eastAsia="zh-CN"/>
              </w:rPr>
            </w:pPr>
            <w:r>
              <w:rPr>
                <w:rFonts w:hint="eastAsia" w:hAnsi="Times New Roman" w:cs="Times New Roman"/>
                <w:b/>
                <w:bCs/>
                <w:sz w:val="21"/>
                <w:szCs w:val="21"/>
                <w:highlight w:val="none"/>
                <w:vertAlign w:val="baseline"/>
                <w:lang w:val="en-US" w:eastAsia="zh-CN"/>
              </w:rPr>
              <w:t>子项目1：西门北村项目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序号</w:t>
            </w:r>
          </w:p>
        </w:tc>
        <w:tc>
          <w:tcPr>
            <w:tcW w:w="2412"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支出内容</w:t>
            </w:r>
          </w:p>
        </w:tc>
        <w:tc>
          <w:tcPr>
            <w:tcW w:w="1380" w:type="dxa"/>
            <w:gridSpan w:val="2"/>
            <w:vAlign w:val="top"/>
          </w:tcPr>
          <w:p>
            <w:pPr>
              <w:spacing w:line="240" w:lineRule="auto"/>
              <w:ind w:firstLine="0" w:firstLineChars="0"/>
              <w:contextualSpacing w:val="0"/>
              <w:jc w:val="center"/>
              <w:rPr>
                <w:rFonts w:hint="default" w:hAnsi="Times New Roman" w:cs="Times New Roman"/>
                <w:b/>
                <w:bCs/>
                <w:sz w:val="20"/>
                <w:szCs w:val="20"/>
                <w:highlight w:val="none"/>
                <w:vertAlign w:val="baseline"/>
                <w:lang w:val="en-US" w:eastAsia="zh-CN"/>
              </w:rPr>
            </w:pPr>
            <w:r>
              <w:rPr>
                <w:rFonts w:hint="eastAsia" w:hAnsi="Times New Roman" w:cs="Times New Roman"/>
                <w:b/>
                <w:bCs/>
                <w:sz w:val="20"/>
                <w:szCs w:val="20"/>
                <w:highlight w:val="none"/>
                <w:vertAlign w:val="baseline"/>
                <w:lang w:val="en-US" w:eastAsia="zh-CN"/>
              </w:rPr>
              <w:t>概算金额</w:t>
            </w:r>
          </w:p>
        </w:tc>
        <w:tc>
          <w:tcPr>
            <w:tcW w:w="1272"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合同金额</w:t>
            </w:r>
          </w:p>
        </w:tc>
        <w:tc>
          <w:tcPr>
            <w:tcW w:w="1416" w:type="dxa"/>
            <w:vAlign w:val="top"/>
          </w:tcPr>
          <w:p>
            <w:pPr>
              <w:spacing w:line="240" w:lineRule="auto"/>
              <w:ind w:firstLine="0" w:firstLineChars="0"/>
              <w:contextualSpacing w:val="0"/>
              <w:jc w:val="center"/>
              <w:rPr>
                <w:rFonts w:hint="default" w:hAnsi="Times New Roman" w:cs="Times New Roman"/>
                <w:b/>
                <w:bCs/>
                <w:sz w:val="20"/>
                <w:szCs w:val="20"/>
                <w:highlight w:val="none"/>
                <w:vertAlign w:val="baseline"/>
                <w:lang w:val="en-US" w:eastAsia="zh-CN"/>
              </w:rPr>
            </w:pPr>
            <w:r>
              <w:rPr>
                <w:rFonts w:hint="eastAsia" w:hAnsi="Times New Roman" w:cs="Times New Roman"/>
                <w:b/>
                <w:bCs/>
                <w:sz w:val="20"/>
                <w:szCs w:val="20"/>
                <w:highlight w:val="none"/>
                <w:vertAlign w:val="baseline"/>
                <w:lang w:val="en-US" w:eastAsia="zh-CN"/>
              </w:rPr>
              <w:t>2020年预算</w:t>
            </w:r>
          </w:p>
        </w:tc>
        <w:tc>
          <w:tcPr>
            <w:tcW w:w="1440" w:type="dxa"/>
            <w:vAlign w:val="top"/>
          </w:tcPr>
          <w:p>
            <w:pPr>
              <w:spacing w:line="240" w:lineRule="auto"/>
              <w:ind w:firstLine="0" w:firstLineChars="0"/>
              <w:contextualSpacing w:val="0"/>
              <w:jc w:val="center"/>
              <w:rPr>
                <w:rFonts w:hint="default" w:hAnsi="Times New Roman" w:cs="Times New Roman"/>
                <w:b/>
                <w:bCs/>
                <w:sz w:val="20"/>
                <w:szCs w:val="20"/>
                <w:highlight w:val="none"/>
                <w:vertAlign w:val="baseline"/>
                <w:lang w:val="en-US" w:eastAsia="zh-CN"/>
              </w:rPr>
            </w:pPr>
            <w:r>
              <w:rPr>
                <w:rFonts w:hint="eastAsia" w:hAnsi="Times New Roman" w:cs="Times New Roman"/>
                <w:b/>
                <w:bCs/>
                <w:sz w:val="20"/>
                <w:szCs w:val="20"/>
                <w:highlight w:val="none"/>
                <w:vertAlign w:val="baseline"/>
                <w:lang w:val="en-US" w:eastAsia="zh-CN"/>
              </w:rPr>
              <w:t>2020年支出</w:t>
            </w:r>
          </w:p>
        </w:tc>
        <w:tc>
          <w:tcPr>
            <w:tcW w:w="1356" w:type="dxa"/>
            <w:vAlign w:val="top"/>
          </w:tcPr>
          <w:p>
            <w:pPr>
              <w:spacing w:line="240" w:lineRule="auto"/>
              <w:ind w:firstLine="0" w:firstLineChars="0"/>
              <w:contextualSpacing w:val="0"/>
              <w:jc w:val="center"/>
              <w:rPr>
                <w:rFonts w:hint="default"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kern w:val="2"/>
                <w:sz w:val="20"/>
                <w:szCs w:val="20"/>
                <w:highlight w:val="none"/>
                <w:vertAlign w:val="baseline"/>
                <w:lang w:val="en-US" w:eastAsia="zh-CN" w:bidi="ar-SA"/>
              </w:rPr>
              <w:t>2021年预算</w:t>
            </w:r>
          </w:p>
        </w:tc>
        <w:tc>
          <w:tcPr>
            <w:tcW w:w="1452" w:type="dxa"/>
            <w:gridSpan w:val="2"/>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2021年支出</w:t>
            </w:r>
          </w:p>
        </w:tc>
        <w:tc>
          <w:tcPr>
            <w:tcW w:w="1236" w:type="dxa"/>
            <w:vAlign w:val="top"/>
          </w:tcPr>
          <w:p>
            <w:pPr>
              <w:spacing w:line="240" w:lineRule="auto"/>
              <w:ind w:firstLine="0" w:firstLineChars="0"/>
              <w:contextualSpacing w:val="0"/>
              <w:jc w:val="center"/>
              <w:rPr>
                <w:rFonts w:hint="default" w:hAnsi="Times New Roman" w:cs="Times New Roman"/>
                <w:b/>
                <w:bCs/>
                <w:sz w:val="20"/>
                <w:szCs w:val="20"/>
                <w:highlight w:val="none"/>
                <w:vertAlign w:val="baseline"/>
                <w:lang w:val="en-US" w:eastAsia="zh-CN"/>
              </w:rPr>
            </w:pPr>
            <w:r>
              <w:rPr>
                <w:rFonts w:hint="eastAsia" w:hAnsi="Times New Roman" w:cs="Times New Roman"/>
                <w:b/>
                <w:bCs/>
                <w:sz w:val="20"/>
                <w:szCs w:val="20"/>
                <w:highlight w:val="none"/>
                <w:vertAlign w:val="baseline"/>
                <w:lang w:val="en-US" w:eastAsia="zh-CN"/>
              </w:rPr>
              <w:t>合计支出</w:t>
            </w:r>
          </w:p>
        </w:tc>
        <w:tc>
          <w:tcPr>
            <w:tcW w:w="1517"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合同价执行率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w:t>
            </w:r>
          </w:p>
        </w:tc>
        <w:tc>
          <w:tcPr>
            <w:tcW w:w="2412"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建安工程费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4001.78</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3788.49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1136.55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1136.55</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1515.4</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1515.4</w:t>
            </w:r>
          </w:p>
        </w:tc>
        <w:tc>
          <w:tcPr>
            <w:tcW w:w="123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2651.95</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w:t>
            </w:r>
          </w:p>
        </w:tc>
        <w:tc>
          <w:tcPr>
            <w:tcW w:w="2412"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设计费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99.7</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99.36</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49.68</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49.68</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49.68</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w:t>
            </w:r>
          </w:p>
        </w:tc>
        <w:tc>
          <w:tcPr>
            <w:tcW w:w="2412"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设计、监理招标代理费</w:t>
            </w:r>
          </w:p>
        </w:tc>
        <w:tc>
          <w:tcPr>
            <w:tcW w:w="1380" w:type="dxa"/>
            <w:gridSpan w:val="2"/>
            <w:vMerge w:val="restart"/>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52.02</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7.34</w:t>
            </w:r>
          </w:p>
        </w:tc>
        <w:tc>
          <w:tcPr>
            <w:tcW w:w="141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w:t>
            </w:r>
          </w:p>
        </w:tc>
        <w:tc>
          <w:tcPr>
            <w:tcW w:w="2412"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施工招标代理费</w:t>
            </w:r>
          </w:p>
        </w:tc>
        <w:tc>
          <w:tcPr>
            <w:tcW w:w="1380" w:type="dxa"/>
            <w:gridSpan w:val="2"/>
            <w:vMerge w:val="continue"/>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23.33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11.66</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11.66</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11.66</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w:t>
            </w:r>
          </w:p>
        </w:tc>
        <w:tc>
          <w:tcPr>
            <w:tcW w:w="2412"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工可编制费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19</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19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9.5</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9.5</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w:t>
            </w:r>
          </w:p>
        </w:tc>
        <w:tc>
          <w:tcPr>
            <w:tcW w:w="2412"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房屋检测费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3.72</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3.72</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3.72</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3.72</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0" w:hRule="atLeast"/>
        </w:trPr>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物探费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40.02</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ascii="仿宋_GB2312" w:eastAsia="仿宋_GB2312"/>
                <w:sz w:val="20"/>
                <w:szCs w:val="20"/>
                <w:vertAlign w:val="baseline"/>
                <w:lang w:val="en-US" w:eastAsia="zh-CN"/>
              </w:rPr>
              <w:t>38.8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19.4</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19.4</w:t>
            </w:r>
          </w:p>
        </w:tc>
        <w:tc>
          <w:tcPr>
            <w:tcW w:w="1356"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19.4</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w:t>
            </w:r>
          </w:p>
        </w:tc>
        <w:tc>
          <w:tcPr>
            <w:tcW w:w="2412"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管道CCTV检测费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16.81</w:t>
            </w:r>
          </w:p>
        </w:tc>
        <w:tc>
          <w:tcPr>
            <w:tcW w:w="127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按实计取</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w:t>
            </w:r>
          </w:p>
        </w:tc>
        <w:tc>
          <w:tcPr>
            <w:tcW w:w="2412"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建设单位管理费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83.75</w:t>
            </w:r>
          </w:p>
        </w:tc>
        <w:tc>
          <w:tcPr>
            <w:tcW w:w="1272" w:type="dxa"/>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76.25</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38.13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38.13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38.13</w:t>
            </w:r>
          </w:p>
        </w:tc>
        <w:tc>
          <w:tcPr>
            <w:tcW w:w="151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工程监理费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99.4</w:t>
            </w:r>
          </w:p>
        </w:tc>
        <w:tc>
          <w:tcPr>
            <w:tcW w:w="1272" w:type="dxa"/>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98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w:t>
            </w:r>
          </w:p>
        </w:tc>
        <w:tc>
          <w:tcPr>
            <w:tcW w:w="151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财务监理费</w:t>
            </w:r>
          </w:p>
        </w:tc>
        <w:tc>
          <w:tcPr>
            <w:tcW w:w="1380"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29.3</w:t>
            </w:r>
          </w:p>
        </w:tc>
        <w:tc>
          <w:tcPr>
            <w:tcW w:w="1272" w:type="dxa"/>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29.3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14.65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14.65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452"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23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14.65</w:t>
            </w:r>
          </w:p>
        </w:tc>
        <w:tc>
          <w:tcPr>
            <w:tcW w:w="151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05" w:type="dxa"/>
            <w:gridSpan w:val="2"/>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小计</w:t>
            </w:r>
          </w:p>
        </w:tc>
        <w:tc>
          <w:tcPr>
            <w:tcW w:w="137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4441.78</w:t>
            </w:r>
          </w:p>
        </w:tc>
        <w:tc>
          <w:tcPr>
            <w:tcW w:w="1275"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ascii="仿宋_GB2312" w:eastAsia="仿宋_GB2312"/>
                <w:b/>
                <w:bCs/>
                <w:sz w:val="21"/>
                <w:szCs w:val="21"/>
                <w:vertAlign w:val="baseline"/>
                <w:lang w:val="en-US" w:eastAsia="zh-CN"/>
              </w:rPr>
              <w:t>4183.59</w:t>
            </w:r>
          </w:p>
        </w:tc>
        <w:tc>
          <w:tcPr>
            <w:tcW w:w="1416"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1332.29</w:t>
            </w:r>
          </w:p>
        </w:tc>
        <w:tc>
          <w:tcPr>
            <w:tcW w:w="1440" w:type="dxa"/>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1332.29</w:t>
            </w:r>
          </w:p>
        </w:tc>
        <w:tc>
          <w:tcPr>
            <w:tcW w:w="1356" w:type="dxa"/>
            <w:vAlign w:val="top"/>
          </w:tcPr>
          <w:p>
            <w:pPr>
              <w:spacing w:line="240" w:lineRule="auto"/>
              <w:ind w:firstLine="0" w:firstLineChars="0"/>
              <w:contextualSpacing w:val="0"/>
              <w:jc w:val="center"/>
              <w:rPr>
                <w:rFonts w:hint="default"/>
                <w:b/>
                <w:bCs/>
                <w:sz w:val="21"/>
                <w:szCs w:val="21"/>
                <w:vertAlign w:val="baseline"/>
                <w:lang w:val="en-US" w:eastAsia="zh-CN"/>
              </w:rPr>
            </w:pPr>
            <w:r>
              <w:rPr>
                <w:rFonts w:hint="eastAsia" w:hAnsi="Times New Roman" w:cs="Times New Roman"/>
                <w:b/>
                <w:bCs/>
                <w:sz w:val="21"/>
                <w:szCs w:val="21"/>
                <w:highlight w:val="none"/>
                <w:vertAlign w:val="baseline"/>
                <w:lang w:val="en-US" w:eastAsia="zh-CN"/>
              </w:rPr>
              <w:t>1515.4</w:t>
            </w:r>
          </w:p>
        </w:tc>
        <w:tc>
          <w:tcPr>
            <w:tcW w:w="1452" w:type="dxa"/>
            <w:gridSpan w:val="2"/>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1515.4</w:t>
            </w:r>
          </w:p>
        </w:tc>
        <w:tc>
          <w:tcPr>
            <w:tcW w:w="1236" w:type="dxa"/>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2847.69</w:t>
            </w:r>
          </w:p>
        </w:tc>
        <w:tc>
          <w:tcPr>
            <w:tcW w:w="1517" w:type="dxa"/>
            <w:vAlign w:val="top"/>
          </w:tcPr>
          <w:p>
            <w:pPr>
              <w:spacing w:line="240" w:lineRule="auto"/>
              <w:ind w:firstLine="0" w:firstLineChars="0"/>
              <w:contextualSpacing w:val="0"/>
              <w:jc w:val="center"/>
              <w:rPr>
                <w:rFonts w:hint="default"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68.07%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74" w:type="dxa"/>
            <w:gridSpan w:val="1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子项目2：南门路小区项目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序号</w:t>
            </w:r>
          </w:p>
        </w:tc>
        <w:tc>
          <w:tcPr>
            <w:tcW w:w="2412"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支出内容</w:t>
            </w:r>
          </w:p>
        </w:tc>
        <w:tc>
          <w:tcPr>
            <w:tcW w:w="1377"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概算金额</w:t>
            </w:r>
          </w:p>
        </w:tc>
        <w:tc>
          <w:tcPr>
            <w:tcW w:w="1275" w:type="dxa"/>
            <w:gridSpan w:val="2"/>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合同金额</w:t>
            </w:r>
          </w:p>
        </w:tc>
        <w:tc>
          <w:tcPr>
            <w:tcW w:w="1416"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2020年预算</w:t>
            </w:r>
          </w:p>
        </w:tc>
        <w:tc>
          <w:tcPr>
            <w:tcW w:w="1440"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2020年支出</w:t>
            </w:r>
          </w:p>
        </w:tc>
        <w:tc>
          <w:tcPr>
            <w:tcW w:w="1356"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kern w:val="2"/>
                <w:sz w:val="20"/>
                <w:szCs w:val="20"/>
                <w:highlight w:val="none"/>
                <w:vertAlign w:val="baseline"/>
                <w:lang w:val="en-US" w:eastAsia="zh-CN" w:bidi="ar-SA"/>
              </w:rPr>
              <w:t>2021年预算</w:t>
            </w:r>
          </w:p>
        </w:tc>
        <w:tc>
          <w:tcPr>
            <w:tcW w:w="1344"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2021年支出</w:t>
            </w:r>
          </w:p>
        </w:tc>
        <w:tc>
          <w:tcPr>
            <w:tcW w:w="1344" w:type="dxa"/>
            <w:gridSpan w:val="2"/>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合计支出</w:t>
            </w:r>
          </w:p>
        </w:tc>
        <w:tc>
          <w:tcPr>
            <w:tcW w:w="1517"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合同价执行率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建安工程费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1799</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1696.17</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508.85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508.85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678.47</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678.47</w:t>
            </w:r>
          </w:p>
        </w:tc>
        <w:tc>
          <w:tcPr>
            <w:tcW w:w="1344"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1187.32</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2</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63</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62.7</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31.35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31.35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31.35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3</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设计、监理招标代理费</w:t>
            </w:r>
          </w:p>
        </w:tc>
        <w:tc>
          <w:tcPr>
            <w:tcW w:w="1377" w:type="dxa"/>
            <w:vMerge w:val="restart"/>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3.54</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4</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施工招标代理费</w:t>
            </w:r>
          </w:p>
        </w:tc>
        <w:tc>
          <w:tcPr>
            <w:tcW w:w="1377" w:type="dxa"/>
            <w:vMerge w:val="continue"/>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11.11</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5.58</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5.58</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5.58</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工可编制费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8.59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4.3</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6</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房屋检测费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2.03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2.03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2.03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2.03</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物探费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18</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16.49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8.24</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8.24</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8.24</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8</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管道CCTV检测费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7.6</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按实计取</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9</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建设单位管理费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34.7</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32.2</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16.1</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16.1</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16.1</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工程监理费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45</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43.8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财务监理费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13.7</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13.69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6.85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6.85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6.85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05" w:type="dxa"/>
            <w:gridSpan w:val="2"/>
          </w:tcPr>
          <w:p>
            <w:pPr>
              <w:spacing w:line="240" w:lineRule="auto"/>
              <w:ind w:firstLine="0" w:firstLineChars="0"/>
              <w:contextualSpacing w:val="0"/>
              <w:jc w:val="center"/>
              <w:rPr>
                <w:rFonts w:hint="eastAsia"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小计</w:t>
            </w:r>
          </w:p>
        </w:tc>
        <w:tc>
          <w:tcPr>
            <w:tcW w:w="137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2011.2</w:t>
            </w:r>
          </w:p>
        </w:tc>
        <w:tc>
          <w:tcPr>
            <w:tcW w:w="1275"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ascii="仿宋_GB2312" w:eastAsia="仿宋_GB2312"/>
                <w:b/>
                <w:bCs/>
                <w:sz w:val="21"/>
                <w:szCs w:val="21"/>
                <w:vertAlign w:val="baseline"/>
                <w:lang w:val="en-US" w:eastAsia="zh-CN"/>
              </w:rPr>
              <w:t>1890.32</w:t>
            </w:r>
          </w:p>
        </w:tc>
        <w:tc>
          <w:tcPr>
            <w:tcW w:w="1416" w:type="dxa"/>
            <w:vAlign w:val="top"/>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cs="仿宋_GB2312"/>
                <w:b/>
                <w:bCs/>
                <w:kern w:val="2"/>
                <w:sz w:val="21"/>
                <w:szCs w:val="21"/>
                <w:vertAlign w:val="baseline"/>
                <w:lang w:val="en-US" w:eastAsia="zh-CN" w:bidi="ar-SA"/>
              </w:rPr>
              <w:t>605.17</w:t>
            </w:r>
          </w:p>
        </w:tc>
        <w:tc>
          <w:tcPr>
            <w:tcW w:w="1440" w:type="dxa"/>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cs="仿宋_GB2312"/>
                <w:b/>
                <w:bCs/>
                <w:kern w:val="2"/>
                <w:sz w:val="21"/>
                <w:szCs w:val="21"/>
                <w:vertAlign w:val="baseline"/>
                <w:lang w:val="en-US" w:eastAsia="zh-CN" w:bidi="ar-SA"/>
              </w:rPr>
              <w:t>605.17</w:t>
            </w:r>
          </w:p>
        </w:tc>
        <w:tc>
          <w:tcPr>
            <w:tcW w:w="1356" w:type="dxa"/>
            <w:vAlign w:val="top"/>
          </w:tcPr>
          <w:p>
            <w:pPr>
              <w:spacing w:line="240" w:lineRule="auto"/>
              <w:ind w:firstLine="0" w:firstLineChars="0"/>
              <w:contextualSpacing w:val="0"/>
              <w:jc w:val="center"/>
              <w:rPr>
                <w:rFonts w:hint="default"/>
                <w:b/>
                <w:bCs/>
                <w:sz w:val="21"/>
                <w:szCs w:val="21"/>
                <w:vertAlign w:val="baseline"/>
                <w:lang w:val="en-US" w:eastAsia="zh-CN"/>
              </w:rPr>
            </w:pPr>
            <w:r>
              <w:rPr>
                <w:rFonts w:hint="eastAsia" w:hAnsi="Times New Roman" w:cs="Times New Roman"/>
                <w:b/>
                <w:bCs/>
                <w:sz w:val="21"/>
                <w:szCs w:val="21"/>
                <w:highlight w:val="none"/>
                <w:vertAlign w:val="baseline"/>
                <w:lang w:val="en-US" w:eastAsia="zh-CN"/>
              </w:rPr>
              <w:t>678.47</w:t>
            </w:r>
          </w:p>
        </w:tc>
        <w:tc>
          <w:tcPr>
            <w:tcW w:w="1344"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678.47</w:t>
            </w:r>
          </w:p>
        </w:tc>
        <w:tc>
          <w:tcPr>
            <w:tcW w:w="1344"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1283.64</w:t>
            </w:r>
          </w:p>
        </w:tc>
        <w:tc>
          <w:tcPr>
            <w:tcW w:w="151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67.91%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5" w:hRule="atLeast"/>
        </w:trPr>
        <w:tc>
          <w:tcPr>
            <w:tcW w:w="14174" w:type="dxa"/>
            <w:gridSpan w:val="12"/>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0"/>
                <w:szCs w:val="20"/>
                <w:highlight w:val="none"/>
                <w:vertAlign w:val="baseline"/>
                <w:lang w:val="en-US" w:eastAsia="zh-CN"/>
              </w:rPr>
              <w:t>子项目3：南门新村项目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9"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序号</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支出内容</w:t>
            </w:r>
          </w:p>
        </w:tc>
        <w:tc>
          <w:tcPr>
            <w:tcW w:w="137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概算金额</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合同金额</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2020年预算</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2020年支出</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kern w:val="2"/>
                <w:sz w:val="20"/>
                <w:szCs w:val="20"/>
                <w:highlight w:val="none"/>
                <w:vertAlign w:val="baseline"/>
                <w:lang w:val="en-US" w:eastAsia="zh-CN" w:bidi="ar-SA"/>
              </w:rPr>
              <w:t>2021年预算</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2021年支出</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合计支出</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合同价执行率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建安工程费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2073.5</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1962.19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588.65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588.65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784.86</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784.86</w:t>
            </w:r>
          </w:p>
        </w:tc>
        <w:tc>
          <w:tcPr>
            <w:tcW w:w="1344"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1373.51</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2</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设计费</w:t>
            </w:r>
          </w:p>
        </w:tc>
        <w:tc>
          <w:tcPr>
            <w:tcW w:w="137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ascii="仿宋_GB2312" w:eastAsia="仿宋_GB2312"/>
                <w:sz w:val="20"/>
                <w:szCs w:val="20"/>
                <w:vertAlign w:val="baseline"/>
                <w:lang w:val="en-US" w:eastAsia="zh-CN"/>
              </w:rPr>
              <w:t>51.83</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51.83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25.92</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25.92</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25.92</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3</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设计、监理招标代理费</w:t>
            </w:r>
          </w:p>
        </w:tc>
        <w:tc>
          <w:tcPr>
            <w:tcW w:w="1377" w:type="dxa"/>
            <w:vMerge w:val="restart"/>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24.88</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4.04</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4</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施工招标代理费</w:t>
            </w:r>
          </w:p>
        </w:tc>
        <w:tc>
          <w:tcPr>
            <w:tcW w:w="1377" w:type="dxa"/>
            <w:vMerge w:val="continue"/>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12.69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6.35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6.35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6.35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工可编制费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9.89</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9.88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4.94</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4.94</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4.94</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6</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房屋检测费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3.66</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3.66</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3.66</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3.66</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物探费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20.74</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18.5</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9.25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9.25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9.25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8</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管道CCTV检测费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8.71</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按实计取</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9</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建设单位管理费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50.07</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42.04</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21.02</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21.02</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21.02</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工程监理费</w:t>
            </w:r>
          </w:p>
        </w:tc>
        <w:tc>
          <w:tcPr>
            <w:tcW w:w="137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ascii="仿宋_GB2312" w:eastAsia="仿宋_GB2312"/>
                <w:sz w:val="20"/>
                <w:szCs w:val="20"/>
                <w:vertAlign w:val="baseline"/>
                <w:lang w:val="en-US" w:eastAsia="zh-CN"/>
              </w:rPr>
              <w:t>51.83</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51.73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25.87</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25.87</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25.87</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财务监理费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15.63</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15.61</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7.81</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7.81</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7.81</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05" w:type="dxa"/>
            <w:gridSpan w:val="2"/>
          </w:tcPr>
          <w:p>
            <w:pPr>
              <w:spacing w:line="240" w:lineRule="auto"/>
              <w:ind w:firstLine="0" w:firstLineChars="0"/>
              <w:contextualSpacing w:val="0"/>
              <w:jc w:val="center"/>
              <w:rPr>
                <w:rFonts w:hint="eastAsia"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小计</w:t>
            </w:r>
          </w:p>
        </w:tc>
        <w:tc>
          <w:tcPr>
            <w:tcW w:w="137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2307.08</w:t>
            </w:r>
          </w:p>
        </w:tc>
        <w:tc>
          <w:tcPr>
            <w:tcW w:w="1275"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ascii="仿宋_GB2312" w:eastAsia="仿宋_GB2312"/>
                <w:b/>
                <w:bCs/>
                <w:sz w:val="21"/>
                <w:szCs w:val="21"/>
                <w:vertAlign w:val="baseline"/>
                <w:lang w:val="en-US" w:eastAsia="zh-CN"/>
              </w:rPr>
              <w:t>2172.17</w:t>
            </w:r>
          </w:p>
        </w:tc>
        <w:tc>
          <w:tcPr>
            <w:tcW w:w="1416" w:type="dxa"/>
            <w:vAlign w:val="top"/>
          </w:tcPr>
          <w:p>
            <w:pPr>
              <w:spacing w:line="240" w:lineRule="auto"/>
              <w:ind w:firstLine="0" w:firstLineChars="0"/>
              <w:contextualSpacing w:val="0"/>
              <w:jc w:val="center"/>
              <w:rPr>
                <w:rFonts w:hint="eastAsia" w:ascii="仿宋_GB2312" w:hAnsi="仿宋_GB2312" w:eastAsia="仿宋_GB2312" w:cs="仿宋_GB2312"/>
                <w:b/>
                <w:bCs/>
                <w:kern w:val="2"/>
                <w:sz w:val="21"/>
                <w:szCs w:val="21"/>
                <w:vertAlign w:val="baseline"/>
                <w:lang w:val="en-US" w:eastAsia="zh-CN" w:bidi="ar-SA"/>
              </w:rPr>
            </w:pPr>
            <w:r>
              <w:rPr>
                <w:rFonts w:hint="eastAsia" w:hAnsi="Times New Roman" w:cs="Times New Roman"/>
                <w:b/>
                <w:bCs/>
                <w:sz w:val="21"/>
                <w:szCs w:val="21"/>
                <w:highlight w:val="none"/>
                <w:vertAlign w:val="baseline"/>
                <w:lang w:val="en-US" w:eastAsia="zh-CN"/>
              </w:rPr>
              <w:t>693.45</w:t>
            </w:r>
          </w:p>
        </w:tc>
        <w:tc>
          <w:tcPr>
            <w:tcW w:w="1440"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693.45</w:t>
            </w:r>
          </w:p>
        </w:tc>
        <w:tc>
          <w:tcPr>
            <w:tcW w:w="1356" w:type="dxa"/>
            <w:vAlign w:val="center"/>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hAnsi="Times New Roman" w:cs="Times New Roman"/>
                <w:b/>
                <w:bCs/>
                <w:sz w:val="21"/>
                <w:szCs w:val="21"/>
                <w:highlight w:val="none"/>
                <w:vertAlign w:val="baseline"/>
                <w:lang w:val="en-US" w:eastAsia="zh-CN"/>
              </w:rPr>
              <w:t>784.86</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784.86</w:t>
            </w:r>
          </w:p>
        </w:tc>
        <w:tc>
          <w:tcPr>
            <w:tcW w:w="1344"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1478.31</w:t>
            </w:r>
          </w:p>
        </w:tc>
        <w:tc>
          <w:tcPr>
            <w:tcW w:w="151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68.06%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trPr>
        <w:tc>
          <w:tcPr>
            <w:tcW w:w="14174" w:type="dxa"/>
            <w:gridSpan w:val="12"/>
            <w:vAlign w:val="center"/>
          </w:tcPr>
          <w:p>
            <w:pPr>
              <w:spacing w:line="240" w:lineRule="auto"/>
              <w:ind w:firstLine="0" w:firstLineChars="0"/>
              <w:contextualSpacing w:val="0"/>
              <w:jc w:val="center"/>
              <w:rPr>
                <w:rFonts w:hint="eastAsia" w:hAnsi="Times New Roman" w:cs="Times New Roman"/>
                <w:b/>
                <w:bCs/>
                <w:sz w:val="24"/>
                <w:szCs w:val="24"/>
                <w:highlight w:val="none"/>
                <w:vertAlign w:val="baseline"/>
                <w:lang w:val="en-US" w:eastAsia="zh-CN"/>
              </w:rPr>
            </w:pPr>
            <w:r>
              <w:rPr>
                <w:rFonts w:hint="eastAsia" w:hAnsi="Times New Roman" w:cs="Times New Roman"/>
                <w:b/>
                <w:bCs/>
                <w:sz w:val="21"/>
                <w:szCs w:val="21"/>
                <w:highlight w:val="none"/>
                <w:vertAlign w:val="baseline"/>
                <w:lang w:val="en-US" w:eastAsia="zh-CN"/>
              </w:rPr>
              <w:t>子项目4：西门南村项目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5"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序号</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支出内容</w:t>
            </w:r>
          </w:p>
        </w:tc>
        <w:tc>
          <w:tcPr>
            <w:tcW w:w="137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概算金额</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合同金额</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2020年预算</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2020年支出</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kern w:val="2"/>
                <w:sz w:val="20"/>
                <w:szCs w:val="20"/>
                <w:highlight w:val="none"/>
                <w:vertAlign w:val="baseline"/>
                <w:lang w:val="en-US" w:eastAsia="zh-CN" w:bidi="ar-SA"/>
              </w:rPr>
              <w:t>2021年预算</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2021年支出</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合计支出</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合同价执行率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建安工程费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4400.86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4172.77</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1251.83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1251.83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1669.11</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1669.11</w:t>
            </w:r>
          </w:p>
        </w:tc>
        <w:tc>
          <w:tcPr>
            <w:tcW w:w="1344"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2920.94</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2</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99.3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3</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设计、监理招标代理费</w:t>
            </w:r>
          </w:p>
        </w:tc>
        <w:tc>
          <w:tcPr>
            <w:tcW w:w="1377" w:type="dxa"/>
            <w:vMerge w:val="restart"/>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57.21</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7.93</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4</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施工招标代理费</w:t>
            </w:r>
          </w:p>
        </w:tc>
        <w:tc>
          <w:tcPr>
            <w:tcW w:w="1377" w:type="dxa"/>
            <w:vMerge w:val="continue"/>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25.44</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12.72</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12.72</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12.72</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工可编制费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20.78</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20.78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10.39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10.39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10.39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6</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房屋检测费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2.3</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2.3</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物探费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44.01</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42.85</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21.43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21.43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21.43</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8</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管道CCTV检测费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18.48</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按实计取</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9</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建设单位管理费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89.34</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82.34</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41.17</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41.17</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41.17</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工程监理费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99.5</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99.38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49.7</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49.7</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49.7</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财务监理费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31.89</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31.89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15.95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15.95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15.95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4" w:hRule="atLeast"/>
        </w:trPr>
        <w:tc>
          <w:tcPr>
            <w:tcW w:w="3105" w:type="dxa"/>
            <w:gridSpan w:val="2"/>
            <w:vAlign w:val="center"/>
          </w:tcPr>
          <w:p>
            <w:pPr>
              <w:spacing w:line="240" w:lineRule="auto"/>
              <w:ind w:firstLine="0" w:firstLineChars="0"/>
              <w:contextualSpacing w:val="0"/>
              <w:jc w:val="center"/>
              <w:rPr>
                <w:rFonts w:hint="eastAsia"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小计</w:t>
            </w:r>
          </w:p>
        </w:tc>
        <w:tc>
          <w:tcPr>
            <w:tcW w:w="1377"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4861.67</w:t>
            </w:r>
          </w:p>
        </w:tc>
        <w:tc>
          <w:tcPr>
            <w:tcW w:w="1275" w:type="dxa"/>
            <w:gridSpan w:val="2"/>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ascii="仿宋_GB2312" w:eastAsia="仿宋_GB2312"/>
                <w:b/>
                <w:bCs/>
                <w:sz w:val="21"/>
                <w:szCs w:val="21"/>
                <w:vertAlign w:val="baseline"/>
                <w:lang w:val="en-US" w:eastAsia="zh-CN"/>
              </w:rPr>
              <w:t>4584.98</w:t>
            </w:r>
          </w:p>
        </w:tc>
        <w:tc>
          <w:tcPr>
            <w:tcW w:w="1416" w:type="dxa"/>
            <w:vAlign w:val="center"/>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cs="仿宋_GB2312"/>
                <w:b/>
                <w:bCs/>
                <w:kern w:val="2"/>
                <w:sz w:val="21"/>
                <w:szCs w:val="21"/>
                <w:vertAlign w:val="baseline"/>
                <w:lang w:val="en-US" w:eastAsia="zh-CN" w:bidi="ar-SA"/>
              </w:rPr>
              <w:t>1455.12</w:t>
            </w:r>
          </w:p>
        </w:tc>
        <w:tc>
          <w:tcPr>
            <w:tcW w:w="1440" w:type="dxa"/>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cs="仿宋_GB2312"/>
                <w:b/>
                <w:bCs/>
                <w:kern w:val="2"/>
                <w:sz w:val="21"/>
                <w:szCs w:val="21"/>
                <w:vertAlign w:val="baseline"/>
                <w:lang w:val="en-US" w:eastAsia="zh-CN" w:bidi="ar-SA"/>
              </w:rPr>
              <w:t>1455.12</w:t>
            </w:r>
          </w:p>
        </w:tc>
        <w:tc>
          <w:tcPr>
            <w:tcW w:w="1356" w:type="dxa"/>
            <w:vAlign w:val="center"/>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hAnsi="Times New Roman" w:cs="Times New Roman"/>
                <w:b/>
                <w:bCs/>
                <w:sz w:val="21"/>
                <w:szCs w:val="21"/>
                <w:highlight w:val="none"/>
                <w:vertAlign w:val="baseline"/>
                <w:lang w:val="en-US" w:eastAsia="zh-CN"/>
              </w:rPr>
              <w:t>1669.11</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1669.11</w:t>
            </w:r>
          </w:p>
        </w:tc>
        <w:tc>
          <w:tcPr>
            <w:tcW w:w="1344" w:type="dxa"/>
            <w:gridSpan w:val="2"/>
            <w:vAlign w:val="center"/>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3124.23</w:t>
            </w:r>
          </w:p>
        </w:tc>
        <w:tc>
          <w:tcPr>
            <w:tcW w:w="1517"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68.14%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74" w:type="dxa"/>
            <w:gridSpan w:val="1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子项目5：北门新村项目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7"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序号</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支出内容</w:t>
            </w:r>
          </w:p>
        </w:tc>
        <w:tc>
          <w:tcPr>
            <w:tcW w:w="137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概算金额</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合同金额</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2020年预算</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2020年支出</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kern w:val="2"/>
                <w:sz w:val="20"/>
                <w:szCs w:val="20"/>
                <w:highlight w:val="none"/>
                <w:vertAlign w:val="baseline"/>
                <w:lang w:val="en-US" w:eastAsia="zh-CN" w:bidi="ar-SA"/>
              </w:rPr>
              <w:t>2021年预算</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2021年支出</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合计支出</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合同价执行率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建安工程费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2856.56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2697.84</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809.35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809.35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1079.14</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1079.14</w:t>
            </w:r>
          </w:p>
        </w:tc>
        <w:tc>
          <w:tcPr>
            <w:tcW w:w="1344"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1888.49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8"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2</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设计费</w:t>
            </w:r>
          </w:p>
        </w:tc>
        <w:tc>
          <w:tcPr>
            <w:tcW w:w="137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ascii="仿宋_GB2312" w:eastAsia="仿宋_GB2312"/>
                <w:sz w:val="20"/>
                <w:szCs w:val="20"/>
                <w:vertAlign w:val="baseline"/>
                <w:lang w:val="en-US" w:eastAsia="zh-CN"/>
              </w:rPr>
              <w:t>71.41</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71.41</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35.71</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35.71</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35.71</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 w:hRule="atLeast"/>
        </w:trPr>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3</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设计、监理招标代理费</w:t>
            </w:r>
          </w:p>
        </w:tc>
        <w:tc>
          <w:tcPr>
            <w:tcW w:w="1377" w:type="dxa"/>
            <w:vMerge w:val="restart"/>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34.28</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5.46</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4</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施工招标代理费</w:t>
            </w:r>
          </w:p>
        </w:tc>
        <w:tc>
          <w:tcPr>
            <w:tcW w:w="1377" w:type="dxa"/>
            <w:vMerge w:val="continue"/>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17.2</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8.6</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8.6</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8.6</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工可编制费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13.55</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13.55</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6.78</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6.78</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6.78</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6</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房屋检测费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2.99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2.99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2.99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2.99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物探费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28.57</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25.8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8</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管道CCTV检测费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按实计取</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9</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建设单位管理费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60.82</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55.8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27.9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27.9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27.9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工程监理费</w:t>
            </w:r>
          </w:p>
        </w:tc>
        <w:tc>
          <w:tcPr>
            <w:tcW w:w="1377"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ascii="仿宋_GB2312" w:eastAsia="仿宋_GB2312"/>
                <w:sz w:val="20"/>
                <w:szCs w:val="20"/>
                <w:vertAlign w:val="baseline"/>
                <w:lang w:val="en-US" w:eastAsia="zh-CN"/>
              </w:rPr>
              <w:t>71.41</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71.35</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35.68</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35.68</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35.68</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财务监理费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21.13</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21.12</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10.56</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10.56</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10.56</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05" w:type="dxa"/>
            <w:gridSpan w:val="2"/>
          </w:tcPr>
          <w:p>
            <w:pPr>
              <w:spacing w:line="240" w:lineRule="auto"/>
              <w:ind w:firstLine="0" w:firstLineChars="0"/>
              <w:contextualSpacing w:val="0"/>
              <w:jc w:val="center"/>
              <w:rPr>
                <w:rFonts w:hint="eastAsia"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小计</w:t>
            </w:r>
          </w:p>
        </w:tc>
        <w:tc>
          <w:tcPr>
            <w:tcW w:w="137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3169.73</w:t>
            </w:r>
          </w:p>
        </w:tc>
        <w:tc>
          <w:tcPr>
            <w:tcW w:w="1275"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ascii="仿宋_GB2312" w:eastAsia="仿宋_GB2312"/>
                <w:b/>
                <w:bCs/>
                <w:sz w:val="21"/>
                <w:szCs w:val="21"/>
                <w:vertAlign w:val="baseline"/>
                <w:lang w:val="en-US" w:eastAsia="zh-CN"/>
              </w:rPr>
              <w:t>2982.52</w:t>
            </w:r>
          </w:p>
        </w:tc>
        <w:tc>
          <w:tcPr>
            <w:tcW w:w="1416" w:type="dxa"/>
            <w:vAlign w:val="top"/>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cs="仿宋_GB2312"/>
                <w:b/>
                <w:bCs/>
                <w:kern w:val="2"/>
                <w:sz w:val="21"/>
                <w:szCs w:val="21"/>
                <w:vertAlign w:val="baseline"/>
                <w:lang w:val="en-US" w:eastAsia="zh-CN" w:bidi="ar-SA"/>
              </w:rPr>
              <w:t>950.46</w:t>
            </w:r>
          </w:p>
        </w:tc>
        <w:tc>
          <w:tcPr>
            <w:tcW w:w="1440" w:type="dxa"/>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cs="仿宋_GB2312"/>
                <w:b/>
                <w:bCs/>
                <w:kern w:val="2"/>
                <w:sz w:val="21"/>
                <w:szCs w:val="21"/>
                <w:vertAlign w:val="baseline"/>
                <w:lang w:val="en-US" w:eastAsia="zh-CN" w:bidi="ar-SA"/>
              </w:rPr>
              <w:t>950.46</w:t>
            </w:r>
          </w:p>
        </w:tc>
        <w:tc>
          <w:tcPr>
            <w:tcW w:w="1356" w:type="dxa"/>
            <w:vAlign w:val="center"/>
          </w:tcPr>
          <w:p>
            <w:pPr>
              <w:spacing w:line="240" w:lineRule="auto"/>
              <w:ind w:firstLine="0" w:firstLineChars="0"/>
              <w:contextualSpacing w:val="0"/>
              <w:jc w:val="center"/>
              <w:rPr>
                <w:rFonts w:hint="default"/>
                <w:b/>
                <w:bCs/>
                <w:sz w:val="21"/>
                <w:szCs w:val="21"/>
                <w:vertAlign w:val="baseline"/>
                <w:lang w:val="en-US" w:eastAsia="zh-CN"/>
              </w:rPr>
            </w:pPr>
            <w:r>
              <w:rPr>
                <w:rFonts w:hint="eastAsia" w:hAnsi="Times New Roman" w:cs="Times New Roman"/>
                <w:b/>
                <w:bCs/>
                <w:sz w:val="21"/>
                <w:szCs w:val="21"/>
                <w:highlight w:val="none"/>
                <w:vertAlign w:val="baseline"/>
                <w:lang w:val="en-US" w:eastAsia="zh-CN"/>
              </w:rPr>
              <w:t>1079.14</w:t>
            </w:r>
          </w:p>
        </w:tc>
        <w:tc>
          <w:tcPr>
            <w:tcW w:w="1344" w:type="dxa"/>
            <w:vAlign w:val="center"/>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1079.14</w:t>
            </w:r>
          </w:p>
        </w:tc>
        <w:tc>
          <w:tcPr>
            <w:tcW w:w="1344" w:type="dxa"/>
            <w:gridSpan w:val="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2029.6</w:t>
            </w:r>
          </w:p>
        </w:tc>
        <w:tc>
          <w:tcPr>
            <w:tcW w:w="151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68.05%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74" w:type="dxa"/>
            <w:gridSpan w:val="12"/>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子项目6：城西新村项目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序号</w:t>
            </w:r>
          </w:p>
        </w:tc>
        <w:tc>
          <w:tcPr>
            <w:tcW w:w="2412" w:type="dxa"/>
            <w:vAlign w:val="top"/>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支出内容</w:t>
            </w:r>
          </w:p>
        </w:tc>
        <w:tc>
          <w:tcPr>
            <w:tcW w:w="137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概算金额</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合同金额</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2020年预算</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2020年支出</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kern w:val="2"/>
                <w:sz w:val="20"/>
                <w:szCs w:val="20"/>
                <w:highlight w:val="none"/>
                <w:vertAlign w:val="baseline"/>
                <w:lang w:val="en-US" w:eastAsia="zh-CN" w:bidi="ar-SA"/>
              </w:rPr>
              <w:t>2021年预算</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2021年支出</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合计支出</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b/>
                <w:bCs/>
                <w:kern w:val="2"/>
                <w:sz w:val="20"/>
                <w:szCs w:val="20"/>
                <w:highlight w:val="none"/>
                <w:vertAlign w:val="baseline"/>
                <w:lang w:val="en-US" w:eastAsia="zh-CN" w:bidi="ar-SA"/>
              </w:rPr>
            </w:pPr>
            <w:r>
              <w:rPr>
                <w:rFonts w:hint="eastAsia" w:hAnsi="Times New Roman" w:cs="Times New Roman"/>
                <w:b/>
                <w:bCs/>
                <w:sz w:val="20"/>
                <w:szCs w:val="20"/>
                <w:highlight w:val="none"/>
                <w:vertAlign w:val="baseline"/>
                <w:lang w:val="en-US" w:eastAsia="zh-CN"/>
              </w:rPr>
              <w:t>合同价执行率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建安工程费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3498.27</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3318</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995.4</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995.4</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hAnsi="Times New Roman" w:cs="Times New Roman"/>
                <w:sz w:val="20"/>
                <w:szCs w:val="20"/>
                <w:highlight w:val="none"/>
                <w:vertAlign w:val="baseline"/>
                <w:lang w:val="en-US" w:eastAsia="zh-CN"/>
              </w:rPr>
              <w:t>1327.2</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1327.2</w:t>
            </w:r>
          </w:p>
        </w:tc>
        <w:tc>
          <w:tcPr>
            <w:tcW w:w="1344" w:type="dxa"/>
            <w:gridSpan w:val="2"/>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2322.6</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2</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99.26</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49.62</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49.62</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49.62</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3</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设计、监理招标代理费</w:t>
            </w:r>
          </w:p>
        </w:tc>
        <w:tc>
          <w:tcPr>
            <w:tcW w:w="1377" w:type="dxa"/>
            <w:vMerge w:val="restart"/>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45.48</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6.54</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4</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施工招标代理费</w:t>
            </w:r>
          </w:p>
        </w:tc>
        <w:tc>
          <w:tcPr>
            <w:tcW w:w="1377" w:type="dxa"/>
            <w:vMerge w:val="continue"/>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20.66</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10.33</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10.33</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10.33</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工可编制费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16.77</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16.77</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8.38</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8.38</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8.38</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6</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房屋检测费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3.09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3.09</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3.09</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3.09</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7</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物探费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38.48</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hAnsi="Times New Roman" w:cs="Times New Roman"/>
                <w:sz w:val="20"/>
                <w:szCs w:val="20"/>
                <w:highlight w:val="none"/>
                <w:vertAlign w:val="baseline"/>
                <w:lang w:val="en-US" w:eastAsia="zh-CN"/>
              </w:rPr>
              <w:t>37.22</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18.61</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18.61</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18.61</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8</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管道CCTV检测费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14.69</w:t>
            </w:r>
          </w:p>
        </w:tc>
        <w:tc>
          <w:tcPr>
            <w:tcW w:w="1275"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按实计取</w:t>
            </w:r>
          </w:p>
        </w:tc>
        <w:tc>
          <w:tcPr>
            <w:tcW w:w="141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440"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56"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9</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建设单位管理费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79.91</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67.9</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33.95</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33.95</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33.95</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10</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工程监理费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99.5</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98.2</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49.1</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49.1</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49.1</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693"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11</w:t>
            </w:r>
          </w:p>
        </w:tc>
        <w:tc>
          <w:tcPr>
            <w:tcW w:w="2412"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财务监理费</w:t>
            </w:r>
          </w:p>
        </w:tc>
        <w:tc>
          <w:tcPr>
            <w:tcW w:w="1377" w:type="dxa"/>
            <w:vAlign w:val="center"/>
          </w:tcPr>
          <w:p>
            <w:pPr>
              <w:spacing w:line="240" w:lineRule="auto"/>
              <w:ind w:firstLine="0" w:firstLineChars="0"/>
              <w:contextualSpacing w:val="0"/>
              <w:jc w:val="center"/>
              <w:rPr>
                <w:rFonts w:hint="default"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25.96</w:t>
            </w:r>
          </w:p>
        </w:tc>
        <w:tc>
          <w:tcPr>
            <w:tcW w:w="1275" w:type="dxa"/>
            <w:gridSpan w:val="2"/>
            <w:vAlign w:val="center"/>
          </w:tcPr>
          <w:p>
            <w:pPr>
              <w:spacing w:line="240" w:lineRule="auto"/>
              <w:ind w:firstLine="0" w:firstLineChars="0"/>
              <w:contextualSpacing w:val="0"/>
              <w:jc w:val="center"/>
              <w:rPr>
                <w:rFonts w:hint="eastAsia" w:ascii="仿宋_GB2312" w:hAnsi="仿宋_GB2312" w:eastAsia="仿宋_GB2312" w:cs="仿宋_GB2312"/>
                <w:kern w:val="2"/>
                <w:sz w:val="20"/>
                <w:szCs w:val="20"/>
                <w:vertAlign w:val="baseline"/>
                <w:lang w:val="en-US" w:eastAsia="zh-CN" w:bidi="ar-SA"/>
              </w:rPr>
            </w:pPr>
            <w:r>
              <w:rPr>
                <w:rFonts w:hint="eastAsia" w:ascii="仿宋_GB2312" w:eastAsia="仿宋_GB2312"/>
                <w:sz w:val="20"/>
                <w:szCs w:val="20"/>
                <w:vertAlign w:val="baseline"/>
                <w:lang w:val="en-US" w:eastAsia="zh-CN"/>
              </w:rPr>
              <w:t>25.96</w:t>
            </w:r>
          </w:p>
        </w:tc>
        <w:tc>
          <w:tcPr>
            <w:tcW w:w="1416"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12.98</w:t>
            </w:r>
          </w:p>
        </w:tc>
        <w:tc>
          <w:tcPr>
            <w:tcW w:w="1440" w:type="dxa"/>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12.98</w:t>
            </w:r>
          </w:p>
        </w:tc>
        <w:tc>
          <w:tcPr>
            <w:tcW w:w="1356" w:type="dxa"/>
            <w:vAlign w:val="center"/>
          </w:tcPr>
          <w:p>
            <w:pPr>
              <w:spacing w:line="240" w:lineRule="auto"/>
              <w:ind w:firstLine="0" w:firstLineChars="0"/>
              <w:contextualSpacing w:val="0"/>
              <w:jc w:val="center"/>
              <w:rPr>
                <w:rFonts w:hint="default"/>
                <w:sz w:val="20"/>
                <w:szCs w:val="20"/>
                <w:vertAlign w:val="baseline"/>
                <w:lang w:val="en-US" w:eastAsia="zh-CN"/>
              </w:rPr>
            </w:pPr>
            <w:r>
              <w:rPr>
                <w:rFonts w:hint="eastAsia" w:ascii="仿宋_GB2312" w:eastAsia="仿宋_GB2312"/>
                <w:sz w:val="20"/>
                <w:szCs w:val="20"/>
                <w:vertAlign w:val="baseline"/>
                <w:lang w:val="en-US" w:eastAsia="zh-CN"/>
              </w:rPr>
              <w:t>0</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0</w:t>
            </w:r>
          </w:p>
        </w:tc>
        <w:tc>
          <w:tcPr>
            <w:tcW w:w="1344" w:type="dxa"/>
            <w:gridSpan w:val="2"/>
            <w:vAlign w:val="center"/>
          </w:tcPr>
          <w:p>
            <w:pPr>
              <w:spacing w:line="240" w:lineRule="auto"/>
              <w:ind w:firstLine="0" w:firstLineChars="0"/>
              <w:contextualSpacing w:val="0"/>
              <w:jc w:val="center"/>
              <w:rPr>
                <w:rFonts w:hint="eastAsia" w:hAnsi="Times New Roman" w:cs="Times New Roman"/>
                <w:sz w:val="20"/>
                <w:szCs w:val="20"/>
                <w:highlight w:val="none"/>
                <w:vertAlign w:val="baseline"/>
                <w:lang w:val="en-US" w:eastAsia="zh-CN"/>
              </w:rPr>
            </w:pPr>
            <w:r>
              <w:rPr>
                <w:rFonts w:hint="eastAsia" w:hAnsi="Times New Roman" w:cs="Times New Roman"/>
                <w:sz w:val="20"/>
                <w:szCs w:val="20"/>
                <w:highlight w:val="none"/>
                <w:vertAlign w:val="baseline"/>
                <w:lang w:val="en-US" w:eastAsia="zh-CN"/>
              </w:rPr>
              <w:t>12.98</w:t>
            </w:r>
          </w:p>
        </w:tc>
        <w:tc>
          <w:tcPr>
            <w:tcW w:w="1517" w:type="dxa"/>
            <w:vAlign w:val="center"/>
          </w:tcPr>
          <w:p>
            <w:pPr>
              <w:spacing w:line="240" w:lineRule="auto"/>
              <w:ind w:firstLine="0" w:firstLineChars="0"/>
              <w:contextualSpacing w:val="0"/>
              <w:jc w:val="center"/>
              <w:rPr>
                <w:rFonts w:hint="eastAsia" w:ascii="仿宋_GB2312" w:hAnsi="Times New Roman" w:eastAsia="仿宋_GB2312" w:cs="Times New Roman"/>
                <w:kern w:val="2"/>
                <w:sz w:val="20"/>
                <w:szCs w:val="20"/>
                <w:highlight w:val="none"/>
                <w:vertAlign w:val="baseline"/>
                <w:lang w:val="en-US" w:eastAsia="zh-CN" w:bidi="ar-SA"/>
              </w:rPr>
            </w:pPr>
            <w:r>
              <w:rPr>
                <w:rFonts w:hint="eastAsia" w:hAnsi="Times New Roman" w:cs="Times New Roman"/>
                <w:sz w:val="20"/>
                <w:szCs w:val="20"/>
                <w:highlight w:val="none"/>
                <w:vertAlign w:val="baseline"/>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05" w:type="dxa"/>
            <w:gridSpan w:val="2"/>
          </w:tcPr>
          <w:p>
            <w:pPr>
              <w:spacing w:line="240" w:lineRule="auto"/>
              <w:ind w:firstLine="0" w:firstLineChars="0"/>
              <w:contextualSpacing w:val="0"/>
              <w:jc w:val="center"/>
              <w:rPr>
                <w:rFonts w:hint="eastAsia" w:hAnsi="Times New Roman" w:cs="Times New Roman"/>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小计</w:t>
            </w:r>
          </w:p>
        </w:tc>
        <w:tc>
          <w:tcPr>
            <w:tcW w:w="137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3918.66</w:t>
            </w:r>
          </w:p>
        </w:tc>
        <w:tc>
          <w:tcPr>
            <w:tcW w:w="1275" w:type="dxa"/>
            <w:gridSpan w:val="2"/>
            <w:vAlign w:val="top"/>
          </w:tcPr>
          <w:p>
            <w:pPr>
              <w:spacing w:line="240" w:lineRule="auto"/>
              <w:ind w:firstLine="0" w:firstLineChars="0"/>
              <w:contextualSpacing w:val="0"/>
              <w:jc w:val="center"/>
              <w:rPr>
                <w:rFonts w:hint="eastAsia" w:ascii="仿宋_GB2312" w:hAnsi="仿宋_GB2312" w:eastAsia="仿宋_GB2312" w:cs="仿宋_GB2312"/>
                <w:b/>
                <w:bCs/>
                <w:kern w:val="2"/>
                <w:sz w:val="21"/>
                <w:szCs w:val="21"/>
                <w:vertAlign w:val="baseline"/>
                <w:lang w:val="en-US" w:eastAsia="zh-CN" w:bidi="ar-SA"/>
              </w:rPr>
            </w:pPr>
            <w:r>
              <w:rPr>
                <w:rFonts w:hint="eastAsia" w:ascii="仿宋_GB2312" w:eastAsia="仿宋_GB2312"/>
                <w:b/>
                <w:bCs/>
                <w:sz w:val="21"/>
                <w:szCs w:val="21"/>
                <w:vertAlign w:val="baseline"/>
                <w:lang w:val="en-US" w:eastAsia="zh-CN"/>
              </w:rPr>
              <w:t>3693.6</w:t>
            </w:r>
          </w:p>
        </w:tc>
        <w:tc>
          <w:tcPr>
            <w:tcW w:w="1416" w:type="dxa"/>
            <w:vAlign w:val="top"/>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cs="仿宋_GB2312"/>
                <w:b/>
                <w:bCs/>
                <w:kern w:val="2"/>
                <w:sz w:val="21"/>
                <w:szCs w:val="21"/>
                <w:vertAlign w:val="baseline"/>
                <w:lang w:val="en-US" w:eastAsia="zh-CN" w:bidi="ar-SA"/>
              </w:rPr>
              <w:t>1181.47</w:t>
            </w:r>
          </w:p>
        </w:tc>
        <w:tc>
          <w:tcPr>
            <w:tcW w:w="1440" w:type="dxa"/>
            <w:vAlign w:val="top"/>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cs="仿宋_GB2312"/>
                <w:b/>
                <w:bCs/>
                <w:kern w:val="2"/>
                <w:sz w:val="21"/>
                <w:szCs w:val="21"/>
                <w:vertAlign w:val="baseline"/>
                <w:lang w:val="en-US" w:eastAsia="zh-CN" w:bidi="ar-SA"/>
              </w:rPr>
              <w:t>1181.47</w:t>
            </w:r>
          </w:p>
        </w:tc>
        <w:tc>
          <w:tcPr>
            <w:tcW w:w="1356" w:type="dxa"/>
            <w:vAlign w:val="center"/>
          </w:tcPr>
          <w:p>
            <w:pPr>
              <w:spacing w:line="240" w:lineRule="auto"/>
              <w:ind w:firstLine="0" w:firstLineChars="0"/>
              <w:contextualSpacing w:val="0"/>
              <w:jc w:val="center"/>
              <w:rPr>
                <w:rFonts w:hint="default" w:ascii="仿宋_GB2312" w:hAnsi="仿宋_GB2312" w:eastAsia="仿宋_GB2312" w:cs="仿宋_GB2312"/>
                <w:b/>
                <w:bCs/>
                <w:kern w:val="2"/>
                <w:sz w:val="21"/>
                <w:szCs w:val="21"/>
                <w:vertAlign w:val="baseline"/>
                <w:lang w:val="en-US" w:eastAsia="zh-CN" w:bidi="ar-SA"/>
              </w:rPr>
            </w:pPr>
            <w:r>
              <w:rPr>
                <w:rFonts w:hint="eastAsia" w:hAnsi="Times New Roman" w:cs="Times New Roman"/>
                <w:b/>
                <w:bCs/>
                <w:sz w:val="21"/>
                <w:szCs w:val="21"/>
                <w:highlight w:val="none"/>
                <w:vertAlign w:val="baseline"/>
                <w:lang w:val="en-US" w:eastAsia="zh-CN"/>
              </w:rPr>
              <w:t>1327.2</w:t>
            </w:r>
          </w:p>
        </w:tc>
        <w:tc>
          <w:tcPr>
            <w:tcW w:w="1344" w:type="dxa"/>
            <w:vAlign w:val="center"/>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1327.2</w:t>
            </w:r>
          </w:p>
        </w:tc>
        <w:tc>
          <w:tcPr>
            <w:tcW w:w="1344" w:type="dxa"/>
            <w:gridSpan w:val="2"/>
            <w:vAlign w:val="top"/>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2508.67</w:t>
            </w:r>
          </w:p>
        </w:tc>
        <w:tc>
          <w:tcPr>
            <w:tcW w:w="1517" w:type="dxa"/>
            <w:vAlign w:val="top"/>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67.92%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05" w:type="dxa"/>
            <w:gridSpan w:val="2"/>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合计</w:t>
            </w:r>
          </w:p>
        </w:tc>
        <w:tc>
          <w:tcPr>
            <w:tcW w:w="1377"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20710.12</w:t>
            </w:r>
          </w:p>
        </w:tc>
        <w:tc>
          <w:tcPr>
            <w:tcW w:w="1275" w:type="dxa"/>
            <w:gridSpan w:val="2"/>
            <w:vAlign w:val="top"/>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19507.18</w:t>
            </w:r>
          </w:p>
        </w:tc>
        <w:tc>
          <w:tcPr>
            <w:tcW w:w="1416" w:type="dxa"/>
            <w:vAlign w:val="top"/>
          </w:tcPr>
          <w:p>
            <w:pPr>
              <w:spacing w:line="240" w:lineRule="auto"/>
              <w:ind w:firstLine="0" w:firstLineChars="0"/>
              <w:contextualSpacing w:val="0"/>
              <w:jc w:val="center"/>
              <w:rPr>
                <w:rFonts w:hint="default"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kern w:val="2"/>
                <w:sz w:val="21"/>
                <w:szCs w:val="21"/>
                <w:highlight w:val="none"/>
                <w:vertAlign w:val="baseline"/>
                <w:lang w:val="en-US" w:eastAsia="zh-CN" w:bidi="ar-SA"/>
              </w:rPr>
              <w:t>6217.97</w:t>
            </w:r>
          </w:p>
        </w:tc>
        <w:tc>
          <w:tcPr>
            <w:tcW w:w="1440" w:type="dxa"/>
          </w:tcPr>
          <w:p>
            <w:pPr>
              <w:spacing w:line="240" w:lineRule="auto"/>
              <w:ind w:firstLine="0" w:firstLineChars="0"/>
              <w:contextualSpacing w:val="0"/>
              <w:jc w:val="center"/>
              <w:rPr>
                <w:rFonts w:hint="eastAsia" w:hAnsi="Times New Roman" w:cs="Times New Roman"/>
                <w:b/>
                <w:bCs/>
                <w:sz w:val="21"/>
                <w:szCs w:val="21"/>
                <w:highlight w:val="none"/>
                <w:vertAlign w:val="baseline"/>
                <w:lang w:val="en-US" w:eastAsia="zh-CN"/>
              </w:rPr>
            </w:pPr>
            <w:r>
              <w:rPr>
                <w:rFonts w:hint="eastAsia" w:hAnsi="Times New Roman" w:cs="Times New Roman"/>
                <w:b/>
                <w:bCs/>
                <w:kern w:val="2"/>
                <w:sz w:val="21"/>
                <w:szCs w:val="21"/>
                <w:highlight w:val="none"/>
                <w:vertAlign w:val="baseline"/>
                <w:lang w:val="en-US" w:eastAsia="zh-CN" w:bidi="ar-SA"/>
              </w:rPr>
              <w:t>6217.97</w:t>
            </w:r>
          </w:p>
        </w:tc>
        <w:tc>
          <w:tcPr>
            <w:tcW w:w="1356"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7054.17</w:t>
            </w:r>
          </w:p>
        </w:tc>
        <w:tc>
          <w:tcPr>
            <w:tcW w:w="1344"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7054.17</w:t>
            </w:r>
          </w:p>
        </w:tc>
        <w:tc>
          <w:tcPr>
            <w:tcW w:w="1344" w:type="dxa"/>
            <w:gridSpan w:val="2"/>
            <w:vAlign w:val="top"/>
          </w:tcPr>
          <w:p>
            <w:pPr>
              <w:spacing w:line="240" w:lineRule="auto"/>
              <w:ind w:firstLine="0" w:firstLineChars="0"/>
              <w:contextualSpacing w:val="0"/>
              <w:jc w:val="center"/>
              <w:rPr>
                <w:rFonts w:hint="eastAsia" w:ascii="仿宋_GB2312" w:hAnsi="Times New Roman" w:eastAsia="仿宋_GB2312" w:cs="Times New Roman"/>
                <w:b/>
                <w:bCs/>
                <w:kern w:val="2"/>
                <w:sz w:val="21"/>
                <w:szCs w:val="21"/>
                <w:highlight w:val="none"/>
                <w:vertAlign w:val="baseline"/>
                <w:lang w:val="en-US" w:eastAsia="zh-CN" w:bidi="ar-SA"/>
              </w:rPr>
            </w:pPr>
            <w:r>
              <w:rPr>
                <w:rFonts w:hint="eastAsia" w:hAnsi="Times New Roman" w:cs="Times New Roman"/>
                <w:b/>
                <w:bCs/>
                <w:sz w:val="21"/>
                <w:szCs w:val="21"/>
                <w:highlight w:val="none"/>
                <w:vertAlign w:val="baseline"/>
                <w:lang w:val="en-US" w:eastAsia="zh-CN"/>
              </w:rPr>
              <w:t>13272.14</w:t>
            </w:r>
          </w:p>
        </w:tc>
        <w:tc>
          <w:tcPr>
            <w:tcW w:w="1517" w:type="dxa"/>
          </w:tcPr>
          <w:p>
            <w:pPr>
              <w:spacing w:line="240" w:lineRule="auto"/>
              <w:ind w:firstLine="0" w:firstLineChars="0"/>
              <w:contextualSpacing w:val="0"/>
              <w:jc w:val="center"/>
              <w:rPr>
                <w:rFonts w:hint="default" w:hAnsi="Times New Roman" w:cs="Times New Roman"/>
                <w:b/>
                <w:bCs/>
                <w:sz w:val="21"/>
                <w:szCs w:val="21"/>
                <w:highlight w:val="none"/>
                <w:vertAlign w:val="baseline"/>
                <w:lang w:val="en-US" w:eastAsia="zh-CN"/>
              </w:rPr>
            </w:pPr>
            <w:r>
              <w:rPr>
                <w:rFonts w:hint="eastAsia" w:hAnsi="Times New Roman" w:cs="Times New Roman"/>
                <w:b/>
                <w:bCs/>
                <w:sz w:val="21"/>
                <w:szCs w:val="21"/>
                <w:highlight w:val="none"/>
                <w:vertAlign w:val="baseline"/>
                <w:lang w:val="en-US" w:eastAsia="zh-CN"/>
              </w:rPr>
              <w:t>68.04%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174" w:type="dxa"/>
            <w:gridSpan w:val="12"/>
          </w:tcPr>
          <w:p>
            <w:pPr>
              <w:spacing w:line="240" w:lineRule="auto"/>
              <w:ind w:firstLine="0" w:firstLineChars="0"/>
              <w:contextualSpacing w:val="0"/>
              <w:jc w:val="left"/>
              <w:rPr>
                <w:rFonts w:hint="default" w:hAnsi="Times New Roman" w:cs="Times New Roman"/>
                <w:b/>
                <w:bCs/>
                <w:sz w:val="21"/>
                <w:szCs w:val="21"/>
                <w:highlight w:val="none"/>
                <w:vertAlign w:val="baseline"/>
                <w:lang w:val="en-US" w:eastAsia="zh-CN"/>
              </w:rPr>
            </w:pPr>
            <w:bookmarkStart w:id="31" w:name="_Toc11431"/>
            <w:r>
              <w:rPr>
                <w:rFonts w:hint="eastAsia" w:hAnsi="Times New Roman" w:cs="Times New Roman"/>
                <w:b/>
                <w:bCs/>
                <w:sz w:val="21"/>
                <w:szCs w:val="21"/>
                <w:highlight w:val="none"/>
                <w:vertAlign w:val="baseline"/>
                <w:lang w:val="en-US" w:eastAsia="zh-CN"/>
              </w:rPr>
              <w:t>说明：各项目</w:t>
            </w:r>
            <w:r>
              <w:rPr>
                <w:rFonts w:hint="eastAsia" w:eastAsia="仿宋_GB2312"/>
                <w:b/>
                <w:bCs/>
                <w:sz w:val="21"/>
                <w:szCs w:val="21"/>
                <w:vertAlign w:val="baseline"/>
                <w:lang w:eastAsia="zh-CN"/>
              </w:rPr>
              <w:t>工程进度与实际资金拨付需求</w:t>
            </w:r>
            <w:r>
              <w:rPr>
                <w:rFonts w:hint="eastAsia"/>
                <w:b/>
                <w:bCs/>
                <w:sz w:val="21"/>
                <w:szCs w:val="21"/>
                <w:vertAlign w:val="baseline"/>
                <w:lang w:val="en-US" w:eastAsia="zh-CN"/>
              </w:rPr>
              <w:t>一致，均为竣工验收完成后拨付工程款至70%，实际执行符合要求</w:t>
            </w:r>
          </w:p>
        </w:tc>
      </w:tr>
    </w:tbl>
    <w:p>
      <w:pPr>
        <w:pStyle w:val="3"/>
        <w:ind w:left="0" w:leftChars="0" w:firstLine="0" w:firstLineChars="0"/>
        <w:rPr>
          <w:rFonts w:hint="eastAsia"/>
          <w:sz w:val="32"/>
          <w:szCs w:val="32"/>
        </w:rPr>
        <w:sectPr>
          <w:pgSz w:w="16838" w:h="11906" w:orient="landscape"/>
          <w:pgMar w:top="1797" w:right="1440" w:bottom="1797" w:left="1440" w:header="851" w:footer="567" w:gutter="0"/>
          <w:cols w:space="720" w:num="1"/>
          <w:docGrid w:linePitch="381" w:charSpace="0"/>
        </w:sectPr>
      </w:pPr>
    </w:p>
    <w:p>
      <w:pPr>
        <w:pStyle w:val="3"/>
        <w:rPr>
          <w:sz w:val="32"/>
          <w:szCs w:val="32"/>
        </w:rPr>
      </w:pPr>
      <w:bookmarkStart w:id="32" w:name="_Toc821"/>
      <w:r>
        <w:rPr>
          <w:rFonts w:hint="eastAsia"/>
          <w:sz w:val="32"/>
          <w:szCs w:val="32"/>
        </w:rPr>
        <w:t>（</w:t>
      </w:r>
      <w:r>
        <w:rPr>
          <w:rFonts w:hint="eastAsia"/>
          <w:sz w:val="32"/>
          <w:szCs w:val="32"/>
          <w:lang w:val="en-US" w:eastAsia="zh-CN"/>
        </w:rPr>
        <w:t>四</w:t>
      </w:r>
      <w:r>
        <w:rPr>
          <w:rFonts w:hint="eastAsia"/>
          <w:sz w:val="32"/>
          <w:szCs w:val="32"/>
        </w:rPr>
        <w:t>）项目的组织及管理</w:t>
      </w:r>
      <w:bookmarkEnd w:id="31"/>
      <w:bookmarkEnd w:id="32"/>
    </w:p>
    <w:p>
      <w:pPr>
        <w:ind w:firstLine="562"/>
        <w:outlineLvl w:val="2"/>
        <w:rPr>
          <w:rFonts w:hint="eastAsia" w:hAnsi="仿宋"/>
          <w:b/>
          <w:sz w:val="32"/>
          <w:szCs w:val="32"/>
          <w:highlight w:val="none"/>
          <w:lang w:val="en-US" w:eastAsia="zh-CN"/>
        </w:rPr>
      </w:pPr>
      <w:bookmarkStart w:id="33" w:name="_Toc4690"/>
      <w:r>
        <w:rPr>
          <w:rFonts w:hint="eastAsia" w:hAnsi="仿宋"/>
          <w:b/>
          <w:sz w:val="32"/>
          <w:szCs w:val="32"/>
        </w:rPr>
        <w:t>1.</w:t>
      </w:r>
      <w:r>
        <w:rPr>
          <w:rFonts w:hint="eastAsia" w:hAnsi="仿宋"/>
          <w:b/>
          <w:sz w:val="32"/>
          <w:szCs w:val="32"/>
          <w:highlight w:val="none"/>
        </w:rPr>
        <w:t>项目组织</w:t>
      </w:r>
      <w:r>
        <w:rPr>
          <w:rFonts w:hint="eastAsia" w:hAnsi="仿宋"/>
          <w:b/>
          <w:sz w:val="32"/>
          <w:szCs w:val="32"/>
          <w:highlight w:val="none"/>
          <w:lang w:val="en-US" w:eastAsia="zh-CN"/>
        </w:rPr>
        <w:t>与职责</w:t>
      </w:r>
      <w:bookmarkEnd w:id="33"/>
    </w:p>
    <w:p>
      <w:pPr>
        <w:ind w:firstLine="562"/>
        <w:outlineLvl w:val="9"/>
        <w:rPr>
          <w:rFonts w:hint="default" w:hAnsi="仿宋" w:eastAsia="仿宋_GB2312"/>
          <w:b/>
          <w:sz w:val="32"/>
          <w:szCs w:val="32"/>
          <w:highlight w:val="yellow"/>
          <w:lang w:val="en-US" w:eastAsia="zh-CN"/>
        </w:rPr>
      </w:pPr>
      <w:bookmarkStart w:id="34" w:name="_Toc5555"/>
      <w:r>
        <w:rPr>
          <w:rFonts w:hint="eastAsia" w:hAnsi="仿宋"/>
          <w:b w:val="0"/>
          <w:bCs/>
          <w:sz w:val="32"/>
          <w:szCs w:val="32"/>
          <w:highlight w:val="none"/>
          <w:lang w:val="en-US" w:eastAsia="zh-CN"/>
        </w:rPr>
        <w:t>本项目财权归属区级政府，承担资金管理和业务指导职责，事权归属属地乡镇政府，承担具体项目管理工作，属于典型的财权事权相分离的项目。</w:t>
      </w:r>
      <w:bookmarkEnd w:id="34"/>
    </w:p>
    <w:p>
      <w:pPr>
        <w:ind w:firstLine="560"/>
        <w:rPr>
          <w:rFonts w:hint="eastAsia"/>
          <w:sz w:val="32"/>
          <w:szCs w:val="32"/>
          <w:lang w:val="en-US" w:eastAsia="zh-CN"/>
        </w:rPr>
      </w:pPr>
      <w:r>
        <w:rPr>
          <w:rFonts w:hint="eastAsia"/>
          <w:sz w:val="32"/>
          <w:szCs w:val="32"/>
          <w:lang w:val="en-US" w:eastAsia="zh-CN"/>
        </w:rPr>
        <w:t>（1）资金拨款单位：上海市财政局负责市级补助资金的拨付，</w:t>
      </w:r>
      <w:r>
        <w:rPr>
          <w:rFonts w:hint="eastAsia" w:ascii="仿宋_GB2312" w:hAnsi="仿宋_GB2312" w:eastAsia="仿宋_GB2312" w:cs="仿宋_GB2312"/>
          <w:sz w:val="32"/>
          <w:szCs w:val="32"/>
        </w:rPr>
        <w:t>上海市崇明区财政局负责</w:t>
      </w:r>
      <w:r>
        <w:rPr>
          <w:rFonts w:hint="eastAsia" w:cs="仿宋_GB2312"/>
          <w:sz w:val="32"/>
          <w:szCs w:val="32"/>
          <w:lang w:val="en-US" w:eastAsia="zh-CN"/>
        </w:rPr>
        <w:t>区</w:t>
      </w:r>
      <w:r>
        <w:rPr>
          <w:rFonts w:hint="eastAsia"/>
          <w:sz w:val="32"/>
          <w:szCs w:val="32"/>
          <w:lang w:val="en-US" w:eastAsia="zh-CN"/>
        </w:rPr>
        <w:t>级补助资金的拨付</w:t>
      </w:r>
      <w:r>
        <w:rPr>
          <w:rFonts w:hint="eastAsia" w:ascii="仿宋_GB2312" w:hAnsi="仿宋_GB2312" w:eastAsia="仿宋_GB2312" w:cs="仿宋_GB2312"/>
          <w:sz w:val="32"/>
          <w:szCs w:val="32"/>
          <w:lang w:eastAsia="zh-CN"/>
        </w:rPr>
        <w:t>。</w:t>
      </w:r>
    </w:p>
    <w:p>
      <w:pPr>
        <w:ind w:firstLine="560"/>
        <w:rPr>
          <w:rFonts w:hint="eastAsia"/>
          <w:sz w:val="32"/>
          <w:szCs w:val="32"/>
          <w:lang w:val="en-US" w:eastAsia="zh-CN"/>
        </w:rPr>
      </w:pPr>
      <w:r>
        <w:rPr>
          <w:rFonts w:hint="eastAsia"/>
          <w:sz w:val="32"/>
          <w:szCs w:val="32"/>
          <w:lang w:val="en-US" w:eastAsia="zh-CN"/>
        </w:rPr>
        <w:t>（2）市级业务主管部门：上海市房屋管理局，负责审核各区的年度旧住房改造修缮计划。</w:t>
      </w:r>
    </w:p>
    <w:p>
      <w:pPr>
        <w:ind w:firstLine="560"/>
        <w:rPr>
          <w:rFonts w:hint="eastAsia" w:eastAsia="仿宋_GB2312"/>
          <w:sz w:val="32"/>
          <w:szCs w:val="32"/>
          <w:lang w:val="en-US" w:eastAsia="zh-CN"/>
        </w:rPr>
      </w:pPr>
      <w:r>
        <w:rPr>
          <w:rFonts w:hint="eastAsia"/>
          <w:sz w:val="32"/>
          <w:szCs w:val="32"/>
          <w:lang w:val="en-US" w:eastAsia="zh-CN"/>
        </w:rPr>
        <w:t>（3）区级预算主管部门：</w:t>
      </w:r>
      <w:r>
        <w:rPr>
          <w:rFonts w:hint="eastAsia"/>
          <w:sz w:val="32"/>
          <w:szCs w:val="32"/>
        </w:rPr>
        <w:t>上海市崇明区住房保障和房屋管理局（简称“区</w:t>
      </w:r>
      <w:r>
        <w:rPr>
          <w:rFonts w:hint="eastAsia"/>
          <w:sz w:val="32"/>
          <w:szCs w:val="32"/>
          <w:lang w:val="en-US" w:eastAsia="zh-CN"/>
        </w:rPr>
        <w:t>房管局</w:t>
      </w:r>
      <w:r>
        <w:rPr>
          <w:rFonts w:hint="eastAsia"/>
          <w:sz w:val="32"/>
          <w:szCs w:val="32"/>
        </w:rPr>
        <w:t>”）</w:t>
      </w:r>
      <w:r>
        <w:rPr>
          <w:rFonts w:hint="eastAsia"/>
          <w:sz w:val="32"/>
          <w:szCs w:val="32"/>
          <w:lang w:eastAsia="zh-CN"/>
        </w:rPr>
        <w:t>。</w:t>
      </w:r>
    </w:p>
    <w:p>
      <w:pPr>
        <w:ind w:firstLine="560"/>
        <w:rPr>
          <w:rFonts w:hint="eastAsia" w:eastAsia="仿宋_GB2312"/>
          <w:sz w:val="32"/>
          <w:szCs w:val="32"/>
          <w:lang w:val="en-US" w:eastAsia="zh-CN"/>
        </w:rPr>
      </w:pPr>
      <w:r>
        <w:rPr>
          <w:rFonts w:hint="eastAsia"/>
          <w:sz w:val="32"/>
          <w:szCs w:val="32"/>
          <w:lang w:val="en-US" w:eastAsia="zh-CN"/>
        </w:rPr>
        <w:t>（4）项目预算单位：</w:t>
      </w:r>
      <w:r>
        <w:rPr>
          <w:rFonts w:hint="eastAsia"/>
          <w:sz w:val="32"/>
          <w:szCs w:val="32"/>
        </w:rPr>
        <w:t>上海市崇明区住房保障和房屋管理局</w:t>
      </w:r>
      <w:r>
        <w:rPr>
          <w:rFonts w:hint="eastAsia"/>
          <w:sz w:val="32"/>
          <w:szCs w:val="32"/>
          <w:lang w:eastAsia="zh-CN"/>
        </w:rPr>
        <w:t>，</w:t>
      </w:r>
      <w:r>
        <w:rPr>
          <w:rFonts w:hint="eastAsia"/>
          <w:sz w:val="32"/>
          <w:szCs w:val="32"/>
          <w:lang w:val="en-US" w:eastAsia="zh-CN"/>
        </w:rPr>
        <w:t>负责项目的</w:t>
      </w:r>
      <w:r>
        <w:rPr>
          <w:rFonts w:hint="eastAsia"/>
          <w:sz w:val="32"/>
          <w:szCs w:val="32"/>
          <w:highlight w:val="none"/>
          <w:lang w:val="en-US" w:eastAsia="zh-CN"/>
        </w:rPr>
        <w:t>预算编制和绩效目标申报</w:t>
      </w:r>
      <w:r>
        <w:rPr>
          <w:rFonts w:hint="eastAsia"/>
          <w:sz w:val="32"/>
          <w:szCs w:val="32"/>
          <w:lang w:val="en-US" w:eastAsia="zh-CN"/>
        </w:rPr>
        <w:t>，</w:t>
      </w:r>
      <w:r>
        <w:rPr>
          <w:rFonts w:hint="eastAsia"/>
          <w:sz w:val="32"/>
          <w:szCs w:val="32"/>
        </w:rPr>
        <w:t>统筹规划</w:t>
      </w:r>
      <w:r>
        <w:rPr>
          <w:rFonts w:hint="eastAsia"/>
          <w:sz w:val="32"/>
          <w:szCs w:val="32"/>
          <w:lang w:eastAsia="zh-CN"/>
        </w:rPr>
        <w:t>2020年美丽家园城桥镇地区项目</w:t>
      </w:r>
      <w:r>
        <w:rPr>
          <w:rFonts w:hint="eastAsia"/>
          <w:sz w:val="32"/>
          <w:szCs w:val="32"/>
        </w:rPr>
        <w:t>的</w:t>
      </w:r>
      <w:r>
        <w:rPr>
          <w:rFonts w:hint="eastAsia"/>
          <w:sz w:val="32"/>
          <w:szCs w:val="32"/>
          <w:lang w:val="en-US" w:eastAsia="zh-CN"/>
        </w:rPr>
        <w:t>建设推进工作</w:t>
      </w:r>
      <w:r>
        <w:rPr>
          <w:rFonts w:hint="eastAsia"/>
          <w:sz w:val="32"/>
          <w:szCs w:val="32"/>
        </w:rPr>
        <w:t>，</w:t>
      </w:r>
      <w:r>
        <w:rPr>
          <w:rFonts w:hint="eastAsia"/>
          <w:sz w:val="32"/>
          <w:szCs w:val="32"/>
          <w:lang w:val="en-US" w:eastAsia="zh-CN"/>
        </w:rPr>
        <w:t>审批城桥镇人民政府提交的项目改造</w:t>
      </w:r>
      <w:r>
        <w:rPr>
          <w:rFonts w:hint="eastAsia"/>
          <w:sz w:val="32"/>
          <w:szCs w:val="32"/>
        </w:rPr>
        <w:t>方案，</w:t>
      </w:r>
      <w:r>
        <w:rPr>
          <w:rFonts w:hint="eastAsia"/>
          <w:sz w:val="32"/>
          <w:szCs w:val="32"/>
          <w:lang w:val="en-US" w:eastAsia="zh-CN"/>
        </w:rPr>
        <w:t>在</w:t>
      </w:r>
      <w:r>
        <w:rPr>
          <w:rFonts w:hint="eastAsia"/>
          <w:sz w:val="32"/>
          <w:szCs w:val="32"/>
        </w:rPr>
        <w:t>建设过程中督促乡镇按节点和要求推进项目建设，项目</w:t>
      </w:r>
      <w:r>
        <w:rPr>
          <w:rFonts w:hint="eastAsia"/>
          <w:sz w:val="32"/>
          <w:szCs w:val="32"/>
          <w:lang w:val="en-US" w:eastAsia="zh-CN"/>
        </w:rPr>
        <w:t>改造完成</w:t>
      </w:r>
      <w:r>
        <w:rPr>
          <w:rFonts w:hint="eastAsia"/>
          <w:sz w:val="32"/>
          <w:szCs w:val="32"/>
        </w:rPr>
        <w:t>后</w:t>
      </w:r>
      <w:r>
        <w:rPr>
          <w:rFonts w:hint="eastAsia"/>
          <w:sz w:val="32"/>
          <w:szCs w:val="32"/>
          <w:lang w:val="en-US" w:eastAsia="zh-CN"/>
        </w:rPr>
        <w:t>参与综合验收工作</w:t>
      </w:r>
      <w:r>
        <w:rPr>
          <w:rFonts w:hint="eastAsia"/>
          <w:sz w:val="32"/>
          <w:szCs w:val="32"/>
        </w:rPr>
        <w:t>。</w:t>
      </w:r>
    </w:p>
    <w:p>
      <w:pPr>
        <w:ind w:firstLine="560"/>
        <w:rPr>
          <w:rFonts w:hint="eastAsia" w:eastAsia="仿宋_GB2312"/>
          <w:sz w:val="32"/>
          <w:szCs w:val="32"/>
          <w:lang w:val="en-US" w:eastAsia="zh-CN"/>
        </w:rPr>
      </w:pPr>
      <w:r>
        <w:rPr>
          <w:rFonts w:hint="eastAsia"/>
          <w:sz w:val="32"/>
          <w:szCs w:val="32"/>
          <w:lang w:val="en-US" w:eastAsia="zh-CN"/>
        </w:rPr>
        <w:t>（5）基层管理（业主）单位：上海市崇明区城桥镇</w:t>
      </w:r>
      <w:r>
        <w:rPr>
          <w:rFonts w:hint="eastAsia"/>
          <w:sz w:val="32"/>
          <w:szCs w:val="32"/>
        </w:rPr>
        <w:t>人民政府</w:t>
      </w:r>
      <w:r>
        <w:rPr>
          <w:rFonts w:hint="eastAsia"/>
          <w:sz w:val="32"/>
          <w:szCs w:val="32"/>
          <w:lang w:eastAsia="zh-CN"/>
        </w:rPr>
        <w:t>，</w:t>
      </w:r>
      <w:r>
        <w:rPr>
          <w:rFonts w:hint="eastAsia"/>
          <w:sz w:val="32"/>
          <w:szCs w:val="32"/>
          <w:lang w:val="en-US" w:eastAsia="zh-CN"/>
        </w:rPr>
        <w:t>全面负责项目的落实和管理工作，包括项目的前期论证、改造方案设计、可行性研究报告的编制、实施项目招标、组织验收等，并配合上级部门的检查和验收。</w:t>
      </w:r>
    </w:p>
    <w:p>
      <w:pPr>
        <w:ind w:firstLine="560"/>
        <w:rPr>
          <w:rFonts w:hint="default"/>
          <w:sz w:val="32"/>
          <w:szCs w:val="32"/>
          <w:lang w:val="en-US" w:eastAsia="zh-CN"/>
        </w:rPr>
      </w:pPr>
      <w:r>
        <w:rPr>
          <w:rFonts w:hint="eastAsia"/>
          <w:sz w:val="32"/>
          <w:szCs w:val="32"/>
          <w:lang w:val="en-US" w:eastAsia="zh-CN"/>
        </w:rPr>
        <w:t>（6）项目实施单位：上海九硕工程管理有限公司，负责项目的投资管理和建设组织实施工作。</w:t>
      </w:r>
    </w:p>
    <w:p>
      <w:pPr>
        <w:ind w:firstLine="560"/>
        <w:rPr>
          <w:rFonts w:hint="eastAsia"/>
          <w:sz w:val="32"/>
          <w:szCs w:val="32"/>
        </w:rPr>
      </w:pPr>
      <w:r>
        <w:rPr>
          <w:rFonts w:hint="eastAsia"/>
          <w:sz w:val="32"/>
          <w:szCs w:val="32"/>
          <w:lang w:val="en-US" w:eastAsia="zh-CN"/>
        </w:rPr>
        <w:t>（7）其他管理单位：</w:t>
      </w:r>
      <w:r>
        <w:rPr>
          <w:rFonts w:hint="eastAsia"/>
          <w:sz w:val="32"/>
          <w:szCs w:val="32"/>
        </w:rPr>
        <w:t>上海市崇明区</w:t>
      </w:r>
      <w:r>
        <w:rPr>
          <w:rFonts w:hint="eastAsia"/>
          <w:sz w:val="32"/>
          <w:szCs w:val="32"/>
          <w:lang w:val="en-US" w:eastAsia="zh-CN"/>
        </w:rPr>
        <w:t>发展和改革委员会</w:t>
      </w:r>
      <w:r>
        <w:rPr>
          <w:rFonts w:hint="eastAsia"/>
          <w:sz w:val="32"/>
          <w:szCs w:val="32"/>
          <w:lang w:eastAsia="zh-CN"/>
        </w:rPr>
        <w:t>负责</w:t>
      </w:r>
      <w:r>
        <w:rPr>
          <w:rFonts w:hint="eastAsia"/>
          <w:sz w:val="32"/>
          <w:szCs w:val="32"/>
          <w:lang w:val="en-US" w:eastAsia="zh-CN"/>
        </w:rPr>
        <w:t>本</w:t>
      </w:r>
      <w:r>
        <w:rPr>
          <w:rFonts w:hint="eastAsia"/>
          <w:sz w:val="32"/>
          <w:szCs w:val="32"/>
          <w:lang w:eastAsia="zh-CN"/>
        </w:rPr>
        <w:t>项目的立项审批工作；</w:t>
      </w:r>
      <w:r>
        <w:rPr>
          <w:rFonts w:hint="eastAsia"/>
          <w:sz w:val="32"/>
          <w:szCs w:val="32"/>
          <w:lang w:val="en-US" w:eastAsia="zh-CN"/>
        </w:rPr>
        <w:t>上海市崇明区给排水管理所，负责项目中雨污分流改造工程的专业验收工作；各小区居委会、业委会、物业，负责征求和反馈居民意见，协调处理项目建设过程中与居民产生的矛盾等问题</w:t>
      </w:r>
      <w:r>
        <w:rPr>
          <w:rFonts w:hint="eastAsia"/>
          <w:sz w:val="32"/>
          <w:szCs w:val="32"/>
        </w:rPr>
        <w:t>。</w:t>
      </w:r>
    </w:p>
    <w:p>
      <w:pPr>
        <w:ind w:firstLine="560"/>
        <w:rPr>
          <w:rFonts w:hint="eastAsia"/>
          <w:sz w:val="32"/>
          <w:szCs w:val="32"/>
          <w:lang w:val="en-US" w:eastAsia="zh-CN"/>
        </w:rPr>
      </w:pPr>
      <w:r>
        <w:rPr>
          <w:rFonts w:hint="eastAsia"/>
          <w:sz w:val="32"/>
          <w:szCs w:val="32"/>
          <w:lang w:eastAsia="zh-CN"/>
        </w:rPr>
        <w:t>（</w:t>
      </w:r>
      <w:r>
        <w:rPr>
          <w:rFonts w:hint="eastAsia"/>
          <w:sz w:val="32"/>
          <w:szCs w:val="32"/>
          <w:lang w:val="en-US" w:eastAsia="zh-CN"/>
        </w:rPr>
        <w:t>8</w:t>
      </w:r>
      <w:r>
        <w:rPr>
          <w:rFonts w:hint="eastAsia"/>
          <w:sz w:val="32"/>
          <w:szCs w:val="32"/>
          <w:lang w:eastAsia="zh-CN"/>
        </w:rPr>
        <w:t>）</w:t>
      </w:r>
      <w:r>
        <w:rPr>
          <w:rFonts w:hint="eastAsia"/>
          <w:sz w:val="32"/>
          <w:szCs w:val="32"/>
          <w:lang w:val="en-US" w:eastAsia="zh-CN"/>
        </w:rPr>
        <w:t>第三方参建单位：共涉及12家单位（不包含代建单位），详见下表1-5：</w:t>
      </w:r>
    </w:p>
    <w:p>
      <w:pPr>
        <w:ind w:left="0" w:leftChars="0" w:firstLine="0" w:firstLineChars="0"/>
        <w:jc w:val="center"/>
        <w:rPr>
          <w:rFonts w:hint="eastAsia"/>
          <w:sz w:val="32"/>
          <w:szCs w:val="32"/>
          <w:lang w:val="en-US" w:eastAsia="zh-CN"/>
        </w:rPr>
      </w:pPr>
      <w:r>
        <w:rPr>
          <w:rFonts w:hint="eastAsia" w:hAnsi="Times New Roman" w:cs="Times New Roman"/>
          <w:b/>
          <w:bCs/>
          <w:sz w:val="24"/>
          <w:szCs w:val="24"/>
          <w:highlight w:val="none"/>
          <w:lang w:val="en-US" w:eastAsia="zh-CN"/>
        </w:rPr>
        <w:t>表1-5 第三方参建单位情况表</w:t>
      </w:r>
    </w:p>
    <w:tbl>
      <w:tblPr>
        <w:tblStyle w:val="38"/>
        <w:tblW w:w="85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5"/>
        <w:gridCol w:w="1644"/>
        <w:gridCol w:w="4332"/>
        <w:gridCol w:w="18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tcPr>
          <w:p>
            <w:pPr>
              <w:spacing w:line="240" w:lineRule="auto"/>
              <w:ind w:firstLine="0" w:firstLineChars="0"/>
              <w:jc w:val="center"/>
              <w:rPr>
                <w:rFonts w:hint="default"/>
                <w:b/>
                <w:bCs/>
                <w:sz w:val="21"/>
                <w:szCs w:val="21"/>
                <w:vertAlign w:val="baseline"/>
                <w:lang w:val="en-US" w:eastAsia="zh-CN"/>
              </w:rPr>
            </w:pPr>
            <w:r>
              <w:rPr>
                <w:rFonts w:hint="eastAsia" w:ascii="仿宋_GB2312" w:eastAsia="仿宋_GB2312"/>
                <w:b/>
                <w:bCs/>
                <w:sz w:val="21"/>
                <w:szCs w:val="21"/>
                <w:vertAlign w:val="baseline"/>
                <w:lang w:val="en-US" w:eastAsia="zh-CN"/>
              </w:rPr>
              <w:t>序号</w:t>
            </w:r>
          </w:p>
        </w:tc>
        <w:tc>
          <w:tcPr>
            <w:tcW w:w="1644" w:type="dxa"/>
          </w:tcPr>
          <w:p>
            <w:pPr>
              <w:spacing w:line="240" w:lineRule="auto"/>
              <w:ind w:firstLine="0" w:firstLineChars="0"/>
              <w:jc w:val="center"/>
              <w:rPr>
                <w:rFonts w:hint="default"/>
                <w:b/>
                <w:bCs/>
                <w:sz w:val="21"/>
                <w:szCs w:val="21"/>
                <w:vertAlign w:val="baseline"/>
                <w:lang w:val="en-US" w:eastAsia="zh-CN"/>
              </w:rPr>
            </w:pPr>
            <w:r>
              <w:rPr>
                <w:rFonts w:hint="eastAsia" w:ascii="仿宋_GB2312" w:eastAsia="仿宋_GB2312"/>
                <w:b/>
                <w:bCs/>
                <w:sz w:val="21"/>
                <w:szCs w:val="21"/>
                <w:vertAlign w:val="baseline"/>
                <w:lang w:val="en-US" w:eastAsia="zh-CN"/>
              </w:rPr>
              <w:t>单位分工</w:t>
            </w:r>
          </w:p>
        </w:tc>
        <w:tc>
          <w:tcPr>
            <w:tcW w:w="4332" w:type="dxa"/>
          </w:tcPr>
          <w:p>
            <w:pPr>
              <w:spacing w:line="240" w:lineRule="auto"/>
              <w:ind w:firstLine="0" w:firstLineChars="0"/>
              <w:jc w:val="center"/>
              <w:rPr>
                <w:rFonts w:hint="default"/>
                <w:b/>
                <w:bCs/>
                <w:sz w:val="21"/>
                <w:szCs w:val="21"/>
                <w:vertAlign w:val="baseline"/>
                <w:lang w:val="en-US" w:eastAsia="zh-CN"/>
              </w:rPr>
            </w:pPr>
            <w:r>
              <w:rPr>
                <w:rFonts w:hint="eastAsia" w:ascii="仿宋_GB2312" w:eastAsia="仿宋_GB2312"/>
                <w:b/>
                <w:bCs/>
                <w:sz w:val="21"/>
                <w:szCs w:val="21"/>
                <w:vertAlign w:val="baseline"/>
                <w:lang w:val="en-US" w:eastAsia="zh-CN"/>
              </w:rPr>
              <w:t>单位名称</w:t>
            </w:r>
          </w:p>
        </w:tc>
        <w:tc>
          <w:tcPr>
            <w:tcW w:w="1817" w:type="dxa"/>
          </w:tcPr>
          <w:p>
            <w:pPr>
              <w:spacing w:line="240" w:lineRule="auto"/>
              <w:ind w:firstLine="0" w:firstLineChars="0"/>
              <w:jc w:val="center"/>
              <w:rPr>
                <w:rFonts w:hint="default"/>
                <w:b/>
                <w:bCs/>
                <w:sz w:val="21"/>
                <w:szCs w:val="21"/>
                <w:vertAlign w:val="baseline"/>
                <w:lang w:val="en-US" w:eastAsia="zh-CN"/>
              </w:rPr>
            </w:pPr>
            <w:r>
              <w:rPr>
                <w:rFonts w:hint="eastAsia" w:ascii="仿宋_GB2312" w:eastAsia="仿宋_GB2312"/>
                <w:b/>
                <w:bCs/>
                <w:sz w:val="21"/>
                <w:szCs w:val="21"/>
                <w:vertAlign w:val="baseline"/>
                <w:lang w:val="en-US" w:eastAsia="zh-CN"/>
              </w:rPr>
              <w:t>参建项目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1</w:t>
            </w:r>
          </w:p>
        </w:tc>
        <w:tc>
          <w:tcPr>
            <w:tcW w:w="1644"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房屋检测、</w:t>
            </w:r>
            <w:r>
              <w:rPr>
                <w:rFonts w:hint="eastAsia" w:ascii="仿宋_GB2312" w:hAnsi="宋体" w:eastAsia="仿宋_GB2312" w:cs="宋体"/>
                <w:color w:val="000000"/>
                <w:kern w:val="0"/>
                <w:sz w:val="21"/>
                <w:szCs w:val="21"/>
                <w:lang w:val="en-US" w:eastAsia="zh-CN"/>
              </w:rPr>
              <w:t>地下管线探测</w:t>
            </w:r>
          </w:p>
        </w:tc>
        <w:tc>
          <w:tcPr>
            <w:tcW w:w="4332"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上海勘察设计研究院（集团）有限公司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所有项目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7" w:hRule="atLeast"/>
        </w:trPr>
        <w:tc>
          <w:tcPr>
            <w:tcW w:w="735" w:type="dxa"/>
            <w:vMerge w:val="restart"/>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2</w:t>
            </w:r>
          </w:p>
        </w:tc>
        <w:tc>
          <w:tcPr>
            <w:tcW w:w="1644" w:type="dxa"/>
            <w:vMerge w:val="restart"/>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管道CCTV检测</w:t>
            </w:r>
          </w:p>
        </w:tc>
        <w:tc>
          <w:tcPr>
            <w:tcW w:w="4332" w:type="dxa"/>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上海立劲市政工程有限公司</w:t>
            </w:r>
          </w:p>
        </w:tc>
        <w:tc>
          <w:tcPr>
            <w:tcW w:w="1817"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4个项目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7" w:hRule="atLeast"/>
        </w:trPr>
        <w:tc>
          <w:tcPr>
            <w:tcW w:w="735" w:type="dxa"/>
            <w:vMerge w:val="continue"/>
          </w:tcPr>
          <w:p>
            <w:pPr>
              <w:spacing w:line="240" w:lineRule="auto"/>
              <w:ind w:firstLine="0" w:firstLineChars="0"/>
              <w:jc w:val="center"/>
            </w:pPr>
          </w:p>
        </w:tc>
        <w:tc>
          <w:tcPr>
            <w:tcW w:w="1644" w:type="dxa"/>
            <w:vMerge w:val="continue"/>
          </w:tcPr>
          <w:p>
            <w:pPr>
              <w:spacing w:line="240" w:lineRule="auto"/>
              <w:ind w:firstLine="0" w:firstLineChars="0"/>
              <w:jc w:val="center"/>
            </w:pPr>
          </w:p>
        </w:tc>
        <w:tc>
          <w:tcPr>
            <w:tcW w:w="4332" w:type="dxa"/>
          </w:tcPr>
          <w:p>
            <w:pPr>
              <w:spacing w:line="240" w:lineRule="auto"/>
              <w:ind w:firstLine="0" w:firstLineChars="0"/>
              <w:jc w:val="center"/>
              <w:rPr>
                <w:rFonts w:hint="eastAsia" w:ascii="仿宋_GB2312" w:hAnsi="宋体" w:eastAsia="仿宋_GB2312" w:cs="宋体"/>
                <w:color w:val="000000"/>
                <w:kern w:val="0"/>
                <w:sz w:val="21"/>
                <w:szCs w:val="21"/>
                <w:lang w:val="en-US" w:eastAsia="zh-CN"/>
              </w:rPr>
            </w:pPr>
            <w:r>
              <w:rPr>
                <w:rFonts w:hint="eastAsia" w:ascii="仿宋_GB2312" w:hAnsi="宋体" w:eastAsia="仿宋_GB2312" w:cs="宋体"/>
                <w:color w:val="000000"/>
                <w:kern w:val="0"/>
                <w:sz w:val="21"/>
                <w:szCs w:val="21"/>
                <w:lang w:val="en-US" w:eastAsia="zh-CN"/>
              </w:rPr>
              <w:t>上海崇明绿化养护有限公司</w:t>
            </w:r>
          </w:p>
        </w:tc>
        <w:tc>
          <w:tcPr>
            <w:tcW w:w="1817" w:type="dxa"/>
          </w:tcPr>
          <w:p>
            <w:pPr>
              <w:spacing w:line="240" w:lineRule="auto"/>
              <w:ind w:firstLine="0" w:firstLineChars="0"/>
              <w:jc w:val="center"/>
              <w:rPr>
                <w:rFonts w:hint="default" w:ascii="仿宋_GB2312"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2个项目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3</w:t>
            </w:r>
          </w:p>
        </w:tc>
        <w:tc>
          <w:tcPr>
            <w:tcW w:w="1644"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施工、监理、设计招标代理</w:t>
            </w:r>
          </w:p>
        </w:tc>
        <w:tc>
          <w:tcPr>
            <w:tcW w:w="4332"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上海建正建设工程咨询有限公司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所有项目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4</w:t>
            </w:r>
          </w:p>
        </w:tc>
        <w:tc>
          <w:tcPr>
            <w:tcW w:w="1644"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工可编制</w:t>
            </w:r>
          </w:p>
        </w:tc>
        <w:tc>
          <w:tcPr>
            <w:tcW w:w="4332" w:type="dxa"/>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上海容基工程项目管理有限公司</w:t>
            </w:r>
          </w:p>
        </w:tc>
        <w:tc>
          <w:tcPr>
            <w:tcW w:w="1817"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所有项目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5</w:t>
            </w:r>
          </w:p>
        </w:tc>
        <w:tc>
          <w:tcPr>
            <w:tcW w:w="1644"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财务监理</w:t>
            </w:r>
          </w:p>
        </w:tc>
        <w:tc>
          <w:tcPr>
            <w:tcW w:w="4332" w:type="dxa"/>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上海海龙工程技术发展有限公司</w:t>
            </w:r>
          </w:p>
        </w:tc>
        <w:tc>
          <w:tcPr>
            <w:tcW w:w="1817"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所有项目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Merge w:val="restart"/>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6</w:t>
            </w:r>
          </w:p>
        </w:tc>
        <w:tc>
          <w:tcPr>
            <w:tcW w:w="1644" w:type="dxa"/>
            <w:vMerge w:val="restart"/>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工程监理</w:t>
            </w:r>
          </w:p>
        </w:tc>
        <w:tc>
          <w:tcPr>
            <w:tcW w:w="4332"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上海协恒工程管理有限公司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3个项目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Merge w:val="continue"/>
            <w:vAlign w:val="center"/>
          </w:tcPr>
          <w:p>
            <w:pPr>
              <w:spacing w:line="240" w:lineRule="auto"/>
              <w:ind w:firstLine="0" w:firstLineChars="0"/>
              <w:jc w:val="center"/>
              <w:rPr>
                <w:rFonts w:hint="default"/>
                <w:sz w:val="21"/>
                <w:szCs w:val="21"/>
                <w:vertAlign w:val="baseline"/>
                <w:lang w:val="en-US" w:eastAsia="zh-CN"/>
              </w:rPr>
            </w:pPr>
          </w:p>
        </w:tc>
        <w:tc>
          <w:tcPr>
            <w:tcW w:w="1644" w:type="dxa"/>
            <w:vMerge w:val="continue"/>
            <w:vAlign w:val="center"/>
          </w:tcPr>
          <w:p>
            <w:pPr>
              <w:spacing w:line="240" w:lineRule="auto"/>
              <w:ind w:firstLine="0" w:firstLineChars="0"/>
              <w:jc w:val="center"/>
              <w:rPr>
                <w:rFonts w:hint="default"/>
                <w:sz w:val="21"/>
                <w:szCs w:val="21"/>
                <w:vertAlign w:val="baseline"/>
                <w:lang w:val="en-US" w:eastAsia="zh-CN"/>
              </w:rPr>
            </w:pPr>
          </w:p>
        </w:tc>
        <w:tc>
          <w:tcPr>
            <w:tcW w:w="4332"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上海智达工程顾问有限公司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3个项目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Merge w:val="restart"/>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7</w:t>
            </w:r>
          </w:p>
        </w:tc>
        <w:tc>
          <w:tcPr>
            <w:tcW w:w="1644" w:type="dxa"/>
            <w:vMerge w:val="restart"/>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设计</w:t>
            </w:r>
          </w:p>
        </w:tc>
        <w:tc>
          <w:tcPr>
            <w:tcW w:w="4332"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上海城凯建筑设计有限公司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3个项目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Merge w:val="continue"/>
            <w:vAlign w:val="center"/>
          </w:tcPr>
          <w:p>
            <w:pPr>
              <w:spacing w:line="240" w:lineRule="auto"/>
              <w:ind w:firstLine="0" w:firstLineChars="0"/>
              <w:jc w:val="center"/>
              <w:rPr>
                <w:rFonts w:hint="eastAsia"/>
                <w:sz w:val="21"/>
                <w:szCs w:val="21"/>
                <w:vertAlign w:val="baseline"/>
                <w:lang w:val="en-US" w:eastAsia="zh-CN"/>
              </w:rPr>
            </w:pPr>
          </w:p>
        </w:tc>
        <w:tc>
          <w:tcPr>
            <w:tcW w:w="1644" w:type="dxa"/>
            <w:vMerge w:val="continue"/>
            <w:vAlign w:val="center"/>
          </w:tcPr>
          <w:p>
            <w:pPr>
              <w:spacing w:line="240" w:lineRule="auto"/>
              <w:ind w:firstLine="0" w:firstLineChars="0"/>
              <w:jc w:val="center"/>
              <w:rPr>
                <w:rFonts w:hint="default"/>
                <w:sz w:val="21"/>
                <w:szCs w:val="21"/>
                <w:vertAlign w:val="baseline"/>
                <w:lang w:val="en-US" w:eastAsia="zh-CN"/>
              </w:rPr>
            </w:pPr>
          </w:p>
        </w:tc>
        <w:tc>
          <w:tcPr>
            <w:tcW w:w="4332" w:type="dxa"/>
            <w:vAlign w:val="center"/>
          </w:tcPr>
          <w:p>
            <w:pPr>
              <w:spacing w:line="240" w:lineRule="auto"/>
              <w:ind w:firstLine="0" w:firstLineChars="0"/>
              <w:jc w:val="center"/>
              <w:rPr>
                <w:rFonts w:hint="eastAsia" w:ascii="仿宋_GB2312" w:hAnsi="宋体" w:eastAsia="仿宋_GB2312" w:cs="宋体"/>
                <w:color w:val="000000"/>
                <w:kern w:val="0"/>
                <w:sz w:val="21"/>
                <w:szCs w:val="21"/>
                <w:lang w:val="en-US" w:eastAsia="zh-CN"/>
              </w:rPr>
            </w:pPr>
            <w:r>
              <w:rPr>
                <w:rFonts w:hint="eastAsia" w:hAnsi="宋体" w:cs="宋体"/>
                <w:color w:val="000000"/>
                <w:kern w:val="0"/>
                <w:sz w:val="21"/>
                <w:szCs w:val="21"/>
                <w:lang w:val="en-US" w:eastAsia="zh-CN"/>
              </w:rPr>
              <w:t>上海市房屋建筑设计院有限公司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2个项目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vMerge w:val="continue"/>
            <w:vAlign w:val="center"/>
          </w:tcPr>
          <w:p>
            <w:pPr>
              <w:spacing w:line="240" w:lineRule="auto"/>
              <w:ind w:firstLine="0" w:firstLineChars="0"/>
              <w:jc w:val="center"/>
              <w:rPr>
                <w:rFonts w:hint="default"/>
                <w:sz w:val="21"/>
                <w:szCs w:val="21"/>
                <w:vertAlign w:val="baseline"/>
                <w:lang w:val="en-US" w:eastAsia="zh-CN"/>
              </w:rPr>
            </w:pPr>
          </w:p>
        </w:tc>
        <w:tc>
          <w:tcPr>
            <w:tcW w:w="1644" w:type="dxa"/>
            <w:vMerge w:val="continue"/>
            <w:vAlign w:val="center"/>
          </w:tcPr>
          <w:p>
            <w:pPr>
              <w:spacing w:line="240" w:lineRule="auto"/>
              <w:ind w:firstLine="0" w:firstLineChars="0"/>
              <w:jc w:val="center"/>
              <w:rPr>
                <w:rFonts w:hint="default"/>
                <w:sz w:val="21"/>
                <w:szCs w:val="21"/>
                <w:vertAlign w:val="baseline"/>
                <w:lang w:val="en-US" w:eastAsia="zh-CN"/>
              </w:rPr>
            </w:pPr>
          </w:p>
        </w:tc>
        <w:tc>
          <w:tcPr>
            <w:tcW w:w="4332"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上海伊腾建筑设计有限公司</w:t>
            </w:r>
          </w:p>
        </w:tc>
        <w:tc>
          <w:tcPr>
            <w:tcW w:w="1817" w:type="dxa"/>
            <w:vAlign w:val="center"/>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1个项目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35"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8</w:t>
            </w:r>
          </w:p>
        </w:tc>
        <w:tc>
          <w:tcPr>
            <w:tcW w:w="1644"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施工</w:t>
            </w:r>
          </w:p>
        </w:tc>
        <w:tc>
          <w:tcPr>
            <w:tcW w:w="4332" w:type="dxa"/>
          </w:tcPr>
          <w:p>
            <w:pPr>
              <w:spacing w:line="240" w:lineRule="auto"/>
              <w:ind w:firstLine="0" w:firstLineChars="0"/>
              <w:jc w:val="center"/>
              <w:rPr>
                <w:rFonts w:hint="default"/>
                <w:sz w:val="21"/>
                <w:szCs w:val="21"/>
                <w:vertAlign w:val="baseline"/>
                <w:lang w:val="en-US" w:eastAsia="zh-CN"/>
              </w:rPr>
            </w:pPr>
            <w:r>
              <w:rPr>
                <w:rFonts w:hint="eastAsia" w:ascii="仿宋_GB2312" w:hAnsi="宋体" w:eastAsia="仿宋_GB2312" w:cs="宋体"/>
                <w:color w:val="000000"/>
                <w:kern w:val="0"/>
                <w:sz w:val="21"/>
                <w:szCs w:val="21"/>
                <w:lang w:val="en-US" w:eastAsia="zh-CN"/>
              </w:rPr>
              <w:t>上海崇明建设（集团）有限公司</w:t>
            </w:r>
          </w:p>
        </w:tc>
        <w:tc>
          <w:tcPr>
            <w:tcW w:w="1817" w:type="dxa"/>
          </w:tcPr>
          <w:p>
            <w:pPr>
              <w:spacing w:line="240" w:lineRule="auto"/>
              <w:ind w:firstLine="0" w:firstLineChars="0"/>
              <w:jc w:val="center"/>
              <w:rPr>
                <w:rFonts w:hint="default"/>
                <w:sz w:val="21"/>
                <w:szCs w:val="21"/>
                <w:vertAlign w:val="baseline"/>
                <w:lang w:val="en-US" w:eastAsia="zh-CN"/>
              </w:rPr>
            </w:pPr>
            <w:r>
              <w:rPr>
                <w:rFonts w:hint="eastAsia" w:ascii="仿宋_GB2312" w:eastAsia="仿宋_GB2312"/>
                <w:sz w:val="21"/>
                <w:szCs w:val="21"/>
                <w:vertAlign w:val="baseline"/>
                <w:lang w:val="en-US" w:eastAsia="zh-CN"/>
              </w:rPr>
              <w:t>所有项目</w:t>
            </w:r>
          </w:p>
        </w:tc>
      </w:tr>
    </w:tbl>
    <w:p>
      <w:pPr>
        <w:ind w:left="0" w:leftChars="0" w:firstLine="640" w:firstLineChars="200"/>
        <w:rPr>
          <w:rFonts w:hint="default"/>
          <w:sz w:val="32"/>
          <w:szCs w:val="32"/>
          <w:lang w:val="en-US" w:eastAsia="zh-CN"/>
        </w:rPr>
      </w:pPr>
      <w:r>
        <w:rPr>
          <w:rFonts w:hint="eastAsia"/>
          <w:sz w:val="32"/>
          <w:szCs w:val="32"/>
          <w:lang w:val="en-US" w:eastAsia="zh-CN"/>
        </w:rPr>
        <w:t>项目组织架构图如下图1：</w:t>
      </w:r>
    </w:p>
    <w:p>
      <w:pPr>
        <w:spacing w:line="240" w:lineRule="auto"/>
        <w:ind w:left="0" w:leftChars="0" w:firstLine="0" w:firstLineChars="0"/>
        <w:jc w:val="center"/>
      </w:pPr>
      <w:r>
        <w:drawing>
          <wp:inline distT="0" distB="0" distL="114300" distR="114300">
            <wp:extent cx="4752340" cy="4568825"/>
            <wp:effectExtent l="0" t="0" r="2540" b="317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8"/>
                    <a:stretch>
                      <a:fillRect/>
                    </a:stretch>
                  </pic:blipFill>
                  <pic:spPr>
                    <a:xfrm>
                      <a:off x="0" y="0"/>
                      <a:ext cx="4752340" cy="4568825"/>
                    </a:xfrm>
                    <a:prstGeom prst="rect">
                      <a:avLst/>
                    </a:prstGeom>
                    <a:noFill/>
                    <a:ln>
                      <a:noFill/>
                    </a:ln>
                  </pic:spPr>
                </pic:pic>
              </a:graphicData>
            </a:graphic>
          </wp:inline>
        </w:drawing>
      </w:r>
    </w:p>
    <w:p>
      <w:pPr>
        <w:spacing w:line="240" w:lineRule="auto"/>
        <w:ind w:left="0" w:leftChars="0" w:firstLine="0" w:firstLineChars="0"/>
        <w:jc w:val="center"/>
        <w:rPr>
          <w:rFonts w:hint="eastAsia"/>
          <w:lang w:val="en-US" w:eastAsia="zh-CN"/>
        </w:rPr>
      </w:pPr>
      <w:r>
        <w:rPr>
          <w:rFonts w:hint="eastAsia" w:ascii="仿宋_GB2312" w:hAnsi="仿宋_GB2312" w:eastAsia="仿宋_GB2312" w:cs="仿宋_GB2312"/>
          <w:b/>
          <w:bCs/>
          <w:sz w:val="24"/>
          <w:szCs w:val="24"/>
          <w:lang w:val="en-US" w:eastAsia="zh-CN"/>
        </w:rPr>
        <w:t>图</w:t>
      </w:r>
      <w:r>
        <w:rPr>
          <w:rFonts w:hint="eastAsia" w:cs="仿宋_GB2312"/>
          <w:b/>
          <w:bCs/>
          <w:sz w:val="24"/>
          <w:szCs w:val="24"/>
          <w:lang w:val="en-US" w:eastAsia="zh-CN"/>
        </w:rPr>
        <w:t>1</w:t>
      </w:r>
      <w:r>
        <w:rPr>
          <w:rFonts w:hint="eastAsia" w:ascii="仿宋_GB2312" w:hAnsi="仿宋_GB2312" w:eastAsia="仿宋_GB2312" w:cs="仿宋_GB2312"/>
          <w:b/>
          <w:bCs/>
          <w:sz w:val="24"/>
          <w:szCs w:val="24"/>
          <w:lang w:val="en-US" w:eastAsia="zh-CN"/>
        </w:rPr>
        <w:t xml:space="preserve"> </w:t>
      </w:r>
      <w:r>
        <w:rPr>
          <w:rFonts w:hint="eastAsia" w:cs="仿宋_GB2312"/>
          <w:b/>
          <w:bCs/>
          <w:sz w:val="24"/>
          <w:szCs w:val="24"/>
          <w:lang w:val="en-US" w:eastAsia="zh-CN"/>
        </w:rPr>
        <w:t>组织架构</w:t>
      </w:r>
      <w:r>
        <w:rPr>
          <w:rFonts w:hint="eastAsia" w:ascii="仿宋_GB2312" w:hAnsi="仿宋_GB2312" w:eastAsia="仿宋_GB2312" w:cs="仿宋_GB2312"/>
          <w:b/>
          <w:bCs/>
          <w:sz w:val="24"/>
          <w:szCs w:val="24"/>
          <w:lang w:val="en-US" w:eastAsia="zh-CN"/>
        </w:rPr>
        <w:t>图</w:t>
      </w:r>
    </w:p>
    <w:p>
      <w:pPr>
        <w:ind w:firstLine="562"/>
        <w:rPr>
          <w:rFonts w:hint="eastAsia" w:hAnsi="仿宋"/>
          <w:b/>
          <w:sz w:val="32"/>
          <w:szCs w:val="32"/>
        </w:rPr>
        <w:sectPr>
          <w:pgSz w:w="11906" w:h="16838"/>
          <w:pgMar w:top="1440" w:right="1797" w:bottom="1440" w:left="1797" w:header="851" w:footer="567" w:gutter="0"/>
          <w:cols w:space="720" w:num="1"/>
          <w:docGrid w:linePitch="381" w:charSpace="0"/>
        </w:sectPr>
      </w:pPr>
    </w:p>
    <w:p>
      <w:pPr>
        <w:ind w:firstLine="562"/>
        <w:outlineLvl w:val="2"/>
        <w:rPr>
          <w:rFonts w:hint="eastAsia" w:hAnsi="仿宋"/>
          <w:b/>
          <w:sz w:val="32"/>
          <w:szCs w:val="32"/>
          <w:highlight w:val="none"/>
          <w:lang w:val="en-US" w:eastAsia="zh-CN"/>
        </w:rPr>
      </w:pPr>
      <w:bookmarkStart w:id="35" w:name="_Toc6110"/>
      <w:r>
        <w:rPr>
          <w:rFonts w:hint="eastAsia" w:hAnsi="仿宋"/>
          <w:b/>
          <w:sz w:val="32"/>
          <w:szCs w:val="32"/>
        </w:rPr>
        <w:t>2.</w:t>
      </w:r>
      <w:r>
        <w:rPr>
          <w:rFonts w:hint="eastAsia" w:hAnsi="仿宋"/>
          <w:b/>
          <w:sz w:val="32"/>
          <w:szCs w:val="32"/>
          <w:highlight w:val="none"/>
          <w:lang w:val="en-US" w:eastAsia="zh-CN"/>
        </w:rPr>
        <w:t>项目管理</w:t>
      </w:r>
      <w:bookmarkEnd w:id="35"/>
    </w:p>
    <w:p>
      <w:pPr>
        <w:ind w:firstLine="562"/>
        <w:outlineLvl w:val="9"/>
        <w:rPr>
          <w:rFonts w:hint="default" w:hAnsi="仿宋"/>
          <w:b w:val="0"/>
          <w:bCs/>
          <w:sz w:val="32"/>
          <w:szCs w:val="32"/>
          <w:highlight w:val="none"/>
          <w:lang w:val="en-US" w:eastAsia="zh-CN"/>
        </w:rPr>
      </w:pPr>
      <w:r>
        <w:rPr>
          <w:rFonts w:hint="eastAsia" w:hAnsi="仿宋"/>
          <w:b w:val="0"/>
          <w:bCs/>
          <w:sz w:val="32"/>
          <w:szCs w:val="32"/>
          <w:highlight w:val="none"/>
          <w:lang w:val="en-US" w:eastAsia="zh-CN"/>
        </w:rPr>
        <w:t>（1）管理制度</w:t>
      </w:r>
    </w:p>
    <w:p>
      <w:pPr>
        <w:ind w:firstLine="560"/>
        <w:rPr>
          <w:rFonts w:hint="default"/>
          <w:sz w:val="32"/>
          <w:szCs w:val="32"/>
          <w:lang w:val="en-US" w:eastAsia="zh-CN"/>
        </w:rPr>
      </w:pPr>
      <w:r>
        <w:rPr>
          <w:rFonts w:hint="eastAsia" w:hAnsi="仿宋"/>
          <w:b w:val="0"/>
          <w:bCs/>
          <w:sz w:val="32"/>
          <w:szCs w:val="32"/>
          <w:highlight w:val="none"/>
          <w:lang w:val="en-US" w:eastAsia="zh-CN"/>
        </w:rPr>
        <w:t>①区级层面：业务管理制度：</w:t>
      </w:r>
      <w:r>
        <w:rPr>
          <w:rFonts w:hint="eastAsia"/>
          <w:sz w:val="32"/>
          <w:szCs w:val="32"/>
          <w:lang w:val="en-US" w:eastAsia="zh-CN"/>
        </w:rPr>
        <w:t>《</w:t>
      </w:r>
      <w:r>
        <w:rPr>
          <w:rFonts w:hint="eastAsia"/>
          <w:sz w:val="32"/>
          <w:szCs w:val="32"/>
          <w:lang w:eastAsia="zh-CN"/>
        </w:rPr>
        <w:t>上海市崇明区政府投资项目管理办法</w:t>
      </w:r>
      <w:r>
        <w:rPr>
          <w:rFonts w:hint="eastAsia"/>
          <w:sz w:val="32"/>
          <w:szCs w:val="32"/>
          <w:lang w:val="en-US" w:eastAsia="zh-CN"/>
        </w:rPr>
        <w:t>》、《</w:t>
      </w:r>
      <w:r>
        <w:rPr>
          <w:rFonts w:hint="eastAsia"/>
          <w:sz w:val="32"/>
          <w:szCs w:val="32"/>
          <w:lang w:eastAsia="zh-CN"/>
        </w:rPr>
        <w:t>上海市崇明区政府投资项目</w:t>
      </w:r>
      <w:r>
        <w:rPr>
          <w:rFonts w:hint="eastAsia"/>
          <w:sz w:val="32"/>
          <w:szCs w:val="32"/>
          <w:lang w:val="en-US" w:eastAsia="zh-CN"/>
        </w:rPr>
        <w:t>储备库</w:t>
      </w:r>
      <w:r>
        <w:rPr>
          <w:rFonts w:hint="eastAsia"/>
          <w:sz w:val="32"/>
          <w:szCs w:val="32"/>
          <w:lang w:eastAsia="zh-CN"/>
        </w:rPr>
        <w:t>管理办法</w:t>
      </w:r>
      <w:r>
        <w:rPr>
          <w:rFonts w:hint="eastAsia"/>
          <w:sz w:val="32"/>
          <w:szCs w:val="32"/>
          <w:lang w:val="en-US" w:eastAsia="zh-CN"/>
        </w:rPr>
        <w:t>》；《中共上海市崇明区</w:t>
      </w:r>
      <w:r>
        <w:rPr>
          <w:rFonts w:hint="eastAsia"/>
          <w:sz w:val="32"/>
          <w:szCs w:val="32"/>
        </w:rPr>
        <w:t>住房保障和房屋管理局</w:t>
      </w:r>
      <w:r>
        <w:rPr>
          <w:rFonts w:hint="eastAsia"/>
          <w:sz w:val="32"/>
          <w:szCs w:val="32"/>
          <w:lang w:val="en-US" w:eastAsia="zh-CN"/>
        </w:rPr>
        <w:t>党组议事决策制度》《上海市崇明区</w:t>
      </w:r>
      <w:r>
        <w:rPr>
          <w:rFonts w:hint="eastAsia"/>
          <w:sz w:val="32"/>
          <w:szCs w:val="32"/>
        </w:rPr>
        <w:t>住房保障和房屋管理局</w:t>
      </w:r>
      <w:r>
        <w:rPr>
          <w:rFonts w:hint="eastAsia"/>
          <w:sz w:val="32"/>
          <w:szCs w:val="32"/>
          <w:lang w:val="en-US" w:eastAsia="zh-CN"/>
        </w:rPr>
        <w:t>关于党政领导班子决定“三重一大”事项的若干规定》；区房管局</w:t>
      </w:r>
      <w:r>
        <w:rPr>
          <w:rFonts w:hint="eastAsia"/>
          <w:sz w:val="32"/>
          <w:szCs w:val="32"/>
          <w:highlight w:val="none"/>
          <w:lang w:val="en-US" w:eastAsia="zh-CN"/>
        </w:rPr>
        <w:t>合同管理内部控制制度、政府采购内部控制管理制度。</w:t>
      </w:r>
    </w:p>
    <w:p>
      <w:pPr>
        <w:ind w:firstLine="560"/>
        <w:rPr>
          <w:rFonts w:hint="eastAsia"/>
          <w:sz w:val="32"/>
          <w:szCs w:val="32"/>
          <w:highlight w:val="none"/>
          <w:lang w:val="en-US" w:eastAsia="zh-CN"/>
        </w:rPr>
      </w:pPr>
      <w:r>
        <w:rPr>
          <w:rFonts w:hint="eastAsia"/>
          <w:sz w:val="32"/>
          <w:szCs w:val="32"/>
          <w:highlight w:val="none"/>
          <w:lang w:val="en-US" w:eastAsia="zh-CN"/>
        </w:rPr>
        <w:t>财务管理制度：参照执行《上海市崇明区住房保障和房屋管理局内部控制规范》，包括预算管理内部控制制度、收支业务内控管理制度和国有资产管理内部控制制度。</w:t>
      </w:r>
    </w:p>
    <w:p>
      <w:pPr>
        <w:ind w:firstLine="560"/>
        <w:rPr>
          <w:rFonts w:hint="eastAsia"/>
          <w:sz w:val="32"/>
          <w:szCs w:val="32"/>
          <w:lang w:val="en-US" w:eastAsia="zh-CN"/>
        </w:rPr>
      </w:pPr>
      <w:r>
        <w:rPr>
          <w:rFonts w:hint="eastAsia"/>
          <w:sz w:val="32"/>
          <w:szCs w:val="32"/>
          <w:lang w:val="en-US" w:eastAsia="zh-CN"/>
        </w:rPr>
        <w:t>②镇级层面：</w:t>
      </w:r>
      <w:r>
        <w:rPr>
          <w:rFonts w:hint="eastAsia" w:hAnsi="仿宋"/>
          <w:b w:val="0"/>
          <w:bCs/>
          <w:sz w:val="32"/>
          <w:szCs w:val="32"/>
          <w:highlight w:val="none"/>
          <w:lang w:val="en-US" w:eastAsia="zh-CN"/>
        </w:rPr>
        <w:t>业务管理制度：</w:t>
      </w:r>
      <w:r>
        <w:rPr>
          <w:rFonts w:hint="eastAsia"/>
          <w:sz w:val="32"/>
          <w:szCs w:val="32"/>
          <w:lang w:val="en-US" w:eastAsia="zh-CN"/>
        </w:rPr>
        <w:t>参照执行区级有关制度，包括《上海市崇明区政府投资项目代理建设管理办法》《上海市崇明区政府投资项目事前事中事后监管办法》《上海市崇明区政府投资项目财务监理管理办法》《上海市崇明区政府投资项目审计监督办法》；《城桥镇“三重一大”事项集体决策制度》；</w:t>
      </w:r>
    </w:p>
    <w:p>
      <w:pPr>
        <w:ind w:firstLine="560"/>
        <w:rPr>
          <w:rFonts w:hint="default"/>
          <w:sz w:val="32"/>
          <w:szCs w:val="32"/>
          <w:lang w:val="en-US" w:eastAsia="zh-CN"/>
        </w:rPr>
      </w:pPr>
      <w:r>
        <w:rPr>
          <w:rFonts w:hint="eastAsia"/>
          <w:sz w:val="32"/>
          <w:szCs w:val="32"/>
          <w:lang w:val="en-US" w:eastAsia="zh-CN"/>
        </w:rPr>
        <w:t>财务管理制度：《城桥镇行政事业单位财务内部控制管理办法》。</w:t>
      </w:r>
    </w:p>
    <w:p>
      <w:pPr>
        <w:ind w:firstLine="560"/>
        <w:rPr>
          <w:rFonts w:hint="default"/>
          <w:sz w:val="32"/>
          <w:szCs w:val="32"/>
          <w:lang w:val="en-US" w:eastAsia="zh-CN"/>
        </w:rPr>
      </w:pPr>
    </w:p>
    <w:p>
      <w:pPr>
        <w:ind w:firstLine="480" w:firstLineChars="150"/>
        <w:rPr>
          <w:rFonts w:hint="eastAsia" w:hAnsi="仿宋"/>
          <w:sz w:val="32"/>
          <w:szCs w:val="32"/>
          <w:lang w:val="en-US" w:eastAsia="zh-CN"/>
        </w:rPr>
        <w:sectPr>
          <w:pgSz w:w="11906" w:h="16838"/>
          <w:pgMar w:top="1440" w:right="1797" w:bottom="1440" w:left="1797" w:header="851" w:footer="567" w:gutter="0"/>
          <w:cols w:space="720" w:num="1"/>
          <w:docGrid w:linePitch="381" w:charSpace="0"/>
        </w:sectPr>
      </w:pPr>
    </w:p>
    <w:p>
      <w:pPr>
        <w:ind w:firstLine="480" w:firstLineChars="150"/>
        <w:rPr>
          <w:rFonts w:hint="eastAsia" w:hAnsi="仿宋"/>
          <w:sz w:val="32"/>
          <w:szCs w:val="32"/>
          <w:lang w:val="en-US" w:eastAsia="zh-CN"/>
        </w:rPr>
      </w:pPr>
      <w:r>
        <w:rPr>
          <w:rFonts w:hint="eastAsia" w:hAnsi="仿宋"/>
          <w:sz w:val="32"/>
          <w:szCs w:val="32"/>
          <w:lang w:val="en-US" w:eastAsia="zh-CN"/>
        </w:rPr>
        <w:t>（2）业务管理</w:t>
      </w:r>
    </w:p>
    <w:p>
      <w:pPr>
        <w:ind w:firstLine="480" w:firstLineChars="150"/>
        <w:rPr>
          <w:rFonts w:hint="eastAsia" w:hAnsi="仿宋"/>
          <w:sz w:val="32"/>
          <w:szCs w:val="32"/>
          <w:lang w:val="en-US" w:eastAsia="zh-CN"/>
        </w:rPr>
      </w:pPr>
      <w:r>
        <w:rPr>
          <w:rFonts w:hint="eastAsia" w:hAnsi="仿宋"/>
          <w:sz w:val="32"/>
          <w:szCs w:val="32"/>
          <w:lang w:val="en-US" w:eastAsia="zh-CN"/>
        </w:rPr>
        <w:t>本项目严格按照计划申报、可研编制、立项申请、招投标、方案设计、施工、竣工验收、审价、审计、区镇结算的美丽家园建设流程实施，各单位职责分解见下表1-6：</w:t>
      </w:r>
    </w:p>
    <w:p>
      <w:pPr>
        <w:ind w:left="0" w:leftChars="0" w:firstLine="0" w:firstLineChars="0"/>
        <w:jc w:val="center"/>
        <w:rPr>
          <w:rFonts w:hint="default" w:hAnsi="仿宋"/>
          <w:sz w:val="24"/>
          <w:szCs w:val="24"/>
          <w:lang w:val="en-US" w:eastAsia="zh-CN"/>
        </w:rPr>
      </w:pPr>
      <w:r>
        <w:rPr>
          <w:rFonts w:hint="eastAsia" w:hAnsi="仿宋"/>
          <w:b/>
          <w:bCs/>
          <w:sz w:val="24"/>
          <w:szCs w:val="24"/>
          <w:lang w:val="en-US" w:eastAsia="zh-CN"/>
        </w:rPr>
        <w:t>表1-6：管理单位职责分解表</w:t>
      </w:r>
    </w:p>
    <w:tbl>
      <w:tblPr>
        <w:tblStyle w:val="38"/>
        <w:tblW w:w="14704" w:type="dxa"/>
        <w:tblInd w:w="-25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9"/>
        <w:gridCol w:w="919"/>
        <w:gridCol w:w="919"/>
        <w:gridCol w:w="919"/>
        <w:gridCol w:w="919"/>
        <w:gridCol w:w="919"/>
        <w:gridCol w:w="919"/>
        <w:gridCol w:w="919"/>
        <w:gridCol w:w="919"/>
        <w:gridCol w:w="919"/>
        <w:gridCol w:w="919"/>
        <w:gridCol w:w="919"/>
        <w:gridCol w:w="919"/>
        <w:gridCol w:w="919"/>
        <w:gridCol w:w="919"/>
        <w:gridCol w:w="9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11" w:hRule="atLeast"/>
          <w:tblHeader/>
        </w:trPr>
        <w:tc>
          <w:tcPr>
            <w:tcW w:w="919" w:type="dxa"/>
            <w:vAlign w:val="center"/>
          </w:tcPr>
          <w:p>
            <w:pPr>
              <w:spacing w:line="240" w:lineRule="auto"/>
              <w:ind w:firstLine="0" w:firstLineChars="0"/>
              <w:jc w:val="center"/>
              <w:rPr>
                <w:rFonts w:hint="eastAsia" w:hAnsi="仿宋"/>
                <w:b/>
                <w:bCs/>
                <w:sz w:val="21"/>
                <w:szCs w:val="21"/>
                <w:vertAlign w:val="baseline"/>
                <w:lang w:val="en-US" w:eastAsia="zh-CN"/>
              </w:rPr>
            </w:pPr>
            <w:r>
              <w:rPr>
                <w:rFonts w:hint="eastAsia" w:hAnsi="仿宋"/>
                <w:b/>
                <w:bCs/>
                <w:sz w:val="21"/>
                <w:szCs w:val="21"/>
                <w:vertAlign w:val="baseline"/>
                <w:lang w:val="en-US" w:eastAsia="zh-CN"/>
              </w:rPr>
              <w:t>管理</w:t>
            </w:r>
          </w:p>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环节</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区房管局</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区财政局</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区发改委</w:t>
            </w:r>
          </w:p>
        </w:tc>
        <w:tc>
          <w:tcPr>
            <w:tcW w:w="919" w:type="dxa"/>
            <w:vAlign w:val="center"/>
          </w:tcPr>
          <w:p>
            <w:pPr>
              <w:spacing w:line="240" w:lineRule="auto"/>
              <w:ind w:firstLine="0" w:firstLineChars="0"/>
              <w:jc w:val="center"/>
              <w:rPr>
                <w:rFonts w:hint="eastAsia" w:hAnsi="仿宋"/>
                <w:b/>
                <w:bCs/>
                <w:sz w:val="21"/>
                <w:szCs w:val="21"/>
                <w:vertAlign w:val="baseline"/>
                <w:lang w:val="en-US" w:eastAsia="zh-CN"/>
              </w:rPr>
            </w:pPr>
            <w:r>
              <w:rPr>
                <w:rFonts w:hint="eastAsia" w:hAnsi="仿宋"/>
                <w:b/>
                <w:bCs/>
                <w:sz w:val="21"/>
                <w:szCs w:val="21"/>
                <w:vertAlign w:val="baseline"/>
                <w:lang w:val="en-US" w:eastAsia="zh-CN"/>
              </w:rPr>
              <w:t>城桥镇</w:t>
            </w:r>
          </w:p>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人民政府</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default" w:hAnsi="仿宋"/>
                <w:b/>
                <w:bCs/>
                <w:sz w:val="21"/>
                <w:szCs w:val="21"/>
                <w:vertAlign w:val="baseline"/>
                <w:lang w:val="en-US" w:eastAsia="zh-CN"/>
              </w:rPr>
              <w:t>区给排水管理所</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九硕</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default" w:hAnsi="仿宋"/>
                <w:b/>
                <w:bCs/>
                <w:sz w:val="21"/>
                <w:szCs w:val="21"/>
                <w:vertAlign w:val="baseline"/>
                <w:lang w:val="en-US" w:eastAsia="zh-CN"/>
              </w:rPr>
              <w:t>上海勘察设计院</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default" w:hAnsi="仿宋"/>
                <w:b/>
                <w:bCs/>
                <w:sz w:val="21"/>
                <w:szCs w:val="21"/>
                <w:vertAlign w:val="baseline"/>
                <w:lang w:val="en-US" w:eastAsia="zh-CN"/>
              </w:rPr>
              <w:t>立劲市政</w:t>
            </w:r>
            <w:r>
              <w:rPr>
                <w:rFonts w:hint="eastAsia" w:hAnsi="仿宋"/>
                <w:b/>
                <w:bCs/>
                <w:sz w:val="21"/>
                <w:szCs w:val="21"/>
                <w:vertAlign w:val="baseline"/>
                <w:lang w:val="en-US" w:eastAsia="zh-CN"/>
              </w:rPr>
              <w:t>/崇明绿化</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default" w:hAnsi="仿宋"/>
                <w:b/>
                <w:bCs/>
                <w:sz w:val="21"/>
                <w:szCs w:val="21"/>
                <w:vertAlign w:val="baseline"/>
                <w:lang w:val="en-US" w:eastAsia="zh-CN"/>
              </w:rPr>
              <w:t>建正</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default" w:hAnsi="仿宋"/>
                <w:b/>
                <w:bCs/>
                <w:sz w:val="21"/>
                <w:szCs w:val="21"/>
                <w:vertAlign w:val="baseline"/>
                <w:lang w:val="en-US" w:eastAsia="zh-CN"/>
              </w:rPr>
              <w:t>容基</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海龙</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协恒/智达</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eastAsia" w:hAnsi="仿宋"/>
                <w:b/>
                <w:bCs/>
                <w:sz w:val="21"/>
                <w:szCs w:val="21"/>
                <w:vertAlign w:val="baseline"/>
                <w:lang w:val="en-US" w:eastAsia="zh-CN"/>
              </w:rPr>
              <w:t>城凯/市建筑设计院/伊腾</w:t>
            </w:r>
          </w:p>
        </w:tc>
        <w:tc>
          <w:tcPr>
            <w:tcW w:w="919" w:type="dxa"/>
            <w:vAlign w:val="center"/>
          </w:tcPr>
          <w:p>
            <w:pPr>
              <w:spacing w:line="240" w:lineRule="auto"/>
              <w:ind w:firstLine="0" w:firstLineChars="0"/>
              <w:jc w:val="center"/>
              <w:rPr>
                <w:rFonts w:hint="eastAsia" w:hAnsi="仿宋"/>
                <w:b/>
                <w:bCs/>
                <w:sz w:val="21"/>
                <w:szCs w:val="21"/>
                <w:vertAlign w:val="baseline"/>
                <w:lang w:val="en-US" w:eastAsia="zh-CN"/>
              </w:rPr>
            </w:pPr>
            <w:r>
              <w:rPr>
                <w:rFonts w:hint="eastAsia" w:hAnsi="仿宋"/>
                <w:b/>
                <w:bCs/>
                <w:sz w:val="21"/>
                <w:szCs w:val="21"/>
                <w:vertAlign w:val="baseline"/>
                <w:lang w:val="en-US" w:eastAsia="zh-CN"/>
              </w:rPr>
              <w:t>崇明建设</w:t>
            </w:r>
          </w:p>
        </w:tc>
        <w:tc>
          <w:tcPr>
            <w:tcW w:w="919" w:type="dxa"/>
            <w:vAlign w:val="center"/>
          </w:tcPr>
          <w:p>
            <w:pPr>
              <w:spacing w:line="240" w:lineRule="auto"/>
              <w:ind w:firstLine="0" w:firstLineChars="0"/>
              <w:jc w:val="center"/>
              <w:rPr>
                <w:rFonts w:hint="default" w:hAnsi="仿宋"/>
                <w:b/>
                <w:bCs/>
                <w:sz w:val="21"/>
                <w:szCs w:val="21"/>
                <w:vertAlign w:val="baseline"/>
                <w:lang w:val="en-US" w:eastAsia="zh-CN"/>
              </w:rPr>
            </w:pPr>
            <w:r>
              <w:rPr>
                <w:rFonts w:hint="default" w:hAnsi="仿宋"/>
                <w:b/>
                <w:bCs/>
                <w:sz w:val="21"/>
                <w:szCs w:val="21"/>
                <w:vertAlign w:val="baseline"/>
                <w:lang w:val="en-US" w:eastAsia="zh-CN"/>
              </w:rPr>
              <w:t>居委</w:t>
            </w:r>
            <w:r>
              <w:rPr>
                <w:rFonts w:hint="eastAsia" w:hAnsi="仿宋"/>
                <w:b/>
                <w:bCs/>
                <w:sz w:val="21"/>
                <w:szCs w:val="21"/>
                <w:vertAlign w:val="baseline"/>
                <w:lang w:val="en-US" w:eastAsia="zh-CN"/>
              </w:rPr>
              <w:t>/</w:t>
            </w:r>
            <w:r>
              <w:rPr>
                <w:rFonts w:hint="default" w:hAnsi="仿宋"/>
                <w:b/>
                <w:bCs/>
                <w:sz w:val="21"/>
                <w:szCs w:val="21"/>
                <w:vertAlign w:val="baseline"/>
                <w:lang w:val="en-US" w:eastAsia="zh-CN"/>
              </w:rPr>
              <w:t>业委会</w:t>
            </w:r>
            <w:r>
              <w:rPr>
                <w:rFonts w:hint="eastAsia" w:hAnsi="仿宋"/>
                <w:b/>
                <w:bCs/>
                <w:sz w:val="21"/>
                <w:szCs w:val="21"/>
                <w:vertAlign w:val="baseline"/>
                <w:lang w:val="en-US" w:eastAsia="zh-CN"/>
              </w:rPr>
              <w:t>/</w:t>
            </w:r>
            <w:r>
              <w:rPr>
                <w:rFonts w:hint="default" w:hAnsi="仿宋"/>
                <w:b/>
                <w:bCs/>
                <w:sz w:val="21"/>
                <w:szCs w:val="21"/>
                <w:vertAlign w:val="baseline"/>
                <w:lang w:val="en-US" w:eastAsia="zh-CN"/>
              </w:rPr>
              <w:t>物业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前期</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摸排</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工可</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编制</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审核</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立项</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工程</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审批</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投资</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审核</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立项</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审批</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申请</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房屋</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检测</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遴选</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委托</w:t>
            </w:r>
          </w:p>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管理</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遴选</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设计、监理招标</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组织</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参与</w:t>
            </w:r>
          </w:p>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投标</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参与</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投标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方案</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设计</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审核</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审查</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default" w:hAnsi="仿宋"/>
                <w:sz w:val="20"/>
                <w:szCs w:val="20"/>
                <w:vertAlign w:val="baseline"/>
                <w:lang w:val="en-US" w:eastAsia="zh-CN"/>
              </w:rPr>
              <w:t>施工图设计</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审查</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p>
        </w:tc>
        <w:tc>
          <w:tcPr>
            <w:tcW w:w="919" w:type="dxa"/>
            <w:vAlign w:val="center"/>
          </w:tcPr>
          <w:p>
            <w:pPr>
              <w:spacing w:line="360" w:lineRule="auto"/>
              <w:ind w:firstLine="0" w:firstLineChars="0"/>
              <w:jc w:val="center"/>
              <w:rPr>
                <w:rFonts w:hint="default" w:ascii="仿宋_GB2312" w:hAnsi="仿宋" w:eastAsia="仿宋_GB2312" w:cs="仿宋_GB2312"/>
                <w:kern w:val="2"/>
                <w:sz w:val="20"/>
                <w:szCs w:val="20"/>
                <w:vertAlign w:val="baseline"/>
                <w:lang w:val="en-US" w:eastAsia="zh-CN" w:bidi="ar-SA"/>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施工</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招标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组织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参与</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投标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建设</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报批</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审批</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申报</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default" w:hAnsi="仿宋"/>
                <w:sz w:val="20"/>
                <w:szCs w:val="20"/>
                <w:vertAlign w:val="baseline"/>
                <w:lang w:val="en-US" w:eastAsia="zh-CN"/>
              </w:rPr>
              <w:t>施工现场准备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审查</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08" w:hRule="atLeast"/>
        </w:trPr>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开工</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开工</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审核</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申请</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8" w:hRule="atLeast"/>
        </w:trPr>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施工</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现场</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抽查</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现场</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抽查</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组织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财务</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监管</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工程</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监管</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12" w:hRule="atLeast"/>
        </w:trPr>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管道CC</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TV检测</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遴选</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审查</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雨污排水验收</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现场</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验收</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组织</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竣工综合验收</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竣工</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备案</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办理</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申报</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3" w:hRule="atLeast"/>
        </w:trPr>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审价</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审核</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审核</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初审</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参与</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工程保修期</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质保金管理</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协调</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协调</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协调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资产</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移交</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移交</w:t>
            </w: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接管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19" w:type="dxa"/>
            <w:vAlign w:val="center"/>
          </w:tcPr>
          <w:p>
            <w:pPr>
              <w:spacing w:line="360" w:lineRule="auto"/>
              <w:ind w:firstLine="0" w:firstLineChars="0"/>
              <w:jc w:val="center"/>
              <w:rPr>
                <w:rFonts w:hint="eastAsia" w:hAnsi="仿宋"/>
                <w:sz w:val="20"/>
                <w:szCs w:val="20"/>
                <w:vertAlign w:val="baseline"/>
                <w:lang w:val="en-US" w:eastAsia="zh-CN"/>
              </w:rPr>
            </w:pPr>
            <w:r>
              <w:rPr>
                <w:rFonts w:hint="eastAsia" w:hAnsi="仿宋"/>
                <w:sz w:val="20"/>
                <w:szCs w:val="20"/>
                <w:vertAlign w:val="baseline"/>
                <w:lang w:val="en-US" w:eastAsia="zh-CN"/>
              </w:rPr>
              <w:t>后期</w:t>
            </w:r>
          </w:p>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管护</w:t>
            </w: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p>
        </w:tc>
        <w:tc>
          <w:tcPr>
            <w:tcW w:w="919" w:type="dxa"/>
            <w:vAlign w:val="center"/>
          </w:tcPr>
          <w:p>
            <w:pPr>
              <w:spacing w:line="360" w:lineRule="auto"/>
              <w:ind w:firstLine="0" w:firstLineChars="0"/>
              <w:jc w:val="center"/>
              <w:rPr>
                <w:rFonts w:hint="eastAsia" w:hAnsi="仿宋"/>
                <w:sz w:val="20"/>
                <w:szCs w:val="20"/>
                <w:vertAlign w:val="baseline"/>
                <w:lang w:val="en-US" w:eastAsia="zh-CN"/>
              </w:rPr>
            </w:pPr>
          </w:p>
        </w:tc>
        <w:tc>
          <w:tcPr>
            <w:tcW w:w="919" w:type="dxa"/>
            <w:vAlign w:val="center"/>
          </w:tcPr>
          <w:p>
            <w:pPr>
              <w:spacing w:line="360" w:lineRule="auto"/>
              <w:ind w:firstLine="0" w:firstLineChars="0"/>
              <w:jc w:val="center"/>
              <w:rPr>
                <w:rFonts w:hint="default" w:hAnsi="仿宋"/>
                <w:sz w:val="20"/>
                <w:szCs w:val="20"/>
                <w:vertAlign w:val="baseline"/>
                <w:lang w:val="en-US" w:eastAsia="zh-CN"/>
              </w:rPr>
            </w:pPr>
            <w:r>
              <w:rPr>
                <w:rFonts w:hint="eastAsia" w:hAnsi="仿宋"/>
                <w:sz w:val="20"/>
                <w:szCs w:val="20"/>
                <w:vertAlign w:val="baseline"/>
                <w:lang w:val="en-US" w:eastAsia="zh-CN"/>
              </w:rPr>
              <w:t>负责</w:t>
            </w:r>
          </w:p>
        </w:tc>
      </w:tr>
    </w:tbl>
    <w:p>
      <w:pPr>
        <w:ind w:left="0" w:leftChars="0" w:firstLine="0" w:firstLineChars="0"/>
        <w:rPr>
          <w:rFonts w:hint="default" w:hAnsi="仿宋"/>
          <w:sz w:val="32"/>
          <w:szCs w:val="32"/>
          <w:lang w:val="en-US" w:eastAsia="zh-CN"/>
        </w:rPr>
      </w:pPr>
    </w:p>
    <w:p>
      <w:pPr>
        <w:rPr>
          <w:rFonts w:hint="eastAsia" w:hAnsi="仿宋"/>
          <w:sz w:val="32"/>
          <w:szCs w:val="32"/>
          <w:lang w:val="en-US" w:eastAsia="zh-CN"/>
        </w:rPr>
      </w:pPr>
      <w:r>
        <w:rPr>
          <w:rFonts w:hint="eastAsia" w:hAnsi="仿宋"/>
          <w:sz w:val="32"/>
          <w:szCs w:val="32"/>
          <w:lang w:val="en-US" w:eastAsia="zh-CN"/>
        </w:rPr>
        <w:br w:type="page"/>
      </w:r>
    </w:p>
    <w:p>
      <w:pPr>
        <w:ind w:left="0" w:leftChars="0" w:firstLine="640" w:firstLineChars="200"/>
        <w:rPr>
          <w:rFonts w:hint="eastAsia" w:hAnsi="仿宋"/>
          <w:lang w:val="en-US" w:eastAsia="zh-CN"/>
        </w:rPr>
      </w:pPr>
      <w:r>
        <w:rPr>
          <w:rFonts w:hint="eastAsia" w:hAnsi="仿宋"/>
          <w:sz w:val="32"/>
          <w:szCs w:val="32"/>
          <w:lang w:val="en-US" w:eastAsia="zh-CN"/>
        </w:rPr>
        <w:t>管理流程如下图2所示：</w:t>
      </w:r>
    </w:p>
    <w:p>
      <w:pPr>
        <w:spacing w:line="240" w:lineRule="auto"/>
        <w:ind w:firstLine="420" w:firstLineChars="150"/>
        <w:jc w:val="center"/>
        <w:rPr>
          <w:rFonts w:hint="eastAsia" w:hAnsi="仿宋"/>
          <w:lang w:val="en-US" w:eastAsia="zh-CN"/>
        </w:rPr>
      </w:pPr>
      <w:r>
        <w:rPr>
          <w:rFonts w:hint="eastAsia" w:hAnsi="仿宋"/>
          <w:lang w:val="en-US" w:eastAsia="zh-CN"/>
        </w:rPr>
        <w:drawing>
          <wp:inline distT="0" distB="0" distL="114300" distR="114300">
            <wp:extent cx="7252970" cy="4626610"/>
            <wp:effectExtent l="0" t="0" r="1270" b="6350"/>
            <wp:docPr id="19" name="图片 19" descr="业务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业务流程图"/>
                    <pic:cNvPicPr>
                      <a:picLocks noChangeAspect="1"/>
                    </pic:cNvPicPr>
                  </pic:nvPicPr>
                  <pic:blipFill>
                    <a:blip r:embed="rId19"/>
                    <a:srcRect/>
                    <a:stretch>
                      <a:fillRect/>
                    </a:stretch>
                  </pic:blipFill>
                  <pic:spPr>
                    <a:xfrm>
                      <a:off x="0" y="0"/>
                      <a:ext cx="7252970" cy="4626610"/>
                    </a:xfrm>
                    <a:prstGeom prst="rect">
                      <a:avLst/>
                    </a:prstGeom>
                  </pic:spPr>
                </pic:pic>
              </a:graphicData>
            </a:graphic>
          </wp:inline>
        </w:drawing>
      </w:r>
    </w:p>
    <w:p>
      <w:pPr>
        <w:spacing w:line="240" w:lineRule="auto"/>
        <w:ind w:firstLine="361" w:firstLineChars="150"/>
        <w:jc w:val="center"/>
        <w:rPr>
          <w:rFonts w:hint="eastAsia" w:hAnsi="仿宋"/>
          <w:lang w:val="en-US" w:eastAsia="zh-CN"/>
        </w:rPr>
      </w:pPr>
      <w:r>
        <w:rPr>
          <w:rFonts w:hint="eastAsia" w:ascii="仿宋_GB2312" w:hAnsi="仿宋_GB2312" w:eastAsia="仿宋_GB2312" w:cs="仿宋_GB2312"/>
          <w:b/>
          <w:bCs/>
          <w:sz w:val="24"/>
          <w:szCs w:val="24"/>
          <w:lang w:val="en-US" w:eastAsia="zh-CN"/>
        </w:rPr>
        <w:t>图</w:t>
      </w:r>
      <w:r>
        <w:rPr>
          <w:rFonts w:hint="eastAsia" w:cs="仿宋_GB2312"/>
          <w:b/>
          <w:bCs/>
          <w:sz w:val="24"/>
          <w:szCs w:val="24"/>
          <w:lang w:val="en-US" w:eastAsia="zh-CN"/>
        </w:rPr>
        <w:t>2</w:t>
      </w:r>
      <w:r>
        <w:rPr>
          <w:rFonts w:hint="eastAsia" w:ascii="仿宋_GB2312" w:hAnsi="仿宋_GB2312" w:eastAsia="仿宋_GB2312" w:cs="仿宋_GB2312"/>
          <w:b/>
          <w:bCs/>
          <w:sz w:val="24"/>
          <w:szCs w:val="24"/>
          <w:lang w:val="en-US" w:eastAsia="zh-CN"/>
        </w:rPr>
        <w:t xml:space="preserve"> 业务管理流程图</w:t>
      </w:r>
    </w:p>
    <w:p>
      <w:pPr>
        <w:spacing w:line="240" w:lineRule="auto"/>
        <w:ind w:left="0" w:leftChars="0" w:firstLine="0" w:firstLineChars="0"/>
        <w:rPr>
          <w:rFonts w:hAnsi="仿宋"/>
          <w:b/>
        </w:rPr>
        <w:sectPr>
          <w:pgSz w:w="16838" w:h="11906" w:orient="landscape"/>
          <w:pgMar w:top="1797" w:right="1440" w:bottom="1797" w:left="1440" w:header="851" w:footer="567" w:gutter="0"/>
          <w:cols w:space="720" w:num="1"/>
          <w:docGrid w:linePitch="381" w:charSpace="0"/>
        </w:sectPr>
      </w:pPr>
    </w:p>
    <w:p>
      <w:pPr>
        <w:outlineLvl w:val="2"/>
        <w:rPr>
          <w:rFonts w:hint="eastAsia" w:hAnsi="仿宋" w:eastAsia="仿宋_GB2312"/>
          <w:b/>
          <w:sz w:val="32"/>
          <w:szCs w:val="32"/>
          <w:highlight w:val="yellow"/>
          <w:lang w:eastAsia="zh-CN"/>
        </w:rPr>
      </w:pPr>
      <w:bookmarkStart w:id="36" w:name="_Toc19009"/>
      <w:r>
        <w:rPr>
          <w:rFonts w:hint="eastAsia" w:hAnsi="仿宋"/>
          <w:b/>
          <w:sz w:val="32"/>
          <w:szCs w:val="32"/>
        </w:rPr>
        <w:t>3.</w:t>
      </w:r>
      <w:r>
        <w:rPr>
          <w:rFonts w:hint="eastAsia" w:hAnsi="仿宋"/>
          <w:b/>
          <w:sz w:val="32"/>
          <w:szCs w:val="32"/>
          <w:highlight w:val="none"/>
          <w:lang w:val="en-US" w:eastAsia="zh-CN"/>
        </w:rPr>
        <w:t>财务管理</w:t>
      </w:r>
      <w:bookmarkEnd w:id="36"/>
    </w:p>
    <w:p>
      <w:pPr>
        <w:ind w:firstLine="480" w:firstLineChars="150"/>
        <w:rPr>
          <w:rFonts w:hint="eastAsia" w:hAnsi="仿宋" w:eastAsia="仿宋_GB2312"/>
          <w:sz w:val="32"/>
          <w:szCs w:val="32"/>
          <w:lang w:eastAsia="zh-CN"/>
        </w:rPr>
      </w:pPr>
      <w:r>
        <w:rPr>
          <w:rFonts w:hint="eastAsia" w:hAnsi="仿宋"/>
          <w:sz w:val="32"/>
          <w:szCs w:val="32"/>
          <w:lang w:eastAsia="zh-CN"/>
        </w:rPr>
        <w:t>（</w:t>
      </w:r>
      <w:r>
        <w:rPr>
          <w:rFonts w:hint="eastAsia" w:hAnsi="仿宋"/>
          <w:sz w:val="32"/>
          <w:szCs w:val="32"/>
          <w:lang w:val="en-US" w:eastAsia="zh-CN"/>
        </w:rPr>
        <w:t>1</w:t>
      </w:r>
      <w:r>
        <w:rPr>
          <w:rFonts w:hint="eastAsia" w:hAnsi="仿宋"/>
          <w:sz w:val="32"/>
          <w:szCs w:val="32"/>
          <w:lang w:eastAsia="zh-CN"/>
        </w:rPr>
        <w:t>）</w:t>
      </w:r>
      <w:r>
        <w:rPr>
          <w:rFonts w:hint="eastAsia" w:ascii="仿宋_GB2312" w:eastAsia="仿宋_GB2312"/>
          <w:sz w:val="32"/>
          <w:szCs w:val="32"/>
        </w:rPr>
        <w:t>预算管理</w:t>
      </w:r>
    </w:p>
    <w:p>
      <w:pPr>
        <w:ind w:firstLine="480" w:firstLineChars="150"/>
        <w:rPr>
          <w:rFonts w:hint="eastAsia" w:hAnsi="仿宋"/>
          <w:sz w:val="32"/>
          <w:szCs w:val="32"/>
        </w:rPr>
      </w:pPr>
      <w:r>
        <w:rPr>
          <w:rFonts w:hint="eastAsia" w:hAnsi="仿宋"/>
          <w:sz w:val="32"/>
          <w:szCs w:val="32"/>
          <w:lang w:val="en-US" w:eastAsia="zh-CN"/>
        </w:rPr>
        <w:t>本项目为</w:t>
      </w:r>
      <w:r>
        <w:rPr>
          <w:rFonts w:hint="eastAsia" w:hAnsi="仿宋"/>
          <w:sz w:val="32"/>
          <w:szCs w:val="32"/>
        </w:rPr>
        <w:t>使用区级财政性资金的固定资产投资项目，</w:t>
      </w:r>
      <w:r>
        <w:rPr>
          <w:rFonts w:hint="eastAsia" w:hAnsi="仿宋"/>
          <w:sz w:val="32"/>
          <w:szCs w:val="32"/>
          <w:lang w:val="en-US" w:eastAsia="zh-CN"/>
        </w:rPr>
        <w:t>根据</w:t>
      </w:r>
      <w:r>
        <w:rPr>
          <w:rFonts w:hint="eastAsia" w:hAnsi="仿宋"/>
          <w:sz w:val="32"/>
          <w:szCs w:val="32"/>
        </w:rPr>
        <w:t>《上海市崇明区政府投资项目储备库管理办法》的规定，</w:t>
      </w:r>
      <w:r>
        <w:rPr>
          <w:rFonts w:hint="eastAsia" w:hAnsi="仿宋"/>
          <w:sz w:val="32"/>
          <w:szCs w:val="32"/>
          <w:lang w:val="en-US" w:eastAsia="zh-CN"/>
        </w:rPr>
        <w:t>由区房管局</w:t>
      </w:r>
      <w:r>
        <w:rPr>
          <w:rFonts w:hint="eastAsia" w:hAnsi="仿宋"/>
          <w:sz w:val="32"/>
          <w:szCs w:val="32"/>
        </w:rPr>
        <w:t>通过区级建设项目监管平台申报项目并纳入区政府投资</w:t>
      </w:r>
      <w:r>
        <w:rPr>
          <w:rFonts w:hint="eastAsia" w:hAnsi="仿宋"/>
          <w:sz w:val="32"/>
          <w:szCs w:val="32"/>
          <w:lang w:val="en-US" w:eastAsia="zh-CN"/>
        </w:rPr>
        <w:t>项</w:t>
      </w:r>
      <w:r>
        <w:rPr>
          <w:rFonts w:hint="eastAsia" w:hAnsi="仿宋"/>
          <w:sz w:val="32"/>
          <w:szCs w:val="32"/>
        </w:rPr>
        <w:t>目储备库</w:t>
      </w:r>
      <w:r>
        <w:rPr>
          <w:rFonts w:hint="eastAsia" w:hAnsi="仿宋"/>
          <w:sz w:val="32"/>
          <w:szCs w:val="32"/>
          <w:lang w:eastAsia="zh-CN"/>
        </w:rPr>
        <w:t>，区发改委根据区政府批准的年度投资计划安排，结合项目用款计划和工程进度，分批下达年度投资项目用款计划，</w:t>
      </w:r>
      <w:r>
        <w:rPr>
          <w:rFonts w:hint="eastAsia" w:hAnsi="仿宋"/>
          <w:sz w:val="32"/>
          <w:szCs w:val="32"/>
          <w:lang w:val="en-US" w:eastAsia="zh-CN"/>
        </w:rPr>
        <w:t>区房管局</w:t>
      </w:r>
      <w:r>
        <w:rPr>
          <w:rFonts w:hint="eastAsia" w:hAnsi="仿宋"/>
          <w:sz w:val="32"/>
          <w:szCs w:val="32"/>
          <w:lang w:eastAsia="zh-CN"/>
        </w:rPr>
        <w:t>根据分期下达的项目用款计划，向区财政局提出用款申请</w:t>
      </w:r>
      <w:r>
        <w:rPr>
          <w:rFonts w:hint="eastAsia" w:hAnsi="仿宋"/>
          <w:sz w:val="32"/>
          <w:szCs w:val="32"/>
        </w:rPr>
        <w:t>。</w:t>
      </w:r>
    </w:p>
    <w:p>
      <w:pPr>
        <w:ind w:firstLine="480" w:firstLineChars="150"/>
        <w:rPr>
          <w:rFonts w:hint="eastAsia" w:hAnsi="仿宋" w:eastAsia="仿宋_GB2312"/>
          <w:sz w:val="32"/>
          <w:szCs w:val="32"/>
          <w:lang w:eastAsia="zh-CN"/>
        </w:rPr>
      </w:pPr>
      <w:r>
        <w:rPr>
          <w:rFonts w:hint="eastAsia" w:hAnsi="仿宋"/>
          <w:sz w:val="32"/>
          <w:szCs w:val="32"/>
          <w:lang w:eastAsia="zh-CN"/>
        </w:rPr>
        <w:t>（</w:t>
      </w:r>
      <w:r>
        <w:rPr>
          <w:rFonts w:hint="eastAsia" w:hAnsi="仿宋"/>
          <w:sz w:val="32"/>
          <w:szCs w:val="32"/>
          <w:lang w:val="en-US" w:eastAsia="zh-CN"/>
        </w:rPr>
        <w:t>2</w:t>
      </w:r>
      <w:r>
        <w:rPr>
          <w:rFonts w:hint="eastAsia" w:hAnsi="仿宋"/>
          <w:sz w:val="32"/>
          <w:szCs w:val="32"/>
          <w:lang w:eastAsia="zh-CN"/>
        </w:rPr>
        <w:t>）</w:t>
      </w:r>
      <w:r>
        <w:rPr>
          <w:rFonts w:hint="eastAsia" w:ascii="仿宋_GB2312" w:eastAsia="仿宋_GB2312"/>
          <w:sz w:val="32"/>
          <w:szCs w:val="32"/>
        </w:rPr>
        <w:t>资金拨付</w:t>
      </w:r>
    </w:p>
    <w:p>
      <w:pPr>
        <w:ind w:firstLine="480" w:firstLineChars="150"/>
        <w:rPr>
          <w:rFonts w:hint="eastAsia" w:hAnsi="仿宋"/>
          <w:sz w:val="32"/>
          <w:szCs w:val="32"/>
        </w:rPr>
      </w:pPr>
      <w:r>
        <w:rPr>
          <w:rFonts w:hint="eastAsia" w:hAnsi="仿宋"/>
          <w:sz w:val="32"/>
          <w:szCs w:val="32"/>
        </w:rPr>
        <w:t>本项目</w:t>
      </w:r>
      <w:r>
        <w:rPr>
          <w:rFonts w:hint="eastAsia" w:hAnsi="仿宋"/>
          <w:sz w:val="32"/>
          <w:szCs w:val="32"/>
          <w:lang w:val="en-US" w:eastAsia="zh-CN"/>
        </w:rPr>
        <w:t>资金申请由相关参建单位提出，乡镇询问财务监理意见后，进行初步审核，报送区房管局，区房管局征询区财政意见后，授权支付给申请单位</w:t>
      </w:r>
      <w:r>
        <w:rPr>
          <w:rFonts w:hint="eastAsia" w:hAnsi="仿宋"/>
          <w:sz w:val="32"/>
          <w:szCs w:val="32"/>
          <w:highlight w:val="none"/>
          <w:lang w:val="en-US" w:eastAsia="zh-CN"/>
        </w:rPr>
        <w:t>。</w:t>
      </w:r>
    </w:p>
    <w:p>
      <w:pPr>
        <w:ind w:firstLine="480" w:firstLineChars="150"/>
        <w:rPr>
          <w:rFonts w:hint="default" w:hAnsi="仿宋" w:eastAsia="仿宋_GB2312"/>
          <w:lang w:val="en-US" w:eastAsia="zh-CN"/>
        </w:rPr>
      </w:pPr>
      <w:r>
        <w:rPr>
          <w:rFonts w:hint="eastAsia" w:hAnsi="仿宋"/>
          <w:sz w:val="32"/>
          <w:szCs w:val="32"/>
          <w:lang w:val="en-US" w:eastAsia="zh-CN"/>
        </w:rPr>
        <w:t>具体拨付流程图如下图3所示：</w:t>
      </w:r>
    </w:p>
    <w:p>
      <w:pPr>
        <w:spacing w:line="240" w:lineRule="auto"/>
        <w:ind w:left="0" w:leftChars="0" w:firstLine="0" w:firstLineChars="0"/>
        <w:jc w:val="center"/>
        <w:rPr>
          <w:rFonts w:hint="eastAsia" w:hAnsi="仿宋" w:eastAsia="仿宋_GB2312"/>
          <w:lang w:eastAsia="zh-CN"/>
        </w:rPr>
      </w:pPr>
      <w:r>
        <w:rPr>
          <w:rFonts w:hint="eastAsia" w:hAnsi="仿宋" w:eastAsia="仿宋_GB2312"/>
          <w:lang w:eastAsia="zh-CN"/>
        </w:rPr>
        <w:drawing>
          <wp:inline distT="0" distB="0" distL="114300" distR="114300">
            <wp:extent cx="4724400" cy="3219450"/>
            <wp:effectExtent l="0" t="0" r="0" b="11430"/>
            <wp:docPr id="18" name="图片 18" descr="预算拨付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预算拨付流程图"/>
                    <pic:cNvPicPr>
                      <a:picLocks noChangeAspect="1"/>
                    </pic:cNvPicPr>
                  </pic:nvPicPr>
                  <pic:blipFill>
                    <a:blip r:embed="rId20"/>
                    <a:stretch>
                      <a:fillRect/>
                    </a:stretch>
                  </pic:blipFill>
                  <pic:spPr>
                    <a:xfrm>
                      <a:off x="0" y="0"/>
                      <a:ext cx="4724400" cy="3219450"/>
                    </a:xfrm>
                    <a:prstGeom prst="rect">
                      <a:avLst/>
                    </a:prstGeom>
                  </pic:spPr>
                </pic:pic>
              </a:graphicData>
            </a:graphic>
          </wp:inline>
        </w:drawing>
      </w:r>
    </w:p>
    <w:p>
      <w:pPr>
        <w:spacing w:line="240" w:lineRule="auto"/>
        <w:ind w:firstLine="361" w:firstLineChars="150"/>
        <w:jc w:val="center"/>
        <w:rPr>
          <w:rFonts w:hint="default" w:hAnsi="仿宋" w:eastAsia="仿宋_GB2312"/>
          <w:lang w:val="en-US" w:eastAsia="zh-CN"/>
        </w:rPr>
      </w:pPr>
      <w:r>
        <w:rPr>
          <w:rFonts w:hint="eastAsia" w:hAnsi="仿宋"/>
          <w:b/>
          <w:bCs/>
          <w:sz w:val="24"/>
          <w:szCs w:val="24"/>
          <w:lang w:val="en-US" w:eastAsia="zh-CN"/>
        </w:rPr>
        <w:t>图3 资金拨付流程图</w:t>
      </w:r>
    </w:p>
    <w:p>
      <w:pPr>
        <w:ind w:firstLine="562"/>
        <w:rPr>
          <w:rFonts w:hint="eastAsia" w:hAnsi="Arial Unicode MS" w:cs="Arial Unicode MS"/>
          <w:b w:val="0"/>
          <w:bCs/>
          <w:sz w:val="32"/>
          <w:szCs w:val="32"/>
          <w:lang w:eastAsia="zh-CN"/>
        </w:rPr>
      </w:pPr>
      <w:r>
        <w:rPr>
          <w:rFonts w:hint="eastAsia" w:hAnsi="Arial Unicode MS" w:cs="Arial Unicode MS"/>
          <w:b w:val="0"/>
          <w:bCs/>
          <w:sz w:val="32"/>
          <w:szCs w:val="32"/>
          <w:lang w:eastAsia="zh-CN"/>
        </w:rPr>
        <w:t>（</w:t>
      </w:r>
      <w:r>
        <w:rPr>
          <w:rFonts w:hint="eastAsia" w:hAnsi="Arial Unicode MS" w:cs="Arial Unicode MS"/>
          <w:b w:val="0"/>
          <w:bCs/>
          <w:sz w:val="32"/>
          <w:szCs w:val="32"/>
          <w:lang w:val="en-US" w:eastAsia="zh-CN"/>
        </w:rPr>
        <w:t>3</w:t>
      </w:r>
      <w:r>
        <w:rPr>
          <w:rFonts w:hint="eastAsia" w:hAnsi="Arial Unicode MS" w:cs="Arial Unicode MS"/>
          <w:b w:val="0"/>
          <w:bCs/>
          <w:sz w:val="32"/>
          <w:szCs w:val="32"/>
          <w:lang w:eastAsia="zh-CN"/>
        </w:rPr>
        <w:t>）</w:t>
      </w:r>
      <w:r>
        <w:rPr>
          <w:rFonts w:hint="eastAsia" w:hAnsi="Arial Unicode MS" w:cs="Arial Unicode MS"/>
          <w:b w:val="0"/>
          <w:bCs/>
          <w:sz w:val="32"/>
          <w:szCs w:val="32"/>
        </w:rPr>
        <w:t>财务监管</w:t>
      </w:r>
    </w:p>
    <w:p>
      <w:pPr>
        <w:ind w:firstLine="562"/>
        <w:rPr>
          <w:rFonts w:hint="eastAsia" w:hAnsi="Arial Unicode MS" w:eastAsia="仿宋_GB2312" w:cs="Arial Unicode MS"/>
          <w:b w:val="0"/>
          <w:bCs/>
          <w:sz w:val="32"/>
          <w:szCs w:val="32"/>
          <w:lang w:eastAsia="zh-CN"/>
        </w:rPr>
      </w:pPr>
      <w:r>
        <w:rPr>
          <w:rFonts w:hint="eastAsia" w:hAnsi="Arial Unicode MS" w:cs="Arial Unicode MS"/>
          <w:b w:val="0"/>
          <w:bCs/>
          <w:sz w:val="32"/>
          <w:szCs w:val="32"/>
          <w:lang w:val="en-US" w:eastAsia="zh-CN"/>
        </w:rPr>
        <w:t>本</w:t>
      </w:r>
      <w:r>
        <w:rPr>
          <w:rFonts w:hint="eastAsia" w:hAnsi="Arial Unicode MS" w:cs="Arial Unicode MS"/>
          <w:b w:val="0"/>
          <w:bCs/>
          <w:sz w:val="32"/>
          <w:szCs w:val="32"/>
        </w:rPr>
        <w:t>项目实行财务监理制，包括全过程的资金监控、财务管理、投资控制。严格规范预备费使用范围，一般不得动用，确需使用的，须办理相关手续，具体按照财务监理管理办法等有关规定执行</w:t>
      </w:r>
      <w:r>
        <w:rPr>
          <w:rFonts w:hint="eastAsia" w:hAnsi="Arial Unicode MS" w:cs="Arial Unicode MS"/>
          <w:b w:val="0"/>
          <w:bCs/>
          <w:sz w:val="32"/>
          <w:szCs w:val="32"/>
          <w:lang w:eastAsia="zh-CN"/>
        </w:rPr>
        <w:t>。</w:t>
      </w:r>
    </w:p>
    <w:p>
      <w:pPr>
        <w:pStyle w:val="3"/>
        <w:rPr>
          <w:sz w:val="32"/>
          <w:szCs w:val="32"/>
        </w:rPr>
      </w:pPr>
      <w:bookmarkStart w:id="37" w:name="_Toc28272"/>
      <w:bookmarkStart w:id="38" w:name="_Toc5876"/>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五</w:t>
      </w:r>
      <w:r>
        <w:rPr>
          <w:rFonts w:hint="eastAsia" w:ascii="方正楷体_GB2312" w:hAnsi="方正楷体_GB2312" w:eastAsia="方正楷体_GB2312" w:cs="方正楷体_GB2312"/>
          <w:sz w:val="32"/>
          <w:szCs w:val="32"/>
        </w:rPr>
        <w:t>）项目绩效目标</w:t>
      </w:r>
      <w:bookmarkEnd w:id="37"/>
      <w:bookmarkEnd w:id="38"/>
    </w:p>
    <w:bookmarkEnd w:id="21"/>
    <w:bookmarkEnd w:id="22"/>
    <w:bookmarkEnd w:id="23"/>
    <w:p>
      <w:pPr>
        <w:ind w:firstLine="562"/>
        <w:rPr>
          <w:rFonts w:hint="eastAsia" w:hAnsi="Arial Unicode MS" w:cs="Arial Unicode MS"/>
          <w:b w:val="0"/>
          <w:bCs/>
          <w:sz w:val="32"/>
          <w:szCs w:val="32"/>
          <w:highlight w:val="none"/>
          <w:lang w:eastAsia="zh-CN"/>
        </w:rPr>
      </w:pPr>
      <w:bookmarkStart w:id="39" w:name="_Toc313951561"/>
      <w:bookmarkStart w:id="40" w:name="_Toc314496158"/>
      <w:bookmarkStart w:id="41" w:name="_Toc320534548"/>
      <w:bookmarkStart w:id="42" w:name="_Toc22058"/>
      <w:r>
        <w:rPr>
          <w:rFonts w:hint="eastAsia" w:hAnsi="Arial Unicode MS" w:cs="Arial Unicode MS"/>
          <w:b w:val="0"/>
          <w:bCs/>
          <w:sz w:val="32"/>
          <w:szCs w:val="32"/>
          <w:highlight w:val="none"/>
          <w:lang w:val="en-US" w:eastAsia="zh-CN"/>
        </w:rPr>
        <w:t>预算单位编制的年初绩效目标表基本符合</w:t>
      </w:r>
      <w:r>
        <w:rPr>
          <w:rFonts w:hint="eastAsia" w:hAnsi="Arial Unicode MS" w:cs="Arial Unicode MS"/>
          <w:b w:val="0"/>
          <w:bCs/>
          <w:sz w:val="32"/>
          <w:szCs w:val="32"/>
        </w:rPr>
        <w:t>崇明区财政局对绩效目标的设定框架要求</w:t>
      </w:r>
      <w:r>
        <w:rPr>
          <w:rFonts w:hint="eastAsia" w:hAnsi="Arial Unicode MS" w:cs="Arial Unicode MS"/>
          <w:b w:val="0"/>
          <w:bCs/>
          <w:sz w:val="32"/>
          <w:szCs w:val="32"/>
          <w:highlight w:val="none"/>
          <w:lang w:val="en-US" w:eastAsia="zh-CN"/>
        </w:rPr>
        <w:t>，但存在个别目标设置不合理，例如产出质量指标“工程验收合格率”指标的目标值设置为“合格”（应设置为100%）；经济效益指标设置“提升区域经济效应”不合理，旧住房修缮项目不存在经济效益；部分指标不明确，例如生态效益指标“</w:t>
      </w:r>
      <w:r>
        <w:rPr>
          <w:rFonts w:hint="eastAsia" w:ascii="仿宋_GB2312" w:hAnsi="仿宋_GB2312" w:eastAsia="仿宋_GB2312" w:cs="仿宋_GB2312"/>
          <w:i w:val="0"/>
          <w:iCs w:val="0"/>
          <w:color w:val="000000"/>
          <w:kern w:val="0"/>
          <w:sz w:val="32"/>
          <w:szCs w:val="32"/>
          <w:u w:val="none"/>
          <w:lang w:val="en-US" w:eastAsia="zh-CN" w:bidi="ar"/>
        </w:rPr>
        <w:t>对生态环境是否有保护作用</w:t>
      </w:r>
      <w:r>
        <w:rPr>
          <w:rFonts w:hint="eastAsia" w:hAnsi="Arial Unicode MS" w:cs="Arial Unicode MS"/>
          <w:b w:val="0"/>
          <w:bCs/>
          <w:sz w:val="32"/>
          <w:szCs w:val="32"/>
          <w:highlight w:val="none"/>
          <w:lang w:val="en-US" w:eastAsia="zh-CN"/>
        </w:rPr>
        <w:t>”的目标为“保护”，指标值不够清晰可衡量。具体目标表详见附件5</w:t>
      </w:r>
      <w:r>
        <w:rPr>
          <w:rFonts w:hint="eastAsia" w:hAnsi="Arial Unicode MS" w:cs="Arial Unicode MS"/>
          <w:b w:val="0"/>
          <w:bCs/>
          <w:sz w:val="32"/>
          <w:szCs w:val="32"/>
          <w:highlight w:val="none"/>
          <w:lang w:eastAsia="zh-CN"/>
        </w:rPr>
        <w:t>。</w:t>
      </w:r>
    </w:p>
    <w:p>
      <w:pPr>
        <w:ind w:firstLine="562"/>
        <w:rPr>
          <w:rFonts w:hint="eastAsia" w:hAnsi="Arial Unicode MS" w:cs="Arial Unicode MS"/>
          <w:b w:val="0"/>
          <w:bCs/>
          <w:sz w:val="32"/>
          <w:szCs w:val="32"/>
        </w:rPr>
      </w:pPr>
      <w:r>
        <w:rPr>
          <w:rFonts w:hint="eastAsia" w:hAnsi="Arial Unicode MS" w:cs="Arial Unicode MS"/>
          <w:b w:val="0"/>
          <w:bCs/>
          <w:sz w:val="32"/>
          <w:szCs w:val="32"/>
          <w:lang w:val="en-US" w:eastAsia="zh-CN"/>
        </w:rPr>
        <w:t>基于上述情况，结合项目特点，</w:t>
      </w:r>
      <w:r>
        <w:rPr>
          <w:rFonts w:hint="eastAsia" w:hAnsi="Arial Unicode MS" w:cs="Arial Unicode MS"/>
          <w:b w:val="0"/>
          <w:bCs/>
          <w:sz w:val="32"/>
          <w:szCs w:val="32"/>
        </w:rPr>
        <w:t>评价组按照《关于印发</w:t>
      </w:r>
      <w:r>
        <w:rPr>
          <w:rFonts w:hint="eastAsia" w:hAnsi="Arial Unicode MS" w:cs="Arial Unicode MS"/>
          <w:b w:val="0"/>
          <w:bCs/>
          <w:sz w:val="32"/>
          <w:szCs w:val="32"/>
          <w:lang w:eastAsia="zh-CN"/>
        </w:rPr>
        <w:t>〈</w:t>
      </w:r>
      <w:r>
        <w:rPr>
          <w:rFonts w:hint="eastAsia" w:hAnsi="Arial Unicode MS" w:cs="Arial Unicode MS"/>
          <w:b w:val="0"/>
          <w:bCs/>
          <w:sz w:val="32"/>
          <w:szCs w:val="32"/>
        </w:rPr>
        <w:t>上海市财政项目支出预算绩效管理办法（试行）</w:t>
      </w:r>
      <w:r>
        <w:rPr>
          <w:rFonts w:hint="eastAsia" w:hAnsi="Arial Unicode MS" w:cs="Arial Unicode MS"/>
          <w:b w:val="0"/>
          <w:bCs/>
          <w:sz w:val="32"/>
          <w:szCs w:val="32"/>
          <w:lang w:eastAsia="zh-CN"/>
        </w:rPr>
        <w:t>〉</w:t>
      </w:r>
      <w:r>
        <w:rPr>
          <w:rFonts w:hint="eastAsia" w:hAnsi="Arial Unicode MS" w:cs="Arial Unicode MS"/>
          <w:b w:val="0"/>
          <w:bCs/>
          <w:sz w:val="32"/>
          <w:szCs w:val="32"/>
        </w:rPr>
        <w:t>的通知》（沪财绩〔2020〕6号）、《关于印发202</w:t>
      </w:r>
      <w:r>
        <w:rPr>
          <w:rFonts w:hint="eastAsia" w:hAnsi="Arial Unicode MS" w:cs="Arial Unicode MS"/>
          <w:b w:val="0"/>
          <w:bCs/>
          <w:sz w:val="32"/>
          <w:szCs w:val="32"/>
          <w:lang w:val="en-US" w:eastAsia="zh-CN"/>
        </w:rPr>
        <w:t>3</w:t>
      </w:r>
      <w:r>
        <w:rPr>
          <w:rFonts w:hint="eastAsia" w:hAnsi="Arial Unicode MS" w:cs="Arial Unicode MS"/>
          <w:b w:val="0"/>
          <w:bCs/>
          <w:sz w:val="32"/>
          <w:szCs w:val="32"/>
        </w:rPr>
        <w:t>年崇明区预算绩效管理工作要点的通知》（沪崇财绩〔202</w:t>
      </w:r>
      <w:r>
        <w:rPr>
          <w:rFonts w:hint="eastAsia" w:hAnsi="Arial Unicode MS" w:cs="Arial Unicode MS"/>
          <w:b w:val="0"/>
          <w:bCs/>
          <w:sz w:val="32"/>
          <w:szCs w:val="32"/>
          <w:lang w:val="en-US" w:eastAsia="zh-CN"/>
        </w:rPr>
        <w:t>3</w:t>
      </w:r>
      <w:r>
        <w:rPr>
          <w:rFonts w:hint="eastAsia" w:hAnsi="Arial Unicode MS" w:cs="Arial Unicode MS"/>
          <w:b w:val="0"/>
          <w:bCs/>
          <w:sz w:val="32"/>
          <w:szCs w:val="32"/>
        </w:rPr>
        <w:t>〕1号）以及崇明区财政局对绩效目标的设定框架新要求，结合实际情况，重新梳理并调整项目总目标、年度绩效目标，并经</w:t>
      </w:r>
      <w:r>
        <w:rPr>
          <w:rFonts w:hint="eastAsia" w:hAnsi="Arial Unicode MS" w:cs="Arial Unicode MS"/>
          <w:b w:val="0"/>
          <w:bCs/>
          <w:sz w:val="32"/>
          <w:szCs w:val="32"/>
          <w:lang w:val="en-US" w:eastAsia="zh-CN"/>
        </w:rPr>
        <w:t>预算</w:t>
      </w:r>
      <w:r>
        <w:rPr>
          <w:rFonts w:hint="eastAsia" w:hAnsi="Arial Unicode MS" w:cs="Arial Unicode MS"/>
          <w:b w:val="0"/>
          <w:bCs/>
          <w:sz w:val="32"/>
          <w:szCs w:val="32"/>
        </w:rPr>
        <w:t>单位确认，具体如下：</w:t>
      </w:r>
    </w:p>
    <w:p>
      <w:pPr>
        <w:ind w:firstLine="562"/>
        <w:outlineLvl w:val="2"/>
        <w:rPr>
          <w:rFonts w:hAnsi="Arial Unicode MS" w:cs="Arial Unicode MS"/>
          <w:b/>
          <w:sz w:val="32"/>
          <w:szCs w:val="32"/>
        </w:rPr>
      </w:pPr>
      <w:bookmarkStart w:id="43" w:name="_Toc32102"/>
      <w:bookmarkStart w:id="44" w:name="_Toc15990"/>
      <w:r>
        <w:rPr>
          <w:rFonts w:hint="eastAsia" w:hAnsi="Arial Unicode MS" w:cs="Arial Unicode MS"/>
          <w:b/>
          <w:sz w:val="32"/>
          <w:szCs w:val="32"/>
        </w:rPr>
        <w:t>1.总目标</w:t>
      </w:r>
      <w:bookmarkEnd w:id="43"/>
      <w:bookmarkEnd w:id="44"/>
    </w:p>
    <w:p>
      <w:pPr>
        <w:ind w:firstLine="560"/>
        <w:rPr>
          <w:sz w:val="32"/>
          <w:szCs w:val="32"/>
        </w:rPr>
      </w:pPr>
      <w:r>
        <w:rPr>
          <w:rFonts w:hint="eastAsia"/>
          <w:sz w:val="32"/>
          <w:szCs w:val="32"/>
          <w:lang w:val="en-US" w:eastAsia="zh-CN"/>
        </w:rPr>
        <w:t>围绕崇明世界级生态岛建设和全市加强城市管理精细化工作的要求，以建设生态宜居、文明有序、美丽整洁、幸福和谐的“美丽家园”为目标，开展各类老旧小区住房修缮和雨污分流改造，优化建筑结构、完善社区功能、健全配套设施、回应群众期待，让老旧小区变得更安全、更有序、更干净，不断提升居民的幸福感、获得感和满意度。</w:t>
      </w:r>
    </w:p>
    <w:p>
      <w:pPr>
        <w:ind w:firstLine="562"/>
        <w:outlineLvl w:val="2"/>
        <w:rPr>
          <w:rFonts w:hAnsi="Arial Unicode MS" w:cs="Arial Unicode MS"/>
          <w:b/>
          <w:sz w:val="32"/>
          <w:szCs w:val="32"/>
        </w:rPr>
      </w:pPr>
      <w:bookmarkStart w:id="45" w:name="_Toc19005"/>
      <w:bookmarkStart w:id="46" w:name="_Toc13199"/>
      <w:r>
        <w:rPr>
          <w:rFonts w:hint="eastAsia" w:hAnsi="Arial Unicode MS" w:cs="Arial Unicode MS"/>
          <w:b/>
          <w:sz w:val="32"/>
          <w:szCs w:val="32"/>
        </w:rPr>
        <w:t>2.</w:t>
      </w:r>
      <w:r>
        <w:rPr>
          <w:rFonts w:hint="eastAsia" w:hAnsi="Arial Unicode MS" w:cs="Arial Unicode MS"/>
          <w:b/>
          <w:sz w:val="32"/>
          <w:szCs w:val="32"/>
          <w:lang w:val="en-US" w:eastAsia="zh-CN"/>
        </w:rPr>
        <w:t>2020-2022</w:t>
      </w:r>
      <w:r>
        <w:rPr>
          <w:rFonts w:hint="eastAsia" w:hAnsi="Arial Unicode MS" w:cs="Arial Unicode MS"/>
          <w:b/>
          <w:sz w:val="32"/>
          <w:szCs w:val="32"/>
        </w:rPr>
        <w:t>年度绩效目标</w:t>
      </w:r>
      <w:bookmarkEnd w:id="45"/>
      <w:bookmarkEnd w:id="46"/>
    </w:p>
    <w:p>
      <w:pPr>
        <w:ind w:firstLine="567" w:firstLineChars="0"/>
        <w:rPr>
          <w:rFonts w:hAnsiTheme="minorHAnsi" w:cstheme="minorHAnsi"/>
          <w:b/>
          <w:sz w:val="32"/>
          <w:szCs w:val="32"/>
        </w:rPr>
      </w:pPr>
      <w:r>
        <w:rPr>
          <w:rFonts w:hint="eastAsia" w:hAnsiTheme="minorHAnsi" w:cstheme="minorHAnsi"/>
          <w:b/>
          <w:sz w:val="32"/>
          <w:szCs w:val="32"/>
        </w:rPr>
        <w:t>（1）产出类目标</w:t>
      </w:r>
    </w:p>
    <w:p>
      <w:pPr>
        <w:pStyle w:val="57"/>
        <w:numPr>
          <w:ilvl w:val="0"/>
          <w:numId w:val="1"/>
        </w:numPr>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数量方面：完成城桥镇地区6个美丽家园改造任务；</w:t>
      </w:r>
    </w:p>
    <w:p>
      <w:pPr>
        <w:pStyle w:val="57"/>
        <w:numPr>
          <w:ilvl w:val="0"/>
          <w:numId w:val="1"/>
        </w:numPr>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质量方面：项目顺利通过各项验收，且质保期内的工程建设质量保障情况良好；</w:t>
      </w:r>
    </w:p>
    <w:p>
      <w:pPr>
        <w:pStyle w:val="57"/>
        <w:numPr>
          <w:ilvl w:val="0"/>
          <w:numId w:val="1"/>
        </w:numPr>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时效方面：按照项目推进计划完成建设；</w:t>
      </w:r>
    </w:p>
    <w:p>
      <w:pPr>
        <w:pStyle w:val="57"/>
        <w:numPr>
          <w:ilvl w:val="0"/>
          <w:numId w:val="1"/>
        </w:numPr>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成本方面：项目同类材料造价一致且合理，项目二类费用取费符合行业标准。</w:t>
      </w:r>
    </w:p>
    <w:p>
      <w:pPr>
        <w:ind w:left="560" w:firstLine="0" w:firstLineChars="0"/>
        <w:rPr>
          <w:rFonts w:hAnsiTheme="minorHAnsi" w:cstheme="minorHAnsi"/>
          <w:b/>
          <w:sz w:val="32"/>
          <w:szCs w:val="32"/>
        </w:rPr>
      </w:pPr>
      <w:r>
        <w:rPr>
          <w:rFonts w:hint="eastAsia" w:hAnsiTheme="minorHAnsi" w:cstheme="minorHAnsi"/>
          <w:b/>
          <w:sz w:val="32"/>
          <w:szCs w:val="32"/>
        </w:rPr>
        <w:t>（</w:t>
      </w:r>
      <w:r>
        <w:rPr>
          <w:rFonts w:hAnsiTheme="minorHAnsi" w:cstheme="minorHAnsi"/>
          <w:b/>
          <w:sz w:val="32"/>
          <w:szCs w:val="32"/>
        </w:rPr>
        <w:t>2</w:t>
      </w:r>
      <w:r>
        <w:rPr>
          <w:rFonts w:hint="eastAsia" w:hAnsiTheme="minorHAnsi" w:cstheme="minorHAnsi"/>
          <w:b/>
          <w:sz w:val="32"/>
          <w:szCs w:val="32"/>
        </w:rPr>
        <w:t>）效果类目标</w:t>
      </w:r>
    </w:p>
    <w:p>
      <w:pPr>
        <w:pStyle w:val="57"/>
        <w:numPr>
          <w:ilvl w:val="0"/>
          <w:numId w:val="1"/>
        </w:numPr>
        <w:tabs>
          <w:tab w:val="left" w:pos="634"/>
        </w:tabs>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社会效益方面：</w:t>
      </w:r>
      <w:r>
        <w:rPr>
          <w:rFonts w:hint="eastAsia" w:ascii="仿宋_GB2312" w:hAnsiTheme="minorHAnsi" w:cstheme="minorHAnsi"/>
          <w:sz w:val="32"/>
          <w:szCs w:val="32"/>
          <w:highlight w:val="none"/>
          <w:lang w:val="en-US" w:eastAsia="zh-CN"/>
        </w:rPr>
        <w:t>提升居民幸福感和获得感，优化建筑结构，完善社区功能，健全配套设施，响应群众期待</w:t>
      </w:r>
      <w:r>
        <w:rPr>
          <w:rFonts w:hint="eastAsia" w:ascii="仿宋_GB2312" w:hAnsiTheme="minorHAnsi" w:cstheme="minorHAnsi"/>
          <w:sz w:val="32"/>
          <w:szCs w:val="32"/>
          <w:lang w:val="en-US" w:eastAsia="zh-CN"/>
        </w:rPr>
        <w:t>；</w:t>
      </w:r>
    </w:p>
    <w:p>
      <w:pPr>
        <w:pStyle w:val="57"/>
        <w:numPr>
          <w:ilvl w:val="0"/>
          <w:numId w:val="1"/>
        </w:numPr>
        <w:tabs>
          <w:tab w:val="left" w:pos="634"/>
        </w:tabs>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生态效益方面：小区内绿化美观度、城桥地区污水处理效率均得到提升；</w:t>
      </w:r>
    </w:p>
    <w:p>
      <w:pPr>
        <w:pStyle w:val="57"/>
        <w:numPr>
          <w:ilvl w:val="0"/>
          <w:numId w:val="1"/>
        </w:numPr>
        <w:tabs>
          <w:tab w:val="left" w:pos="634"/>
        </w:tabs>
        <w:ind w:firstLineChars="0"/>
        <w:rPr>
          <w:rFonts w:ascii="仿宋_GB2312" w:hAnsiTheme="minorHAnsi" w:cstheme="minorHAnsi"/>
          <w:sz w:val="32"/>
          <w:szCs w:val="32"/>
        </w:rPr>
      </w:pPr>
      <w:r>
        <w:rPr>
          <w:rFonts w:hint="eastAsia" w:ascii="仿宋_GB2312" w:hAnsiTheme="minorHAnsi" w:cstheme="minorHAnsi"/>
          <w:sz w:val="32"/>
          <w:szCs w:val="32"/>
          <w:lang w:val="en-US" w:eastAsia="zh-CN"/>
        </w:rPr>
        <w:t>可持续影响方面：项目建后管护机制健全且执行有效，参建各方的沟通协调机制畅通有效，新建公共设施综合利用率高，项目知晓率高，信息公开规范；</w:t>
      </w:r>
    </w:p>
    <w:p>
      <w:pPr>
        <w:pStyle w:val="57"/>
        <w:numPr>
          <w:ilvl w:val="0"/>
          <w:numId w:val="1"/>
        </w:numPr>
        <w:tabs>
          <w:tab w:val="left" w:pos="634"/>
        </w:tabs>
        <w:ind w:firstLineChars="0"/>
        <w:rPr>
          <w:rFonts w:hAnsiTheme="minorHAnsi" w:cstheme="minorHAnsi"/>
        </w:rPr>
      </w:pPr>
      <w:r>
        <w:rPr>
          <w:rFonts w:hint="eastAsia" w:ascii="仿宋_GB2312" w:hAnsiTheme="minorHAnsi" w:cstheme="minorHAnsi"/>
          <w:sz w:val="32"/>
          <w:szCs w:val="32"/>
          <w:lang w:val="en-US" w:eastAsia="zh-CN"/>
        </w:rPr>
        <w:t>满意度方面：小区居民对改造成果的综合满意度高。</w:t>
      </w:r>
    </w:p>
    <w:p>
      <w:pPr>
        <w:ind w:firstLine="0" w:firstLineChars="0"/>
        <w:jc w:val="center"/>
        <w:rPr>
          <w:rFonts w:hAnsi="Microsoft JhengHei"/>
          <w:b/>
          <w:bCs/>
          <w:sz w:val="24"/>
          <w:szCs w:val="24"/>
        </w:rPr>
      </w:pPr>
      <w:r>
        <w:rPr>
          <w:rFonts w:hint="eastAsia" w:hAnsi="Microsoft JhengHei"/>
          <w:b/>
          <w:bCs/>
          <w:sz w:val="24"/>
          <w:szCs w:val="24"/>
        </w:rPr>
        <w:t>表</w:t>
      </w:r>
      <w:r>
        <w:rPr>
          <w:rFonts w:hint="eastAsia" w:hAnsi="Microsoft JhengHei"/>
          <w:b/>
          <w:bCs/>
          <w:sz w:val="24"/>
          <w:szCs w:val="24"/>
          <w:lang w:val="en-US" w:eastAsia="zh-CN"/>
        </w:rPr>
        <w:t>1-7</w:t>
      </w:r>
      <w:r>
        <w:rPr>
          <w:rFonts w:hint="eastAsia" w:hAnsi="Microsoft JhengHei"/>
          <w:b/>
          <w:bCs/>
          <w:sz w:val="24"/>
          <w:szCs w:val="24"/>
        </w:rPr>
        <w:t xml:space="preserve"> 年度绩效目标</w:t>
      </w:r>
    </w:p>
    <w:tbl>
      <w:tblPr>
        <w:tblStyle w:val="38"/>
        <w:tblW w:w="8544" w:type="dxa"/>
        <w:tblInd w:w="-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2"/>
        <w:gridCol w:w="1308"/>
        <w:gridCol w:w="2628"/>
        <w:gridCol w:w="1560"/>
        <w:gridCol w:w="1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trPr>
        <w:tc>
          <w:tcPr>
            <w:tcW w:w="133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一级目标</w:t>
            </w:r>
          </w:p>
        </w:tc>
        <w:tc>
          <w:tcPr>
            <w:tcW w:w="13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二级目标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三级目标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目标值</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b/>
                <w:sz w:val="21"/>
                <w:szCs w:val="21"/>
              </w:rPr>
            </w:pPr>
            <w:r>
              <w:rPr>
                <w:rFonts w:hint="eastAsia" w:hAnsi="黑体" w:cs="Times New Roman"/>
                <w:b/>
                <w:sz w:val="21"/>
                <w:szCs w:val="21"/>
              </w:rPr>
              <w:t>目标值依据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产出目标</w:t>
            </w: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数量目标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道路维修</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79329平方米</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屋面维修</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59318平方米</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外立面维修</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317162平方米</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绿化提升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54163平方米</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管线入地</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266667平方米</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敷设雨污管道</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47986米</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完成其他设施更新工作</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10项</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发改委批复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质量目标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行业管理部门的专业验收情况</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一次验收合格</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项目投标公函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86"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kern w:val="2"/>
                <w:sz w:val="21"/>
                <w:szCs w:val="21"/>
                <w:lang w:val="en-US" w:eastAsia="zh-CN" w:bidi="ar-SA"/>
              </w:rPr>
              <w:t>项目综合验收情况</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一次验收合格</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项目投标公函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质保期内的工程建设质量保障情况</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良好</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项目施工合同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时效目标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项目前期准备工作及立项完成及时性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2020年4月底前完成</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项目招投标完成及时性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2020年5月底前完成</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项目建设完成及时性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2021年2月底前完成</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项目工作计划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eastAsia="仿宋_GB2312" w:cs="Times New Roman"/>
                <w:sz w:val="21"/>
                <w:szCs w:val="21"/>
                <w:lang w:val="en-US" w:eastAsia="zh-CN"/>
              </w:rPr>
            </w:pPr>
            <w:r>
              <w:rPr>
                <w:rFonts w:hint="eastAsia" w:hAnsi="黑体" w:cs="Times New Roman"/>
                <w:sz w:val="21"/>
                <w:szCs w:val="21"/>
                <w:lang w:val="en-US" w:eastAsia="zh-CN"/>
              </w:rPr>
              <w:t>成本目标</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项目同类材料造价</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一致且合理</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区级政府投资项目管理文件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eastAsia="仿宋_GB2312" w:cs="Times New Roman"/>
                <w:sz w:val="21"/>
                <w:szCs w:val="21"/>
                <w:lang w:val="en-US" w:eastAsia="zh-CN"/>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二类费用取费</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符合行业标准</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区级政府投资项目管理文件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效益目标</w:t>
            </w: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社会效益</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居民幸福感和获得感提升占比</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政策导向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优化建筑结构</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屋面和外立面</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政策导向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完善社区功能</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出行和安全</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政策导向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健全配套设施</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文体和充电设施</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政策导向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群众期待响应匹配率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highlight w:val="yellow"/>
                <w:lang w:val="en-US" w:eastAsia="zh-CN" w:bidi="ar-SA"/>
              </w:rPr>
            </w:pPr>
            <w:r>
              <w:rPr>
                <w:rFonts w:hint="eastAsia" w:hAnsi="黑体" w:cs="Times New Roman"/>
                <w:sz w:val="21"/>
                <w:szCs w:val="21"/>
                <w:lang w:val="en-US" w:eastAsia="zh-CN"/>
              </w:rPr>
              <w:t>≥80%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政策导向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highlight w:val="none"/>
                <w:lang w:val="en-US" w:eastAsia="zh-CN" w:bidi="ar-SA"/>
              </w:rPr>
            </w:pPr>
            <w:r>
              <w:rPr>
                <w:rFonts w:hint="eastAsia" w:hAnsi="黑体" w:cs="Times New Roman"/>
                <w:kern w:val="2"/>
                <w:sz w:val="21"/>
                <w:szCs w:val="21"/>
                <w:highlight w:val="none"/>
                <w:lang w:val="en-US" w:eastAsia="zh-CN" w:bidi="ar-SA"/>
              </w:rPr>
              <w:t>安全生产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highlight w:val="none"/>
                <w:lang w:val="en-US" w:eastAsia="zh-CN" w:bidi="ar-SA"/>
              </w:rPr>
            </w:pPr>
            <w:r>
              <w:rPr>
                <w:rFonts w:hint="eastAsia" w:hAnsi="黑体" w:cs="Times New Roman"/>
                <w:sz w:val="21"/>
                <w:szCs w:val="16"/>
                <w:highlight w:val="none"/>
              </w:rPr>
              <w:t>无施工安全事故发生</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highlight w:val="none"/>
                <w:lang w:val="en-US" w:eastAsia="zh-CN" w:bidi="ar-SA"/>
              </w:rPr>
            </w:pPr>
            <w:r>
              <w:rPr>
                <w:rFonts w:hint="eastAsia" w:hAnsi="黑体" w:cs="Times New Roman"/>
                <w:sz w:val="21"/>
                <w:szCs w:val="21"/>
                <w:highlight w:val="none"/>
                <w:lang w:val="en-US" w:eastAsia="zh-CN"/>
              </w:rPr>
              <w:t>安全施工要求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生态效益</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小区内绿化美观度</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较建设前提升</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提升城桥地区污水处理效率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进水COD浓度提升</w:t>
            </w:r>
            <w:r>
              <w:rPr>
                <w:rStyle w:val="36"/>
                <w:rFonts w:hint="eastAsia" w:hAnsi="黑体" w:cs="Times New Roman"/>
                <w:sz w:val="21"/>
                <w:szCs w:val="21"/>
                <w:lang w:val="en-US" w:eastAsia="zh-CN"/>
              </w:rPr>
              <w:footnoteReference w:id="1"/>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雨污分流目的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restart"/>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eastAsia="仿宋_GB2312" w:cs="Times New Roman"/>
                <w:sz w:val="21"/>
                <w:szCs w:val="21"/>
                <w:lang w:val="en-US" w:eastAsia="zh-CN"/>
              </w:rPr>
            </w:pPr>
            <w:r>
              <w:rPr>
                <w:rFonts w:hint="eastAsia" w:hAnsi="黑体" w:cs="Times New Roman"/>
                <w:sz w:val="21"/>
                <w:szCs w:val="21"/>
                <w:lang w:val="en-US" w:eastAsia="zh-CN"/>
              </w:rPr>
              <w:t>可持续影响</w:t>
            </w: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项目建后管护机制健全性和执行有效性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kern w:val="2"/>
                <w:sz w:val="21"/>
                <w:szCs w:val="21"/>
                <w:lang w:val="en-US" w:eastAsia="zh-CN" w:bidi="ar-SA"/>
              </w:rPr>
            </w:pPr>
            <w:r>
              <w:rPr>
                <w:rFonts w:hint="eastAsia" w:hAnsi="黑体" w:cs="Times New Roman"/>
                <w:kern w:val="2"/>
                <w:sz w:val="21"/>
                <w:szCs w:val="21"/>
                <w:lang w:val="en-US" w:eastAsia="zh-CN" w:bidi="ar-SA"/>
              </w:rPr>
              <w:t>健全有效</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参建各方的沟通协调机制有效性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有效</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cs="Times New Roman"/>
                <w:sz w:val="21"/>
                <w:szCs w:val="21"/>
                <w:lang w:val="en-US" w:eastAsia="zh-CN"/>
              </w:rPr>
            </w:pPr>
            <w:r>
              <w:rPr>
                <w:rFonts w:hint="eastAsia" w:hAnsi="黑体" w:cs="Times New Roman"/>
                <w:sz w:val="21"/>
                <w:szCs w:val="21"/>
                <w:lang w:val="en-US" w:eastAsia="zh-CN"/>
              </w:rPr>
              <w:t>新建公共设施综合利用率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kern w:val="2"/>
                <w:sz w:val="21"/>
                <w:szCs w:val="21"/>
                <w:lang w:val="en-US" w:eastAsia="zh-CN" w:bidi="ar-SA"/>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ascii="仿宋_GB2312" w:hAnsi="黑体" w:cs="Times New Roman"/>
                <w:kern w:val="2"/>
                <w:sz w:val="21"/>
                <w:szCs w:val="21"/>
                <w:lang w:val="en-US" w:eastAsia="zh-CN"/>
              </w:rPr>
              <w:t>项目实施目的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居民知晓率</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≥95%</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rPr>
            </w:pPr>
          </w:p>
        </w:tc>
        <w:tc>
          <w:tcPr>
            <w:tcW w:w="2628" w:type="dxa"/>
            <w:vAlign w:val="center"/>
          </w:tcPr>
          <w:p>
            <w:pPr>
              <w:widowControl/>
              <w:spacing w:line="240" w:lineRule="auto"/>
              <w:ind w:firstLine="0" w:firstLineChars="0"/>
              <w:contextualSpacing w:val="0"/>
              <w:jc w:val="center"/>
              <w:rPr>
                <w:rFonts w:hint="eastAsia" w:ascii="仿宋_GB2312" w:hAnsi="黑体" w:eastAsia="仿宋_GB2312" w:cs="Times New Roman"/>
                <w:kern w:val="2"/>
                <w:sz w:val="21"/>
                <w:szCs w:val="21"/>
                <w:lang w:val="en-US" w:eastAsia="zh-CN" w:bidi="ar-SA"/>
              </w:rPr>
            </w:pPr>
            <w:r>
              <w:rPr>
                <w:rFonts w:hint="eastAsia" w:hAnsi="宋体" w:cs="宋体"/>
                <w:color w:val="000000"/>
                <w:kern w:val="0"/>
                <w:sz w:val="21"/>
                <w:szCs w:val="21"/>
                <w:lang w:val="en-US" w:eastAsia="zh-CN"/>
              </w:rPr>
              <w:t>信息公开规范性</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规范</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项目基本要求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1332" w:type="dxa"/>
            <w:vMerge w:val="continue"/>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p>
        </w:tc>
        <w:tc>
          <w:tcPr>
            <w:tcW w:w="13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Ansi="黑体" w:cs="Times New Roman"/>
                <w:sz w:val="21"/>
                <w:szCs w:val="21"/>
              </w:rPr>
            </w:pPr>
            <w:r>
              <w:rPr>
                <w:rFonts w:hint="eastAsia" w:hAnsi="黑体" w:cs="Times New Roman"/>
                <w:sz w:val="21"/>
                <w:szCs w:val="21"/>
              </w:rPr>
              <w:t>满意度</w:t>
            </w:r>
          </w:p>
        </w:tc>
        <w:tc>
          <w:tcPr>
            <w:tcW w:w="2628" w:type="dxa"/>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hAnsi="黑体" w:cs="Times New Roman"/>
                <w:sz w:val="21"/>
                <w:szCs w:val="21"/>
                <w:lang w:val="en-US" w:eastAsia="zh-CN"/>
              </w:rPr>
            </w:pPr>
            <w:r>
              <w:rPr>
                <w:rFonts w:hint="eastAsia" w:hAnsi="黑体" w:cs="Times New Roman"/>
                <w:sz w:val="21"/>
                <w:szCs w:val="21"/>
                <w:lang w:val="en-US" w:eastAsia="zh-CN"/>
              </w:rPr>
              <w:t>小区居民对改造成果的综合满意度</w:t>
            </w:r>
          </w:p>
        </w:tc>
        <w:tc>
          <w:tcPr>
            <w:tcW w:w="156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eastAsia="仿宋_GB2312" w:cs="Times New Roman"/>
                <w:sz w:val="21"/>
                <w:szCs w:val="21"/>
                <w:lang w:val="en-US" w:eastAsia="zh-CN"/>
              </w:rPr>
            </w:pPr>
            <w:r>
              <w:rPr>
                <w:rFonts w:hint="eastAsia" w:hAnsi="黑体" w:cs="Times New Roman"/>
                <w:sz w:val="21"/>
                <w:szCs w:val="21"/>
                <w:lang w:val="en-US" w:eastAsia="zh-CN"/>
              </w:rPr>
              <w:t>≥90%</w:t>
            </w:r>
          </w:p>
        </w:tc>
        <w:tc>
          <w:tcPr>
            <w:tcW w:w="1716"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hAnsi="黑体" w:eastAsia="仿宋_GB2312" w:cs="Times New Roman"/>
                <w:sz w:val="21"/>
                <w:szCs w:val="21"/>
                <w:lang w:val="en-US" w:eastAsia="zh-CN"/>
              </w:rPr>
            </w:pPr>
            <w:r>
              <w:rPr>
                <w:rFonts w:hint="eastAsia" w:hAnsi="黑体" w:cs="Times New Roman"/>
                <w:sz w:val="21"/>
                <w:szCs w:val="21"/>
              </w:rPr>
              <w:t>项目实施目的</w:t>
            </w:r>
          </w:p>
        </w:tc>
      </w:tr>
      <w:bookmarkEnd w:id="39"/>
      <w:bookmarkEnd w:id="40"/>
      <w:bookmarkEnd w:id="41"/>
    </w:tbl>
    <w:p>
      <w:pPr>
        <w:pStyle w:val="2"/>
        <w:ind w:firstLine="602" w:firstLineChars="200"/>
        <w:rPr>
          <w:rFonts w:hint="eastAsia"/>
        </w:rPr>
        <w:sectPr>
          <w:pgSz w:w="11906" w:h="16838"/>
          <w:pgMar w:top="1440" w:right="1797" w:bottom="1440" w:left="1797" w:header="851" w:footer="567" w:gutter="0"/>
          <w:cols w:space="720" w:num="1"/>
          <w:docGrid w:linePitch="381" w:charSpace="0"/>
        </w:sectPr>
      </w:pPr>
    </w:p>
    <w:p>
      <w:pPr>
        <w:pStyle w:val="2"/>
        <w:ind w:firstLine="643" w:firstLineChars="200"/>
        <w:rPr>
          <w:rFonts w:hint="eastAsia" w:eastAsia="仿宋_GB2312"/>
          <w:sz w:val="32"/>
          <w:szCs w:val="32"/>
          <w:lang w:val="en-US" w:eastAsia="zh-CN"/>
        </w:rPr>
      </w:pPr>
      <w:bookmarkStart w:id="47" w:name="_Toc5138"/>
      <w:r>
        <w:rPr>
          <w:rFonts w:hint="eastAsia" w:ascii="黑体" w:hAnsi="黑体" w:eastAsia="黑体" w:cs="黑体"/>
          <w:sz w:val="32"/>
          <w:szCs w:val="32"/>
        </w:rPr>
        <w:t>二、</w:t>
      </w:r>
      <w:bookmarkEnd w:id="42"/>
      <w:r>
        <w:rPr>
          <w:rFonts w:hint="eastAsia" w:ascii="黑体" w:hAnsi="黑体" w:eastAsia="黑体" w:cs="黑体"/>
          <w:sz w:val="32"/>
          <w:szCs w:val="32"/>
        </w:rPr>
        <w:t>绩效评价工作情况</w:t>
      </w:r>
      <w:bookmarkEnd w:id="47"/>
    </w:p>
    <w:p>
      <w:pPr>
        <w:pStyle w:val="3"/>
        <w:rPr>
          <w:rFonts w:hint="eastAsia" w:eastAsia="方正楷体_GB2312"/>
          <w:sz w:val="32"/>
          <w:szCs w:val="32"/>
          <w:lang w:eastAsia="zh-CN"/>
        </w:rPr>
      </w:pPr>
      <w:bookmarkStart w:id="48" w:name="_Toc105"/>
      <w:bookmarkStart w:id="49" w:name="_Toc27409"/>
      <w:r>
        <w:rPr>
          <w:rFonts w:hint="eastAsia" w:ascii="方正楷体_GB2312" w:hAnsi="方正楷体_GB2312" w:eastAsia="方正楷体_GB2312" w:cs="方正楷体_GB2312"/>
          <w:sz w:val="32"/>
          <w:szCs w:val="32"/>
        </w:rPr>
        <w:t>（一）</w:t>
      </w:r>
      <w:bookmarkEnd w:id="48"/>
      <w:r>
        <w:rPr>
          <w:rFonts w:hint="eastAsia" w:ascii="方正楷体_GB2312" w:hAnsi="方正楷体_GB2312" w:eastAsia="方正楷体_GB2312" w:cs="方正楷体_GB2312"/>
          <w:sz w:val="32"/>
          <w:szCs w:val="32"/>
        </w:rPr>
        <w:t>绩效评价目的、对象和范围</w:t>
      </w:r>
      <w:bookmarkEnd w:id="49"/>
    </w:p>
    <w:p>
      <w:pPr>
        <w:ind w:firstLine="562"/>
        <w:outlineLvl w:val="9"/>
        <w:rPr>
          <w:rFonts w:hAnsi="仿宋"/>
          <w:b/>
          <w:sz w:val="32"/>
          <w:szCs w:val="32"/>
        </w:rPr>
      </w:pPr>
      <w:r>
        <w:rPr>
          <w:rFonts w:hint="eastAsia" w:hAnsi="仿宋"/>
          <w:b/>
          <w:sz w:val="32"/>
          <w:szCs w:val="32"/>
        </w:rPr>
        <w:t>1.评价目的</w:t>
      </w:r>
    </w:p>
    <w:p>
      <w:pPr>
        <w:ind w:firstLine="560"/>
        <w:rPr>
          <w:rFonts w:ascii="仿宋_GB2312" w:hAnsi="Microsoft JhengHei" w:cs="Times New Roman"/>
          <w:sz w:val="32"/>
          <w:szCs w:val="32"/>
        </w:rPr>
      </w:pPr>
      <w:r>
        <w:rPr>
          <w:rFonts w:hint="eastAsia" w:hAnsi="黑体" w:cs="Times New Roman"/>
          <w:sz w:val="32"/>
          <w:szCs w:val="32"/>
          <w:highlight w:val="none"/>
          <w:lang w:val="en-US" w:eastAsia="zh-CN"/>
        </w:rPr>
        <w:t>结合委托方的要求和项目特点，</w:t>
      </w:r>
      <w:r>
        <w:rPr>
          <w:rFonts w:hint="eastAsia" w:hAnsi="黑体" w:cs="Times New Roman"/>
          <w:sz w:val="32"/>
          <w:szCs w:val="32"/>
          <w:highlight w:val="none"/>
        </w:rPr>
        <w:t>本次绩效评价工作开展的</w:t>
      </w:r>
      <w:r>
        <w:rPr>
          <w:rFonts w:hint="eastAsia" w:hAnsi="黑体" w:cs="Times New Roman"/>
          <w:sz w:val="32"/>
          <w:szCs w:val="32"/>
          <w:highlight w:val="none"/>
          <w:lang w:val="en-US" w:eastAsia="zh-CN"/>
        </w:rPr>
        <w:t>主要</w:t>
      </w:r>
      <w:r>
        <w:rPr>
          <w:rFonts w:hint="eastAsia" w:hAnsi="黑体" w:cs="Times New Roman"/>
          <w:sz w:val="32"/>
          <w:szCs w:val="32"/>
          <w:highlight w:val="none"/>
        </w:rPr>
        <w:t>目的是</w:t>
      </w:r>
      <w:r>
        <w:rPr>
          <w:rFonts w:hint="eastAsia" w:hAnsi="黑体" w:cs="Times New Roman"/>
          <w:sz w:val="32"/>
          <w:szCs w:val="32"/>
          <w:highlight w:val="none"/>
          <w:lang w:val="en-US" w:eastAsia="zh-CN"/>
        </w:rPr>
        <w:t>厘清财权与事权分离项目的管理机制</w:t>
      </w:r>
      <w:r>
        <w:rPr>
          <w:rFonts w:hint="eastAsia" w:hAnsi="黑体" w:cs="Times New Roman"/>
          <w:sz w:val="32"/>
          <w:szCs w:val="32"/>
          <w:highlight w:val="none"/>
        </w:rPr>
        <w:t>，</w:t>
      </w:r>
      <w:r>
        <w:rPr>
          <w:rFonts w:hint="eastAsia" w:hAnsi="黑体" w:cs="Times New Roman"/>
          <w:sz w:val="32"/>
          <w:szCs w:val="32"/>
          <w:highlight w:val="none"/>
          <w:lang w:val="en-US" w:eastAsia="zh-CN"/>
        </w:rPr>
        <w:t>并通过访谈和实地调研等方式深入了解各子项目建设实效，发现管理和执行过程中可能存在的问题并提出具有可操作性的建议</w:t>
      </w:r>
      <w:r>
        <w:rPr>
          <w:rFonts w:hint="eastAsia" w:hAnsi="黑体" w:cs="Times New Roman"/>
          <w:sz w:val="32"/>
          <w:szCs w:val="32"/>
          <w:highlight w:val="none"/>
        </w:rPr>
        <w:t>，</w:t>
      </w:r>
      <w:r>
        <w:rPr>
          <w:rFonts w:hint="eastAsia" w:hAnsi="黑体" w:cs="Times New Roman"/>
          <w:sz w:val="32"/>
          <w:szCs w:val="32"/>
          <w:highlight w:val="none"/>
          <w:lang w:val="en-US" w:eastAsia="zh-CN"/>
        </w:rPr>
        <w:t>帮助</w:t>
      </w:r>
      <w:r>
        <w:rPr>
          <w:rFonts w:hint="eastAsia" w:hAnsi="黑体" w:cs="Times New Roman"/>
          <w:sz w:val="32"/>
          <w:szCs w:val="32"/>
          <w:highlight w:val="none"/>
        </w:rPr>
        <w:t>今后年度</w:t>
      </w:r>
      <w:r>
        <w:rPr>
          <w:rFonts w:hint="eastAsia" w:hAnsi="黑体" w:cs="Times New Roman"/>
          <w:sz w:val="32"/>
          <w:szCs w:val="32"/>
          <w:highlight w:val="none"/>
          <w:lang w:val="en-US" w:eastAsia="zh-CN"/>
        </w:rPr>
        <w:t>“美丽家园改造”</w:t>
      </w:r>
      <w:r>
        <w:rPr>
          <w:rFonts w:hint="eastAsia" w:hAnsi="黑体" w:cs="Times New Roman"/>
          <w:sz w:val="32"/>
          <w:szCs w:val="32"/>
          <w:highlight w:val="none"/>
        </w:rPr>
        <w:t>项目更好地开展。</w:t>
      </w:r>
    </w:p>
    <w:p>
      <w:pPr>
        <w:pageBreakBefore w:val="0"/>
        <w:widowControl w:val="0"/>
        <w:kinsoku/>
        <w:wordWrap/>
        <w:overflowPunct/>
        <w:topLinePunct w:val="0"/>
        <w:autoSpaceDE/>
        <w:autoSpaceDN/>
        <w:bidi w:val="0"/>
        <w:adjustRightInd/>
        <w:snapToGrid/>
        <w:ind w:firstLine="562"/>
        <w:textAlignment w:val="auto"/>
        <w:outlineLvl w:val="9"/>
        <w:rPr>
          <w:rFonts w:hAnsi="仿宋"/>
          <w:b/>
          <w:sz w:val="32"/>
          <w:szCs w:val="32"/>
          <w:highlight w:val="none"/>
        </w:rPr>
      </w:pPr>
      <w:r>
        <w:rPr>
          <w:rFonts w:hint="eastAsia" w:hAnsi="仿宋"/>
          <w:b/>
          <w:sz w:val="32"/>
          <w:szCs w:val="32"/>
          <w:highlight w:val="none"/>
          <w:lang w:val="en-US" w:eastAsia="zh-CN"/>
        </w:rPr>
        <w:t>2</w:t>
      </w:r>
      <w:r>
        <w:rPr>
          <w:rFonts w:hint="eastAsia" w:hAnsi="仿宋"/>
          <w:b/>
          <w:sz w:val="32"/>
          <w:szCs w:val="32"/>
          <w:highlight w:val="none"/>
        </w:rPr>
        <w:t>.评价对象</w:t>
      </w:r>
    </w:p>
    <w:p>
      <w:pPr>
        <w:ind w:firstLine="562"/>
        <w:rPr>
          <w:rFonts w:hint="eastAsia" w:hAnsi="仿宋"/>
          <w:b/>
          <w:sz w:val="32"/>
          <w:szCs w:val="32"/>
        </w:rPr>
      </w:pPr>
      <w:r>
        <w:rPr>
          <w:rFonts w:hint="eastAsia" w:hAnsi="黑体"/>
          <w:sz w:val="32"/>
          <w:szCs w:val="32"/>
          <w:highlight w:val="none"/>
        </w:rPr>
        <w:t>本次绩效评价的对象为</w:t>
      </w:r>
      <w:r>
        <w:rPr>
          <w:rFonts w:hint="eastAsia" w:hAnsi="黑体"/>
          <w:sz w:val="32"/>
          <w:szCs w:val="32"/>
          <w:highlight w:val="none"/>
          <w:lang w:val="en-US" w:eastAsia="zh-CN"/>
        </w:rPr>
        <w:t>2020年美丽家园城桥镇地区项目</w:t>
      </w:r>
      <w:r>
        <w:rPr>
          <w:rFonts w:hint="eastAsia" w:hAnsi="黑体"/>
          <w:sz w:val="32"/>
          <w:szCs w:val="32"/>
          <w:highlight w:val="none"/>
        </w:rPr>
        <w:t>，</w:t>
      </w:r>
      <w:r>
        <w:rPr>
          <w:rFonts w:hint="eastAsia" w:hAnsi="黑体"/>
          <w:sz w:val="32"/>
          <w:szCs w:val="32"/>
          <w:highlight w:val="none"/>
          <w:lang w:eastAsia="zh-CN"/>
        </w:rPr>
        <w:t>项目2020、2021</w:t>
      </w:r>
      <w:r>
        <w:rPr>
          <w:rFonts w:hint="eastAsia" w:hAnsi="黑体"/>
          <w:sz w:val="32"/>
          <w:szCs w:val="32"/>
          <w:highlight w:val="none"/>
          <w:lang w:val="en-US" w:eastAsia="zh-CN"/>
        </w:rPr>
        <w:t>两</w:t>
      </w:r>
      <w:r>
        <w:rPr>
          <w:rFonts w:hint="eastAsia" w:hAnsi="黑体"/>
          <w:sz w:val="32"/>
          <w:szCs w:val="32"/>
          <w:highlight w:val="none"/>
          <w:lang w:eastAsia="zh-CN"/>
        </w:rPr>
        <w:t>年总预算为</w:t>
      </w:r>
      <w:r>
        <w:rPr>
          <w:rFonts w:hint="eastAsia" w:hAnsi="Times New Roman" w:cs="Times New Roman"/>
          <w:sz w:val="32"/>
          <w:szCs w:val="32"/>
          <w:highlight w:val="none"/>
          <w:lang w:val="en-US" w:eastAsia="zh-CN"/>
        </w:rPr>
        <w:t>13272.14</w:t>
      </w:r>
      <w:r>
        <w:rPr>
          <w:rFonts w:hint="eastAsia" w:hAnsi="黑体"/>
          <w:sz w:val="32"/>
          <w:szCs w:val="32"/>
          <w:highlight w:val="none"/>
          <w:lang w:eastAsia="zh-CN"/>
        </w:rPr>
        <w:t>万元</w:t>
      </w:r>
      <w:r>
        <w:rPr>
          <w:rFonts w:hint="eastAsia" w:hAnsi="黑体"/>
          <w:sz w:val="32"/>
          <w:szCs w:val="32"/>
          <w:highlight w:val="none"/>
        </w:rPr>
        <w:t>。</w:t>
      </w:r>
      <w:r>
        <w:rPr>
          <w:rFonts w:hAnsi="Malgun Gothic"/>
          <w:sz w:val="32"/>
          <w:szCs w:val="32"/>
        </w:rPr>
        <w:t>评</w:t>
      </w:r>
      <w:r>
        <w:rPr>
          <w:rFonts w:hint="eastAsia" w:ascii="仿宋_GB2312" w:hAnsi="仿宋_GB2312" w:eastAsia="仿宋_GB2312" w:cs="仿宋_GB2312"/>
          <w:kern w:val="2"/>
          <w:sz w:val="32"/>
          <w:szCs w:val="32"/>
          <w:lang w:val="en-US" w:eastAsia="zh-CN" w:bidi="ar-SA"/>
        </w:rPr>
        <w:t>价时段为2020年1月1日至202</w:t>
      </w:r>
      <w:r>
        <w:rPr>
          <w:rFonts w:hint="eastAsia" w:ascii="仿宋_GB2312" w:hAnsi="仿宋_GB2312" w:cs="仿宋_GB2312"/>
          <w:kern w:val="2"/>
          <w:sz w:val="32"/>
          <w:szCs w:val="32"/>
          <w:lang w:val="en-US" w:eastAsia="zh-CN" w:bidi="ar-SA"/>
        </w:rPr>
        <w:t>2</w:t>
      </w:r>
      <w:r>
        <w:rPr>
          <w:rFonts w:hint="eastAsia" w:ascii="仿宋_GB2312" w:hAnsi="仿宋_GB2312" w:eastAsia="仿宋_GB2312" w:cs="仿宋_GB2312"/>
          <w:kern w:val="2"/>
          <w:sz w:val="32"/>
          <w:szCs w:val="32"/>
          <w:lang w:val="en-US" w:eastAsia="zh-CN" w:bidi="ar-SA"/>
        </w:rPr>
        <w:t>年12月31日。</w:t>
      </w:r>
    </w:p>
    <w:p>
      <w:pPr>
        <w:pageBreakBefore w:val="0"/>
        <w:widowControl w:val="0"/>
        <w:kinsoku/>
        <w:wordWrap/>
        <w:overflowPunct/>
        <w:topLinePunct w:val="0"/>
        <w:autoSpaceDE/>
        <w:autoSpaceDN/>
        <w:bidi w:val="0"/>
        <w:adjustRightInd/>
        <w:snapToGrid/>
        <w:ind w:firstLine="562"/>
        <w:textAlignment w:val="auto"/>
        <w:outlineLvl w:val="9"/>
        <w:rPr>
          <w:rFonts w:hAnsi="仿宋"/>
          <w:b/>
          <w:sz w:val="32"/>
          <w:szCs w:val="32"/>
        </w:rPr>
      </w:pPr>
      <w:r>
        <w:rPr>
          <w:rFonts w:hint="eastAsia" w:hAnsi="仿宋"/>
          <w:b/>
          <w:sz w:val="32"/>
          <w:szCs w:val="32"/>
          <w:lang w:val="en-US" w:eastAsia="zh-CN"/>
        </w:rPr>
        <w:t>3</w:t>
      </w:r>
      <w:r>
        <w:rPr>
          <w:rFonts w:hint="eastAsia" w:hAnsi="仿宋"/>
          <w:b/>
          <w:sz w:val="32"/>
          <w:szCs w:val="32"/>
        </w:rPr>
        <w:t>.</w:t>
      </w:r>
      <w:bookmarkStart w:id="50" w:name="_Toc26196"/>
      <w:r>
        <w:rPr>
          <w:rFonts w:hint="eastAsia" w:hAnsi="仿宋"/>
          <w:b/>
          <w:sz w:val="32"/>
          <w:szCs w:val="32"/>
        </w:rPr>
        <w:t>评价范围</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sz w:val="32"/>
          <w:szCs w:val="32"/>
          <w:highlight w:val="none"/>
          <w:lang w:val="en-US" w:eastAsia="zh-CN"/>
        </w:rPr>
        <w:t>本次绩效评价</w:t>
      </w:r>
      <w:r>
        <w:rPr>
          <w:rFonts w:hint="eastAsia" w:ascii="仿宋_GB2312" w:hAnsi="仿宋_GB2312" w:eastAsia="仿宋_GB2312" w:cs="仿宋_GB2312"/>
          <w:sz w:val="32"/>
          <w:szCs w:val="32"/>
          <w:highlight w:val="none"/>
          <w:lang w:val="en-US" w:eastAsia="zh-CN"/>
        </w:rPr>
        <w:t>范围的资金主要为2020年城桥镇地区实施的6个</w:t>
      </w:r>
      <w:r>
        <w:rPr>
          <w:rFonts w:hint="eastAsia" w:ascii="仿宋_GB2312" w:hAnsi="仿宋_GB2312" w:eastAsia="仿宋_GB2312" w:cs="仿宋_GB2312"/>
          <w:sz w:val="32"/>
          <w:szCs w:val="32"/>
          <w:lang w:val="en-US" w:eastAsia="zh-CN"/>
        </w:rPr>
        <w:t>“美丽家园”</w:t>
      </w:r>
      <w:r>
        <w:rPr>
          <w:rFonts w:hint="eastAsia" w:ascii="仿宋_GB2312" w:hAnsi="仿宋_GB2312" w:eastAsia="仿宋_GB2312" w:cs="仿宋_GB2312"/>
          <w:sz w:val="32"/>
          <w:szCs w:val="32"/>
          <w:highlight w:val="none"/>
          <w:lang w:val="en-US" w:eastAsia="zh-CN"/>
        </w:rPr>
        <w:t>改造项目资金，项目总投资</w:t>
      </w:r>
      <w:r>
        <w:rPr>
          <w:rFonts w:hint="eastAsia" w:ascii="仿宋_GB2312" w:hAnsi="仿宋_GB2312" w:eastAsia="仿宋_GB2312" w:cs="仿宋_GB2312"/>
          <w:sz w:val="32"/>
          <w:szCs w:val="32"/>
          <w:lang w:val="en-US" w:eastAsia="zh-CN"/>
        </w:rPr>
        <w:t>概算</w:t>
      </w:r>
      <w:r>
        <w:rPr>
          <w:rFonts w:hint="eastAsia" w:ascii="仿宋_GB2312" w:hAnsi="仿宋_GB2312" w:eastAsia="仿宋_GB2312" w:cs="仿宋_GB2312"/>
          <w:sz w:val="32"/>
          <w:szCs w:val="32"/>
          <w:highlight w:val="none"/>
          <w:lang w:val="en-US" w:eastAsia="zh-CN"/>
        </w:rPr>
        <w:t>为22142.76万元（区发改委批复数）</w:t>
      </w:r>
      <w:r>
        <w:rPr>
          <w:rFonts w:hint="eastAsia" w:ascii="仿宋_GB2312" w:hAnsi="仿宋_GB2312" w:eastAsia="仿宋_GB2312" w:cs="仿宋_GB2312"/>
          <w:kern w:val="2"/>
          <w:sz w:val="32"/>
          <w:szCs w:val="32"/>
          <w:lang w:val="en-US" w:eastAsia="zh-CN" w:bidi="ar-SA"/>
        </w:rPr>
        <w:t>，具体</w:t>
      </w:r>
      <w:r>
        <w:rPr>
          <w:rFonts w:hint="eastAsia" w:ascii="仿宋_GB2312" w:hAnsi="仿宋_GB2312" w:cs="仿宋_GB2312"/>
          <w:kern w:val="2"/>
          <w:sz w:val="32"/>
          <w:szCs w:val="32"/>
          <w:lang w:val="en-US" w:eastAsia="zh-CN" w:bidi="ar-SA"/>
        </w:rPr>
        <w:t>包括</w:t>
      </w:r>
      <w:r>
        <w:rPr>
          <w:rFonts w:hint="eastAsia" w:hAnsi="黑体"/>
          <w:sz w:val="32"/>
          <w:szCs w:val="32"/>
          <w:highlight w:val="none"/>
          <w:lang w:val="en-US" w:eastAsia="zh-CN"/>
        </w:rPr>
        <w:t>两级政府的管理履职情况、</w:t>
      </w:r>
      <w:r>
        <w:rPr>
          <w:rFonts w:hint="eastAsia" w:ascii="仿宋_GB2312" w:hAnsi="仿宋_GB2312" w:cs="仿宋_GB2312"/>
          <w:kern w:val="2"/>
          <w:sz w:val="32"/>
          <w:szCs w:val="32"/>
          <w:lang w:val="en-US" w:eastAsia="zh-CN" w:bidi="ar-SA"/>
        </w:rPr>
        <w:t>工程建设质量和时效</w:t>
      </w:r>
      <w:r>
        <w:rPr>
          <w:rFonts w:hint="eastAsia" w:ascii="仿宋_GB2312" w:hAnsi="仿宋_GB2312" w:eastAsia="仿宋_GB2312" w:cs="仿宋_GB2312"/>
          <w:sz w:val="32"/>
          <w:szCs w:val="32"/>
        </w:rPr>
        <w:t>、</w:t>
      </w:r>
      <w:r>
        <w:rPr>
          <w:rFonts w:hint="eastAsia" w:ascii="仿宋_GB2312" w:hAnsi="仿宋_GB2312" w:cs="仿宋_GB2312"/>
          <w:sz w:val="32"/>
          <w:szCs w:val="32"/>
          <w:lang w:val="en-US" w:eastAsia="zh-CN"/>
        </w:rPr>
        <w:t>居民对项目建设</w:t>
      </w:r>
      <w:r>
        <w:rPr>
          <w:rFonts w:hint="eastAsia" w:ascii="仿宋_GB2312" w:hAnsi="仿宋_GB2312" w:eastAsia="仿宋_GB2312" w:cs="仿宋_GB2312"/>
          <w:sz w:val="32"/>
          <w:szCs w:val="32"/>
          <w:lang w:val="en-US" w:eastAsia="zh-CN"/>
        </w:rPr>
        <w:t>的</w:t>
      </w:r>
      <w:r>
        <w:rPr>
          <w:rFonts w:hint="eastAsia" w:ascii="仿宋_GB2312" w:hAnsi="仿宋_GB2312" w:cs="仿宋_GB2312"/>
          <w:sz w:val="32"/>
          <w:szCs w:val="32"/>
          <w:lang w:val="en-US" w:eastAsia="zh-CN"/>
        </w:rPr>
        <w:t>综合满意度等</w:t>
      </w:r>
      <w:r>
        <w:rPr>
          <w:rFonts w:hint="eastAsia" w:ascii="仿宋_GB2312" w:hAnsi="仿宋_GB2312" w:eastAsia="仿宋_GB2312" w:cs="仿宋_GB2312"/>
          <w:sz w:val="32"/>
          <w:szCs w:val="32"/>
          <w:lang w:val="en-US" w:eastAsia="zh-CN"/>
        </w:rPr>
        <w:t>情况</w:t>
      </w:r>
      <w:r>
        <w:rPr>
          <w:rFonts w:hint="eastAsia" w:hAnsi="黑体"/>
          <w:sz w:val="32"/>
          <w:szCs w:val="32"/>
        </w:rPr>
        <w:t>。</w:t>
      </w:r>
    </w:p>
    <w:p>
      <w:pPr>
        <w:pStyle w:val="57"/>
        <w:numPr>
          <w:ilvl w:val="0"/>
          <w:numId w:val="0"/>
        </w:numPr>
        <w:ind w:firstLine="640" w:firstLineChars="200"/>
        <w:contextualSpacing w:val="0"/>
        <w:rPr>
          <w:rFonts w:hint="eastAsia" w:ascii="仿宋_GB2312" w:hAnsi="仿宋_GB2312" w:eastAsia="仿宋_GB2312" w:cs="仿宋_GB2312"/>
          <w:sz w:val="32"/>
          <w:szCs w:val="32"/>
        </w:rPr>
      </w:pPr>
    </w:p>
    <w:p>
      <w:pPr>
        <w:pStyle w:val="3"/>
        <w:rPr>
          <w:rFonts w:hint="default" w:eastAsia="方正楷体_GB2312"/>
          <w:sz w:val="32"/>
          <w:szCs w:val="32"/>
          <w:lang w:val="en-US" w:eastAsia="zh-CN"/>
        </w:rPr>
      </w:pPr>
      <w:bookmarkStart w:id="51" w:name="_Toc5291"/>
      <w:r>
        <w:rPr>
          <w:rFonts w:hint="eastAsia" w:ascii="方正楷体_GB2312" w:hAnsi="方正楷体_GB2312" w:eastAsia="方正楷体_GB2312" w:cs="方正楷体_GB2312"/>
          <w:sz w:val="32"/>
          <w:szCs w:val="32"/>
        </w:rPr>
        <w:t>（二）</w:t>
      </w:r>
      <w:bookmarkEnd w:id="50"/>
      <w:r>
        <w:rPr>
          <w:rFonts w:hint="eastAsia" w:ascii="方正楷体_GB2312" w:hAnsi="方正楷体_GB2312" w:eastAsia="方正楷体_GB2312" w:cs="方正楷体_GB2312"/>
          <w:sz w:val="32"/>
          <w:szCs w:val="32"/>
        </w:rPr>
        <w:t>绩效评价的依据</w:t>
      </w:r>
      <w:bookmarkEnd w:id="51"/>
    </w:p>
    <w:p>
      <w:pPr>
        <w:rPr>
          <w:rFonts w:hAnsi="仿宋"/>
          <w:b/>
          <w:sz w:val="32"/>
          <w:szCs w:val="32"/>
        </w:rPr>
      </w:pPr>
      <w:bookmarkStart w:id="52" w:name="_Toc11214"/>
      <w:r>
        <w:rPr>
          <w:rFonts w:hint="eastAsia" w:hAnsi="仿宋"/>
          <w:b/>
          <w:sz w:val="32"/>
          <w:szCs w:val="32"/>
          <w:lang w:val="en-US" w:eastAsia="zh-CN"/>
        </w:rPr>
        <w:t>1.评价类</w:t>
      </w:r>
      <w:r>
        <w:rPr>
          <w:rFonts w:hAnsi="仿宋"/>
          <w:b/>
          <w:sz w:val="32"/>
          <w:szCs w:val="32"/>
        </w:rPr>
        <w:t>依据</w:t>
      </w:r>
      <w:r>
        <w:rPr>
          <w:rFonts w:hint="eastAsia" w:hAnsi="仿宋"/>
          <w:b/>
          <w:sz w:val="32"/>
          <w:szCs w:val="32"/>
        </w:rPr>
        <w:t>：</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1</w:t>
      </w:r>
      <w:r>
        <w:rPr>
          <w:rFonts w:hint="eastAsia" w:hAnsi="黑体" w:cs="Times New Roman"/>
          <w:sz w:val="32"/>
          <w:szCs w:val="32"/>
          <w:lang w:eastAsia="zh-CN"/>
        </w:rPr>
        <w:t>）</w:t>
      </w:r>
      <w:r>
        <w:rPr>
          <w:rFonts w:hint="eastAsia" w:hAnsi="黑体" w:cs="Times New Roman"/>
          <w:sz w:val="32"/>
          <w:szCs w:val="32"/>
        </w:rPr>
        <w:t>《中共上海市委 上海市人民政府关于我市全面实施预算绩效管理的实施意见》（沪委发〔2019〕12号）；</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2</w:t>
      </w:r>
      <w:r>
        <w:rPr>
          <w:rFonts w:hint="eastAsia" w:hAnsi="黑体" w:cs="Times New Roman"/>
          <w:sz w:val="32"/>
          <w:szCs w:val="32"/>
          <w:lang w:eastAsia="zh-CN"/>
        </w:rPr>
        <w:t>）</w:t>
      </w:r>
      <w:r>
        <w:rPr>
          <w:rFonts w:hint="eastAsia" w:hAnsi="黑体" w:cs="Times New Roman"/>
          <w:sz w:val="32"/>
          <w:szCs w:val="32"/>
        </w:rPr>
        <w:t>《关于印发</w:t>
      </w:r>
      <w:r>
        <w:rPr>
          <w:rFonts w:hAnsi="黑体" w:cs="Times New Roman"/>
          <w:sz w:val="32"/>
          <w:szCs w:val="32"/>
        </w:rPr>
        <w:t>&lt;上海市</w:t>
      </w:r>
      <w:r>
        <w:rPr>
          <w:rFonts w:hint="eastAsia" w:hAnsi="黑体" w:cs="Times New Roman"/>
          <w:sz w:val="32"/>
          <w:szCs w:val="32"/>
        </w:rPr>
        <w:t>财政项目支出</w:t>
      </w:r>
      <w:r>
        <w:rPr>
          <w:rFonts w:hAnsi="黑体" w:cs="Times New Roman"/>
          <w:sz w:val="32"/>
          <w:szCs w:val="32"/>
        </w:rPr>
        <w:t>预算绩效管理办法</w:t>
      </w:r>
      <w:r>
        <w:rPr>
          <w:rFonts w:hint="eastAsia" w:hAnsi="黑体" w:cs="Times New Roman"/>
          <w:sz w:val="32"/>
          <w:szCs w:val="32"/>
        </w:rPr>
        <w:t>（试行）</w:t>
      </w:r>
      <w:r>
        <w:rPr>
          <w:rFonts w:hAnsi="黑体" w:cs="Times New Roman"/>
          <w:sz w:val="32"/>
          <w:szCs w:val="32"/>
        </w:rPr>
        <w:t>&gt;的通知》（沪财绩〔2020〕6号）</w:t>
      </w:r>
      <w:r>
        <w:rPr>
          <w:rFonts w:hint="eastAsia" w:hAnsi="黑体" w:cs="Times New Roman"/>
          <w:sz w:val="32"/>
          <w:szCs w:val="32"/>
        </w:rPr>
        <w:t>；</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3</w:t>
      </w:r>
      <w:r>
        <w:rPr>
          <w:rFonts w:hint="eastAsia" w:hAnsi="黑体" w:cs="Times New Roman"/>
          <w:sz w:val="32"/>
          <w:szCs w:val="32"/>
          <w:lang w:eastAsia="zh-CN"/>
        </w:rPr>
        <w:t>）</w:t>
      </w:r>
      <w:r>
        <w:rPr>
          <w:rFonts w:hint="eastAsia" w:hAnsi="黑体" w:cs="Times New Roman"/>
          <w:sz w:val="32"/>
          <w:szCs w:val="32"/>
        </w:rPr>
        <w:t>《中共上海市崇明区委 上海市崇明区人民政府关于我区全面实施预算绩效管理的实施意见》（崇委发〔2019〕21号）；</w:t>
      </w:r>
    </w:p>
    <w:p>
      <w:pPr>
        <w:numPr>
          <w:ilvl w:val="0"/>
          <w:numId w:val="0"/>
        </w:numPr>
        <w:ind w:firstLine="640" w:firstLineChars="200"/>
        <w:rPr>
          <w:rFonts w:hAnsi="黑体" w:cs="Times New Roman"/>
          <w:sz w:val="32"/>
          <w:szCs w:val="32"/>
        </w:rPr>
      </w:pPr>
      <w:r>
        <w:rPr>
          <w:rFonts w:hint="eastAsia" w:hAnsi="黑体" w:cs="Times New Roman"/>
          <w:sz w:val="32"/>
          <w:szCs w:val="32"/>
          <w:lang w:eastAsia="zh-CN"/>
        </w:rPr>
        <w:t>（</w:t>
      </w:r>
      <w:r>
        <w:rPr>
          <w:rFonts w:hint="eastAsia" w:hAnsi="黑体" w:cs="Times New Roman"/>
          <w:sz w:val="32"/>
          <w:szCs w:val="32"/>
          <w:lang w:val="en-US" w:eastAsia="zh-CN"/>
        </w:rPr>
        <w:t>4</w:t>
      </w:r>
      <w:r>
        <w:rPr>
          <w:rFonts w:hint="eastAsia" w:hAnsi="黑体" w:cs="Times New Roman"/>
          <w:sz w:val="32"/>
          <w:szCs w:val="32"/>
          <w:lang w:eastAsia="zh-CN"/>
        </w:rPr>
        <w:t>）</w:t>
      </w:r>
      <w:r>
        <w:rPr>
          <w:rFonts w:hint="eastAsia" w:hAnsi="黑体" w:cs="Times New Roman"/>
          <w:sz w:val="32"/>
          <w:szCs w:val="32"/>
        </w:rPr>
        <w:t>《关于印发&lt;202</w:t>
      </w:r>
      <w:r>
        <w:rPr>
          <w:rFonts w:hint="eastAsia" w:hAnsi="黑体" w:cs="Times New Roman"/>
          <w:sz w:val="32"/>
          <w:szCs w:val="32"/>
          <w:lang w:val="en-US" w:eastAsia="zh-CN"/>
        </w:rPr>
        <w:t>3</w:t>
      </w:r>
      <w:r>
        <w:rPr>
          <w:rFonts w:hint="eastAsia" w:hAnsi="黑体" w:cs="Times New Roman"/>
          <w:sz w:val="32"/>
          <w:szCs w:val="32"/>
        </w:rPr>
        <w:t>年崇明区预算绩效管理工作要点&gt;的通知》（沪崇财绩〔202</w:t>
      </w:r>
      <w:r>
        <w:rPr>
          <w:rFonts w:hint="eastAsia" w:hAnsi="黑体" w:cs="Times New Roman"/>
          <w:sz w:val="32"/>
          <w:szCs w:val="32"/>
          <w:lang w:val="en-US" w:eastAsia="zh-CN"/>
        </w:rPr>
        <w:t>3</w:t>
      </w:r>
      <w:r>
        <w:rPr>
          <w:rFonts w:hint="eastAsia" w:hAnsi="黑体" w:cs="Times New Roman"/>
          <w:sz w:val="32"/>
          <w:szCs w:val="32"/>
        </w:rPr>
        <w:t>〕1号）</w:t>
      </w:r>
      <w:r>
        <w:rPr>
          <w:rFonts w:hint="eastAsia" w:hAnsi="Times New Roman" w:cs="Times New Roman"/>
          <w:sz w:val="32"/>
          <w:szCs w:val="32"/>
        </w:rPr>
        <w:t>。</w:t>
      </w:r>
    </w:p>
    <w:p>
      <w:pPr>
        <w:ind w:firstLine="562"/>
        <w:rPr>
          <w:b/>
          <w:sz w:val="32"/>
          <w:szCs w:val="32"/>
        </w:rPr>
      </w:pPr>
      <w:r>
        <w:rPr>
          <w:rFonts w:hint="eastAsia"/>
          <w:b/>
          <w:sz w:val="32"/>
          <w:szCs w:val="32"/>
          <w:lang w:val="en-US" w:eastAsia="zh-CN"/>
        </w:rPr>
        <w:t>2.</w:t>
      </w:r>
      <w:r>
        <w:rPr>
          <w:rFonts w:hint="eastAsia" w:ascii="仿宋_GB2312" w:eastAsia="仿宋_GB2312"/>
          <w:b/>
          <w:sz w:val="32"/>
          <w:szCs w:val="32"/>
          <w:lang w:val="en-US" w:eastAsia="zh-CN"/>
        </w:rPr>
        <w:t>业务类</w:t>
      </w:r>
      <w:r>
        <w:rPr>
          <w:rFonts w:hint="eastAsia"/>
          <w:b/>
          <w:sz w:val="32"/>
          <w:szCs w:val="32"/>
        </w:rPr>
        <w:t>依据：</w:t>
      </w:r>
    </w:p>
    <w:p>
      <w:pPr>
        <w:pStyle w:val="57"/>
        <w:numPr>
          <w:ilvl w:val="0"/>
          <w:numId w:val="0"/>
        </w:numPr>
        <w:ind w:firstLine="640" w:firstLineChars="200"/>
        <w:contextualSpacing w:val="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黑体" w:eastAsia="仿宋_GB2312" w:cs="Times New Roman"/>
          <w:kern w:val="2"/>
          <w:sz w:val="32"/>
          <w:szCs w:val="32"/>
          <w:lang w:val="en-US" w:eastAsia="zh-CN" w:bidi="ar-SA"/>
        </w:rPr>
        <w:t>《上海市崇明区人民政府办公室关于印发本区住宅小区建设“生态美丽家园”三年行动计划（2018—2020）的通知》（沪崇府办发〔2018〕27号）</w:t>
      </w:r>
      <w:r>
        <w:rPr>
          <w:rFonts w:hint="eastAsia" w:ascii="仿宋_GB2312" w:hAnsi="仿宋_GB2312" w:cs="仿宋_GB2312"/>
          <w:sz w:val="32"/>
          <w:szCs w:val="32"/>
          <w:lang w:eastAsia="zh-CN"/>
        </w:rPr>
        <w:t>；</w:t>
      </w:r>
    </w:p>
    <w:p>
      <w:pPr>
        <w:ind w:firstLine="560"/>
        <w:rPr>
          <w:rFonts w:hint="eastAsia"/>
          <w:sz w:val="32"/>
          <w:szCs w:val="32"/>
          <w:lang w:val="en-US" w:eastAsia="zh-CN"/>
        </w:rPr>
      </w:pPr>
      <w:r>
        <w:rPr>
          <w:rFonts w:hint="eastAsia" w:eastAsia="仿宋_GB2312"/>
          <w:sz w:val="32"/>
          <w:szCs w:val="32"/>
          <w:lang w:eastAsia="zh-CN"/>
        </w:rPr>
        <w:t>（</w:t>
      </w:r>
      <w:r>
        <w:rPr>
          <w:rFonts w:hint="eastAsia" w:ascii="仿宋_GB2312" w:eastAsia="仿宋_GB2312"/>
          <w:sz w:val="32"/>
          <w:szCs w:val="32"/>
          <w:lang w:val="en-US" w:eastAsia="zh-CN"/>
        </w:rPr>
        <w:t>2</w:t>
      </w:r>
      <w:r>
        <w:rPr>
          <w:rFonts w:hint="eastAsia" w:eastAsia="仿宋_GB2312"/>
          <w:sz w:val="32"/>
          <w:szCs w:val="32"/>
          <w:lang w:eastAsia="zh-CN"/>
        </w:rPr>
        <w:t>）</w:t>
      </w:r>
      <w:r>
        <w:rPr>
          <w:rFonts w:hint="eastAsia" w:ascii="仿宋_GB2312" w:eastAsia="仿宋_GB2312"/>
          <w:sz w:val="32"/>
          <w:szCs w:val="32"/>
          <w:lang w:val="en-US" w:eastAsia="zh-CN"/>
        </w:rPr>
        <w:t>《</w:t>
      </w:r>
      <w:r>
        <w:rPr>
          <w:rFonts w:hint="eastAsia" w:eastAsia="仿宋_GB2312"/>
          <w:sz w:val="32"/>
          <w:szCs w:val="32"/>
          <w:lang w:eastAsia="zh-CN"/>
        </w:rPr>
        <w:t>关于印发</w:t>
      </w:r>
      <w:r>
        <w:rPr>
          <w:rFonts w:hint="eastAsia" w:ascii="仿宋_GB2312" w:eastAsia="仿宋_GB2312"/>
          <w:sz w:val="32"/>
          <w:szCs w:val="32"/>
          <w:lang w:val="en-US" w:eastAsia="zh-CN"/>
        </w:rPr>
        <w:t>〈</w:t>
      </w:r>
      <w:r>
        <w:rPr>
          <w:rFonts w:hint="eastAsia" w:eastAsia="仿宋_GB2312"/>
          <w:sz w:val="32"/>
          <w:szCs w:val="32"/>
          <w:lang w:eastAsia="zh-CN"/>
        </w:rPr>
        <w:t>上海市崇明区政府投资项目管理办法</w:t>
      </w:r>
      <w:r>
        <w:rPr>
          <w:rFonts w:hint="eastAsia" w:ascii="仿宋_GB2312" w:eastAsia="仿宋_GB2312"/>
          <w:sz w:val="32"/>
          <w:szCs w:val="32"/>
          <w:lang w:val="en-US" w:eastAsia="zh-CN"/>
        </w:rPr>
        <w:t>〉</w:t>
      </w:r>
      <w:r>
        <w:rPr>
          <w:rFonts w:hint="eastAsia" w:eastAsia="仿宋_GB2312"/>
          <w:sz w:val="32"/>
          <w:szCs w:val="32"/>
          <w:lang w:eastAsia="zh-CN"/>
        </w:rPr>
        <w:t>的通知</w:t>
      </w:r>
      <w:r>
        <w:rPr>
          <w:rFonts w:hint="eastAsia" w:ascii="仿宋_GB2312" w:eastAsia="仿宋_GB2312"/>
          <w:sz w:val="32"/>
          <w:szCs w:val="32"/>
          <w:lang w:val="en-US" w:eastAsia="zh-CN"/>
        </w:rPr>
        <w:t>》（</w:t>
      </w:r>
      <w:r>
        <w:rPr>
          <w:rFonts w:hint="eastAsia" w:eastAsia="仿宋_GB2312"/>
          <w:sz w:val="32"/>
          <w:szCs w:val="32"/>
          <w:lang w:eastAsia="zh-CN"/>
        </w:rPr>
        <w:t>沪崇发改〔2020〕478号</w:t>
      </w:r>
      <w:r>
        <w:rPr>
          <w:rFonts w:hint="eastAsia" w:ascii="仿宋_GB2312" w:eastAsia="仿宋_GB2312"/>
          <w:sz w:val="32"/>
          <w:szCs w:val="32"/>
          <w:lang w:val="en-US" w:eastAsia="zh-CN"/>
        </w:rPr>
        <w:t>）；</w:t>
      </w:r>
    </w:p>
    <w:p>
      <w:pPr>
        <w:pStyle w:val="57"/>
        <w:numPr>
          <w:ilvl w:val="0"/>
          <w:numId w:val="0"/>
        </w:numPr>
        <w:ind w:firstLine="640" w:firstLineChars="200"/>
        <w:contextualSpacing w:val="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val="en-US" w:eastAsia="zh-CN"/>
        </w:rPr>
        <w:t>（3）</w:t>
      </w:r>
      <w:r>
        <w:rPr>
          <w:rFonts w:hint="eastAsia"/>
          <w:sz w:val="32"/>
          <w:szCs w:val="32"/>
          <w:lang w:val="en-US" w:eastAsia="zh-CN"/>
        </w:rPr>
        <w:t>《</w:t>
      </w:r>
      <w:r>
        <w:rPr>
          <w:rFonts w:hint="eastAsia"/>
          <w:sz w:val="32"/>
          <w:szCs w:val="32"/>
          <w:lang w:eastAsia="zh-CN"/>
        </w:rPr>
        <w:t>关于印发</w:t>
      </w:r>
      <w:r>
        <w:rPr>
          <w:rFonts w:hint="eastAsia"/>
          <w:sz w:val="32"/>
          <w:szCs w:val="32"/>
          <w:lang w:val="en-US" w:eastAsia="zh-CN"/>
        </w:rPr>
        <w:t>〈</w:t>
      </w:r>
      <w:r>
        <w:rPr>
          <w:rFonts w:hint="eastAsia"/>
          <w:sz w:val="32"/>
          <w:szCs w:val="32"/>
          <w:lang w:eastAsia="zh-CN"/>
        </w:rPr>
        <w:t>上海市崇明区政府投资项目</w:t>
      </w:r>
      <w:r>
        <w:rPr>
          <w:rFonts w:hint="eastAsia"/>
          <w:sz w:val="32"/>
          <w:szCs w:val="32"/>
          <w:lang w:val="en-US" w:eastAsia="zh-CN"/>
        </w:rPr>
        <w:t>储备库</w:t>
      </w:r>
      <w:r>
        <w:rPr>
          <w:rFonts w:hint="eastAsia"/>
          <w:sz w:val="32"/>
          <w:szCs w:val="32"/>
          <w:lang w:eastAsia="zh-CN"/>
        </w:rPr>
        <w:t>管理办法</w:t>
      </w:r>
      <w:r>
        <w:rPr>
          <w:rFonts w:hint="eastAsia"/>
          <w:sz w:val="32"/>
          <w:szCs w:val="32"/>
          <w:lang w:val="en-US" w:eastAsia="zh-CN"/>
        </w:rPr>
        <w:t>〉</w:t>
      </w:r>
      <w:r>
        <w:rPr>
          <w:rFonts w:hint="eastAsia"/>
          <w:sz w:val="32"/>
          <w:szCs w:val="32"/>
          <w:lang w:eastAsia="zh-CN"/>
        </w:rPr>
        <w:t>的通知</w:t>
      </w:r>
      <w:r>
        <w:rPr>
          <w:rFonts w:hint="eastAsia"/>
          <w:sz w:val="32"/>
          <w:szCs w:val="32"/>
          <w:lang w:val="en-US" w:eastAsia="zh-CN"/>
        </w:rPr>
        <w:t>》（</w:t>
      </w:r>
      <w:r>
        <w:rPr>
          <w:rFonts w:hint="eastAsia"/>
          <w:sz w:val="32"/>
          <w:szCs w:val="32"/>
          <w:lang w:eastAsia="zh-CN"/>
        </w:rPr>
        <w:t>沪崇发改</w:t>
      </w:r>
      <w:r>
        <w:rPr>
          <w:rFonts w:hint="eastAsia" w:ascii="仿宋_GB2312" w:hAnsi="仿宋_GB2312" w:eastAsia="仿宋_GB2312" w:cs="仿宋_GB2312"/>
          <w:sz w:val="32"/>
          <w:szCs w:val="32"/>
          <w:lang w:eastAsia="zh-CN"/>
        </w:rPr>
        <w:t>〔2020〕47</w:t>
      </w:r>
      <w:r>
        <w:rPr>
          <w:rFonts w:hint="eastAsia" w:ascii="仿宋_GB2312" w:hAnsi="仿宋_GB2312" w:eastAsia="仿宋_GB2312" w:cs="仿宋_GB2312"/>
          <w:sz w:val="32"/>
          <w:szCs w:val="32"/>
          <w:lang w:val="en-US" w:eastAsia="zh-CN"/>
        </w:rPr>
        <w:t>9</w:t>
      </w:r>
      <w:r>
        <w:rPr>
          <w:rFonts w:hint="eastAsia" w:ascii="仿宋_GB2312" w:hAnsi="仿宋_GB2312" w:eastAsia="仿宋_GB2312" w:cs="仿宋_GB2312"/>
          <w:sz w:val="32"/>
          <w:szCs w:val="32"/>
          <w:lang w:eastAsia="zh-CN"/>
        </w:rPr>
        <w:t>号</w:t>
      </w:r>
      <w:r>
        <w:rPr>
          <w:rFonts w:hint="eastAsia"/>
          <w:sz w:val="32"/>
          <w:szCs w:val="32"/>
          <w:lang w:val="en-US" w:eastAsia="zh-CN"/>
        </w:rPr>
        <w:t>）；</w:t>
      </w:r>
    </w:p>
    <w:p>
      <w:pPr>
        <w:pStyle w:val="57"/>
        <w:numPr>
          <w:ilvl w:val="0"/>
          <w:numId w:val="0"/>
        </w:numPr>
        <w:ind w:firstLine="640" w:firstLineChars="200"/>
        <w:contextualSpacing w:val="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lang w:eastAsia="zh-CN"/>
        </w:rPr>
        <w:t>）</w:t>
      </w:r>
      <w:r>
        <w:rPr>
          <w:rFonts w:hint="eastAsia" w:ascii="仿宋_GB2312" w:hAnsi="仿宋_GB2312" w:cs="仿宋_GB2312"/>
          <w:sz w:val="32"/>
          <w:szCs w:val="32"/>
          <w:lang w:val="en-US" w:eastAsia="zh-CN"/>
        </w:rPr>
        <w:t>本项目签订的各项合同</w:t>
      </w:r>
      <w:r>
        <w:rPr>
          <w:rFonts w:hint="eastAsia" w:ascii="仿宋_GB2312" w:hAnsi="仿宋_GB2312" w:cs="仿宋_GB2312"/>
          <w:sz w:val="32"/>
          <w:szCs w:val="32"/>
          <w:lang w:eastAsia="zh-CN"/>
        </w:rPr>
        <w:t>；</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本项目</w:t>
      </w:r>
      <w:r>
        <w:rPr>
          <w:rFonts w:hint="eastAsia" w:ascii="仿宋_GB2312" w:hAnsi="仿宋_GB2312" w:eastAsia="仿宋_GB2312" w:cs="仿宋_GB2312"/>
          <w:sz w:val="32"/>
          <w:szCs w:val="32"/>
          <w:lang w:val="en-US" w:eastAsia="zh-CN"/>
        </w:rPr>
        <w:t>设计</w:t>
      </w:r>
      <w:r>
        <w:rPr>
          <w:rFonts w:hint="eastAsia" w:ascii="仿宋_GB2312" w:hAnsi="仿宋_GB2312" w:eastAsia="仿宋_GB2312" w:cs="仿宋_GB2312"/>
          <w:sz w:val="32"/>
          <w:szCs w:val="32"/>
        </w:rPr>
        <w:t>方案、</w:t>
      </w:r>
      <w:r>
        <w:rPr>
          <w:rFonts w:hint="eastAsia" w:ascii="仿宋_GB2312" w:hAnsi="仿宋_GB2312" w:eastAsia="仿宋_GB2312" w:cs="仿宋_GB2312"/>
          <w:sz w:val="32"/>
          <w:szCs w:val="32"/>
          <w:lang w:val="en-US" w:eastAsia="zh-CN"/>
        </w:rPr>
        <w:t>可研报告、</w:t>
      </w:r>
      <w:r>
        <w:rPr>
          <w:rFonts w:hint="eastAsia" w:ascii="仿宋_GB2312" w:hAnsi="仿宋_GB2312" w:cs="仿宋_GB2312"/>
          <w:sz w:val="32"/>
          <w:szCs w:val="32"/>
          <w:lang w:val="en-US" w:eastAsia="zh-CN"/>
        </w:rPr>
        <w:t>招投标文件</w:t>
      </w:r>
      <w:r>
        <w:rPr>
          <w:rFonts w:hint="eastAsia" w:ascii="仿宋_GB2312" w:hAnsi="仿宋_GB2312" w:eastAsia="仿宋_GB2312" w:cs="仿宋_GB2312"/>
          <w:sz w:val="32"/>
          <w:szCs w:val="32"/>
        </w:rPr>
        <w:t>等；</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6</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本项目支出凭证、</w:t>
      </w:r>
      <w:r>
        <w:rPr>
          <w:rFonts w:hint="eastAsia" w:ascii="仿宋_GB2312" w:hAnsi="仿宋_GB2312" w:eastAsia="仿宋_GB2312" w:cs="仿宋_GB2312"/>
          <w:sz w:val="32"/>
          <w:szCs w:val="32"/>
          <w:lang w:val="en-US" w:eastAsia="zh-CN"/>
        </w:rPr>
        <w:t>财务监理报告</w:t>
      </w:r>
      <w:r>
        <w:rPr>
          <w:rFonts w:hint="eastAsia" w:ascii="仿宋_GB2312" w:hAnsi="仿宋_GB2312" w:eastAsia="仿宋_GB2312" w:cs="仿宋_GB2312"/>
          <w:sz w:val="32"/>
          <w:szCs w:val="32"/>
        </w:rPr>
        <w:t>等财务资料；</w:t>
      </w:r>
    </w:p>
    <w:p>
      <w:pPr>
        <w:pStyle w:val="57"/>
        <w:numPr>
          <w:ilvl w:val="0"/>
          <w:numId w:val="0"/>
        </w:numPr>
        <w:ind w:firstLine="640" w:firstLineChars="200"/>
        <w:contextualSpacing w:val="0"/>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7</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与项目单位</w:t>
      </w:r>
      <w:r>
        <w:rPr>
          <w:rFonts w:hint="eastAsia" w:ascii="仿宋_GB2312" w:hAnsi="仿宋_GB2312" w:eastAsia="仿宋_GB2312" w:cs="仿宋_GB2312"/>
          <w:sz w:val="32"/>
          <w:szCs w:val="32"/>
          <w:lang w:val="en-US" w:eastAsia="zh-CN"/>
        </w:rPr>
        <w:t>管理人员</w:t>
      </w:r>
      <w:r>
        <w:rPr>
          <w:rFonts w:hint="eastAsia" w:ascii="仿宋_GB2312" w:hAnsi="仿宋_GB2312" w:eastAsia="仿宋_GB2312" w:cs="仿宋_GB2312"/>
          <w:sz w:val="32"/>
          <w:szCs w:val="32"/>
        </w:rPr>
        <w:t>的访谈记录、项目受益方的满意度反馈等社会调查结果；</w:t>
      </w:r>
    </w:p>
    <w:p>
      <w:pPr>
        <w:pageBreakBefore w:val="0"/>
        <w:widowControl w:val="0"/>
        <w:kinsoku/>
        <w:wordWrap/>
        <w:overflowPunct/>
        <w:topLinePunct w:val="0"/>
        <w:autoSpaceDE/>
        <w:autoSpaceDN/>
        <w:bidi w:val="0"/>
        <w:adjustRightInd/>
        <w:snapToGrid/>
        <w:ind w:firstLine="560"/>
        <w:textAlignment w:val="auto"/>
        <w:rPr>
          <w:rFonts w:hint="eastAsia"/>
          <w:sz w:val="32"/>
          <w:szCs w:val="32"/>
        </w:rPr>
      </w:pPr>
      <w:r>
        <w:rPr>
          <w:rFonts w:hint="eastAsia" w:ascii="仿宋_GB2312" w:hAnsi="仿宋_GB2312" w:cs="仿宋_GB2312"/>
          <w:sz w:val="32"/>
          <w:szCs w:val="32"/>
          <w:lang w:eastAsia="zh-CN"/>
        </w:rPr>
        <w:t>（</w:t>
      </w:r>
      <w:r>
        <w:rPr>
          <w:rFonts w:hint="eastAsia" w:ascii="仿宋_GB2312" w:hAnsi="仿宋_GB2312" w:cs="仿宋_GB2312"/>
          <w:sz w:val="32"/>
          <w:szCs w:val="32"/>
          <w:lang w:val="en-US" w:eastAsia="zh-CN"/>
        </w:rPr>
        <w:t>8</w:t>
      </w:r>
      <w:r>
        <w:rPr>
          <w:rFonts w:hint="eastAsia" w:ascii="仿宋_GB2312" w:hAnsi="仿宋_GB2312" w:cs="仿宋_GB2312"/>
          <w:sz w:val="32"/>
          <w:szCs w:val="32"/>
          <w:lang w:eastAsia="zh-CN"/>
        </w:rPr>
        <w:t>）</w:t>
      </w:r>
      <w:r>
        <w:rPr>
          <w:rFonts w:hint="eastAsia" w:ascii="仿宋_GB2312" w:hAnsi="仿宋_GB2312" w:eastAsia="仿宋_GB2312" w:cs="仿宋_GB2312"/>
          <w:sz w:val="32"/>
          <w:szCs w:val="32"/>
        </w:rPr>
        <w:t>现场</w:t>
      </w:r>
      <w:r>
        <w:rPr>
          <w:rFonts w:hint="eastAsia" w:ascii="仿宋_GB2312" w:hAnsi="仿宋_GB2312" w:eastAsia="仿宋_GB2312" w:cs="仿宋_GB2312"/>
          <w:sz w:val="32"/>
          <w:szCs w:val="32"/>
          <w:lang w:val="en-US" w:eastAsia="zh-CN"/>
        </w:rPr>
        <w:t>调研</w:t>
      </w:r>
      <w:r>
        <w:rPr>
          <w:rFonts w:hint="eastAsia" w:ascii="仿宋_GB2312" w:hAnsi="仿宋_GB2312" w:eastAsia="仿宋_GB2312" w:cs="仿宋_GB2312"/>
          <w:sz w:val="32"/>
          <w:szCs w:val="32"/>
        </w:rPr>
        <w:t>图片。</w:t>
      </w:r>
    </w:p>
    <w:bookmarkEnd w:id="52"/>
    <w:p>
      <w:pPr>
        <w:numPr>
          <w:ilvl w:val="0"/>
          <w:numId w:val="0"/>
        </w:numPr>
        <w:ind w:leftChars="0" w:firstLine="643" w:firstLineChars="200"/>
        <w:outlineLvl w:val="1"/>
        <w:rPr>
          <w:rFonts w:hint="default" w:ascii="仿宋_GB2312" w:hAnsi="仿宋_GB2312" w:eastAsia="仿宋_GB2312" w:cs="Times New Roman"/>
          <w:b/>
          <w:bCs w:val="0"/>
          <w:kern w:val="44"/>
          <w:sz w:val="32"/>
          <w:szCs w:val="32"/>
          <w:lang w:val="en-US" w:eastAsia="zh-CN" w:bidi="ar-SA"/>
        </w:rPr>
      </w:pPr>
      <w:bookmarkStart w:id="53" w:name="_Toc905"/>
      <w:bookmarkStart w:id="54" w:name="_Toc17955"/>
      <w:r>
        <w:rPr>
          <w:rFonts w:hint="eastAsia" w:ascii="方正楷体_GB2312" w:hAnsi="方正楷体_GB2312" w:eastAsia="方正楷体_GB2312" w:cs="方正楷体_GB2312"/>
          <w:b/>
          <w:bCs w:val="0"/>
          <w:kern w:val="44"/>
          <w:sz w:val="32"/>
          <w:szCs w:val="32"/>
          <w:lang w:val="en-US" w:eastAsia="zh-CN" w:bidi="ar-SA"/>
        </w:rPr>
        <w:t>（三）绩效评价原则、评价方法等</w:t>
      </w:r>
      <w:bookmarkEnd w:id="53"/>
    </w:p>
    <w:p>
      <w:pPr>
        <w:numPr>
          <w:ilvl w:val="0"/>
          <w:numId w:val="0"/>
        </w:numPr>
        <w:ind w:leftChars="0" w:firstLine="643" w:firstLineChars="200"/>
        <w:outlineLvl w:val="9"/>
        <w:rPr>
          <w:rFonts w:hint="eastAsia" w:cs="Times New Roman"/>
          <w:b/>
          <w:bCs w:val="0"/>
          <w:kern w:val="44"/>
          <w:sz w:val="32"/>
          <w:szCs w:val="32"/>
          <w:lang w:val="en-US" w:eastAsia="zh-CN" w:bidi="ar-SA"/>
        </w:rPr>
      </w:pPr>
      <w:r>
        <w:rPr>
          <w:rFonts w:hint="eastAsia" w:cs="Times New Roman"/>
          <w:b/>
          <w:bCs w:val="0"/>
          <w:kern w:val="44"/>
          <w:sz w:val="32"/>
          <w:szCs w:val="32"/>
          <w:lang w:val="en-US" w:eastAsia="zh-CN" w:bidi="ar-SA"/>
        </w:rPr>
        <w:t>1.评价原则</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（1）科学规范。绩效评价注重财政支出的经济性、效率性和有效性，严格执行规定的程序，采用定量与定性分析相结合的方法。</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（2）公正公开。绩效评价客观、公正，标准统一、资料可靠，保证评价结果的真实性、公正性和报告的公信力。</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（3）绩效相关。绩效评价针对具体支出及其产出绩效进行评价，结果清晰反映支出和产出绩效之间的紧密对应关系。</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（4）经济性原则。应当通俗易懂、简便易行，数据的获得应当考虑现实条件和可操作性，符合成本效益原则。</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根据以上原则，绩效评价应遵循如下要求：</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（1）在数据采集时，采取客观数据，以保证各项指标的真实性。</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（2）保证评价结果的真实性、公正性，提高评价报告的公信力。</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（3）绩效评价报告除了对绩效评价的过程、结果描述外，还应总结经验，指出问题，并就共性问题提出可操作性改进建议。</w:t>
      </w:r>
    </w:p>
    <w:p>
      <w:pPr>
        <w:numPr>
          <w:ilvl w:val="0"/>
          <w:numId w:val="0"/>
        </w:numPr>
        <w:ind w:leftChars="0" w:firstLine="643" w:firstLineChars="200"/>
        <w:outlineLvl w:val="9"/>
        <w:rPr>
          <w:rFonts w:hint="default" w:cs="Times New Roman"/>
          <w:b w:val="0"/>
          <w:bCs/>
          <w:kern w:val="44"/>
          <w:sz w:val="32"/>
          <w:szCs w:val="32"/>
          <w:lang w:val="en-US" w:eastAsia="zh-CN" w:bidi="ar-SA"/>
        </w:rPr>
      </w:pPr>
      <w:r>
        <w:rPr>
          <w:rFonts w:hint="eastAsia" w:cs="Times New Roman"/>
          <w:b/>
          <w:bCs w:val="0"/>
          <w:kern w:val="44"/>
          <w:sz w:val="32"/>
          <w:szCs w:val="32"/>
          <w:lang w:val="en-US" w:eastAsia="zh-CN" w:bidi="ar-SA"/>
        </w:rPr>
        <w:t>2.评价方法</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本次评价综合运用比较法、因素分析法、公众评判法</w:t>
      </w:r>
      <w:r>
        <w:rPr>
          <w:rFonts w:hint="eastAsia" w:cs="Times New Roman"/>
          <w:b w:val="0"/>
          <w:bCs/>
          <w:kern w:val="44"/>
          <w:sz w:val="32"/>
          <w:szCs w:val="32"/>
          <w:lang w:val="en-US" w:eastAsia="zh-CN" w:bidi="ar-SA"/>
        </w:rPr>
        <w:t>、成本分析法</w:t>
      </w:r>
      <w:r>
        <w:rPr>
          <w:rFonts w:hint="default" w:cs="Times New Roman"/>
          <w:b w:val="0"/>
          <w:bCs/>
          <w:kern w:val="44"/>
          <w:sz w:val="32"/>
          <w:szCs w:val="32"/>
          <w:lang w:val="en-US" w:eastAsia="zh-CN" w:bidi="ar-SA"/>
        </w:rPr>
        <w:t>等评价方法。</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（1）比较法。通过将</w:t>
      </w:r>
      <w:r>
        <w:rPr>
          <w:rFonts w:hint="eastAsia" w:ascii="仿宋_GB2312" w:hAnsi="仿宋_GB2312" w:eastAsia="仿宋_GB2312" w:cs="仿宋_GB2312"/>
          <w:kern w:val="2"/>
          <w:sz w:val="32"/>
          <w:szCs w:val="32"/>
          <w:lang w:val="en-US" w:eastAsia="zh-CN" w:bidi="ar-SA"/>
        </w:rPr>
        <w:t>2020年美丽家园城桥镇地区项目</w:t>
      </w:r>
      <w:r>
        <w:rPr>
          <w:rFonts w:hint="eastAsia" w:cs="Times New Roman"/>
          <w:b w:val="0"/>
          <w:bCs/>
          <w:kern w:val="44"/>
          <w:sz w:val="32"/>
          <w:szCs w:val="32"/>
          <w:lang w:val="en-US" w:eastAsia="zh-CN" w:bidi="ar-SA"/>
        </w:rPr>
        <w:t>与</w:t>
      </w:r>
      <w:r>
        <w:rPr>
          <w:rFonts w:hint="default" w:cs="Times New Roman"/>
          <w:b w:val="0"/>
          <w:bCs/>
          <w:kern w:val="44"/>
          <w:sz w:val="32"/>
          <w:szCs w:val="32"/>
          <w:lang w:val="en-US" w:eastAsia="zh-CN" w:bidi="ar-SA"/>
        </w:rPr>
        <w:t>其他同类</w:t>
      </w:r>
      <w:r>
        <w:rPr>
          <w:rFonts w:hint="eastAsia" w:cs="Times New Roman"/>
          <w:b w:val="0"/>
          <w:bCs/>
          <w:kern w:val="44"/>
          <w:sz w:val="32"/>
          <w:szCs w:val="32"/>
          <w:lang w:val="en-US" w:eastAsia="zh-CN" w:bidi="ar-SA"/>
        </w:rPr>
        <w:t>建设</w:t>
      </w:r>
      <w:r>
        <w:rPr>
          <w:rFonts w:hint="default" w:cs="Times New Roman"/>
          <w:b w:val="0"/>
          <w:bCs/>
          <w:kern w:val="44"/>
          <w:sz w:val="32"/>
          <w:szCs w:val="32"/>
          <w:lang w:val="en-US" w:eastAsia="zh-CN" w:bidi="ar-SA"/>
        </w:rPr>
        <w:t>项目费用进行对比，分析本项目预算编制的合理性与科学性；通过对比</w:t>
      </w:r>
      <w:r>
        <w:rPr>
          <w:rFonts w:hint="eastAsia" w:cs="Times New Roman"/>
          <w:b w:val="0"/>
          <w:bCs/>
          <w:kern w:val="44"/>
          <w:sz w:val="32"/>
          <w:szCs w:val="32"/>
          <w:lang w:val="en-US" w:eastAsia="zh-CN" w:bidi="ar-SA"/>
        </w:rPr>
        <w:t>改造小区</w:t>
      </w:r>
      <w:r>
        <w:rPr>
          <w:rFonts w:hint="default" w:cs="Times New Roman"/>
          <w:b w:val="0"/>
          <w:bCs/>
          <w:kern w:val="44"/>
          <w:sz w:val="32"/>
          <w:szCs w:val="32"/>
          <w:lang w:val="en-US" w:eastAsia="zh-CN" w:bidi="ar-SA"/>
        </w:rPr>
        <w:t>前后的</w:t>
      </w:r>
      <w:r>
        <w:rPr>
          <w:rFonts w:hint="eastAsia" w:cs="Times New Roman"/>
          <w:b w:val="0"/>
          <w:bCs/>
          <w:kern w:val="44"/>
          <w:sz w:val="32"/>
          <w:szCs w:val="32"/>
          <w:lang w:val="en-US" w:eastAsia="zh-CN" w:bidi="ar-SA"/>
        </w:rPr>
        <w:t>屋面更新、道路状况</w:t>
      </w:r>
      <w:r>
        <w:rPr>
          <w:rFonts w:hint="default" w:cs="Times New Roman"/>
          <w:b w:val="0"/>
          <w:bCs/>
          <w:kern w:val="44"/>
          <w:sz w:val="32"/>
          <w:szCs w:val="32"/>
          <w:lang w:val="en-US" w:eastAsia="zh-CN" w:bidi="ar-SA"/>
        </w:rPr>
        <w:t>、</w:t>
      </w:r>
      <w:r>
        <w:rPr>
          <w:rFonts w:hint="eastAsia" w:cs="Times New Roman"/>
          <w:b w:val="0"/>
          <w:bCs/>
          <w:kern w:val="44"/>
          <w:sz w:val="32"/>
          <w:szCs w:val="32"/>
          <w:lang w:val="en-US" w:eastAsia="zh-CN" w:bidi="ar-SA"/>
        </w:rPr>
        <w:t>绿化效果</w:t>
      </w:r>
      <w:r>
        <w:rPr>
          <w:rFonts w:hint="default" w:cs="Times New Roman"/>
          <w:b w:val="0"/>
          <w:bCs/>
          <w:kern w:val="44"/>
          <w:sz w:val="32"/>
          <w:szCs w:val="32"/>
          <w:lang w:val="en-US" w:eastAsia="zh-CN" w:bidi="ar-SA"/>
        </w:rPr>
        <w:t>、设施更新等情况，分析项目</w:t>
      </w:r>
      <w:r>
        <w:rPr>
          <w:rFonts w:hint="eastAsia" w:cs="Times New Roman"/>
          <w:b w:val="0"/>
          <w:bCs/>
          <w:kern w:val="44"/>
          <w:sz w:val="32"/>
          <w:szCs w:val="32"/>
          <w:lang w:val="en-US" w:eastAsia="zh-CN" w:bidi="ar-SA"/>
        </w:rPr>
        <w:t>建设成效</w:t>
      </w:r>
      <w:r>
        <w:rPr>
          <w:rFonts w:hint="default" w:cs="Times New Roman"/>
          <w:b w:val="0"/>
          <w:bCs/>
          <w:kern w:val="44"/>
          <w:sz w:val="32"/>
          <w:szCs w:val="32"/>
          <w:lang w:val="en-US" w:eastAsia="zh-CN" w:bidi="ar-SA"/>
        </w:rPr>
        <w:t>。</w:t>
      </w:r>
    </w:p>
    <w:p>
      <w:pPr>
        <w:numPr>
          <w:ilvl w:val="0"/>
          <w:numId w:val="0"/>
        </w:numPr>
        <w:ind w:leftChars="0" w:firstLine="640" w:firstLineChars="200"/>
        <w:outlineLvl w:val="9"/>
        <w:rPr>
          <w:rFonts w:hint="default" w:cs="Times New Roman"/>
          <w:b w:val="0"/>
          <w:bCs/>
          <w:kern w:val="44"/>
          <w:sz w:val="32"/>
          <w:szCs w:val="32"/>
          <w:lang w:val="en-US" w:eastAsia="zh-CN" w:bidi="ar-SA"/>
        </w:rPr>
      </w:pPr>
      <w:r>
        <w:rPr>
          <w:rFonts w:hint="default" w:cs="Times New Roman"/>
          <w:b w:val="0"/>
          <w:bCs/>
          <w:kern w:val="44"/>
          <w:sz w:val="32"/>
          <w:szCs w:val="32"/>
          <w:lang w:val="en-US" w:eastAsia="zh-CN" w:bidi="ar-SA"/>
        </w:rPr>
        <w:t>（2）因素分析法。通过将影响项目投入的各项因素如改造面积、单价费用等，与影响产出的各项因素如</w:t>
      </w:r>
      <w:r>
        <w:rPr>
          <w:rFonts w:hint="eastAsia" w:cs="Times New Roman"/>
          <w:b w:val="0"/>
          <w:bCs/>
          <w:kern w:val="44"/>
          <w:sz w:val="32"/>
          <w:szCs w:val="32"/>
          <w:lang w:val="en-US" w:eastAsia="zh-CN" w:bidi="ar-SA"/>
        </w:rPr>
        <w:t>社区原始条件</w:t>
      </w:r>
      <w:r>
        <w:rPr>
          <w:rFonts w:hint="default" w:cs="Times New Roman"/>
          <w:b w:val="0"/>
          <w:bCs/>
          <w:kern w:val="44"/>
          <w:sz w:val="32"/>
          <w:szCs w:val="32"/>
          <w:lang w:val="en-US" w:eastAsia="zh-CN" w:bidi="ar-SA"/>
        </w:rPr>
        <w:t>、</w:t>
      </w:r>
      <w:r>
        <w:rPr>
          <w:rFonts w:hint="eastAsia" w:cs="Times New Roman"/>
          <w:b w:val="0"/>
          <w:bCs/>
          <w:kern w:val="44"/>
          <w:sz w:val="32"/>
          <w:szCs w:val="32"/>
          <w:lang w:val="en-US" w:eastAsia="zh-CN" w:bidi="ar-SA"/>
        </w:rPr>
        <w:t>资金投入情况</w:t>
      </w:r>
      <w:r>
        <w:rPr>
          <w:rFonts w:hint="default" w:cs="Times New Roman"/>
          <w:b w:val="0"/>
          <w:bCs/>
          <w:kern w:val="44"/>
          <w:sz w:val="32"/>
          <w:szCs w:val="32"/>
          <w:lang w:val="en-US" w:eastAsia="zh-CN" w:bidi="ar-SA"/>
        </w:rPr>
        <w:t>、</w:t>
      </w:r>
      <w:r>
        <w:rPr>
          <w:rFonts w:hint="eastAsia" w:cs="Times New Roman"/>
          <w:b w:val="0"/>
          <w:bCs/>
          <w:kern w:val="44"/>
          <w:sz w:val="32"/>
          <w:szCs w:val="32"/>
          <w:lang w:val="en-US" w:eastAsia="zh-CN" w:bidi="ar-SA"/>
        </w:rPr>
        <w:t>施工客观条件</w:t>
      </w:r>
      <w:r>
        <w:rPr>
          <w:rFonts w:hint="default" w:cs="Times New Roman"/>
          <w:b w:val="0"/>
          <w:bCs/>
          <w:kern w:val="44"/>
          <w:sz w:val="32"/>
          <w:szCs w:val="32"/>
          <w:lang w:val="en-US" w:eastAsia="zh-CN" w:bidi="ar-SA"/>
        </w:rPr>
        <w:t>等，将以上各项因素罗列出来分析以上各项因素对项目实施的影响程度。</w:t>
      </w:r>
    </w:p>
    <w:p>
      <w:pPr>
        <w:widowControl w:val="0"/>
        <w:numPr>
          <w:ilvl w:val="0"/>
          <w:numId w:val="0"/>
        </w:numPr>
        <w:spacing w:line="500" w:lineRule="exact"/>
        <w:ind w:firstLine="640" w:firstLineChars="200"/>
        <w:contextualSpacing/>
        <w:jc w:val="both"/>
        <w:outlineLvl w:val="9"/>
        <w:rPr>
          <w:rFonts w:hint="eastAsia" w:hAnsi="宋体" w:cs="宋体"/>
          <w:color w:val="000000"/>
          <w:kern w:val="0"/>
          <w:sz w:val="32"/>
          <w:szCs w:val="32"/>
          <w:lang w:val="en-US" w:eastAsia="zh-CN" w:bidi="ar-SA"/>
        </w:rPr>
      </w:pPr>
      <w:r>
        <w:rPr>
          <w:rFonts w:hint="default" w:cs="Times New Roman"/>
          <w:b w:val="0"/>
          <w:bCs/>
          <w:kern w:val="44"/>
          <w:sz w:val="32"/>
          <w:szCs w:val="32"/>
          <w:lang w:val="en-US" w:eastAsia="zh-CN" w:bidi="ar-SA"/>
        </w:rPr>
        <w:t>（3）公众评判法。项目方案过程以访谈的形式听取项目单位对项目实施</w:t>
      </w:r>
      <w:r>
        <w:rPr>
          <w:rFonts w:hint="eastAsia" w:cs="Times New Roman"/>
          <w:b w:val="0"/>
          <w:bCs/>
          <w:kern w:val="44"/>
          <w:sz w:val="32"/>
          <w:szCs w:val="32"/>
          <w:lang w:val="en-US" w:eastAsia="zh-CN" w:bidi="ar-SA"/>
        </w:rPr>
        <w:t>过程及</w:t>
      </w:r>
      <w:r>
        <w:rPr>
          <w:rFonts w:hint="default" w:cs="Times New Roman"/>
          <w:b w:val="0"/>
          <w:bCs/>
          <w:kern w:val="44"/>
          <w:sz w:val="32"/>
          <w:szCs w:val="32"/>
          <w:lang w:val="en-US" w:eastAsia="zh-CN" w:bidi="ar-SA"/>
        </w:rPr>
        <w:t>效果的意见，项目报告过程以问卷调查的方式反馈</w:t>
      </w:r>
      <w:r>
        <w:rPr>
          <w:rFonts w:hint="eastAsia" w:cs="Times New Roman"/>
          <w:b w:val="0"/>
          <w:bCs/>
          <w:kern w:val="44"/>
          <w:sz w:val="32"/>
          <w:szCs w:val="32"/>
          <w:lang w:val="en-US" w:eastAsia="zh-CN" w:bidi="ar-SA"/>
        </w:rPr>
        <w:t>受益各方</w:t>
      </w:r>
      <w:r>
        <w:rPr>
          <w:rFonts w:hint="default" w:cs="Times New Roman"/>
          <w:b w:val="0"/>
          <w:bCs/>
          <w:kern w:val="44"/>
          <w:sz w:val="32"/>
          <w:szCs w:val="32"/>
          <w:lang w:val="en-US" w:eastAsia="zh-CN" w:bidi="ar-SA"/>
        </w:rPr>
        <w:t>对</w:t>
      </w:r>
      <w:r>
        <w:rPr>
          <w:rFonts w:hint="eastAsia" w:cs="Times New Roman"/>
          <w:b w:val="0"/>
          <w:bCs/>
          <w:kern w:val="44"/>
          <w:sz w:val="32"/>
          <w:szCs w:val="32"/>
          <w:lang w:val="en-US" w:eastAsia="zh-CN" w:bidi="ar-SA"/>
        </w:rPr>
        <w:t>项目建设效果</w:t>
      </w:r>
      <w:r>
        <w:rPr>
          <w:rFonts w:hint="default" w:cs="Times New Roman"/>
          <w:b w:val="0"/>
          <w:bCs/>
          <w:kern w:val="44"/>
          <w:sz w:val="32"/>
          <w:szCs w:val="32"/>
          <w:lang w:val="en-US" w:eastAsia="zh-CN" w:bidi="ar-SA"/>
        </w:rPr>
        <w:t>的满意程度，报告完成后组织专家评审，对项目的立项、过程、产出、效果进行客观综合评价。</w:t>
      </w:r>
    </w:p>
    <w:p>
      <w:pPr>
        <w:widowControl w:val="0"/>
        <w:numPr>
          <w:ilvl w:val="0"/>
          <w:numId w:val="0"/>
        </w:numPr>
        <w:spacing w:line="500" w:lineRule="exact"/>
        <w:ind w:firstLine="640" w:firstLineChars="200"/>
        <w:contextualSpacing/>
        <w:jc w:val="both"/>
        <w:outlineLvl w:val="9"/>
        <w:rPr>
          <w:rFonts w:hint="eastAsia" w:hAnsi="宋体" w:cs="宋体"/>
          <w:color w:val="000000"/>
          <w:kern w:val="0"/>
          <w:sz w:val="32"/>
          <w:szCs w:val="32"/>
          <w:lang w:val="en-US" w:eastAsia="zh-CN" w:bidi="ar-SA"/>
        </w:rPr>
      </w:pPr>
      <w:r>
        <w:rPr>
          <w:rFonts w:hint="eastAsia" w:hAnsi="宋体" w:cs="宋体"/>
          <w:color w:val="000000"/>
          <w:kern w:val="0"/>
          <w:sz w:val="32"/>
          <w:szCs w:val="32"/>
          <w:lang w:val="en-US" w:eastAsia="zh-CN" w:bidi="ar-SA"/>
        </w:rPr>
        <w:t>（4）成本分析法。通过对比各子项目的同类材料造价是否一致、与当年度实施的同类项目的材料造价是否接近，来判断项目概算造价的合理性；根据上级政策文件的收费标准，核算项目各项二类费用的取费是否符合标准。</w:t>
      </w:r>
    </w:p>
    <w:p>
      <w:pPr>
        <w:widowControl w:val="0"/>
        <w:numPr>
          <w:ilvl w:val="0"/>
          <w:numId w:val="0"/>
        </w:numPr>
        <w:spacing w:line="500" w:lineRule="exact"/>
        <w:ind w:firstLine="643" w:firstLineChars="200"/>
        <w:contextualSpacing/>
        <w:jc w:val="both"/>
        <w:outlineLvl w:val="1"/>
        <w:rPr>
          <w:rFonts w:hint="default" w:ascii="方正楷体_GB2312" w:hAnsi="方正楷体_GB2312" w:eastAsia="方正楷体_GB2312" w:cs="方正楷体_GB2312"/>
          <w:b/>
          <w:bCs w:val="0"/>
          <w:kern w:val="44"/>
          <w:sz w:val="32"/>
          <w:szCs w:val="32"/>
          <w:lang w:val="en-US" w:eastAsia="zh-CN" w:bidi="ar-SA"/>
        </w:rPr>
      </w:pPr>
      <w:bookmarkStart w:id="55" w:name="_Toc19872"/>
      <w:r>
        <w:rPr>
          <w:rFonts w:hint="eastAsia" w:ascii="方正楷体_GB2312" w:hAnsi="方正楷体_GB2312" w:eastAsia="方正楷体_GB2312" w:cs="方正楷体_GB2312"/>
          <w:b/>
          <w:bCs w:val="0"/>
          <w:kern w:val="44"/>
          <w:sz w:val="32"/>
          <w:szCs w:val="32"/>
          <w:lang w:val="en-US" w:eastAsia="zh-CN" w:bidi="ar-SA"/>
        </w:rPr>
        <w:t>（四）评价重点</w:t>
      </w:r>
      <w:bookmarkEnd w:id="55"/>
    </w:p>
    <w:p>
      <w:pPr>
        <w:ind w:firstLine="560"/>
        <w:rPr>
          <w:rFonts w:hAnsi="黑体" w:cs="Times New Roman"/>
          <w:sz w:val="32"/>
          <w:szCs w:val="32"/>
          <w:highlight w:val="none"/>
        </w:rPr>
      </w:pPr>
      <w:r>
        <w:rPr>
          <w:rFonts w:hint="eastAsia" w:hAnsi="黑体" w:cs="Times New Roman"/>
          <w:sz w:val="32"/>
          <w:szCs w:val="32"/>
          <w:highlight w:val="none"/>
        </w:rPr>
        <w:t>经过</w:t>
      </w:r>
      <w:r>
        <w:rPr>
          <w:rFonts w:hint="eastAsia" w:hAnsi="黑体" w:cs="Times New Roman"/>
          <w:sz w:val="32"/>
          <w:szCs w:val="32"/>
          <w:highlight w:val="none"/>
          <w:lang w:val="en-US" w:eastAsia="zh-CN"/>
        </w:rPr>
        <w:t>评价组的</w:t>
      </w:r>
      <w:r>
        <w:rPr>
          <w:rFonts w:hint="eastAsia" w:hAnsi="黑体" w:cs="Times New Roman"/>
          <w:sz w:val="32"/>
          <w:szCs w:val="32"/>
          <w:highlight w:val="none"/>
        </w:rPr>
        <w:t>初步调研，</w:t>
      </w:r>
      <w:r>
        <w:rPr>
          <w:rFonts w:hint="eastAsia" w:hAnsi="黑体" w:cs="Times New Roman"/>
          <w:sz w:val="32"/>
          <w:szCs w:val="32"/>
          <w:highlight w:val="none"/>
          <w:lang w:val="en-US" w:eastAsia="zh-CN"/>
        </w:rPr>
        <w:t>结合前期梳理掌握的项目资料，依据“决策—过程—产出—效益”的逻辑路径，</w:t>
      </w:r>
      <w:r>
        <w:rPr>
          <w:rFonts w:hint="eastAsia" w:hAnsi="黑体" w:cs="Times New Roman"/>
          <w:sz w:val="32"/>
          <w:szCs w:val="32"/>
          <w:highlight w:val="none"/>
        </w:rPr>
        <w:t>梳理</w:t>
      </w:r>
      <w:r>
        <w:rPr>
          <w:rFonts w:hint="eastAsia" w:hAnsi="黑体" w:cs="Times New Roman"/>
          <w:sz w:val="32"/>
          <w:szCs w:val="32"/>
          <w:highlight w:val="none"/>
          <w:lang w:val="en-US" w:eastAsia="zh-CN"/>
        </w:rPr>
        <w:t>出</w:t>
      </w:r>
      <w:r>
        <w:rPr>
          <w:rFonts w:hint="eastAsia" w:hAnsi="黑体" w:cs="Times New Roman"/>
          <w:sz w:val="32"/>
          <w:szCs w:val="32"/>
          <w:highlight w:val="none"/>
        </w:rPr>
        <w:t>本项目的评价重点：</w:t>
      </w:r>
    </w:p>
    <w:p>
      <w:pPr>
        <w:pStyle w:val="57"/>
        <w:numPr>
          <w:ilvl w:val="0"/>
          <w:numId w:val="0"/>
        </w:numPr>
        <w:ind w:firstLine="640" w:firstLineChars="200"/>
        <w:rPr>
          <w:rFonts w:hint="default" w:ascii="仿宋_GB2312" w:hAnsi="Microsoft JhengHei" w:eastAsia="仿宋_GB2312" w:cs="Times New Roman"/>
          <w:sz w:val="32"/>
          <w:szCs w:val="32"/>
          <w:highlight w:val="none"/>
          <w:lang w:val="en-US" w:eastAsia="zh-CN"/>
        </w:rPr>
      </w:pPr>
      <w:r>
        <w:rPr>
          <w:rFonts w:hint="eastAsia" w:ascii="仿宋_GB2312" w:hAnsi="Microsoft JhengHei" w:cs="Times New Roman"/>
          <w:sz w:val="32"/>
          <w:szCs w:val="32"/>
          <w:highlight w:val="none"/>
          <w:lang w:val="en-US" w:eastAsia="zh-CN"/>
        </w:rPr>
        <w:t>1.项目选取改造对象的合理性：城桥镇作为崇明区的主城区，城镇化率为全区最高，老旧住房尤其是售后公房的数量也是最多的，改造总任务量也是最大的，因此评价组将重点关注城桥镇在选取具体改造小区时的合理性和公平性。</w:t>
      </w:r>
    </w:p>
    <w:p>
      <w:pPr>
        <w:pStyle w:val="57"/>
        <w:numPr>
          <w:ilvl w:val="0"/>
          <w:numId w:val="0"/>
        </w:numPr>
        <w:ind w:firstLine="640" w:firstLineChars="200"/>
        <w:rPr>
          <w:rFonts w:ascii="仿宋_GB2312" w:hAnsi="Microsoft JhengHei" w:cs="Times New Roman"/>
          <w:sz w:val="32"/>
          <w:szCs w:val="32"/>
          <w:highlight w:val="none"/>
        </w:rPr>
      </w:pPr>
      <w:r>
        <w:rPr>
          <w:rFonts w:hint="eastAsia" w:ascii="仿宋_GB2312" w:hAnsi="Microsoft JhengHei" w:cs="Times New Roman"/>
          <w:sz w:val="32"/>
          <w:szCs w:val="32"/>
          <w:highlight w:val="none"/>
          <w:lang w:val="en-US" w:eastAsia="zh-CN"/>
        </w:rPr>
        <w:t>2.</w:t>
      </w:r>
      <w:r>
        <w:rPr>
          <w:rFonts w:hint="eastAsia" w:ascii="仿宋_GB2312" w:hAnsi="Microsoft JhengHei" w:cs="Times New Roman"/>
          <w:sz w:val="32"/>
          <w:szCs w:val="32"/>
          <w:highlight w:val="none"/>
        </w:rPr>
        <w:t>资金合理性：由于该项目为工程类项目，有严格的资金管理要求。重点通过核查项目设计概算、支付凭证、行业标准文件等资料考察前期概算编制来源是否合理，是否与财政预算相匹配</w:t>
      </w: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是否与市级补贴控制单价相匹配</w:t>
      </w:r>
      <w:r>
        <w:rPr>
          <w:rFonts w:hint="eastAsia" w:ascii="仿宋_GB2312" w:hAnsi="Microsoft JhengHei" w:cs="Times New Roman"/>
          <w:sz w:val="32"/>
          <w:szCs w:val="32"/>
          <w:highlight w:val="none"/>
        </w:rPr>
        <w:t>；建安费用与二类费用的数量、单价是否有清晰的编制来源且符合行业单价费用标准；项目施工过程中的造价费用是否得到财务监理的有效控制与监管</w:t>
      </w:r>
      <w:r>
        <w:rPr>
          <w:rFonts w:hint="eastAsia" w:ascii="仿宋_GB2312" w:hAnsi="Microsoft JhengHei" w:cs="Times New Roman"/>
          <w:sz w:val="32"/>
          <w:szCs w:val="32"/>
          <w:highlight w:val="none"/>
          <w:lang w:eastAsia="zh-CN"/>
        </w:rPr>
        <w:t>；</w:t>
      </w:r>
      <w:r>
        <w:rPr>
          <w:rFonts w:hint="eastAsia" w:ascii="仿宋_GB2312" w:hAnsi="Microsoft JhengHei" w:cs="Times New Roman"/>
          <w:sz w:val="32"/>
          <w:szCs w:val="32"/>
          <w:highlight w:val="none"/>
          <w:lang w:val="en-US" w:eastAsia="zh-CN"/>
        </w:rPr>
        <w:t>项目决算是否合理等</w:t>
      </w:r>
      <w:r>
        <w:rPr>
          <w:rFonts w:hint="eastAsia" w:ascii="仿宋_GB2312" w:hAnsi="Microsoft JhengHei" w:cs="Times New Roman"/>
          <w:sz w:val="32"/>
          <w:szCs w:val="32"/>
          <w:highlight w:val="none"/>
        </w:rPr>
        <w:t>。</w:t>
      </w:r>
    </w:p>
    <w:p>
      <w:pPr>
        <w:pStyle w:val="57"/>
        <w:numPr>
          <w:ilvl w:val="0"/>
          <w:numId w:val="0"/>
        </w:numPr>
        <w:ind w:firstLine="640" w:firstLineChars="200"/>
        <w:rPr>
          <w:rFonts w:ascii="仿宋_GB2312" w:hAnsi="Microsoft JhengHei" w:cs="Times New Roman"/>
          <w:sz w:val="32"/>
          <w:szCs w:val="32"/>
          <w:highlight w:val="none"/>
        </w:rPr>
      </w:pPr>
      <w:r>
        <w:rPr>
          <w:rFonts w:hint="eastAsia" w:ascii="仿宋_GB2312" w:hAnsi="Microsoft JhengHei" w:cs="Times New Roman"/>
          <w:sz w:val="32"/>
          <w:szCs w:val="32"/>
          <w:highlight w:val="none"/>
          <w:lang w:val="en-US" w:eastAsia="zh-CN"/>
        </w:rPr>
        <w:t>3.工程管理规范性：由于本项目建设体量较大，涉及参建单位、各管理协调部门及单位较多，参建单位包括工可、设计、代建、施工、监理、招标代理、探察等单位，各管理协调部门单位包括区水务局、区电力公司等，项目管理流程需严格按照工程管理行业标准或规范执行。重点通过核查投标、合同、工程记录等文件考察参建单位的选择是否符合政府采购管理办法、单位内部相关采购管理制度执行；项目进度是否符合工程计划、合同约定服务内容推进；项目变更是否符合规范；施工过程中工程监理、财务监理是否履职到位；项目竣工验收质量是否符合行业质量验收标准，验收流程是否合规。</w:t>
      </w:r>
    </w:p>
    <w:p>
      <w:pPr>
        <w:pStyle w:val="57"/>
        <w:numPr>
          <w:ilvl w:val="0"/>
          <w:numId w:val="0"/>
        </w:numPr>
        <w:ind w:firstLine="640" w:firstLineChars="200"/>
        <w:rPr>
          <w:rFonts w:ascii="仿宋_GB2312" w:hAnsi="Microsoft JhengHei" w:cs="Times New Roman"/>
          <w:sz w:val="32"/>
          <w:szCs w:val="32"/>
          <w:highlight w:val="none"/>
        </w:rPr>
      </w:pPr>
      <w:r>
        <w:rPr>
          <w:rFonts w:hint="eastAsia" w:ascii="仿宋_GB2312" w:hAnsi="Microsoft JhengHei" w:cs="Times New Roman"/>
          <w:sz w:val="32"/>
          <w:szCs w:val="32"/>
          <w:highlight w:val="none"/>
          <w:lang w:val="en-US" w:eastAsia="zh-CN"/>
        </w:rPr>
        <w:t>4.项目效益实现情况：由于本项目属于区政府重点工程，且攸关民生，因此在考察效益实现情况时，除去现场比对基础设施、绿化景观、建筑风貌等社区硬件方面的提升，也需重点关注各小区居民对项目改造过程及成果的综合满意度。</w:t>
      </w:r>
    </w:p>
    <w:p>
      <w:pPr>
        <w:widowControl w:val="0"/>
        <w:numPr>
          <w:ilvl w:val="0"/>
          <w:numId w:val="0"/>
        </w:numPr>
        <w:spacing w:line="500" w:lineRule="exact"/>
        <w:ind w:firstLine="640" w:firstLineChars="200"/>
        <w:contextualSpacing/>
        <w:jc w:val="both"/>
        <w:outlineLvl w:val="9"/>
        <w:rPr>
          <w:rFonts w:hint="eastAsia" w:ascii="方正楷体_GB2312" w:hAnsi="方正楷体_GB2312" w:eastAsia="方正楷体_GB2312" w:cs="方正楷体_GB2312"/>
          <w:b w:val="0"/>
          <w:bCs/>
          <w:kern w:val="44"/>
          <w:sz w:val="32"/>
          <w:szCs w:val="32"/>
          <w:lang w:val="en-US" w:eastAsia="zh-CN" w:bidi="ar-SA"/>
        </w:rPr>
      </w:pPr>
      <w:r>
        <w:rPr>
          <w:rFonts w:hint="eastAsia" w:hAnsi="Microsoft JhengHei" w:cs="Times New Roman"/>
          <w:sz w:val="32"/>
          <w:szCs w:val="32"/>
          <w:highlight w:val="none"/>
          <w:lang w:val="en-US" w:eastAsia="zh-CN"/>
        </w:rPr>
        <w:t>5.项目后期管护情况：由于本项目大量涉及基础设施建设、绿化景观提升、建筑风貌提升等内容，在施工质保期过后，均是需要进行维护管理的对象，因此有必要重点关注</w:t>
      </w:r>
      <w:r>
        <w:rPr>
          <w:rFonts w:hint="eastAsia" w:ascii="仿宋_GB2312" w:hAnsi="Microsoft JhengHei" w:cs="Times New Roman"/>
          <w:sz w:val="32"/>
          <w:szCs w:val="32"/>
          <w:highlight w:val="none"/>
          <w:lang w:val="en-US" w:eastAsia="zh-CN"/>
        </w:rPr>
        <w:t>项目</w:t>
      </w:r>
      <w:r>
        <w:rPr>
          <w:rFonts w:hint="eastAsia" w:hAnsi="Microsoft JhengHei" w:cs="Times New Roman"/>
          <w:sz w:val="32"/>
          <w:szCs w:val="32"/>
          <w:highlight w:val="none"/>
          <w:lang w:val="en-US" w:eastAsia="zh-CN"/>
        </w:rPr>
        <w:t>实施单位是否针对这些内容制定有后期管护的办法，并对目前的管护状况进行实地调研</w:t>
      </w:r>
      <w:r>
        <w:rPr>
          <w:rFonts w:hint="eastAsia" w:ascii="仿宋_GB2312" w:hAnsi="Microsoft JhengHei" w:cs="Times New Roman"/>
          <w:sz w:val="32"/>
          <w:szCs w:val="32"/>
          <w:highlight w:val="none"/>
        </w:rPr>
        <w:t>。</w:t>
      </w:r>
    </w:p>
    <w:p>
      <w:pPr>
        <w:widowControl w:val="0"/>
        <w:numPr>
          <w:ilvl w:val="0"/>
          <w:numId w:val="0"/>
        </w:numPr>
        <w:spacing w:line="500" w:lineRule="exact"/>
        <w:ind w:firstLine="643" w:firstLineChars="200"/>
        <w:contextualSpacing/>
        <w:jc w:val="both"/>
        <w:outlineLvl w:val="1"/>
        <w:rPr>
          <w:rFonts w:hint="default" w:cs="Times New Roman"/>
          <w:b/>
          <w:bCs w:val="0"/>
          <w:kern w:val="44"/>
          <w:sz w:val="32"/>
          <w:szCs w:val="32"/>
          <w:lang w:val="en-US" w:eastAsia="zh-CN" w:bidi="ar-SA"/>
        </w:rPr>
      </w:pPr>
      <w:bookmarkStart w:id="56" w:name="_Toc24122"/>
      <w:r>
        <w:rPr>
          <w:rFonts w:hint="eastAsia" w:ascii="方正楷体_GB2312" w:hAnsi="方正楷体_GB2312" w:eastAsia="方正楷体_GB2312" w:cs="方正楷体_GB2312"/>
          <w:b/>
          <w:bCs w:val="0"/>
          <w:kern w:val="44"/>
          <w:sz w:val="32"/>
          <w:szCs w:val="32"/>
          <w:lang w:val="en-US" w:eastAsia="zh-CN" w:bidi="ar-SA"/>
        </w:rPr>
        <w:t>（五）绩效评价工作方案制定过程</w:t>
      </w:r>
      <w:bookmarkEnd w:id="56"/>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1.评价工作启动——2023年3月9日</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区财政局下达绩效评价任务，明确工作要求。</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2.进场取数，完成绩效评价工作方案——2023年4月10日</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评价组与项目单位多次沟通、查阅资料，在对项目情况（包括项目背景、项目目的、项目内容、项目资金、项目管理机制等）充分了解之后，开展了初次访谈和调研工作，完成理论框架研究、技术研究、指标研究，编制绩效评价工作方案，提交区财政局。</w:t>
      </w:r>
    </w:p>
    <w:p>
      <w:pPr>
        <w:widowControl w:val="0"/>
        <w:numPr>
          <w:ilvl w:val="0"/>
          <w:numId w:val="0"/>
        </w:numPr>
        <w:spacing w:line="500" w:lineRule="exact"/>
        <w:ind w:firstLine="640" w:firstLineChars="200"/>
        <w:contextualSpacing/>
        <w:jc w:val="both"/>
        <w:rPr>
          <w:rFonts w:hint="eastAsia" w:cs="Times New Roman"/>
          <w:b w:val="0"/>
          <w:bCs/>
          <w:kern w:val="44"/>
          <w:sz w:val="32"/>
          <w:szCs w:val="32"/>
          <w:lang w:val="en-US" w:eastAsia="zh-CN" w:bidi="ar-SA"/>
        </w:rPr>
      </w:pPr>
      <w:r>
        <w:rPr>
          <w:rFonts w:hint="eastAsia" w:cs="Times New Roman"/>
          <w:b w:val="0"/>
          <w:bCs/>
          <w:kern w:val="44"/>
          <w:sz w:val="32"/>
          <w:szCs w:val="32"/>
          <w:lang w:val="en-US" w:eastAsia="zh-CN" w:bidi="ar-SA"/>
        </w:rPr>
        <w:t>3.修改完善，确定最终绩效评价工作方案——2023年5月5日</w:t>
      </w:r>
    </w:p>
    <w:p>
      <w:pPr>
        <w:widowControl w:val="0"/>
        <w:numPr>
          <w:ilvl w:val="0"/>
          <w:numId w:val="0"/>
        </w:numPr>
        <w:spacing w:line="500" w:lineRule="exact"/>
        <w:ind w:firstLine="640" w:firstLineChars="200"/>
        <w:contextualSpacing/>
        <w:jc w:val="both"/>
        <w:rPr>
          <w:rFonts w:hint="default" w:hAnsi="Times New Roman" w:cs="Times New Roman"/>
          <w:highlight w:val="none"/>
          <w:lang w:val="en-US" w:eastAsia="zh-CN"/>
        </w:rPr>
      </w:pPr>
      <w:r>
        <w:rPr>
          <w:rFonts w:hint="eastAsia" w:cs="Times New Roman"/>
          <w:b w:val="0"/>
          <w:bCs/>
          <w:kern w:val="44"/>
          <w:sz w:val="32"/>
          <w:szCs w:val="32"/>
          <w:lang w:val="en-US" w:eastAsia="zh-CN" w:bidi="ar-SA"/>
        </w:rPr>
        <w:t>经由区财政局组织的工作方案专家评审会，评价组参照专家意见进行修改，主要完善内容包括：对项目背景进行补充和完善、补充项目财权事权的归属等管理信息、完善项目计划和实际完成情况形成汇总表、修改了绩效目标的文字表述、重新梳理了评价思路、重新调整了评价指标体系、优化了社会调查方案。完成上述修改后方案定稿。</w:t>
      </w:r>
    </w:p>
    <w:p>
      <w:pPr>
        <w:widowControl w:val="0"/>
        <w:numPr>
          <w:ilvl w:val="0"/>
          <w:numId w:val="0"/>
        </w:numPr>
        <w:spacing w:line="500" w:lineRule="exact"/>
        <w:ind w:firstLine="643" w:firstLineChars="200"/>
        <w:contextualSpacing/>
        <w:jc w:val="both"/>
        <w:outlineLvl w:val="1"/>
        <w:rPr>
          <w:rFonts w:hint="default" w:hAnsi="Times New Roman" w:cs="Times New Roman"/>
          <w:highlight w:val="none"/>
          <w:lang w:val="en-US" w:eastAsia="zh-CN"/>
        </w:rPr>
      </w:pPr>
      <w:bookmarkStart w:id="57" w:name="_Toc1787"/>
      <w:r>
        <w:rPr>
          <w:rFonts w:hint="eastAsia" w:ascii="方正楷体_GB2312" w:hAnsi="方正楷体_GB2312" w:eastAsia="方正楷体_GB2312" w:cs="方正楷体_GB2312"/>
          <w:b/>
          <w:bCs w:val="0"/>
          <w:kern w:val="44"/>
          <w:sz w:val="32"/>
          <w:szCs w:val="32"/>
          <w:lang w:val="en-US" w:eastAsia="zh-CN" w:bidi="ar-SA"/>
        </w:rPr>
        <w:t>（六）绩效评价实施过程</w:t>
      </w:r>
      <w:bookmarkEnd w:id="57"/>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1.资料补充、社会调查和访谈沟通——202</w:t>
      </w:r>
      <w:r>
        <w:rPr>
          <w:rFonts w:hint="eastAsia" w:hAnsi="Times New Roman" w:cs="Times New Roman"/>
          <w:sz w:val="32"/>
          <w:szCs w:val="32"/>
          <w:highlight w:val="none"/>
          <w:lang w:val="en-US" w:eastAsia="zh-CN"/>
        </w:rPr>
        <w:t>3</w:t>
      </w:r>
      <w:r>
        <w:rPr>
          <w:rFonts w:hint="default" w:hAnsi="Times New Roman" w:cs="Times New Roman"/>
          <w:sz w:val="32"/>
          <w:szCs w:val="32"/>
          <w:highlight w:val="none"/>
          <w:lang w:val="en-US" w:eastAsia="zh-CN"/>
        </w:rPr>
        <w:t>年</w:t>
      </w:r>
      <w:r>
        <w:rPr>
          <w:rFonts w:hint="eastAsia" w:hAnsi="Times New Roman" w:cs="Times New Roman"/>
          <w:sz w:val="32"/>
          <w:szCs w:val="32"/>
          <w:highlight w:val="none"/>
          <w:lang w:val="en-US" w:eastAsia="zh-CN"/>
        </w:rPr>
        <w:t>5</w:t>
      </w:r>
      <w:r>
        <w:rPr>
          <w:rFonts w:hint="default" w:hAnsi="Times New Roman" w:cs="Times New Roman"/>
          <w:sz w:val="32"/>
          <w:szCs w:val="32"/>
          <w:highlight w:val="none"/>
          <w:lang w:val="en-US" w:eastAsia="zh-CN"/>
        </w:rPr>
        <w:t>月</w:t>
      </w:r>
      <w:r>
        <w:rPr>
          <w:rFonts w:hint="eastAsia" w:hAnsi="Times New Roman" w:cs="Times New Roman"/>
          <w:sz w:val="32"/>
          <w:szCs w:val="32"/>
          <w:highlight w:val="none"/>
          <w:lang w:val="en-US" w:eastAsia="zh-CN"/>
        </w:rPr>
        <w:t>2</w:t>
      </w:r>
      <w:r>
        <w:rPr>
          <w:rFonts w:hint="default" w:hAnsi="Times New Roman" w:cs="Times New Roman"/>
          <w:sz w:val="32"/>
          <w:szCs w:val="32"/>
          <w:highlight w:val="none"/>
          <w:lang w:val="en-US" w:eastAsia="zh-CN"/>
        </w:rPr>
        <w:t>0日</w:t>
      </w:r>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评价组与项目单位进行多次沟通并获取需要补充的项目资料，根据绩效评价工作方案深入开展社会调查和访谈工作，汇总评价基础数据和资料后，统计分析调查结果。</w:t>
      </w:r>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2.撰写报告并提交区财政局——202</w:t>
      </w:r>
      <w:r>
        <w:rPr>
          <w:rFonts w:hint="eastAsia" w:hAnsi="Times New Roman" w:cs="Times New Roman"/>
          <w:sz w:val="32"/>
          <w:szCs w:val="32"/>
          <w:highlight w:val="none"/>
          <w:lang w:val="en-US" w:eastAsia="zh-CN"/>
        </w:rPr>
        <w:t>3</w:t>
      </w:r>
      <w:r>
        <w:rPr>
          <w:rFonts w:hint="default" w:hAnsi="Times New Roman" w:cs="Times New Roman"/>
          <w:sz w:val="32"/>
          <w:szCs w:val="32"/>
          <w:highlight w:val="none"/>
          <w:lang w:val="en-US" w:eastAsia="zh-CN"/>
        </w:rPr>
        <w:t>年</w:t>
      </w:r>
      <w:r>
        <w:rPr>
          <w:rFonts w:hint="eastAsia" w:hAnsi="Times New Roman" w:cs="Times New Roman"/>
          <w:sz w:val="32"/>
          <w:szCs w:val="32"/>
          <w:highlight w:val="none"/>
          <w:lang w:val="en-US" w:eastAsia="zh-CN"/>
        </w:rPr>
        <w:t>6</w:t>
      </w:r>
      <w:r>
        <w:rPr>
          <w:rFonts w:hint="default" w:hAnsi="Times New Roman" w:cs="Times New Roman"/>
          <w:sz w:val="32"/>
          <w:szCs w:val="32"/>
          <w:highlight w:val="none"/>
          <w:lang w:val="en-US" w:eastAsia="zh-CN"/>
        </w:rPr>
        <w:t>月</w:t>
      </w:r>
      <w:r>
        <w:rPr>
          <w:rFonts w:hint="eastAsia" w:hAnsi="Times New Roman" w:cs="Times New Roman"/>
          <w:sz w:val="32"/>
          <w:szCs w:val="32"/>
          <w:highlight w:val="none"/>
          <w:lang w:val="en-US" w:eastAsia="zh-CN"/>
        </w:rPr>
        <w:t>10</w:t>
      </w:r>
      <w:r>
        <w:rPr>
          <w:rFonts w:hint="default" w:hAnsi="Times New Roman" w:cs="Times New Roman"/>
          <w:sz w:val="32"/>
          <w:szCs w:val="32"/>
          <w:highlight w:val="none"/>
          <w:lang w:val="en-US" w:eastAsia="zh-CN"/>
        </w:rPr>
        <w:t>日</w:t>
      </w:r>
    </w:p>
    <w:p>
      <w:pPr>
        <w:widowControl w:val="0"/>
        <w:numPr>
          <w:ilvl w:val="0"/>
          <w:numId w:val="0"/>
        </w:numPr>
        <w:spacing w:line="500" w:lineRule="exact"/>
        <w:ind w:firstLine="640" w:firstLineChars="200"/>
        <w:contextualSpacing/>
        <w:jc w:val="both"/>
        <w:rPr>
          <w:rFonts w:hint="default" w:hAnsi="Times New Roman" w:cs="Times New Roman"/>
          <w:sz w:val="32"/>
          <w:szCs w:val="32"/>
          <w:highlight w:val="none"/>
          <w:lang w:val="en-US" w:eastAsia="zh-CN"/>
        </w:rPr>
      </w:pPr>
      <w:r>
        <w:rPr>
          <w:rFonts w:hint="default" w:hAnsi="Times New Roman" w:cs="Times New Roman"/>
          <w:sz w:val="32"/>
          <w:szCs w:val="32"/>
          <w:highlight w:val="none"/>
          <w:lang w:val="en-US" w:eastAsia="zh-CN"/>
        </w:rPr>
        <w:t>评价组在整理分析项目数据、调研结果的基础上，撰写绩效评价报告。初稿完成后通过单位内部审核流程，保证报告质量，最后交由区财政组织专家进行评审。</w:t>
      </w:r>
    </w:p>
    <w:p>
      <w:pPr>
        <w:widowControl w:val="0"/>
        <w:numPr>
          <w:ilvl w:val="0"/>
          <w:numId w:val="0"/>
        </w:numPr>
        <w:spacing w:line="500" w:lineRule="exact"/>
        <w:contextualSpacing/>
        <w:jc w:val="both"/>
        <w:rPr>
          <w:rFonts w:hint="default" w:hAnsi="Times New Roman" w:cs="Times New Roman"/>
          <w:sz w:val="32"/>
          <w:szCs w:val="32"/>
          <w:highlight w:val="none"/>
          <w:lang w:val="en-US" w:eastAsia="zh-CN"/>
        </w:rPr>
      </w:pPr>
    </w:p>
    <w:p>
      <w:pPr>
        <w:pStyle w:val="2"/>
        <w:pageBreakBefore w:val="0"/>
        <w:widowControl w:val="0"/>
        <w:kinsoku/>
        <w:wordWrap/>
        <w:overflowPunct/>
        <w:topLinePunct w:val="0"/>
        <w:autoSpaceDE/>
        <w:autoSpaceDN/>
        <w:bidi w:val="0"/>
        <w:adjustRightInd/>
        <w:snapToGrid/>
        <w:ind w:firstLine="643" w:firstLineChars="200"/>
        <w:textAlignment w:val="auto"/>
        <w:rPr>
          <w:rFonts w:hint="eastAsia"/>
          <w:sz w:val="32"/>
          <w:szCs w:val="32"/>
        </w:rPr>
        <w:sectPr>
          <w:pgSz w:w="11906" w:h="16838"/>
          <w:pgMar w:top="1440" w:right="1797" w:bottom="1440" w:left="1797" w:header="851" w:footer="567" w:gutter="0"/>
          <w:cols w:space="720" w:num="1"/>
          <w:docGrid w:linePitch="381" w:charSpace="0"/>
        </w:sectPr>
      </w:pPr>
    </w:p>
    <w:p>
      <w:pPr>
        <w:pStyle w:val="2"/>
        <w:pageBreakBefore w:val="0"/>
        <w:widowControl w:val="0"/>
        <w:kinsoku/>
        <w:wordWrap/>
        <w:overflowPunct/>
        <w:topLinePunct w:val="0"/>
        <w:autoSpaceDE/>
        <w:autoSpaceDN/>
        <w:bidi w:val="0"/>
        <w:adjustRightInd/>
        <w:snapToGrid/>
        <w:ind w:firstLine="643" w:firstLineChars="200"/>
        <w:textAlignment w:val="auto"/>
        <w:rPr>
          <w:sz w:val="32"/>
          <w:szCs w:val="32"/>
        </w:rPr>
      </w:pPr>
      <w:bookmarkStart w:id="58" w:name="_Toc18297"/>
      <w:r>
        <w:rPr>
          <w:rFonts w:hint="eastAsia" w:ascii="黑体" w:hAnsi="黑体" w:eastAsia="黑体" w:cs="黑体"/>
          <w:sz w:val="32"/>
          <w:szCs w:val="32"/>
        </w:rPr>
        <w:t>三、</w:t>
      </w:r>
      <w:bookmarkEnd w:id="54"/>
      <w:r>
        <w:rPr>
          <w:rFonts w:hint="eastAsia" w:ascii="黑体" w:hAnsi="黑体" w:eastAsia="黑体" w:cs="黑体"/>
          <w:sz w:val="32"/>
          <w:szCs w:val="32"/>
        </w:rPr>
        <w:t>评价结论与绩效分析</w:t>
      </w:r>
      <w:bookmarkEnd w:id="58"/>
    </w:p>
    <w:p>
      <w:pPr>
        <w:pStyle w:val="3"/>
        <w:pageBreakBefore w:val="0"/>
        <w:widowControl w:val="0"/>
        <w:kinsoku/>
        <w:wordWrap/>
        <w:overflowPunct/>
        <w:topLinePunct w:val="0"/>
        <w:autoSpaceDE/>
        <w:autoSpaceDN/>
        <w:bidi w:val="0"/>
        <w:adjustRightInd/>
        <w:snapToGrid/>
        <w:textAlignment w:val="auto"/>
        <w:rPr>
          <w:rFonts w:hint="default" w:eastAsia="方正楷体_GB2312"/>
          <w:sz w:val="32"/>
          <w:szCs w:val="32"/>
          <w:lang w:val="en-US" w:eastAsia="zh-CN"/>
        </w:rPr>
      </w:pPr>
      <w:bookmarkStart w:id="59" w:name="_Toc1415"/>
      <w:bookmarkStart w:id="60" w:name="_Toc13935"/>
      <w:r>
        <w:rPr>
          <w:rFonts w:hint="eastAsia" w:ascii="方正楷体_GB2312" w:hAnsi="方正楷体_GB2312" w:eastAsia="方正楷体_GB2312" w:cs="方正楷体_GB2312"/>
          <w:sz w:val="32"/>
          <w:szCs w:val="32"/>
        </w:rPr>
        <w:t>（一）</w:t>
      </w:r>
      <w:bookmarkEnd w:id="59"/>
      <w:r>
        <w:rPr>
          <w:rFonts w:hint="eastAsia" w:ascii="方正楷体_GB2312" w:hAnsi="方正楷体_GB2312" w:eastAsia="方正楷体_GB2312" w:cs="方正楷体_GB2312"/>
          <w:sz w:val="32"/>
          <w:szCs w:val="32"/>
          <w:lang w:val="en-US" w:eastAsia="zh-CN"/>
        </w:rPr>
        <w:t>评价结论</w:t>
      </w:r>
      <w:bookmarkEnd w:id="60"/>
    </w:p>
    <w:p>
      <w:pPr>
        <w:ind w:firstLine="560"/>
        <w:rPr>
          <w:rFonts w:hint="default" w:eastAsia="仿宋_GB2312"/>
          <w:sz w:val="32"/>
          <w:szCs w:val="32"/>
          <w:lang w:val="en-US" w:eastAsia="zh-CN"/>
        </w:rPr>
      </w:pPr>
      <w:r>
        <w:rPr>
          <w:rFonts w:hint="eastAsia"/>
          <w:b/>
          <w:bCs/>
          <w:sz w:val="32"/>
          <w:szCs w:val="32"/>
          <w:lang w:val="en-US" w:eastAsia="zh-CN"/>
        </w:rPr>
        <w:t>1.评价结果</w:t>
      </w:r>
    </w:p>
    <w:p>
      <w:pPr>
        <w:ind w:firstLine="560"/>
        <w:rPr>
          <w:sz w:val="32"/>
          <w:szCs w:val="32"/>
        </w:rPr>
      </w:pPr>
      <w:r>
        <w:rPr>
          <w:rFonts w:hint="eastAsia"/>
          <w:sz w:val="32"/>
          <w:szCs w:val="32"/>
        </w:rPr>
        <w:t>通过数据采集、社会调查等方式，运用绩效评价指标体系，从项目决策、项目过程、项目产出、项目效益等四方面对2020年</w:t>
      </w:r>
      <w:r>
        <w:rPr>
          <w:rFonts w:hint="eastAsia"/>
          <w:sz w:val="32"/>
          <w:szCs w:val="32"/>
          <w:lang w:val="en-US" w:eastAsia="zh-CN"/>
        </w:rPr>
        <w:t>美丽家园城桥镇地区</w:t>
      </w:r>
      <w:r>
        <w:rPr>
          <w:rFonts w:hint="eastAsia"/>
          <w:sz w:val="32"/>
          <w:szCs w:val="32"/>
        </w:rPr>
        <w:t>项目进行客观评价，最终评分结果为</w:t>
      </w:r>
      <w:r>
        <w:rPr>
          <w:rFonts w:hint="eastAsia"/>
          <w:sz w:val="32"/>
          <w:szCs w:val="32"/>
          <w:highlight w:val="none"/>
        </w:rPr>
        <w:t>8</w:t>
      </w:r>
      <w:r>
        <w:rPr>
          <w:rFonts w:hint="eastAsia"/>
          <w:sz w:val="32"/>
          <w:szCs w:val="32"/>
          <w:highlight w:val="none"/>
          <w:lang w:val="en-US" w:eastAsia="zh-CN"/>
        </w:rPr>
        <w:t>2</w:t>
      </w:r>
      <w:r>
        <w:rPr>
          <w:rFonts w:hint="eastAsia"/>
          <w:sz w:val="32"/>
          <w:szCs w:val="32"/>
          <w:highlight w:val="none"/>
        </w:rPr>
        <w:t>.8</w:t>
      </w:r>
      <w:r>
        <w:rPr>
          <w:rFonts w:hint="eastAsia"/>
          <w:sz w:val="32"/>
          <w:szCs w:val="32"/>
        </w:rPr>
        <w:t>分，绩效评级为“良”</w:t>
      </w:r>
      <w:r>
        <w:rPr>
          <w:rStyle w:val="36"/>
          <w:rFonts w:hint="eastAsia" w:ascii="仿宋_GB2312" w:hAnsi="仿宋_GB2312" w:eastAsia="仿宋_GB2312" w:cs="仿宋_GB2312"/>
          <w:sz w:val="28"/>
          <w:szCs w:val="28"/>
          <w:highlight w:val="none"/>
        </w:rPr>
        <w:footnoteReference w:id="2"/>
      </w:r>
      <w:r>
        <w:rPr>
          <w:rFonts w:hint="eastAsia"/>
          <w:sz w:val="32"/>
          <w:szCs w:val="32"/>
        </w:rPr>
        <w:t>。（1）项目决策类指标标准分</w:t>
      </w:r>
      <w:r>
        <w:rPr>
          <w:rFonts w:hint="eastAsia"/>
          <w:sz w:val="32"/>
          <w:szCs w:val="32"/>
          <w:lang w:val="en-US" w:eastAsia="zh-CN"/>
        </w:rPr>
        <w:t>20</w:t>
      </w:r>
      <w:r>
        <w:rPr>
          <w:rFonts w:hint="eastAsia"/>
          <w:sz w:val="32"/>
          <w:szCs w:val="32"/>
        </w:rPr>
        <w:t>分，实际得分</w:t>
      </w:r>
      <w:r>
        <w:rPr>
          <w:rFonts w:hint="eastAsia"/>
          <w:sz w:val="32"/>
          <w:szCs w:val="32"/>
          <w:lang w:eastAsia="zh-CN"/>
        </w:rPr>
        <w:t>17</w:t>
      </w:r>
      <w:r>
        <w:rPr>
          <w:rFonts w:hint="eastAsia"/>
          <w:sz w:val="32"/>
          <w:szCs w:val="32"/>
        </w:rPr>
        <w:t>分，得分率8</w:t>
      </w:r>
      <w:r>
        <w:rPr>
          <w:rFonts w:hint="eastAsia"/>
          <w:sz w:val="32"/>
          <w:szCs w:val="32"/>
          <w:lang w:val="en-US" w:eastAsia="zh-CN"/>
        </w:rPr>
        <w:t>5</w:t>
      </w:r>
      <w:r>
        <w:rPr>
          <w:rFonts w:hint="eastAsia"/>
          <w:sz w:val="32"/>
          <w:szCs w:val="32"/>
        </w:rPr>
        <w:t>%；（2）项目过程类指标标准分2</w:t>
      </w:r>
      <w:r>
        <w:rPr>
          <w:rFonts w:hint="eastAsia"/>
          <w:sz w:val="32"/>
          <w:szCs w:val="32"/>
          <w:lang w:val="en-US" w:eastAsia="zh-CN"/>
        </w:rPr>
        <w:t>0</w:t>
      </w:r>
      <w:r>
        <w:rPr>
          <w:rFonts w:hint="eastAsia"/>
          <w:sz w:val="32"/>
          <w:szCs w:val="32"/>
        </w:rPr>
        <w:t>分，实际得分</w:t>
      </w:r>
      <w:r>
        <w:rPr>
          <w:rFonts w:hint="eastAsia"/>
          <w:sz w:val="32"/>
          <w:szCs w:val="32"/>
          <w:lang w:val="en-US" w:eastAsia="zh-CN"/>
        </w:rPr>
        <w:t>17.5</w:t>
      </w:r>
      <w:r>
        <w:rPr>
          <w:rFonts w:hint="eastAsia"/>
          <w:sz w:val="32"/>
          <w:szCs w:val="32"/>
        </w:rPr>
        <w:t>分，得分率</w:t>
      </w:r>
      <w:r>
        <w:rPr>
          <w:rFonts w:hint="eastAsia"/>
          <w:sz w:val="32"/>
          <w:szCs w:val="32"/>
          <w:lang w:val="en-US" w:eastAsia="zh-CN"/>
        </w:rPr>
        <w:t>87</w:t>
      </w:r>
      <w:r>
        <w:rPr>
          <w:rFonts w:hint="eastAsia"/>
          <w:sz w:val="32"/>
          <w:szCs w:val="32"/>
        </w:rPr>
        <w:t>.5%；（3）项目产出类指标标准分</w:t>
      </w:r>
      <w:r>
        <w:rPr>
          <w:rFonts w:hint="eastAsia"/>
          <w:sz w:val="32"/>
          <w:szCs w:val="32"/>
          <w:lang w:val="en-US" w:eastAsia="zh-CN"/>
        </w:rPr>
        <w:t>30</w:t>
      </w:r>
      <w:r>
        <w:rPr>
          <w:rFonts w:hint="eastAsia"/>
          <w:sz w:val="32"/>
          <w:szCs w:val="32"/>
        </w:rPr>
        <w:t>分，实际得分2</w:t>
      </w:r>
      <w:r>
        <w:rPr>
          <w:rFonts w:hint="eastAsia"/>
          <w:sz w:val="32"/>
          <w:szCs w:val="32"/>
          <w:lang w:val="en-US" w:eastAsia="zh-CN"/>
        </w:rPr>
        <w:t>3.5</w:t>
      </w:r>
      <w:r>
        <w:rPr>
          <w:rFonts w:hint="eastAsia"/>
          <w:sz w:val="32"/>
          <w:szCs w:val="32"/>
        </w:rPr>
        <w:t>分，得分率</w:t>
      </w:r>
      <w:r>
        <w:rPr>
          <w:rFonts w:hint="eastAsia"/>
          <w:sz w:val="32"/>
          <w:szCs w:val="32"/>
          <w:lang w:val="en-US" w:eastAsia="zh-CN"/>
        </w:rPr>
        <w:t>7</w:t>
      </w:r>
      <w:r>
        <w:rPr>
          <w:rFonts w:hint="eastAsia"/>
          <w:sz w:val="32"/>
          <w:szCs w:val="32"/>
        </w:rPr>
        <w:t>8.</w:t>
      </w:r>
      <w:r>
        <w:rPr>
          <w:rFonts w:hint="eastAsia"/>
          <w:sz w:val="32"/>
          <w:szCs w:val="32"/>
          <w:lang w:val="en-US" w:eastAsia="zh-CN"/>
        </w:rPr>
        <w:t>33</w:t>
      </w:r>
      <w:r>
        <w:rPr>
          <w:rFonts w:hint="eastAsia"/>
          <w:sz w:val="32"/>
          <w:szCs w:val="32"/>
        </w:rPr>
        <w:t>%；（4）项目效益类指标标准分3</w:t>
      </w:r>
      <w:r>
        <w:rPr>
          <w:rFonts w:hint="eastAsia"/>
          <w:sz w:val="32"/>
          <w:szCs w:val="32"/>
          <w:lang w:val="en-US" w:eastAsia="zh-CN"/>
        </w:rPr>
        <w:t>0</w:t>
      </w:r>
      <w:r>
        <w:rPr>
          <w:rFonts w:hint="eastAsia"/>
          <w:sz w:val="32"/>
          <w:szCs w:val="32"/>
        </w:rPr>
        <w:t>分，实际得分</w:t>
      </w:r>
      <w:r>
        <w:rPr>
          <w:rFonts w:hint="eastAsia"/>
          <w:sz w:val="32"/>
          <w:szCs w:val="32"/>
          <w:lang w:eastAsia="zh-CN"/>
        </w:rPr>
        <w:t>24.8</w:t>
      </w:r>
      <w:r>
        <w:rPr>
          <w:rFonts w:hint="eastAsia"/>
          <w:sz w:val="32"/>
          <w:szCs w:val="32"/>
        </w:rPr>
        <w:t>分，得分率</w:t>
      </w:r>
      <w:r>
        <w:rPr>
          <w:rFonts w:hint="eastAsia"/>
          <w:sz w:val="32"/>
          <w:szCs w:val="32"/>
          <w:lang w:val="en-US" w:eastAsia="zh-CN"/>
        </w:rPr>
        <w:t>82</w:t>
      </w:r>
      <w:r>
        <w:rPr>
          <w:rFonts w:hint="eastAsia"/>
          <w:sz w:val="32"/>
          <w:szCs w:val="32"/>
        </w:rPr>
        <w:t>.</w:t>
      </w:r>
      <w:r>
        <w:rPr>
          <w:rFonts w:hint="eastAsia"/>
          <w:sz w:val="32"/>
          <w:szCs w:val="32"/>
          <w:lang w:val="en-US" w:eastAsia="zh-CN"/>
        </w:rPr>
        <w:t>67</w:t>
      </w:r>
      <w:r>
        <w:rPr>
          <w:rFonts w:hint="eastAsia"/>
          <w:sz w:val="32"/>
          <w:szCs w:val="32"/>
        </w:rPr>
        <w:t>%。</w:t>
      </w:r>
    </w:p>
    <w:p>
      <w:pPr>
        <w:ind w:firstLine="560"/>
        <w:rPr>
          <w:rFonts w:hint="default" w:eastAsia="仿宋_GB2312"/>
          <w:sz w:val="32"/>
          <w:szCs w:val="32"/>
          <w:lang w:val="en-US" w:eastAsia="zh-CN"/>
        </w:rPr>
      </w:pPr>
      <w:r>
        <w:rPr>
          <w:rFonts w:hint="eastAsia"/>
          <w:b/>
          <w:bCs/>
          <w:sz w:val="32"/>
          <w:szCs w:val="32"/>
          <w:lang w:val="en-US" w:eastAsia="zh-CN"/>
        </w:rPr>
        <w:t>2.主要绩效</w:t>
      </w:r>
    </w:p>
    <w:p>
      <w:pPr>
        <w:ind w:firstLine="560"/>
        <w:rPr>
          <w:rFonts w:hint="eastAsia"/>
          <w:sz w:val="32"/>
          <w:szCs w:val="32"/>
        </w:rPr>
      </w:pPr>
      <w:r>
        <w:rPr>
          <w:rFonts w:hint="eastAsia"/>
          <w:sz w:val="32"/>
          <w:szCs w:val="32"/>
        </w:rPr>
        <w:t>该项目总体绩效完成情况良好，主要绩效情况如下：</w:t>
      </w:r>
    </w:p>
    <w:p>
      <w:pPr>
        <w:ind w:firstLine="560"/>
        <w:rPr>
          <w:rFonts w:hint="eastAsia"/>
          <w:sz w:val="32"/>
          <w:szCs w:val="32"/>
          <w:highlight w:val="none"/>
        </w:rPr>
      </w:pPr>
      <w:r>
        <w:rPr>
          <w:rFonts w:hint="eastAsia"/>
          <w:sz w:val="32"/>
          <w:szCs w:val="32"/>
        </w:rPr>
        <w:t>（1）项目决策方面：</w:t>
      </w:r>
      <w:r>
        <w:rPr>
          <w:rFonts w:hint="eastAsia"/>
          <w:sz w:val="32"/>
          <w:szCs w:val="32"/>
          <w:highlight w:val="none"/>
        </w:rPr>
        <w:t>项目立项依据充分，立项程序规范，预算编制科学。但在</w:t>
      </w:r>
      <w:r>
        <w:rPr>
          <w:rFonts w:hint="eastAsia"/>
          <w:sz w:val="32"/>
          <w:szCs w:val="32"/>
          <w:highlight w:val="none"/>
          <w:lang w:val="en-US" w:eastAsia="zh-CN"/>
        </w:rPr>
        <w:t>选取改造对象上，公平性有所欠缺；绩效目标合理性和绩效指标明确性有待提高</w:t>
      </w:r>
      <w:r>
        <w:rPr>
          <w:rFonts w:hint="eastAsia"/>
          <w:sz w:val="32"/>
          <w:szCs w:val="32"/>
          <w:highlight w:val="none"/>
        </w:rPr>
        <w:t>。</w:t>
      </w:r>
    </w:p>
    <w:p>
      <w:pPr>
        <w:ind w:firstLine="560"/>
        <w:rPr>
          <w:rFonts w:hint="eastAsia"/>
          <w:sz w:val="32"/>
          <w:szCs w:val="32"/>
          <w:highlight w:val="yellow"/>
        </w:rPr>
      </w:pPr>
      <w:r>
        <w:rPr>
          <w:rFonts w:hint="eastAsia"/>
          <w:sz w:val="32"/>
          <w:szCs w:val="32"/>
          <w:highlight w:val="none"/>
        </w:rPr>
        <w:t>（2）项目过程管理方面：预算执行率100%，财务管理制度健全且执行有效，“三算”规范，资金使用合规，业务管理制度健全，</w:t>
      </w:r>
      <w:r>
        <w:rPr>
          <w:rFonts w:hint="eastAsia"/>
          <w:sz w:val="32"/>
          <w:szCs w:val="32"/>
          <w:highlight w:val="none"/>
          <w:lang w:val="en-US" w:eastAsia="zh-CN"/>
        </w:rPr>
        <w:t>且多数业务</w:t>
      </w:r>
      <w:r>
        <w:rPr>
          <w:rFonts w:hint="eastAsia"/>
          <w:sz w:val="32"/>
          <w:szCs w:val="32"/>
          <w:highlight w:val="none"/>
        </w:rPr>
        <w:t>管理制度执行有效。但</w:t>
      </w:r>
      <w:r>
        <w:rPr>
          <w:rFonts w:hint="eastAsia"/>
          <w:sz w:val="32"/>
          <w:szCs w:val="32"/>
          <w:highlight w:val="none"/>
          <w:lang w:val="en-US" w:eastAsia="zh-CN"/>
        </w:rPr>
        <w:t>项目预算调整率过高；</w:t>
      </w:r>
      <w:r>
        <w:rPr>
          <w:rFonts w:hint="eastAsia"/>
          <w:sz w:val="32"/>
          <w:szCs w:val="32"/>
          <w:highlight w:val="none"/>
        </w:rPr>
        <w:t>在合同执行方面不规范，存在部分合同签订缺乏必需的合同要素等情况。</w:t>
      </w:r>
    </w:p>
    <w:p>
      <w:pPr>
        <w:ind w:firstLine="560"/>
        <w:rPr>
          <w:rFonts w:hint="eastAsia"/>
          <w:sz w:val="32"/>
          <w:szCs w:val="32"/>
        </w:rPr>
      </w:pPr>
      <w:r>
        <w:rPr>
          <w:rFonts w:hint="eastAsia"/>
          <w:sz w:val="32"/>
          <w:szCs w:val="32"/>
        </w:rPr>
        <w:t>（3）项目产出方面：经过合理</w:t>
      </w:r>
      <w:r>
        <w:rPr>
          <w:rFonts w:hint="eastAsia"/>
          <w:sz w:val="32"/>
          <w:szCs w:val="32"/>
          <w:lang w:val="en-US" w:eastAsia="zh-CN"/>
        </w:rPr>
        <w:t>工程量</w:t>
      </w:r>
      <w:r>
        <w:rPr>
          <w:rFonts w:hint="eastAsia"/>
          <w:sz w:val="32"/>
          <w:szCs w:val="32"/>
        </w:rPr>
        <w:t>变更</w:t>
      </w:r>
      <w:r>
        <w:rPr>
          <w:rFonts w:hint="eastAsia"/>
          <w:sz w:val="32"/>
          <w:szCs w:val="32"/>
          <w:lang w:val="en-US" w:eastAsia="zh-CN"/>
        </w:rPr>
        <w:t>程序</w:t>
      </w:r>
      <w:r>
        <w:rPr>
          <w:rFonts w:hint="eastAsia"/>
          <w:sz w:val="32"/>
          <w:szCs w:val="32"/>
        </w:rPr>
        <w:t>，完成</w:t>
      </w:r>
      <w:r>
        <w:rPr>
          <w:rFonts w:hint="eastAsia"/>
          <w:sz w:val="32"/>
          <w:szCs w:val="32"/>
          <w:lang w:val="en-US" w:eastAsia="zh-CN"/>
        </w:rPr>
        <w:t>改造</w:t>
      </w:r>
      <w:r>
        <w:rPr>
          <w:rFonts w:hint="eastAsia"/>
          <w:sz w:val="32"/>
          <w:szCs w:val="32"/>
        </w:rPr>
        <w:t>计划，包括完成</w:t>
      </w:r>
      <w:r>
        <w:rPr>
          <w:rFonts w:hint="eastAsia"/>
          <w:sz w:val="32"/>
          <w:szCs w:val="32"/>
          <w:lang w:val="en-US" w:eastAsia="zh-CN"/>
        </w:rPr>
        <w:t>道路维修</w:t>
      </w:r>
      <w:r>
        <w:rPr>
          <w:rFonts w:hint="eastAsia"/>
          <w:sz w:val="32"/>
          <w:szCs w:val="32"/>
          <w:highlight w:val="none"/>
        </w:rPr>
        <w:t>101523平方米、</w:t>
      </w:r>
      <w:r>
        <w:rPr>
          <w:rFonts w:hint="eastAsia"/>
          <w:sz w:val="32"/>
          <w:szCs w:val="32"/>
          <w:highlight w:val="none"/>
          <w:lang w:val="en-US" w:eastAsia="zh-CN"/>
        </w:rPr>
        <w:t>屋面维修88822平方米</w:t>
      </w:r>
      <w:r>
        <w:rPr>
          <w:rFonts w:hint="eastAsia"/>
          <w:sz w:val="32"/>
          <w:szCs w:val="32"/>
          <w:highlight w:val="none"/>
          <w:lang w:eastAsia="zh-CN"/>
        </w:rPr>
        <w:t>、</w:t>
      </w:r>
      <w:r>
        <w:rPr>
          <w:rFonts w:hint="eastAsia"/>
          <w:sz w:val="32"/>
          <w:szCs w:val="32"/>
          <w:highlight w:val="none"/>
          <w:lang w:val="en-US" w:eastAsia="zh-CN"/>
        </w:rPr>
        <w:t>外立面维修214436平方米、</w:t>
      </w:r>
      <w:r>
        <w:rPr>
          <w:rFonts w:hint="eastAsia"/>
          <w:sz w:val="32"/>
          <w:szCs w:val="32"/>
          <w:highlight w:val="none"/>
        </w:rPr>
        <w:t>绿化提升16319</w:t>
      </w:r>
      <w:r>
        <w:rPr>
          <w:rFonts w:hint="eastAsia"/>
          <w:sz w:val="32"/>
          <w:szCs w:val="32"/>
          <w:highlight w:val="none"/>
          <w:lang w:val="en-US" w:eastAsia="zh-CN"/>
        </w:rPr>
        <w:t>平方米</w:t>
      </w:r>
      <w:r>
        <w:rPr>
          <w:rFonts w:hint="eastAsia"/>
          <w:sz w:val="32"/>
          <w:szCs w:val="32"/>
          <w:highlight w:val="none"/>
        </w:rPr>
        <w:t>、</w:t>
      </w:r>
      <w:r>
        <w:rPr>
          <w:rFonts w:hint="eastAsia"/>
          <w:sz w:val="32"/>
          <w:szCs w:val="32"/>
          <w:highlight w:val="none"/>
          <w:lang w:val="en-US" w:eastAsia="zh-CN"/>
        </w:rPr>
        <w:t>管线入地266667平方米</w:t>
      </w:r>
      <w:r>
        <w:rPr>
          <w:rFonts w:hint="eastAsia"/>
          <w:sz w:val="32"/>
          <w:szCs w:val="32"/>
          <w:highlight w:val="none"/>
        </w:rPr>
        <w:t>、</w:t>
      </w:r>
      <w:r>
        <w:rPr>
          <w:rFonts w:hint="eastAsia"/>
          <w:sz w:val="32"/>
          <w:szCs w:val="32"/>
          <w:highlight w:val="none"/>
          <w:lang w:val="en-US" w:eastAsia="zh-CN"/>
        </w:rPr>
        <w:t>敷设雨污管道52524米、其他设施更新10</w:t>
      </w:r>
      <w:r>
        <w:rPr>
          <w:rFonts w:hint="eastAsia"/>
          <w:sz w:val="32"/>
          <w:szCs w:val="32"/>
          <w:highlight w:val="none"/>
        </w:rPr>
        <w:t>项，共计</w:t>
      </w:r>
      <w:r>
        <w:rPr>
          <w:rFonts w:hint="eastAsia"/>
          <w:sz w:val="32"/>
          <w:szCs w:val="32"/>
          <w:highlight w:val="none"/>
          <w:lang w:val="en-US" w:eastAsia="zh-CN"/>
        </w:rPr>
        <w:t>7</w:t>
      </w:r>
      <w:r>
        <w:rPr>
          <w:rFonts w:hint="eastAsia"/>
          <w:sz w:val="32"/>
          <w:szCs w:val="32"/>
          <w:highlight w:val="none"/>
        </w:rPr>
        <w:t>个方面的工作；</w:t>
      </w:r>
      <w:r>
        <w:rPr>
          <w:rFonts w:hint="eastAsia"/>
          <w:sz w:val="32"/>
          <w:szCs w:val="32"/>
          <w:highlight w:val="none"/>
          <w:lang w:val="en-US" w:eastAsia="zh-CN"/>
        </w:rPr>
        <w:t>项目建设顺利通过专业验收和综合</w:t>
      </w:r>
      <w:r>
        <w:rPr>
          <w:rFonts w:hint="eastAsia"/>
          <w:sz w:val="32"/>
          <w:szCs w:val="32"/>
          <w:highlight w:val="none"/>
        </w:rPr>
        <w:t>验收</w:t>
      </w:r>
      <w:r>
        <w:rPr>
          <w:rFonts w:hint="eastAsia"/>
          <w:sz w:val="32"/>
          <w:szCs w:val="32"/>
        </w:rPr>
        <w:t>；但是在建设质量方面，部分</w:t>
      </w:r>
      <w:r>
        <w:rPr>
          <w:rFonts w:hint="eastAsia"/>
          <w:sz w:val="32"/>
          <w:szCs w:val="32"/>
          <w:lang w:val="en-US" w:eastAsia="zh-CN"/>
        </w:rPr>
        <w:t>项目的房屋外立面、空调架、玻璃幕墙、污水管道等改造</w:t>
      </w:r>
      <w:r>
        <w:rPr>
          <w:rFonts w:hint="eastAsia"/>
          <w:sz w:val="32"/>
          <w:szCs w:val="32"/>
        </w:rPr>
        <w:t>质量不佳</w:t>
      </w:r>
      <w:r>
        <w:rPr>
          <w:rFonts w:hint="eastAsia"/>
          <w:sz w:val="32"/>
          <w:szCs w:val="32"/>
          <w:lang w:eastAsia="zh-CN"/>
        </w:rPr>
        <w:t>；</w:t>
      </w:r>
      <w:r>
        <w:rPr>
          <w:rFonts w:hint="eastAsia"/>
          <w:sz w:val="32"/>
          <w:szCs w:val="32"/>
        </w:rPr>
        <w:t>时效性方面，</w:t>
      </w:r>
      <w:r>
        <w:rPr>
          <w:rFonts w:hint="eastAsia"/>
          <w:sz w:val="32"/>
          <w:szCs w:val="32"/>
          <w:lang w:val="en-US" w:eastAsia="zh-CN"/>
        </w:rPr>
        <w:t>前期准备工作和</w:t>
      </w:r>
      <w:r>
        <w:rPr>
          <w:rFonts w:hint="eastAsia"/>
          <w:sz w:val="32"/>
          <w:szCs w:val="32"/>
        </w:rPr>
        <w:t>建设进度</w:t>
      </w:r>
      <w:r>
        <w:rPr>
          <w:rFonts w:hint="eastAsia"/>
          <w:sz w:val="32"/>
          <w:szCs w:val="32"/>
          <w:lang w:val="en-US" w:eastAsia="zh-CN"/>
        </w:rPr>
        <w:t>均</w:t>
      </w:r>
      <w:r>
        <w:rPr>
          <w:rFonts w:hint="eastAsia"/>
          <w:sz w:val="32"/>
          <w:szCs w:val="32"/>
        </w:rPr>
        <w:t>落后于计划</w:t>
      </w:r>
      <w:r>
        <w:rPr>
          <w:rFonts w:hint="eastAsia"/>
          <w:sz w:val="32"/>
          <w:szCs w:val="32"/>
          <w:lang w:eastAsia="zh-CN"/>
        </w:rPr>
        <w:t>；</w:t>
      </w:r>
      <w:r>
        <w:rPr>
          <w:rFonts w:hint="eastAsia"/>
          <w:sz w:val="32"/>
          <w:szCs w:val="32"/>
          <w:lang w:val="en-US" w:eastAsia="zh-CN"/>
        </w:rPr>
        <w:t>成本控制方面，部分同类材料造价不合理，部分二类费合同价偏高</w:t>
      </w:r>
      <w:r>
        <w:rPr>
          <w:rFonts w:hint="eastAsia"/>
          <w:sz w:val="32"/>
          <w:szCs w:val="32"/>
        </w:rPr>
        <w:t>。</w:t>
      </w:r>
    </w:p>
    <w:p>
      <w:pPr>
        <w:ind w:firstLine="560"/>
        <w:rPr>
          <w:sz w:val="32"/>
          <w:szCs w:val="32"/>
        </w:rPr>
      </w:pPr>
      <w:r>
        <w:rPr>
          <w:rFonts w:hint="eastAsia"/>
          <w:sz w:val="32"/>
          <w:szCs w:val="32"/>
        </w:rPr>
        <w:t>（4）项目效益方面：</w:t>
      </w:r>
      <w:r>
        <w:rPr>
          <w:rFonts w:hint="eastAsia"/>
          <w:sz w:val="32"/>
          <w:szCs w:val="32"/>
          <w:highlight w:val="none"/>
        </w:rPr>
        <w:t>项目的实施</w:t>
      </w:r>
      <w:r>
        <w:rPr>
          <w:rFonts w:hint="eastAsia"/>
          <w:sz w:val="32"/>
          <w:szCs w:val="32"/>
          <w:lang w:val="en-US" w:eastAsia="zh-CN"/>
        </w:rPr>
        <w:t>优化了旧房的建筑结构、完善了社区功能、健全了社区配套设施、回应了群众期待，提升了居民的幸福感和获得感</w:t>
      </w:r>
      <w:r>
        <w:rPr>
          <w:rFonts w:hint="eastAsia"/>
          <w:sz w:val="32"/>
          <w:szCs w:val="32"/>
        </w:rPr>
        <w:t>，提升</w:t>
      </w:r>
      <w:r>
        <w:rPr>
          <w:rFonts w:hint="eastAsia"/>
          <w:sz w:val="32"/>
          <w:szCs w:val="32"/>
          <w:lang w:val="en-US" w:eastAsia="zh-CN"/>
        </w:rPr>
        <w:t>了</w:t>
      </w:r>
      <w:r>
        <w:rPr>
          <w:rFonts w:hint="eastAsia"/>
          <w:sz w:val="32"/>
          <w:szCs w:val="32"/>
        </w:rPr>
        <w:t>城桥地区污水处理效率</w:t>
      </w:r>
      <w:r>
        <w:rPr>
          <w:rFonts w:hint="eastAsia"/>
          <w:sz w:val="32"/>
          <w:szCs w:val="32"/>
          <w:lang w:eastAsia="zh-CN"/>
        </w:rPr>
        <w:t>；</w:t>
      </w:r>
      <w:r>
        <w:rPr>
          <w:rFonts w:hint="eastAsia"/>
          <w:sz w:val="32"/>
          <w:szCs w:val="32"/>
          <w:lang w:val="en-US" w:eastAsia="zh-CN"/>
        </w:rPr>
        <w:t>长效方面，项目建后管护机制健全</w:t>
      </w:r>
      <w:r>
        <w:rPr>
          <w:rFonts w:hint="eastAsia"/>
          <w:sz w:val="32"/>
          <w:szCs w:val="32"/>
        </w:rPr>
        <w:t>，</w:t>
      </w:r>
      <w:r>
        <w:rPr>
          <w:rFonts w:hint="eastAsia"/>
          <w:sz w:val="32"/>
          <w:szCs w:val="32"/>
          <w:lang w:val="en-US" w:eastAsia="zh-CN"/>
        </w:rPr>
        <w:t>项目</w:t>
      </w:r>
      <w:r>
        <w:rPr>
          <w:rFonts w:hint="eastAsia"/>
          <w:sz w:val="32"/>
          <w:szCs w:val="32"/>
        </w:rPr>
        <w:t>新建公共设施综合利用率</w:t>
      </w:r>
      <w:r>
        <w:rPr>
          <w:rFonts w:hint="eastAsia"/>
          <w:sz w:val="32"/>
          <w:szCs w:val="32"/>
          <w:lang w:val="en-US" w:eastAsia="zh-CN"/>
        </w:rPr>
        <w:t>和居民知晓率都很高</w:t>
      </w:r>
      <w:r>
        <w:rPr>
          <w:rFonts w:hint="eastAsia"/>
          <w:sz w:val="32"/>
          <w:szCs w:val="32"/>
        </w:rPr>
        <w:t>，沟通协调机制有效</w:t>
      </w:r>
      <w:r>
        <w:rPr>
          <w:rFonts w:hint="eastAsia"/>
          <w:sz w:val="32"/>
          <w:szCs w:val="32"/>
          <w:lang w:eastAsia="zh-CN"/>
        </w:rPr>
        <w:t>，</w:t>
      </w:r>
      <w:r>
        <w:rPr>
          <w:rFonts w:hint="eastAsia"/>
          <w:sz w:val="32"/>
          <w:szCs w:val="32"/>
        </w:rPr>
        <w:t>信息公开规范；但是项目的</w:t>
      </w:r>
      <w:r>
        <w:rPr>
          <w:rFonts w:hint="eastAsia"/>
          <w:sz w:val="32"/>
          <w:szCs w:val="32"/>
          <w:lang w:val="en-US" w:eastAsia="zh-CN"/>
        </w:rPr>
        <w:t>建后管护</w:t>
      </w:r>
      <w:r>
        <w:rPr>
          <w:rFonts w:hint="eastAsia"/>
          <w:sz w:val="32"/>
          <w:szCs w:val="32"/>
        </w:rPr>
        <w:t>执行情况不佳，</w:t>
      </w:r>
      <w:r>
        <w:rPr>
          <w:rFonts w:hint="eastAsia"/>
          <w:sz w:val="32"/>
          <w:szCs w:val="32"/>
          <w:lang w:val="en-US" w:eastAsia="zh-CN"/>
        </w:rPr>
        <w:t>小区绿化提升效果不明显、小区电瓶车飞线充电问题依然突出，居民对项目实施的综合</w:t>
      </w:r>
      <w:r>
        <w:rPr>
          <w:rFonts w:hint="eastAsia"/>
          <w:sz w:val="32"/>
          <w:szCs w:val="32"/>
        </w:rPr>
        <w:t>满意度</w:t>
      </w:r>
      <w:r>
        <w:rPr>
          <w:rFonts w:hint="eastAsia"/>
          <w:sz w:val="32"/>
          <w:szCs w:val="32"/>
          <w:lang w:val="en-US" w:eastAsia="zh-CN"/>
        </w:rPr>
        <w:t>还有提升空间</w:t>
      </w:r>
      <w:r>
        <w:rPr>
          <w:rFonts w:hint="eastAsia"/>
          <w:sz w:val="32"/>
          <w:szCs w:val="32"/>
        </w:rPr>
        <w:t>。</w:t>
      </w:r>
    </w:p>
    <w:p>
      <w:pPr>
        <w:rPr>
          <w:rFonts w:hint="eastAsia" w:ascii="方正楷体_GB2312" w:hAnsi="方正楷体_GB2312" w:eastAsia="方正楷体_GB2312" w:cs="方正楷体_GB2312"/>
          <w:sz w:val="32"/>
          <w:szCs w:val="32"/>
        </w:rPr>
      </w:pPr>
      <w:bookmarkStart w:id="61" w:name="_Toc28703"/>
      <w:r>
        <w:rPr>
          <w:rFonts w:hint="eastAsia" w:ascii="方正楷体_GB2312" w:hAnsi="方正楷体_GB2312" w:eastAsia="方正楷体_GB2312" w:cs="方正楷体_GB2312"/>
          <w:sz w:val="32"/>
          <w:szCs w:val="32"/>
        </w:rPr>
        <w:br w:type="page"/>
      </w:r>
    </w:p>
    <w:p>
      <w:pPr>
        <w:pStyle w:val="3"/>
        <w:rPr>
          <w:sz w:val="32"/>
          <w:szCs w:val="32"/>
        </w:rPr>
      </w:pPr>
      <w:bookmarkStart w:id="62" w:name="_Toc30256"/>
      <w:r>
        <w:rPr>
          <w:rFonts w:hint="eastAsia" w:ascii="方正楷体_GB2312" w:hAnsi="方正楷体_GB2312" w:eastAsia="方正楷体_GB2312" w:cs="方正楷体_GB2312"/>
          <w:sz w:val="32"/>
          <w:szCs w:val="32"/>
        </w:rPr>
        <w:t>（二）</w:t>
      </w:r>
      <w:bookmarkEnd w:id="61"/>
      <w:r>
        <w:rPr>
          <w:rFonts w:hint="eastAsia" w:ascii="方正楷体_GB2312" w:hAnsi="方正楷体_GB2312" w:eastAsia="方正楷体_GB2312" w:cs="方正楷体_GB2312"/>
          <w:sz w:val="32"/>
          <w:szCs w:val="32"/>
        </w:rPr>
        <w:t>具体绩效分析</w:t>
      </w:r>
      <w:bookmarkEnd w:id="62"/>
    </w:p>
    <w:p>
      <w:pPr>
        <w:pageBreakBefore w:val="0"/>
        <w:kinsoku/>
        <w:wordWrap/>
        <w:overflowPunct/>
        <w:topLinePunct w:val="0"/>
        <w:autoSpaceDN/>
        <w:bidi w:val="0"/>
        <w:spacing w:line="500" w:lineRule="exact"/>
        <w:ind w:left="0" w:leftChars="0" w:firstLine="643" w:firstLineChars="200"/>
        <w:contextualSpacing w:val="0"/>
        <w:jc w:val="both"/>
        <w:outlineLvl w:val="2"/>
        <w:rPr>
          <w:rFonts w:hint="eastAsia" w:ascii="仿宋_GB2312" w:hAnsi="Times New Roman" w:cs="Times New Roman"/>
          <w:b/>
          <w:bCs/>
          <w:kern w:val="1"/>
          <w:sz w:val="28"/>
          <w:szCs w:val="28"/>
        </w:rPr>
      </w:pPr>
      <w:bookmarkStart w:id="63" w:name="_Toc21289"/>
      <w:bookmarkStart w:id="64" w:name="_Toc30514"/>
      <w:r>
        <w:rPr>
          <w:rFonts w:hint="eastAsia" w:ascii="仿宋_GB2312" w:hAnsi="仿宋_GB2312" w:eastAsia="仿宋_GB2312" w:cs="仿宋_GB2312"/>
          <w:b/>
          <w:bCs/>
          <w:kern w:val="1"/>
          <w:sz w:val="32"/>
          <w:szCs w:val="32"/>
        </w:rPr>
        <w:t>1.项目决策</w:t>
      </w:r>
      <w:bookmarkEnd w:id="63"/>
      <w:bookmarkEnd w:id="64"/>
    </w:p>
    <w:p>
      <w:pPr>
        <w:pageBreakBefore w:val="0"/>
        <w:kinsoku/>
        <w:wordWrap/>
        <w:overflowPunct/>
        <w:topLinePunct w:val="0"/>
        <w:autoSpaceDN/>
        <w:bidi w:val="0"/>
        <w:spacing w:line="500" w:lineRule="exact"/>
        <w:ind w:left="0" w:leftChars="0" w:firstLine="640" w:firstLineChars="200"/>
        <w:contextualSpacing w:val="0"/>
        <w:jc w:val="both"/>
        <w:rPr>
          <w:rFonts w:hint="default" w:ascii="仿宋_GB2312" w:hAnsi="Times New Roman" w:eastAsia="仿宋_GB2312" w:cs="Times New Roman"/>
          <w:b/>
          <w:bCs/>
          <w:kern w:val="1"/>
          <w:sz w:val="28"/>
          <w:szCs w:val="28"/>
          <w:lang w:val="en-US" w:eastAsia="zh-CN"/>
        </w:rPr>
      </w:pP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1</w:t>
      </w: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表3-1项目</w:t>
      </w:r>
      <w:r>
        <w:rPr>
          <w:rFonts w:hint="eastAsia" w:ascii="仿宋_GB2312" w:hAnsi="Times New Roman" w:cs="Times New Roman"/>
          <w:b/>
          <w:bCs/>
          <w:kern w:val="1"/>
          <w:sz w:val="24"/>
          <w:szCs w:val="24"/>
          <w:lang w:val="en-US" w:eastAsia="zh-CN"/>
        </w:rPr>
        <w:t>决策类指标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left"/>
              <w:textAlignment w:val="auto"/>
              <w:rPr>
                <w:rFonts w:hint="eastAsia" w:ascii="仿宋_GB2312" w:hAnsi="仿宋_GB2312" w:eastAsia="仿宋_GB2312" w:cs="仿宋_GB2312"/>
                <w:b/>
                <w:bCs/>
                <w:kern w:val="1"/>
                <w:sz w:val="24"/>
                <w:szCs w:val="24"/>
              </w:rPr>
            </w:pPr>
            <w:r>
              <w:rPr>
                <w:rFonts w:hint="eastAsia" w:ascii="仿宋_GB2312" w:hAnsi="仿宋_GB2312" w:eastAsia="仿宋_GB2312" w:cs="仿宋_GB2312"/>
                <w:b/>
                <w:bCs/>
                <w:kern w:val="1"/>
                <w:sz w:val="24"/>
                <w:szCs w:val="24"/>
              </w:rPr>
              <w:t>A项目决策</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20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A1 项目立项</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A11 立项依据充分性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充分</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A12 立项</w:t>
            </w:r>
            <w:r>
              <w:rPr>
                <w:rFonts w:hint="eastAsia" w:ascii="仿宋_GB2312" w:hAnsi="仿宋_GB2312" w:eastAsia="仿宋_GB2312" w:cs="仿宋_GB2312"/>
                <w:kern w:val="1"/>
                <w:sz w:val="24"/>
                <w:szCs w:val="24"/>
                <w:lang w:val="en-US" w:eastAsia="zh-CN"/>
              </w:rPr>
              <w:t>程序</w:t>
            </w:r>
            <w:r>
              <w:rPr>
                <w:rFonts w:hint="eastAsia" w:ascii="仿宋_GB2312" w:hAnsi="仿宋_GB2312" w:eastAsia="仿宋_GB2312" w:cs="仿宋_GB2312"/>
                <w:kern w:val="1"/>
                <w:sz w:val="24"/>
                <w:szCs w:val="24"/>
              </w:rPr>
              <w:t>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w:t>
            </w:r>
            <w:r>
              <w:rPr>
                <w:rFonts w:hint="eastAsia" w:ascii="仿宋_GB2312" w:hAnsi="仿宋_GB2312" w:eastAsia="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A2 绩效目标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A21 绩效目标合理性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w:t>
            </w:r>
            <w:r>
              <w:rPr>
                <w:rFonts w:hint="eastAsia" w:ascii="仿宋_GB2312" w:hAnsi="仿宋_GB2312" w:eastAsia="仿宋_GB2312" w:cs="仿宋_GB2312"/>
                <w:color w:val="000000"/>
                <w:kern w:val="1"/>
                <w:sz w:val="24"/>
                <w:szCs w:val="24"/>
                <w:lang w:val="en-US" w:eastAsia="zh-CN"/>
              </w:rPr>
              <w:t>合理</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A22 绩效指标明确性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w:t>
            </w:r>
            <w:r>
              <w:rPr>
                <w:rFonts w:hint="eastAsia" w:ascii="仿宋_GB2312" w:hAnsi="仿宋_GB2312" w:eastAsia="仿宋_GB2312" w:cs="仿宋_GB2312"/>
                <w:color w:val="000000"/>
                <w:kern w:val="1"/>
                <w:sz w:val="24"/>
                <w:szCs w:val="24"/>
                <w:lang w:val="en-US" w:eastAsia="zh-CN"/>
              </w:rPr>
              <w:t>明确</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A3 资金投入</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A31 预算编制科学性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科学</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r>
    </w:tbl>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A11立项依据充分性 权重</w:t>
      </w:r>
      <w:r>
        <w:rPr>
          <w:rFonts w:hint="eastAsia" w:cs="仿宋_GB2312"/>
          <w:kern w:val="1"/>
          <w:sz w:val="32"/>
          <w:szCs w:val="32"/>
          <w:lang w:val="en-US" w:eastAsia="zh-CN"/>
        </w:rPr>
        <w:t>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color w:val="000000"/>
          <w:kern w:val="1"/>
          <w:sz w:val="32"/>
          <w:szCs w:val="32"/>
          <w:lang w:eastAsia="zh-CN"/>
        </w:rPr>
      </w:pPr>
      <w:r>
        <w:rPr>
          <w:rFonts w:hint="eastAsia" w:ascii="仿宋_GB2312" w:hAnsi="仿宋_GB2312" w:eastAsia="仿宋_GB2312" w:cs="仿宋_GB2312"/>
          <w:color w:val="000000"/>
          <w:kern w:val="1"/>
          <w:sz w:val="32"/>
          <w:szCs w:val="32"/>
          <w:lang w:val="en-US" w:eastAsia="zh-CN"/>
        </w:rPr>
        <w:t>①</w:t>
      </w:r>
      <w:r>
        <w:rPr>
          <w:rFonts w:hint="eastAsia" w:ascii="仿宋_GB2312" w:hAnsi="仿宋_GB2312" w:eastAsia="仿宋_GB2312" w:cs="仿宋_GB2312"/>
          <w:color w:val="000000"/>
          <w:kern w:val="1"/>
          <w:sz w:val="32"/>
          <w:szCs w:val="32"/>
          <w:lang w:eastAsia="zh-CN"/>
        </w:rPr>
        <w:t>项目立项符合国家法律法规、国民经济发展规划和相关政策</w:t>
      </w:r>
      <w:r>
        <w:rPr>
          <w:rFonts w:hint="eastAsia" w:cs="仿宋_GB2312"/>
          <w:color w:val="000000"/>
          <w:kern w:val="1"/>
          <w:sz w:val="32"/>
          <w:szCs w:val="32"/>
          <w:lang w:eastAsia="zh-CN"/>
        </w:rPr>
        <w:t>，属于公共财政支持范围，</w:t>
      </w:r>
      <w:r>
        <w:rPr>
          <w:rFonts w:hint="eastAsia" w:cs="仿宋_GB2312"/>
          <w:color w:val="000000"/>
          <w:kern w:val="1"/>
          <w:sz w:val="32"/>
          <w:szCs w:val="32"/>
          <w:lang w:val="en-US" w:eastAsia="zh-CN"/>
        </w:rPr>
        <w:t>属于</w:t>
      </w:r>
      <w:r>
        <w:rPr>
          <w:rFonts w:hint="eastAsia" w:cs="仿宋_GB2312"/>
          <w:color w:val="000000"/>
          <w:kern w:val="1"/>
          <w:sz w:val="32"/>
          <w:szCs w:val="32"/>
          <w:lang w:eastAsia="zh-CN"/>
        </w:rPr>
        <w:t>地方事权支出责任</w:t>
      </w:r>
      <w:r>
        <w:rPr>
          <w:rFonts w:hint="eastAsia" w:ascii="仿宋_GB2312" w:hAnsi="仿宋_GB2312" w:eastAsia="仿宋_GB2312" w:cs="仿宋_GB2312"/>
          <w:color w:val="000000"/>
          <w:kern w:val="1"/>
          <w:sz w:val="32"/>
          <w:szCs w:val="32"/>
          <w:lang w:eastAsia="zh-CN"/>
        </w:rPr>
        <w:t>；</w:t>
      </w:r>
      <w:r>
        <w:rPr>
          <w:rFonts w:hint="eastAsia"/>
          <w:sz w:val="32"/>
          <w:szCs w:val="32"/>
        </w:rPr>
        <w:t>上海市崇明区住房保障和房屋管理局</w:t>
      </w:r>
      <w:r>
        <w:rPr>
          <w:rFonts w:hint="eastAsia" w:ascii="仿宋_GB2312" w:hAnsi="仿宋_GB2312" w:cs="仿宋_GB2312"/>
          <w:color w:val="000000"/>
          <w:kern w:val="1"/>
          <w:sz w:val="32"/>
          <w:szCs w:val="32"/>
          <w:lang w:val="en-US" w:eastAsia="zh-CN"/>
        </w:rPr>
        <w:t>是本项目的预算单位，其</w:t>
      </w:r>
      <w:r>
        <w:rPr>
          <w:rFonts w:hint="eastAsia" w:ascii="仿宋_GB2312" w:hAnsi="仿宋_GB2312" w:eastAsia="仿宋_GB2312" w:cs="仿宋_GB2312"/>
          <w:color w:val="000000"/>
          <w:kern w:val="1"/>
          <w:sz w:val="32"/>
          <w:szCs w:val="32"/>
          <w:lang w:val="en-US" w:eastAsia="zh-CN"/>
        </w:rPr>
        <w:t>作为行业管理部门，</w:t>
      </w:r>
      <w:r>
        <w:rPr>
          <w:rFonts w:hint="eastAsia" w:ascii="仿宋_GB2312" w:hAnsi="仿宋_GB2312" w:cs="仿宋_GB2312"/>
          <w:color w:val="000000"/>
          <w:kern w:val="1"/>
          <w:sz w:val="32"/>
          <w:szCs w:val="32"/>
          <w:lang w:val="en-US" w:eastAsia="zh-CN"/>
        </w:rPr>
        <w:t>职责之一为：</w:t>
      </w:r>
      <w:r>
        <w:rPr>
          <w:rFonts w:hint="eastAsia" w:ascii="仿宋_GB2312" w:hAnsi="仿宋_GB2312" w:eastAsia="仿宋_GB2312" w:cs="仿宋_GB2312"/>
          <w:color w:val="000000"/>
          <w:kern w:val="1"/>
          <w:sz w:val="32"/>
          <w:szCs w:val="32"/>
          <w:lang w:val="en-US" w:eastAsia="zh-CN"/>
        </w:rPr>
        <w:t>组织编制本区旧区改造、“城中村”改造、旧住房修缮改造规划和年度实施计划，并牵头组织实施；负责本区住宅修缮工程的行政监管，指导本区各类房屋的修缮改造工作</w:t>
      </w:r>
      <w:r>
        <w:rPr>
          <w:rFonts w:hint="eastAsia" w:ascii="仿宋_GB2312" w:hAnsi="仿宋_GB2312" w:cs="仿宋_GB2312"/>
          <w:kern w:val="1"/>
          <w:sz w:val="32"/>
          <w:szCs w:val="22"/>
          <w:lang w:eastAsia="zh-CN"/>
        </w:rPr>
        <w:t>。</w:t>
      </w:r>
      <w:r>
        <w:rPr>
          <w:rFonts w:hint="eastAsia" w:ascii="仿宋_GB2312" w:hAnsi="仿宋_GB2312" w:eastAsia="仿宋_GB2312" w:cs="仿宋_GB2312"/>
          <w:kern w:val="1"/>
          <w:sz w:val="32"/>
          <w:szCs w:val="22"/>
          <w:lang w:val="en-US" w:eastAsia="zh-CN"/>
        </w:rPr>
        <w:t>本项目属于上述的部门职责范围内，属于部门履职所需</w:t>
      </w:r>
      <w:r>
        <w:rPr>
          <w:rFonts w:hint="eastAsia" w:cs="仿宋_GB2312"/>
          <w:kern w:val="1"/>
          <w:sz w:val="32"/>
          <w:szCs w:val="22"/>
          <w:lang w:val="en-US" w:eastAsia="zh-CN"/>
        </w:rPr>
        <w:t>。综上</w:t>
      </w:r>
      <w:r>
        <w:rPr>
          <w:rFonts w:hint="eastAsia" w:ascii="仿宋_GB2312" w:hAnsi="仿宋_GB2312" w:eastAsia="仿宋_GB2312" w:cs="仿宋_GB2312"/>
          <w:kern w:val="1"/>
          <w:sz w:val="32"/>
          <w:szCs w:val="22"/>
          <w:lang w:val="en-US" w:eastAsia="zh-CN"/>
        </w:rPr>
        <w:t>得</w:t>
      </w:r>
      <w:r>
        <w:rPr>
          <w:rFonts w:hint="eastAsia" w:cs="仿宋_GB2312"/>
          <w:kern w:val="1"/>
          <w:sz w:val="32"/>
          <w:szCs w:val="22"/>
          <w:lang w:val="en-US" w:eastAsia="zh-CN"/>
        </w:rPr>
        <w:t>2</w:t>
      </w:r>
      <w:r>
        <w:rPr>
          <w:rFonts w:hint="eastAsia" w:ascii="仿宋_GB2312" w:hAnsi="仿宋_GB2312" w:eastAsia="仿宋_GB2312" w:cs="仿宋_GB2312"/>
          <w:kern w:val="1"/>
          <w:sz w:val="32"/>
          <w:szCs w:val="2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22"/>
          <w:lang w:val="en-US" w:eastAsia="zh-CN"/>
        </w:rPr>
      </w:pPr>
      <w:r>
        <w:rPr>
          <w:rFonts w:hint="eastAsia" w:ascii="仿宋_GB2312" w:hAnsi="仿宋_GB2312" w:cs="仿宋_GB2312"/>
          <w:color w:val="000000"/>
          <w:kern w:val="1"/>
          <w:sz w:val="32"/>
          <w:szCs w:val="32"/>
          <w:lang w:val="en-US" w:eastAsia="zh-CN"/>
        </w:rPr>
        <w:t>②</w:t>
      </w:r>
      <w:r>
        <w:rPr>
          <w:rFonts w:hint="eastAsia" w:ascii="仿宋_GB2312" w:hAnsi="仿宋_GB2312" w:eastAsia="仿宋_GB2312" w:cs="仿宋_GB2312"/>
          <w:color w:val="000000"/>
          <w:kern w:val="1"/>
          <w:sz w:val="32"/>
          <w:szCs w:val="32"/>
        </w:rPr>
        <w:t>项目立项符合</w:t>
      </w:r>
      <w:r>
        <w:rPr>
          <w:rFonts w:hint="eastAsia"/>
          <w:sz w:val="32"/>
          <w:szCs w:val="32"/>
          <w:lang w:val="en-US" w:eastAsia="zh-CN"/>
        </w:rPr>
        <w:t>《上海市人民政府办公厅关于印发〈上海市住宅小区建设“美丽家园”三年行动计划（2018-2020）〉的通知》</w:t>
      </w:r>
      <w:r>
        <w:rPr>
          <w:rFonts w:hint="eastAsia" w:hAnsi="Times New Roman" w:cs="Times New Roman"/>
          <w:sz w:val="32"/>
          <w:szCs w:val="32"/>
        </w:rPr>
        <w:t>（</w:t>
      </w:r>
      <w:r>
        <w:rPr>
          <w:rFonts w:hint="eastAsia"/>
          <w:sz w:val="32"/>
          <w:szCs w:val="32"/>
          <w:lang w:val="en-US" w:eastAsia="zh-CN"/>
        </w:rPr>
        <w:t>沪府办发</w:t>
      </w:r>
      <w:r>
        <w:rPr>
          <w:rFonts w:hint="eastAsia"/>
          <w:sz w:val="32"/>
          <w:szCs w:val="32"/>
        </w:rPr>
        <w:t>〔20</w:t>
      </w:r>
      <w:r>
        <w:rPr>
          <w:rFonts w:hint="eastAsia"/>
          <w:sz w:val="32"/>
          <w:szCs w:val="32"/>
          <w:lang w:val="en-US" w:eastAsia="zh-CN"/>
        </w:rPr>
        <w:t>18</w:t>
      </w:r>
      <w:r>
        <w:rPr>
          <w:rFonts w:hint="eastAsia"/>
          <w:sz w:val="32"/>
          <w:szCs w:val="32"/>
        </w:rPr>
        <w:t>〕</w:t>
      </w:r>
      <w:r>
        <w:rPr>
          <w:rFonts w:hint="eastAsia"/>
          <w:sz w:val="32"/>
          <w:szCs w:val="32"/>
          <w:lang w:val="en-US" w:eastAsia="zh-CN"/>
        </w:rPr>
        <w:t>8号</w:t>
      </w:r>
      <w:r>
        <w:rPr>
          <w:rFonts w:hint="eastAsia" w:hAnsi="Times New Roman" w:cs="Times New Roman"/>
          <w:sz w:val="32"/>
          <w:szCs w:val="32"/>
        </w:rPr>
        <w:t>）</w:t>
      </w:r>
      <w:r>
        <w:rPr>
          <w:rFonts w:hint="eastAsia" w:ascii="仿宋_GB2312" w:hAnsi="仿宋_GB2312" w:eastAsia="仿宋_GB2312" w:cs="仿宋_GB2312"/>
          <w:color w:val="000000"/>
          <w:kern w:val="1"/>
          <w:sz w:val="32"/>
          <w:szCs w:val="32"/>
        </w:rPr>
        <w:t>等</w:t>
      </w:r>
      <w:r>
        <w:rPr>
          <w:rFonts w:hint="eastAsia" w:ascii="仿宋_GB2312" w:hAnsi="仿宋_GB2312" w:eastAsia="仿宋_GB2312" w:cs="仿宋_GB2312"/>
          <w:color w:val="000000"/>
          <w:kern w:val="1"/>
          <w:sz w:val="32"/>
          <w:szCs w:val="32"/>
          <w:lang w:val="en-US" w:eastAsia="zh-CN"/>
        </w:rPr>
        <w:t>上级政策</w:t>
      </w:r>
      <w:r>
        <w:rPr>
          <w:rFonts w:hint="eastAsia" w:ascii="仿宋_GB2312" w:hAnsi="仿宋_GB2312" w:eastAsia="仿宋_GB2312" w:cs="仿宋_GB2312"/>
          <w:color w:val="000000"/>
          <w:kern w:val="1"/>
          <w:sz w:val="32"/>
          <w:szCs w:val="32"/>
        </w:rPr>
        <w:t>文件要求</w:t>
      </w:r>
      <w:r>
        <w:rPr>
          <w:rFonts w:hint="eastAsia" w:cs="仿宋_GB2312"/>
          <w:color w:val="000000"/>
          <w:kern w:val="1"/>
          <w:sz w:val="32"/>
          <w:szCs w:val="32"/>
          <w:lang w:eastAsia="zh-CN"/>
        </w:rPr>
        <w:t>，</w:t>
      </w:r>
      <w:r>
        <w:rPr>
          <w:rFonts w:hint="eastAsia" w:cs="仿宋_GB2312"/>
          <w:color w:val="000000"/>
          <w:kern w:val="1"/>
          <w:sz w:val="32"/>
          <w:szCs w:val="32"/>
          <w:lang w:val="en-US" w:eastAsia="zh-CN"/>
        </w:rPr>
        <w:t>且为直接相关，得1分；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kern w:val="1"/>
          <w:sz w:val="32"/>
          <w:szCs w:val="22"/>
          <w:lang w:val="en-US" w:eastAsia="zh-CN"/>
        </w:rPr>
      </w:pPr>
      <w:r>
        <w:rPr>
          <w:rFonts w:hint="eastAsia" w:ascii="仿宋_GB2312" w:hAnsi="仿宋_GB2312" w:cs="仿宋_GB2312"/>
          <w:kern w:val="1"/>
          <w:sz w:val="32"/>
          <w:szCs w:val="22"/>
          <w:lang w:val="en-US" w:eastAsia="zh-CN"/>
        </w:rPr>
        <w:t>③项目选取具体改造对象时</w:t>
      </w:r>
      <w:r>
        <w:rPr>
          <w:rFonts w:hint="eastAsia" w:cs="仿宋_GB2312"/>
          <w:kern w:val="1"/>
          <w:sz w:val="32"/>
          <w:szCs w:val="22"/>
          <w:lang w:val="en-US" w:eastAsia="zh-CN"/>
        </w:rPr>
        <w:t>，以</w:t>
      </w:r>
      <w:r>
        <w:rPr>
          <w:rFonts w:hint="eastAsia" w:ascii="仿宋_GB2312" w:eastAsia="仿宋_GB2312"/>
          <w:sz w:val="32"/>
          <w:szCs w:val="32"/>
          <w:highlight w:val="none"/>
          <w:lang w:val="en-US" w:eastAsia="zh-CN"/>
        </w:rPr>
        <w:t>2000年以前建成的老旧房屋</w:t>
      </w:r>
      <w:r>
        <w:rPr>
          <w:rFonts w:hint="eastAsia"/>
          <w:sz w:val="32"/>
          <w:szCs w:val="32"/>
          <w:highlight w:val="none"/>
          <w:lang w:val="en-US" w:eastAsia="zh-CN"/>
        </w:rPr>
        <w:t>为主</w:t>
      </w:r>
      <w:r>
        <w:rPr>
          <w:rFonts w:hint="eastAsia" w:ascii="仿宋_GB2312" w:eastAsia="仿宋_GB2312"/>
          <w:sz w:val="32"/>
          <w:szCs w:val="32"/>
          <w:highlight w:val="none"/>
          <w:lang w:val="en-US" w:eastAsia="zh-CN"/>
        </w:rPr>
        <w:t>，在选择优先改造对象时，城桥镇人民政府</w:t>
      </w:r>
      <w:r>
        <w:rPr>
          <w:rFonts w:hint="eastAsia"/>
          <w:sz w:val="32"/>
          <w:szCs w:val="32"/>
          <w:highlight w:val="none"/>
          <w:lang w:val="en-US" w:eastAsia="zh-CN"/>
        </w:rPr>
        <w:t>以</w:t>
      </w:r>
      <w:r>
        <w:rPr>
          <w:rFonts w:hint="eastAsia" w:cs="仿宋_GB2312"/>
          <w:kern w:val="1"/>
          <w:sz w:val="32"/>
          <w:szCs w:val="22"/>
          <w:lang w:val="en-US" w:eastAsia="zh-CN"/>
        </w:rPr>
        <w:t>各老旧房屋的建造年代、房屋状况、维修紧迫性等为主要参考因素，</w:t>
      </w:r>
      <w:r>
        <w:rPr>
          <w:rFonts w:hint="eastAsia"/>
          <w:sz w:val="32"/>
          <w:szCs w:val="32"/>
          <w:highlight w:val="none"/>
          <w:lang w:val="en-US" w:eastAsia="zh-CN"/>
        </w:rPr>
        <w:t>结合花博会沿线和</w:t>
      </w:r>
      <w:r>
        <w:rPr>
          <w:rFonts w:hint="eastAsia" w:ascii="仿宋_GB2312" w:eastAsia="仿宋_GB2312"/>
          <w:sz w:val="32"/>
          <w:szCs w:val="32"/>
          <w:highlight w:val="none"/>
          <w:lang w:val="en-US" w:eastAsia="zh-CN"/>
        </w:rPr>
        <w:t>城区主干道</w:t>
      </w:r>
      <w:r>
        <w:rPr>
          <w:rFonts w:hint="eastAsia"/>
          <w:sz w:val="32"/>
          <w:szCs w:val="32"/>
          <w:highlight w:val="none"/>
          <w:lang w:val="en-US" w:eastAsia="zh-CN"/>
        </w:rPr>
        <w:t>区位因素需求</w:t>
      </w:r>
      <w:r>
        <w:rPr>
          <w:rFonts w:hint="eastAsia" w:ascii="仿宋_GB2312" w:eastAsia="仿宋_GB2312"/>
          <w:sz w:val="32"/>
          <w:szCs w:val="32"/>
          <w:highlight w:val="none"/>
          <w:lang w:val="en-US" w:eastAsia="zh-CN"/>
        </w:rPr>
        <w:t>，</w:t>
      </w:r>
      <w:r>
        <w:rPr>
          <w:rFonts w:hint="eastAsia"/>
          <w:sz w:val="32"/>
          <w:szCs w:val="32"/>
          <w:highlight w:val="none"/>
          <w:lang w:val="en-US" w:eastAsia="zh-CN"/>
        </w:rPr>
        <w:t>最终确定改造名单，</w:t>
      </w:r>
      <w:r>
        <w:rPr>
          <w:rFonts w:hint="eastAsia" w:ascii="仿宋_GB2312" w:hAnsi="仿宋_GB2312" w:cs="仿宋_GB2312"/>
          <w:kern w:val="1"/>
          <w:sz w:val="32"/>
          <w:szCs w:val="22"/>
          <w:lang w:val="en-US" w:eastAsia="zh-CN"/>
        </w:rPr>
        <w:t>有</w:t>
      </w:r>
      <w:r>
        <w:rPr>
          <w:rFonts w:hint="eastAsia" w:cs="仿宋_GB2312"/>
          <w:kern w:val="1"/>
          <w:sz w:val="32"/>
          <w:szCs w:val="22"/>
          <w:lang w:val="en-US" w:eastAsia="zh-CN"/>
        </w:rPr>
        <w:t>较为明确且合理</w:t>
      </w:r>
      <w:r>
        <w:rPr>
          <w:rFonts w:hint="eastAsia" w:ascii="仿宋_GB2312" w:hAnsi="仿宋_GB2312" w:cs="仿宋_GB2312"/>
          <w:kern w:val="1"/>
          <w:sz w:val="32"/>
          <w:szCs w:val="22"/>
          <w:lang w:val="en-US" w:eastAsia="zh-CN"/>
        </w:rPr>
        <w:t>的先后原则，得</w:t>
      </w:r>
      <w:r>
        <w:rPr>
          <w:rFonts w:hint="eastAsia" w:cs="仿宋_GB2312"/>
          <w:kern w:val="1"/>
          <w:sz w:val="32"/>
          <w:szCs w:val="22"/>
          <w:lang w:val="en-US" w:eastAsia="zh-CN"/>
        </w:rPr>
        <w:t>2</w:t>
      </w:r>
      <w:r>
        <w:rPr>
          <w:rFonts w:hint="eastAsia" w:ascii="仿宋_GB2312" w:hAnsi="仿宋_GB2312" w:cs="仿宋_GB2312"/>
          <w:kern w:val="1"/>
          <w:sz w:val="32"/>
          <w:szCs w:val="2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A12 立项</w:t>
      </w:r>
      <w:r>
        <w:rPr>
          <w:rFonts w:hint="eastAsia" w:ascii="仿宋_GB2312" w:hAnsi="仿宋_GB2312" w:eastAsia="仿宋_GB2312" w:cs="仿宋_GB2312"/>
          <w:kern w:val="1"/>
          <w:sz w:val="32"/>
          <w:szCs w:val="32"/>
          <w:lang w:eastAsia="zh-CN"/>
        </w:rPr>
        <w:t>程序</w:t>
      </w:r>
      <w:r>
        <w:rPr>
          <w:rFonts w:hint="eastAsia" w:ascii="仿宋_GB2312" w:hAnsi="仿宋_GB2312" w:eastAsia="仿宋_GB2312" w:cs="仿宋_GB2312"/>
          <w:kern w:val="1"/>
          <w:sz w:val="32"/>
          <w:szCs w:val="32"/>
          <w:lang w:val="en-US" w:eastAsia="zh-CN"/>
        </w:rPr>
        <w:t>规范性 权重</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ascii="仿宋_GB2312" w:hAnsi="仿宋_GB2312" w:eastAsia="仿宋_GB2312" w:cs="仿宋_GB2312"/>
          <w:kern w:val="1"/>
          <w:sz w:val="32"/>
          <w:szCs w:val="32"/>
          <w:lang w:val="en-US" w:eastAsia="zh-CN"/>
        </w:rPr>
        <w:t>项目</w:t>
      </w:r>
      <w:r>
        <w:rPr>
          <w:rFonts w:hint="eastAsia" w:hAnsi="仿宋"/>
          <w:sz w:val="32"/>
          <w:szCs w:val="32"/>
          <w:lang w:val="en-US" w:eastAsia="zh-CN"/>
        </w:rPr>
        <w:t>根据</w:t>
      </w:r>
      <w:r>
        <w:rPr>
          <w:rFonts w:hint="eastAsia" w:hAnsi="仿宋"/>
          <w:sz w:val="32"/>
          <w:szCs w:val="32"/>
        </w:rPr>
        <w:t>《上海市崇明区政府投资项目储备库管理办法》的规定，</w:t>
      </w:r>
      <w:r>
        <w:rPr>
          <w:rFonts w:hint="eastAsia" w:hAnsi="仿宋"/>
          <w:sz w:val="32"/>
          <w:szCs w:val="32"/>
          <w:lang w:val="en-US" w:eastAsia="zh-CN"/>
        </w:rPr>
        <w:t>由区房管局</w:t>
      </w:r>
      <w:r>
        <w:rPr>
          <w:rFonts w:hint="eastAsia" w:hAnsi="仿宋"/>
          <w:sz w:val="32"/>
          <w:szCs w:val="32"/>
        </w:rPr>
        <w:t>通过区级建设项目监管平台申报项目并纳入区政府投资</w:t>
      </w:r>
      <w:r>
        <w:rPr>
          <w:rFonts w:hint="eastAsia" w:hAnsi="仿宋"/>
          <w:sz w:val="32"/>
          <w:szCs w:val="32"/>
          <w:lang w:val="en-US" w:eastAsia="zh-CN"/>
        </w:rPr>
        <w:t>项</w:t>
      </w:r>
      <w:r>
        <w:rPr>
          <w:rFonts w:hint="eastAsia" w:hAnsi="仿宋"/>
          <w:sz w:val="32"/>
          <w:szCs w:val="32"/>
        </w:rPr>
        <w:t>目储备库</w:t>
      </w:r>
      <w:r>
        <w:rPr>
          <w:rFonts w:hint="eastAsia" w:ascii="仿宋_GB2312" w:hAnsi="仿宋_GB2312" w:cs="仿宋_GB2312"/>
          <w:kern w:val="1"/>
          <w:sz w:val="32"/>
          <w:szCs w:val="32"/>
          <w:lang w:val="en-US" w:eastAsia="zh-CN"/>
        </w:rPr>
        <w:t>，整体申请设立的程序符合规范，</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ascii="仿宋_GB2312" w:hAnsi="仿宋_GB2312" w:eastAsia="仿宋_GB2312" w:cs="仿宋_GB2312"/>
          <w:kern w:val="1"/>
          <w:sz w:val="32"/>
          <w:szCs w:val="32"/>
          <w:lang w:val="en-US" w:eastAsia="zh-CN"/>
        </w:rPr>
        <w:t>事前已经过</w:t>
      </w:r>
      <w:r>
        <w:rPr>
          <w:rFonts w:hint="eastAsia" w:cs="仿宋_GB2312"/>
          <w:kern w:val="1"/>
          <w:sz w:val="32"/>
          <w:szCs w:val="32"/>
          <w:lang w:val="en-US" w:eastAsia="zh-CN"/>
        </w:rPr>
        <w:t>前期摸排</w:t>
      </w:r>
      <w:r>
        <w:rPr>
          <w:rFonts w:hint="eastAsia" w:ascii="仿宋_GB2312" w:hAnsi="仿宋_GB2312" w:cs="仿宋_GB2312"/>
          <w:kern w:val="1"/>
          <w:sz w:val="32"/>
          <w:szCs w:val="32"/>
          <w:lang w:val="en-US" w:eastAsia="zh-CN"/>
        </w:rPr>
        <w:t>、实地调研等</w:t>
      </w:r>
      <w:r>
        <w:rPr>
          <w:rFonts w:hint="eastAsia" w:ascii="仿宋_GB2312" w:hAnsi="仿宋_GB2312" w:eastAsia="仿宋_GB2312" w:cs="仿宋_GB2312"/>
          <w:kern w:val="1"/>
          <w:sz w:val="32"/>
          <w:szCs w:val="32"/>
          <w:lang w:val="en-US" w:eastAsia="zh-CN"/>
        </w:rPr>
        <w:t>必要的可行性研究</w:t>
      </w:r>
      <w:r>
        <w:rPr>
          <w:rFonts w:hint="eastAsia" w:ascii="仿宋_GB2312" w:hAnsi="仿宋_GB2312" w:cs="仿宋_GB2312"/>
          <w:kern w:val="1"/>
          <w:sz w:val="32"/>
          <w:szCs w:val="32"/>
          <w:lang w:val="en-US" w:eastAsia="zh-CN"/>
        </w:rPr>
        <w:t>，项目实施计划经过</w:t>
      </w:r>
      <w:r>
        <w:rPr>
          <w:rFonts w:hint="eastAsia" w:cs="仿宋_GB2312"/>
          <w:kern w:val="1"/>
          <w:sz w:val="32"/>
          <w:szCs w:val="32"/>
          <w:lang w:val="en-US" w:eastAsia="zh-CN"/>
        </w:rPr>
        <w:t>区房管局和城桥镇人民政府的</w:t>
      </w:r>
      <w:r>
        <w:rPr>
          <w:rFonts w:hint="eastAsia" w:ascii="仿宋_GB2312" w:hAnsi="仿宋_GB2312" w:cs="仿宋_GB2312"/>
          <w:kern w:val="1"/>
          <w:sz w:val="32"/>
          <w:szCs w:val="32"/>
          <w:lang w:val="en-US" w:eastAsia="zh-CN"/>
        </w:rPr>
        <w:t>“三重一大”会议</w:t>
      </w:r>
      <w:r>
        <w:rPr>
          <w:rFonts w:hint="eastAsia" w:ascii="仿宋_GB2312" w:hAnsi="仿宋_GB2312" w:eastAsia="仿宋_GB2312" w:cs="仿宋_GB2312"/>
          <w:kern w:val="1"/>
          <w:sz w:val="32"/>
          <w:szCs w:val="32"/>
          <w:lang w:val="en-US" w:eastAsia="zh-CN"/>
        </w:rPr>
        <w:t>集体决策</w:t>
      </w:r>
      <w:r>
        <w:rPr>
          <w:rFonts w:hint="eastAsia" w:ascii="仿宋_GB2312" w:hAnsi="仿宋_GB2312" w:cs="仿宋_GB2312"/>
          <w:kern w:val="1"/>
          <w:sz w:val="32"/>
          <w:szCs w:val="32"/>
          <w:lang w:val="en-US" w:eastAsia="zh-CN"/>
        </w:rPr>
        <w:t>通过</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③根据社会调查结果显示，接受调查的</w:t>
      </w:r>
      <w:r>
        <w:rPr>
          <w:rFonts w:hint="eastAsia" w:cs="仿宋_GB2312"/>
          <w:kern w:val="1"/>
          <w:sz w:val="32"/>
          <w:szCs w:val="32"/>
          <w:lang w:val="en-US" w:eastAsia="zh-CN"/>
        </w:rPr>
        <w:t>428名居民</w:t>
      </w:r>
      <w:r>
        <w:rPr>
          <w:rFonts w:hint="eastAsia" w:ascii="仿宋_GB2312" w:hAnsi="仿宋_GB2312" w:cs="仿宋_GB2312"/>
          <w:kern w:val="1"/>
          <w:sz w:val="32"/>
          <w:szCs w:val="32"/>
          <w:lang w:val="en-US" w:eastAsia="zh-CN"/>
        </w:rPr>
        <w:t>中，</w:t>
      </w:r>
      <w:r>
        <w:rPr>
          <w:rFonts w:hint="eastAsia" w:cs="仿宋_GB2312"/>
          <w:kern w:val="1"/>
          <w:sz w:val="32"/>
          <w:szCs w:val="32"/>
          <w:lang w:val="en-US" w:eastAsia="zh-CN"/>
        </w:rPr>
        <w:t>有257人</w:t>
      </w:r>
      <w:r>
        <w:rPr>
          <w:rFonts w:hint="eastAsia" w:ascii="仿宋_GB2312" w:hAnsi="仿宋_GB2312" w:cs="仿宋_GB2312"/>
          <w:kern w:val="1"/>
          <w:sz w:val="32"/>
          <w:szCs w:val="32"/>
          <w:lang w:val="en-US" w:eastAsia="zh-CN"/>
        </w:rPr>
        <w:t>表示政府或</w:t>
      </w:r>
      <w:r>
        <w:rPr>
          <w:rFonts w:hint="eastAsia" w:cs="仿宋_GB2312"/>
          <w:kern w:val="1"/>
          <w:sz w:val="32"/>
          <w:szCs w:val="32"/>
          <w:lang w:val="en-US" w:eastAsia="zh-CN"/>
        </w:rPr>
        <w:t>居委物业</w:t>
      </w:r>
      <w:r>
        <w:rPr>
          <w:rFonts w:hint="eastAsia" w:ascii="仿宋_GB2312" w:hAnsi="仿宋_GB2312" w:cs="仿宋_GB2312"/>
          <w:kern w:val="1"/>
          <w:sz w:val="32"/>
          <w:szCs w:val="32"/>
          <w:lang w:val="en-US" w:eastAsia="zh-CN"/>
        </w:rPr>
        <w:t>在建设前征询了他们的意见，意见征询率</w:t>
      </w:r>
      <w:r>
        <w:rPr>
          <w:rFonts w:hint="eastAsia" w:cs="仿宋_GB2312"/>
          <w:kern w:val="1"/>
          <w:sz w:val="32"/>
          <w:szCs w:val="32"/>
          <w:lang w:val="en-US" w:eastAsia="zh-CN"/>
        </w:rPr>
        <w:t>为60.05</w:t>
      </w:r>
      <w:r>
        <w:rPr>
          <w:rFonts w:hint="eastAsia" w:ascii="仿宋_GB2312" w:hAnsi="仿宋_GB2312" w:cs="仿宋_GB2312"/>
          <w:kern w:val="1"/>
          <w:sz w:val="32"/>
          <w:szCs w:val="32"/>
          <w:lang w:val="en-US" w:eastAsia="zh-CN"/>
        </w:rPr>
        <w:t>%，表明项目</w:t>
      </w:r>
      <w:r>
        <w:rPr>
          <w:rFonts w:hint="eastAsia" w:ascii="仿宋_GB2312" w:hAnsi="仿宋_GB2312" w:eastAsia="仿宋_GB2312" w:cs="仿宋_GB2312"/>
          <w:kern w:val="1"/>
          <w:sz w:val="32"/>
          <w:szCs w:val="32"/>
          <w:lang w:val="en-US" w:eastAsia="zh-CN"/>
        </w:rPr>
        <w:t>事前</w:t>
      </w:r>
      <w:r>
        <w:rPr>
          <w:rFonts w:hint="eastAsia" w:cs="仿宋_GB2312"/>
          <w:kern w:val="1"/>
          <w:sz w:val="32"/>
          <w:szCs w:val="32"/>
          <w:lang w:val="en-US" w:eastAsia="zh-CN"/>
        </w:rPr>
        <w:t>有</w:t>
      </w:r>
      <w:r>
        <w:rPr>
          <w:rFonts w:hint="eastAsia" w:ascii="仿宋_GB2312" w:hAnsi="仿宋_GB2312" w:eastAsia="仿宋_GB2312" w:cs="仿宋_GB2312"/>
          <w:kern w:val="1"/>
          <w:sz w:val="32"/>
          <w:szCs w:val="32"/>
          <w:lang w:val="en-US" w:eastAsia="zh-CN"/>
        </w:rPr>
        <w:t>开展</w:t>
      </w:r>
      <w:r>
        <w:rPr>
          <w:rFonts w:hint="eastAsia" w:cs="仿宋_GB2312"/>
          <w:kern w:val="1"/>
          <w:sz w:val="32"/>
          <w:szCs w:val="32"/>
          <w:lang w:val="en-US" w:eastAsia="zh-CN"/>
        </w:rPr>
        <w:t>居民</w:t>
      </w:r>
      <w:r>
        <w:rPr>
          <w:rFonts w:hint="eastAsia" w:ascii="仿宋_GB2312" w:hAnsi="仿宋_GB2312" w:eastAsia="仿宋_GB2312" w:cs="仿宋_GB2312"/>
          <w:kern w:val="1"/>
          <w:sz w:val="32"/>
          <w:szCs w:val="32"/>
          <w:lang w:val="en-US" w:eastAsia="zh-CN"/>
        </w:rPr>
        <w:t>意见征询工作，</w:t>
      </w:r>
      <w:r>
        <w:rPr>
          <w:rFonts w:hint="eastAsia" w:cs="仿宋_GB2312"/>
          <w:kern w:val="1"/>
          <w:sz w:val="32"/>
          <w:szCs w:val="32"/>
          <w:lang w:val="en-US" w:eastAsia="zh-CN"/>
        </w:rPr>
        <w:t>但项目单位</w:t>
      </w:r>
      <w:r>
        <w:rPr>
          <w:rFonts w:hint="eastAsia" w:ascii="仿宋_GB2312" w:hAnsi="仿宋_GB2312" w:cs="仿宋_GB2312"/>
          <w:kern w:val="1"/>
          <w:sz w:val="32"/>
          <w:szCs w:val="32"/>
          <w:lang w:val="en-US" w:eastAsia="zh-CN"/>
        </w:rPr>
        <w:t>未</w:t>
      </w:r>
      <w:r>
        <w:rPr>
          <w:rFonts w:hint="eastAsia" w:cs="仿宋_GB2312"/>
          <w:kern w:val="1"/>
          <w:sz w:val="32"/>
          <w:szCs w:val="32"/>
          <w:lang w:val="en-US" w:eastAsia="zh-CN"/>
        </w:rPr>
        <w:t>有</w:t>
      </w:r>
      <w:r>
        <w:rPr>
          <w:rFonts w:hint="eastAsia" w:ascii="仿宋_GB2312" w:hAnsi="仿宋_GB2312" w:cs="仿宋_GB2312"/>
          <w:kern w:val="1"/>
          <w:sz w:val="32"/>
          <w:szCs w:val="32"/>
          <w:lang w:val="en-US" w:eastAsia="zh-CN"/>
        </w:rPr>
        <w:t>形成</w:t>
      </w:r>
      <w:r>
        <w:rPr>
          <w:rFonts w:hint="eastAsia" w:ascii="仿宋_GB2312" w:hAnsi="仿宋_GB2312" w:eastAsia="仿宋_GB2312" w:cs="仿宋_GB2312"/>
          <w:kern w:val="1"/>
          <w:sz w:val="32"/>
          <w:szCs w:val="32"/>
          <w:lang w:val="en-US" w:eastAsia="zh-CN"/>
        </w:rPr>
        <w:t>相关</w:t>
      </w:r>
      <w:r>
        <w:rPr>
          <w:rFonts w:hint="eastAsia" w:ascii="仿宋_GB2312" w:hAnsi="仿宋_GB2312" w:cs="仿宋_GB2312"/>
          <w:kern w:val="1"/>
          <w:sz w:val="32"/>
          <w:szCs w:val="32"/>
          <w:lang w:val="en-US" w:eastAsia="zh-CN"/>
        </w:rPr>
        <w:t>书面材料，</w:t>
      </w:r>
      <w:r>
        <w:rPr>
          <w:rFonts w:hint="eastAsia" w:cs="仿宋_GB2312"/>
          <w:kern w:val="1"/>
          <w:sz w:val="32"/>
          <w:szCs w:val="32"/>
          <w:lang w:val="en-US" w:eastAsia="zh-CN"/>
        </w:rPr>
        <w:t>不得分</w:t>
      </w:r>
      <w:r>
        <w:rPr>
          <w:rFonts w:hint="eastAsia" w:ascii="仿宋_GB2312" w:hAnsi="仿宋_GB2312" w:eastAsia="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eastAsia="zh-CN"/>
        </w:rPr>
        <w:t>A21</w:t>
      </w:r>
      <w:r>
        <w:rPr>
          <w:rFonts w:hint="eastAsia" w:ascii="仿宋_GB2312" w:hAnsi="仿宋_GB2312" w:eastAsia="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eastAsia="zh-CN"/>
        </w:rPr>
        <w:t>绩效目标合理性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根据前文项目绩效目标的分析，本</w:t>
      </w:r>
      <w:r>
        <w:rPr>
          <w:rFonts w:hint="eastAsia" w:ascii="仿宋_GB2312" w:hAnsi="仿宋_GB2312" w:eastAsia="仿宋_GB2312" w:cs="仿宋_GB2312"/>
          <w:kern w:val="1"/>
          <w:sz w:val="32"/>
          <w:szCs w:val="32"/>
          <w:lang w:val="en-US" w:eastAsia="zh-CN"/>
        </w:rPr>
        <w:t>项目设立了绩效目标</w:t>
      </w:r>
      <w:r>
        <w:rPr>
          <w:rFonts w:hint="eastAsia" w:cs="仿宋_GB2312"/>
          <w:kern w:val="1"/>
          <w:sz w:val="32"/>
          <w:szCs w:val="32"/>
          <w:lang w:val="en-US" w:eastAsia="zh-CN"/>
        </w:rPr>
        <w:t>，项目预期产出效益和效果符合正常的业绩水平，但存在个别目标设置不合理，例如产出质量指标“工程验收合格率”指标的目标值设置为“合格”（应设置为100%）；经济效益指标设置“提升区域经济效应”不合理，旧住房修缮项目不存在经济效益</w:t>
      </w:r>
      <w:r>
        <w:rPr>
          <w:rFonts w:hint="eastAsia" w:ascii="仿宋_GB2312" w:hAnsi="仿宋_GB2312" w:eastAsia="仿宋_GB2312" w:cs="仿宋_GB2312"/>
          <w:kern w:val="1"/>
          <w:sz w:val="32"/>
          <w:szCs w:val="32"/>
          <w:lang w:val="en-US" w:eastAsia="zh-CN"/>
        </w:rPr>
        <w:t>。</w:t>
      </w:r>
      <w:r>
        <w:rPr>
          <w:rFonts w:hint="eastAsia" w:cs="仿宋_GB2312"/>
          <w:kern w:val="1"/>
          <w:sz w:val="32"/>
          <w:szCs w:val="32"/>
          <w:lang w:val="en-US" w:eastAsia="zh-CN"/>
        </w:rPr>
        <w:t>这部分目标与实际工作内容相关性不高。</w:t>
      </w:r>
      <w:r>
        <w:rPr>
          <w:rFonts w:hint="eastAsia" w:ascii="仿宋_GB2312" w:hAnsi="仿宋_GB2312" w:eastAsia="仿宋_GB2312" w:cs="仿宋_GB2312"/>
          <w:kern w:val="1"/>
          <w:sz w:val="32"/>
          <w:szCs w:val="32"/>
          <w:lang w:val="en-US" w:eastAsia="zh-CN"/>
        </w:rPr>
        <w:t>根据评分标准，该指标得分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w:t>
      </w:r>
      <w:r>
        <w:rPr>
          <w:rFonts w:hint="eastAsia" w:ascii="仿宋_GB2312" w:hAnsi="仿宋_GB2312" w:eastAsia="仿宋_GB2312" w:cs="仿宋_GB2312"/>
          <w:kern w:val="1"/>
          <w:sz w:val="32"/>
          <w:szCs w:val="32"/>
          <w:lang w:eastAsia="zh-CN"/>
        </w:rPr>
        <w:t>22</w:t>
      </w:r>
      <w:r>
        <w:rPr>
          <w:rFonts w:hint="eastAsia" w:ascii="仿宋_GB2312" w:hAnsi="仿宋_GB2312" w:eastAsia="仿宋_GB2312" w:cs="仿宋_GB2312"/>
          <w:kern w:val="1"/>
          <w:sz w:val="32"/>
          <w:szCs w:val="32"/>
          <w:lang w:val="en-US" w:eastAsia="zh-CN"/>
        </w:rPr>
        <w:t xml:space="preserve"> 绩效</w:t>
      </w:r>
      <w:r>
        <w:rPr>
          <w:rFonts w:hint="eastAsia" w:ascii="仿宋_GB2312" w:hAnsi="仿宋_GB2312" w:eastAsia="仿宋_GB2312" w:cs="仿宋_GB2312"/>
          <w:kern w:val="1"/>
          <w:sz w:val="32"/>
          <w:szCs w:val="32"/>
          <w:lang w:eastAsia="zh-CN"/>
        </w:rPr>
        <w:t>指标明确性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根据前文项目绩效目标的分析，本</w:t>
      </w:r>
      <w:r>
        <w:rPr>
          <w:rFonts w:hint="eastAsia" w:ascii="仿宋_GB2312" w:hAnsi="仿宋_GB2312" w:eastAsia="仿宋_GB2312" w:cs="仿宋_GB2312"/>
          <w:kern w:val="1"/>
          <w:sz w:val="32"/>
          <w:szCs w:val="32"/>
          <w:lang w:val="en-US" w:eastAsia="zh-CN"/>
        </w:rPr>
        <w:t>项目</w:t>
      </w:r>
      <w:r>
        <w:rPr>
          <w:rFonts w:hint="eastAsia" w:cs="仿宋_GB2312"/>
          <w:kern w:val="1"/>
          <w:sz w:val="32"/>
          <w:szCs w:val="32"/>
          <w:lang w:val="en-US" w:eastAsia="zh-CN"/>
        </w:rPr>
        <w:t>目标表有</w:t>
      </w:r>
      <w:r>
        <w:rPr>
          <w:rFonts w:hint="eastAsia" w:ascii="仿宋_GB2312" w:hAnsi="仿宋_GB2312" w:eastAsia="仿宋_GB2312" w:cs="仿宋_GB2312"/>
          <w:kern w:val="1"/>
          <w:sz w:val="32"/>
          <w:szCs w:val="32"/>
          <w:lang w:val="en-US" w:eastAsia="zh-CN"/>
        </w:rPr>
        <w:t>将项目绩效目标细化分解为具体的绩效指标</w:t>
      </w:r>
      <w:r>
        <w:rPr>
          <w:rFonts w:hint="eastAsia" w:cs="仿宋_GB2312"/>
          <w:kern w:val="1"/>
          <w:sz w:val="32"/>
          <w:szCs w:val="32"/>
          <w:lang w:val="en-US" w:eastAsia="zh-CN"/>
        </w:rPr>
        <w:t>且</w:t>
      </w:r>
      <w:r>
        <w:rPr>
          <w:rFonts w:hint="eastAsia" w:ascii="仿宋_GB2312" w:hAnsi="仿宋_GB2312" w:eastAsia="仿宋_GB2312" w:cs="仿宋_GB2312"/>
          <w:kern w:val="1"/>
          <w:sz w:val="32"/>
          <w:szCs w:val="32"/>
          <w:lang w:val="en-US" w:eastAsia="zh-CN"/>
        </w:rPr>
        <w:t>与项目目标任务数或计划数相对应</w:t>
      </w:r>
      <w:r>
        <w:rPr>
          <w:rFonts w:hint="eastAsia" w:cs="仿宋_GB2312"/>
          <w:kern w:val="1"/>
          <w:sz w:val="32"/>
          <w:szCs w:val="32"/>
          <w:lang w:val="en-US" w:eastAsia="zh-CN"/>
        </w:rPr>
        <w:t>，但存在</w:t>
      </w:r>
      <w:r>
        <w:rPr>
          <w:rFonts w:hint="eastAsia" w:hAnsi="Arial Unicode MS" w:cs="Arial Unicode MS"/>
          <w:b w:val="0"/>
          <w:bCs/>
          <w:sz w:val="32"/>
          <w:szCs w:val="32"/>
          <w:highlight w:val="none"/>
          <w:lang w:val="en-US" w:eastAsia="zh-CN"/>
        </w:rPr>
        <w:t>部分指标不明确，例如生态效益指标“</w:t>
      </w:r>
      <w:r>
        <w:rPr>
          <w:rFonts w:hint="eastAsia" w:ascii="仿宋_GB2312" w:hAnsi="仿宋_GB2312" w:eastAsia="仿宋_GB2312" w:cs="仿宋_GB2312"/>
          <w:i w:val="0"/>
          <w:iCs w:val="0"/>
          <w:color w:val="000000"/>
          <w:kern w:val="0"/>
          <w:sz w:val="32"/>
          <w:szCs w:val="32"/>
          <w:u w:val="none"/>
          <w:lang w:val="en-US" w:eastAsia="zh-CN" w:bidi="ar"/>
        </w:rPr>
        <w:t>对生态环境是否有保护作用</w:t>
      </w:r>
      <w:r>
        <w:rPr>
          <w:rFonts w:hint="eastAsia" w:hAnsi="Arial Unicode MS" w:cs="Arial Unicode MS"/>
          <w:b w:val="0"/>
          <w:bCs/>
          <w:sz w:val="32"/>
          <w:szCs w:val="32"/>
          <w:highlight w:val="none"/>
          <w:lang w:val="en-US" w:eastAsia="zh-CN"/>
        </w:rPr>
        <w:t>”的目标为“保护”，指标值不够清晰可衡量</w:t>
      </w:r>
      <w:r>
        <w:rPr>
          <w:rFonts w:hint="eastAsia" w:ascii="仿宋_GB2312" w:hAnsi="仿宋_GB2312" w:eastAsia="仿宋_GB2312" w:cs="仿宋_GB2312"/>
          <w:kern w:val="1"/>
          <w:sz w:val="32"/>
          <w:szCs w:val="32"/>
          <w:lang w:val="en-US" w:eastAsia="zh-CN"/>
        </w:rPr>
        <w:t>。根据评分标准，该指标得</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A</w:t>
      </w:r>
      <w:r>
        <w:rPr>
          <w:rFonts w:hint="eastAsia" w:ascii="仿宋_GB2312" w:hAnsi="仿宋_GB2312" w:eastAsia="仿宋_GB2312" w:cs="仿宋_GB2312"/>
          <w:kern w:val="1"/>
          <w:sz w:val="32"/>
          <w:szCs w:val="32"/>
          <w:lang w:eastAsia="zh-CN"/>
        </w:rPr>
        <w:t>31</w:t>
      </w:r>
      <w:r>
        <w:rPr>
          <w:rFonts w:hint="eastAsia" w:ascii="仿宋_GB2312" w:hAnsi="仿宋_GB2312" w:eastAsia="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eastAsia="zh-CN"/>
        </w:rPr>
        <w:t>预算编制科学性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6</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6</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①通过对比本项目工程概算内容和财务支出明细可知，本项目</w:t>
      </w:r>
      <w:r>
        <w:rPr>
          <w:rFonts w:hint="eastAsia" w:ascii="仿宋_GB2312" w:hAnsi="仿宋_GB2312" w:eastAsia="仿宋_GB2312" w:cs="仿宋_GB2312"/>
          <w:kern w:val="1"/>
          <w:sz w:val="32"/>
          <w:szCs w:val="32"/>
          <w:lang w:val="en-US" w:eastAsia="zh-CN"/>
        </w:rPr>
        <w:t>预算编制</w:t>
      </w:r>
      <w:r>
        <w:rPr>
          <w:rFonts w:hint="eastAsia" w:ascii="仿宋_GB2312" w:hAnsi="仿宋_GB2312" w:cs="仿宋_GB2312"/>
          <w:kern w:val="1"/>
          <w:sz w:val="32"/>
          <w:szCs w:val="32"/>
          <w:lang w:val="en-US" w:eastAsia="zh-CN"/>
        </w:rPr>
        <w:t>内容</w:t>
      </w:r>
      <w:r>
        <w:rPr>
          <w:rFonts w:hint="eastAsia" w:ascii="仿宋_GB2312" w:hAnsi="仿宋_GB2312" w:eastAsia="仿宋_GB2312" w:cs="仿宋_GB2312"/>
          <w:kern w:val="1"/>
          <w:sz w:val="32"/>
          <w:szCs w:val="32"/>
          <w:lang w:val="en-US" w:eastAsia="zh-CN"/>
        </w:rPr>
        <w:t>与实际支出内容相匹配，得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②通过查阅项目预算编制明细和项目实施内容明细，可知本项目</w:t>
      </w:r>
      <w:r>
        <w:rPr>
          <w:rFonts w:hint="eastAsia" w:ascii="仿宋_GB2312" w:hAnsi="仿宋_GB2312" w:eastAsia="仿宋_GB2312" w:cs="仿宋_GB2312"/>
          <w:kern w:val="1"/>
          <w:sz w:val="32"/>
          <w:szCs w:val="32"/>
          <w:lang w:val="en-US" w:eastAsia="zh-CN"/>
        </w:rPr>
        <w:t>预算内容与项目内容匹配，得1分；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本项目由区房管局通过区级建设项目监管平台申报项目并纳入区政府投资项目储备库，区发改委根据区政府批准的年度投资计划安排，结合项目用款计划和工程进度，分批下达年度投资项目用款计划，区房管局根据分期下达的项目用款计划</w:t>
      </w:r>
      <w:r>
        <w:rPr>
          <w:rFonts w:hint="eastAsia" w:cs="仿宋_GB2312"/>
          <w:kern w:val="1"/>
          <w:sz w:val="32"/>
          <w:szCs w:val="32"/>
          <w:lang w:val="en-US" w:eastAsia="zh-CN"/>
        </w:rPr>
        <w:t>确定年度</w:t>
      </w:r>
      <w:r>
        <w:rPr>
          <w:rFonts w:hint="eastAsia" w:ascii="仿宋_GB2312" w:hAnsi="仿宋_GB2312" w:eastAsia="仿宋_GB2312" w:cs="仿宋_GB2312"/>
          <w:kern w:val="1"/>
          <w:sz w:val="32"/>
          <w:szCs w:val="32"/>
          <w:lang w:val="en-US" w:eastAsia="zh-CN"/>
        </w:rPr>
        <w:t>预算，得</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28"/>
          <w:szCs w:val="28"/>
          <w:lang w:val="en-US" w:eastAsia="zh-CN"/>
        </w:rPr>
      </w:pPr>
      <w:r>
        <w:rPr>
          <w:rFonts w:hint="eastAsia" w:ascii="仿宋_GB2312" w:hAnsi="仿宋_GB2312" w:cs="仿宋_GB2312"/>
          <w:kern w:val="1"/>
          <w:sz w:val="32"/>
          <w:szCs w:val="32"/>
          <w:lang w:val="en-US" w:eastAsia="zh-CN"/>
        </w:rPr>
        <w:t>④本项目属于工程类项目，工程造价</w:t>
      </w:r>
      <w:r>
        <w:rPr>
          <w:rFonts w:hint="eastAsia" w:ascii="仿宋_GB2312" w:hAnsi="仿宋_GB2312" w:eastAsia="仿宋_GB2312" w:cs="仿宋_GB2312"/>
          <w:kern w:val="1"/>
          <w:sz w:val="32"/>
          <w:szCs w:val="32"/>
          <w:lang w:val="en-US" w:eastAsia="zh-CN"/>
        </w:rPr>
        <w:t>确定的项目投资额与工作任务</w:t>
      </w:r>
      <w:r>
        <w:rPr>
          <w:rFonts w:hint="eastAsia" w:ascii="仿宋_GB2312" w:hAnsi="仿宋_GB2312" w:cs="仿宋_GB2312"/>
          <w:kern w:val="1"/>
          <w:sz w:val="32"/>
          <w:szCs w:val="32"/>
          <w:lang w:val="en-US" w:eastAsia="zh-CN"/>
        </w:rPr>
        <w:t>均按照相关行业标准测算，两者互</w:t>
      </w:r>
      <w:r>
        <w:rPr>
          <w:rFonts w:hint="eastAsia" w:ascii="仿宋_GB2312" w:hAnsi="仿宋_GB2312" w:eastAsia="仿宋_GB2312" w:cs="仿宋_GB2312"/>
          <w:kern w:val="1"/>
          <w:sz w:val="32"/>
          <w:szCs w:val="32"/>
          <w:lang w:val="en-US" w:eastAsia="zh-CN"/>
        </w:rPr>
        <w:t>相匹配，得1分。</w:t>
      </w:r>
    </w:p>
    <w:p>
      <w:pPr>
        <w:rPr>
          <w:rFonts w:hint="eastAsia" w:ascii="仿宋_GB2312" w:hAnsi="仿宋_GB2312" w:eastAsia="仿宋_GB2312" w:cs="仿宋_GB2312"/>
          <w:b/>
          <w:bCs/>
          <w:kern w:val="1"/>
          <w:sz w:val="32"/>
          <w:szCs w:val="32"/>
          <w:lang w:val="en-US" w:eastAsia="zh-CN"/>
        </w:rPr>
      </w:pPr>
      <w:bookmarkStart w:id="65" w:name="_Toc30808"/>
      <w:r>
        <w:rPr>
          <w:rFonts w:hint="eastAsia" w:ascii="仿宋_GB2312" w:hAnsi="仿宋_GB2312" w:eastAsia="仿宋_GB2312" w:cs="仿宋_GB2312"/>
          <w:b/>
          <w:bCs/>
          <w:kern w:val="1"/>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500" w:lineRule="exact"/>
        <w:ind w:firstLine="643"/>
        <w:contextualSpacing w:val="0"/>
        <w:textAlignment w:val="auto"/>
        <w:outlineLvl w:val="2"/>
        <w:rPr>
          <w:rFonts w:hint="eastAsia" w:ascii="Calibri" w:hAnsi="Arial" w:eastAsia="仿宋_GB2312" w:cs="Times New Roman"/>
          <w:b/>
          <w:bCs/>
          <w:kern w:val="1"/>
          <w:sz w:val="32"/>
          <w:szCs w:val="32"/>
          <w:lang w:val="en-US" w:eastAsia="zh-CN"/>
        </w:rPr>
      </w:pPr>
      <w:bookmarkStart w:id="66" w:name="_Toc16589"/>
      <w:r>
        <w:rPr>
          <w:rFonts w:hint="eastAsia" w:ascii="仿宋_GB2312" w:hAnsi="仿宋_GB2312" w:eastAsia="仿宋_GB2312" w:cs="仿宋_GB2312"/>
          <w:b/>
          <w:bCs/>
          <w:kern w:val="1"/>
          <w:sz w:val="32"/>
          <w:szCs w:val="32"/>
          <w:lang w:val="en-US" w:eastAsia="zh-CN"/>
        </w:rPr>
        <w:t>2</w:t>
      </w:r>
      <w:r>
        <w:rPr>
          <w:rFonts w:hint="eastAsia" w:ascii="仿宋_GB2312" w:hAnsi="仿宋_GB2312" w:eastAsia="仿宋_GB2312" w:cs="仿宋_GB2312"/>
          <w:b/>
          <w:bCs/>
          <w:kern w:val="1"/>
          <w:sz w:val="32"/>
          <w:szCs w:val="32"/>
        </w:rPr>
        <w:t>.项目</w:t>
      </w:r>
      <w:r>
        <w:rPr>
          <w:rFonts w:hint="eastAsia" w:ascii="仿宋_GB2312" w:hAnsi="仿宋_GB2312" w:eastAsia="仿宋_GB2312" w:cs="仿宋_GB2312"/>
          <w:b/>
          <w:bCs/>
          <w:kern w:val="1"/>
          <w:sz w:val="32"/>
          <w:szCs w:val="32"/>
          <w:lang w:val="en-US" w:eastAsia="zh-CN"/>
        </w:rPr>
        <w:t>过程</w:t>
      </w:r>
      <w:bookmarkEnd w:id="65"/>
      <w:bookmarkEnd w:id="66"/>
    </w:p>
    <w:p>
      <w:pPr>
        <w:pageBreakBefore w:val="0"/>
        <w:kinsoku/>
        <w:wordWrap/>
        <w:overflowPunct/>
        <w:topLinePunct w:val="0"/>
        <w:autoSpaceDN/>
        <w:bidi w:val="0"/>
        <w:spacing w:line="500" w:lineRule="exact"/>
        <w:contextualSpacing w:val="0"/>
        <w:jc w:val="both"/>
        <w:rPr>
          <w:rFonts w:hint="default" w:ascii="仿宋_GB2312" w:hAnsi="Times New Roman" w:eastAsia="仿宋_GB2312" w:cs="Times New Roman"/>
          <w:b/>
          <w:bCs/>
          <w:kern w:val="1"/>
          <w:sz w:val="28"/>
          <w:szCs w:val="28"/>
          <w:lang w:val="en-US" w:eastAsia="zh-CN"/>
        </w:rPr>
      </w:pP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1</w:t>
      </w: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w:t>
      </w:r>
      <w:r>
        <w:rPr>
          <w:rFonts w:hint="eastAsia" w:ascii="仿宋_GB2312" w:hAnsi="Times New Roman" w:cs="Times New Roman"/>
          <w:b/>
          <w:bCs/>
          <w:kern w:val="1"/>
          <w:sz w:val="24"/>
          <w:szCs w:val="24"/>
          <w:lang w:val="en-US" w:eastAsia="zh-CN"/>
        </w:rPr>
        <w:t>2</w:t>
      </w:r>
      <w:r>
        <w:rPr>
          <w:rFonts w:hint="eastAsia" w:ascii="仿宋_GB2312" w:hAnsi="Times New Roman" w:cs="Times New Roman"/>
          <w:b/>
          <w:bCs/>
          <w:kern w:val="1"/>
          <w:sz w:val="24"/>
          <w:szCs w:val="24"/>
        </w:rPr>
        <w:t>项目</w:t>
      </w:r>
      <w:r>
        <w:rPr>
          <w:rFonts w:hint="eastAsia" w:ascii="仿宋_GB2312" w:hAnsi="Times New Roman" w:cs="Times New Roman"/>
          <w:b/>
          <w:bCs/>
          <w:kern w:val="1"/>
          <w:sz w:val="24"/>
          <w:szCs w:val="24"/>
          <w:lang w:val="en-US" w:eastAsia="zh-CN"/>
        </w:rPr>
        <w:t>过程类指标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contextualSpacing w:val="0"/>
              <w:jc w:val="left"/>
              <w:textAlignment w:val="auto"/>
              <w:rPr>
                <w:rFonts w:hint="eastAsia" w:ascii="仿宋_GB2312" w:hAnsi="仿宋_GB2312" w:eastAsia="仿宋_GB2312" w:cs="仿宋_GB2312"/>
                <w:b/>
                <w:bCs/>
                <w:kern w:val="1"/>
                <w:sz w:val="24"/>
                <w:szCs w:val="24"/>
              </w:rPr>
            </w:pPr>
            <w:r>
              <w:rPr>
                <w:rFonts w:hint="eastAsia" w:ascii="仿宋_GB2312" w:hAnsi="仿宋_GB2312" w:eastAsia="仿宋_GB2312" w:cs="仿宋_GB2312"/>
                <w:b/>
                <w:bCs/>
                <w:kern w:val="1"/>
                <w:sz w:val="24"/>
                <w:szCs w:val="24"/>
              </w:rPr>
              <w:t>B 项目过程</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ascii="仿宋_GB2312" w:hAnsi="仿宋_GB2312" w:eastAsia="仿宋_GB2312" w:cs="仿宋_GB2312"/>
                <w:b/>
                <w:bCs/>
                <w:color w:val="000000"/>
                <w:kern w:val="1"/>
                <w:sz w:val="24"/>
                <w:szCs w:val="24"/>
                <w:lang w:val="en-US" w:eastAsia="zh-CN"/>
              </w:rPr>
              <w:t>2</w:t>
            </w:r>
            <w:r>
              <w:rPr>
                <w:rFonts w:hint="eastAsia" w:cs="仿宋_GB2312"/>
                <w:b/>
                <w:bCs/>
                <w:color w:val="000000"/>
                <w:kern w:val="1"/>
                <w:sz w:val="24"/>
                <w:szCs w:val="24"/>
                <w:lang w:val="en-US" w:eastAsia="zh-CN"/>
              </w:rPr>
              <w:t>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 资金管理</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rPr>
              <w:t xml:space="preserve">B11 </w:t>
            </w:r>
            <w:r>
              <w:rPr>
                <w:rFonts w:hint="eastAsia" w:cs="仿宋_GB2312"/>
                <w:kern w:val="1"/>
                <w:sz w:val="24"/>
                <w:szCs w:val="24"/>
                <w:lang w:val="en-US" w:eastAsia="zh-CN"/>
              </w:rPr>
              <w:t>预算调整率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w:t>
            </w:r>
            <w:r>
              <w:rPr>
                <w:rFonts w:hint="eastAsia" w:ascii="仿宋_GB2312" w:hAnsi="仿宋_GB2312" w:eastAsia="仿宋_GB2312"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w:t>
            </w:r>
            <w:r>
              <w:rPr>
                <w:rFonts w:hint="eastAsia" w:ascii="仿宋_GB2312" w:hAnsi="仿宋_GB2312" w:eastAsia="仿宋_GB2312" w:cs="仿宋_GB2312"/>
                <w:kern w:val="1"/>
                <w:sz w:val="24"/>
                <w:szCs w:val="24"/>
                <w:lang w:val="en-US" w:eastAsia="zh-CN"/>
              </w:rPr>
              <w:t>2</w:t>
            </w:r>
            <w:r>
              <w:rPr>
                <w:rFonts w:hint="eastAsia" w:ascii="仿宋_GB2312" w:hAnsi="仿宋_GB2312" w:eastAsia="仿宋_GB2312" w:cs="仿宋_GB2312"/>
                <w:kern w:val="1"/>
                <w:sz w:val="24"/>
                <w:szCs w:val="24"/>
              </w:rPr>
              <w:t xml:space="preserve"> 预算执行率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1.5</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100%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w:t>
            </w:r>
            <w:r>
              <w:rPr>
                <w:rFonts w:hint="eastAsia" w:ascii="仿宋_GB2312" w:hAnsi="仿宋_GB2312" w:eastAsia="仿宋_GB2312" w:cs="仿宋_GB2312"/>
                <w:kern w:val="1"/>
                <w:sz w:val="24"/>
                <w:szCs w:val="24"/>
                <w:lang w:val="en-US" w:eastAsia="zh-CN"/>
              </w:rPr>
              <w:t>3</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color w:val="000000"/>
                <w:kern w:val="0"/>
                <w:sz w:val="24"/>
                <w:szCs w:val="24"/>
                <w:lang w:val="en-US" w:eastAsia="zh-CN"/>
              </w:rPr>
              <w:t>财务管理制度健全</w:t>
            </w:r>
            <w:r>
              <w:rPr>
                <w:rFonts w:hint="eastAsia" w:ascii="仿宋_GB2312" w:hAnsi="仿宋_GB2312" w:cs="仿宋_GB2312"/>
                <w:color w:val="000000"/>
                <w:kern w:val="0"/>
                <w:sz w:val="24"/>
                <w:szCs w:val="24"/>
                <w:lang w:val="en-US" w:eastAsia="zh-CN"/>
              </w:rPr>
              <w:t>性</w:t>
            </w:r>
            <w:r>
              <w:rPr>
                <w:rFonts w:hint="eastAsia" w:ascii="仿宋_GB2312" w:hAnsi="仿宋_GB2312" w:eastAsia="仿宋_GB2312" w:cs="仿宋_GB2312"/>
                <w:color w:val="000000"/>
                <w:kern w:val="0"/>
                <w:sz w:val="24"/>
                <w:szCs w:val="24"/>
                <w:lang w:val="en-US" w:eastAsia="zh-CN"/>
              </w:rPr>
              <w:t>与执行有效性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健全有效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B1</w:t>
            </w:r>
            <w:r>
              <w:rPr>
                <w:rFonts w:hint="eastAsia" w:ascii="仿宋_GB2312" w:hAnsi="仿宋_GB2312" w:eastAsia="仿宋_GB2312" w:cs="仿宋_GB2312"/>
                <w:kern w:val="1"/>
                <w:sz w:val="24"/>
                <w:szCs w:val="24"/>
                <w:lang w:val="en-US" w:eastAsia="zh-CN"/>
              </w:rPr>
              <w:t>4</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color w:val="000000"/>
                <w:kern w:val="0"/>
                <w:sz w:val="24"/>
                <w:szCs w:val="24"/>
                <w:lang w:val="en-US" w:eastAsia="zh-CN"/>
              </w:rPr>
              <w:t>“三算”规范性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lang w:val="en-US" w:eastAsia="zh-CN"/>
              </w:rPr>
            </w:pPr>
            <w:r>
              <w:rPr>
                <w:rFonts w:hint="eastAsia" w:cs="仿宋_GB2312"/>
                <w:kern w:val="1"/>
                <w:sz w:val="24"/>
                <w:szCs w:val="24"/>
                <w:lang w:val="en-US" w:eastAsia="zh-CN"/>
              </w:rPr>
              <w:t xml:space="preserve">B15 </w:t>
            </w:r>
            <w:r>
              <w:rPr>
                <w:rFonts w:hint="eastAsia" w:ascii="仿宋_GB2312" w:hAnsi="仿宋_GB2312" w:eastAsia="仿宋_GB2312" w:cs="仿宋_GB2312"/>
                <w:kern w:val="1"/>
                <w:sz w:val="24"/>
                <w:szCs w:val="24"/>
              </w:rPr>
              <w:t>资金使用</w:t>
            </w:r>
            <w:r>
              <w:rPr>
                <w:rFonts w:hint="eastAsia" w:ascii="仿宋_GB2312" w:hAnsi="仿宋_GB2312" w:cs="仿宋_GB2312"/>
                <w:kern w:val="1"/>
                <w:sz w:val="24"/>
                <w:szCs w:val="24"/>
                <w:lang w:val="en-US" w:eastAsia="zh-CN"/>
              </w:rPr>
              <w:t>合规</w:t>
            </w:r>
            <w:r>
              <w:rPr>
                <w:rFonts w:hint="eastAsia" w:ascii="仿宋_GB2312" w:hAnsi="仿宋_GB2312" w:eastAsia="仿宋_GB2312" w:cs="仿宋_GB2312"/>
                <w:kern w:val="1"/>
                <w:sz w:val="24"/>
                <w:szCs w:val="24"/>
                <w:lang w:val="en-US" w:eastAsia="zh-CN"/>
              </w:rPr>
              <w:t>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合规</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B2 组织实施</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1</w:t>
            </w: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 xml:space="preserve">B21 </w:t>
            </w:r>
            <w:r>
              <w:rPr>
                <w:rFonts w:hint="eastAsia" w:ascii="仿宋_GB2312" w:hAnsi="仿宋_GB2312" w:cs="仿宋_GB2312"/>
                <w:kern w:val="1"/>
                <w:sz w:val="24"/>
                <w:szCs w:val="24"/>
                <w:lang w:val="en-US" w:eastAsia="zh-CN"/>
              </w:rPr>
              <w:t>业务</w:t>
            </w:r>
            <w:r>
              <w:rPr>
                <w:rFonts w:hint="eastAsia" w:ascii="仿宋_GB2312" w:hAnsi="仿宋_GB2312" w:eastAsia="仿宋_GB2312" w:cs="仿宋_GB2312"/>
                <w:kern w:val="1"/>
                <w:sz w:val="24"/>
                <w:szCs w:val="24"/>
              </w:rPr>
              <w:t>管理制度健全性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lang w:val="en-US" w:eastAsia="zh-CN"/>
              </w:rPr>
              <w:t>健全</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contextualSpacing w:val="0"/>
              <w:jc w:val="left"/>
              <w:textAlignment w:val="auto"/>
              <w:rPr>
                <w:rFonts w:hint="eastAsia" w:ascii="仿宋_GB2312" w:hAnsi="仿宋_GB2312" w:eastAsia="仿宋_GB2312" w:cs="仿宋_GB2312"/>
                <w:kern w:val="1"/>
                <w:sz w:val="24"/>
                <w:szCs w:val="24"/>
              </w:rPr>
            </w:pPr>
            <w:r>
              <w:rPr>
                <w:rFonts w:hint="eastAsia" w:ascii="仿宋_GB2312" w:hAnsi="仿宋_GB2312" w:eastAsia="仿宋_GB2312" w:cs="仿宋_GB2312"/>
                <w:kern w:val="1"/>
                <w:sz w:val="24"/>
                <w:szCs w:val="24"/>
              </w:rPr>
              <w:t xml:space="preserve">B22 </w:t>
            </w:r>
            <w:r>
              <w:rPr>
                <w:rFonts w:hint="eastAsia" w:ascii="仿宋_GB2312" w:hAnsi="仿宋_GB2312" w:cs="仿宋_GB2312"/>
                <w:kern w:val="1"/>
                <w:sz w:val="24"/>
                <w:szCs w:val="24"/>
                <w:lang w:val="en-US" w:eastAsia="zh-CN"/>
              </w:rPr>
              <w:t>业务</w:t>
            </w:r>
            <w:r>
              <w:rPr>
                <w:rFonts w:hint="eastAsia" w:ascii="仿宋_GB2312" w:hAnsi="仿宋_GB2312" w:eastAsia="仿宋_GB2312" w:cs="仿宋_GB2312"/>
                <w:kern w:val="1"/>
                <w:sz w:val="24"/>
                <w:szCs w:val="24"/>
              </w:rPr>
              <w:t>管理制度执行有效性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r>
              <w:rPr>
                <w:rFonts w:hint="eastAsia" w:cs="仿宋_GB2312"/>
                <w:color w:val="000000"/>
                <w:kern w:val="1"/>
                <w:sz w:val="24"/>
                <w:szCs w:val="24"/>
                <w:lang w:val="en-US" w:eastAsia="zh-CN"/>
              </w:rPr>
              <w:t>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default" w:ascii="仿宋_GB2312" w:hAnsi="仿宋_GB2312" w:eastAsia="仿宋_GB2312" w:cs="仿宋_GB2312"/>
                <w:kern w:val="1"/>
                <w:sz w:val="24"/>
                <w:szCs w:val="24"/>
                <w:lang w:val="en-US" w:eastAsia="zh-CN"/>
              </w:rPr>
            </w:pPr>
            <w:r>
              <w:rPr>
                <w:rFonts w:hint="eastAsia" w:ascii="仿宋_GB2312" w:hAnsi="仿宋_GB2312" w:eastAsia="仿宋_GB2312" w:cs="仿宋_GB2312"/>
                <w:color w:val="000000"/>
                <w:kern w:val="0"/>
                <w:sz w:val="24"/>
                <w:szCs w:val="24"/>
              </w:rPr>
              <w:t>B221 项目过程监督管理制度执行有效性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 xml:space="preserve">B222 </w:t>
            </w:r>
            <w:r>
              <w:rPr>
                <w:rFonts w:hint="eastAsia" w:ascii="仿宋_GB2312" w:hAnsi="仿宋_GB2312" w:eastAsia="仿宋_GB2312" w:cs="仿宋_GB2312"/>
                <w:color w:val="000000"/>
                <w:kern w:val="0"/>
                <w:sz w:val="24"/>
                <w:szCs w:val="24"/>
                <w:lang w:val="en-US" w:eastAsia="zh-CN"/>
              </w:rPr>
              <w:t>政府采购规范性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lang w:val="en-US" w:eastAsia="zh-CN"/>
              </w:rPr>
              <w:t>B223 工程管理规范性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B22</w:t>
            </w:r>
            <w:r>
              <w:rPr>
                <w:rFonts w:hint="eastAsia" w:ascii="仿宋_GB2312" w:hAnsi="仿宋_GB2312" w:eastAsia="仿宋_GB2312" w:cs="仿宋_GB2312"/>
                <w:color w:val="000000"/>
                <w:kern w:val="0"/>
                <w:sz w:val="24"/>
                <w:szCs w:val="24"/>
                <w:lang w:val="en-US" w:eastAsia="zh-CN"/>
              </w:rPr>
              <w:t>4</w:t>
            </w:r>
            <w:r>
              <w:rPr>
                <w:rFonts w:hint="eastAsia" w:ascii="仿宋_GB2312" w:hAnsi="仿宋_GB2312" w:eastAsia="仿宋_GB2312" w:cs="仿宋_GB2312"/>
                <w:color w:val="000000"/>
                <w:kern w:val="0"/>
                <w:sz w:val="24"/>
                <w:szCs w:val="24"/>
              </w:rPr>
              <w:t xml:space="preserve"> 项目变更规范性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lang w:val="en-US" w:eastAsia="zh-CN"/>
              </w:rPr>
              <w:t>B225 项目验收组织规范性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B22</w:t>
            </w:r>
            <w:r>
              <w:rPr>
                <w:rFonts w:hint="eastAsia" w:ascii="仿宋_GB2312" w:hAnsi="仿宋_GB2312" w:eastAsia="仿宋_GB2312" w:cs="仿宋_GB2312"/>
                <w:color w:val="000000"/>
                <w:kern w:val="0"/>
                <w:sz w:val="24"/>
                <w:szCs w:val="24"/>
                <w:lang w:val="en-US" w:eastAsia="zh-CN"/>
              </w:rPr>
              <w:t>6</w:t>
            </w:r>
            <w:r>
              <w:rPr>
                <w:rFonts w:hint="eastAsia" w:ascii="仿宋_GB2312" w:hAnsi="仿宋_GB2312" w:eastAsia="仿宋_GB2312" w:cs="仿宋_GB2312"/>
                <w:color w:val="000000"/>
                <w:kern w:val="0"/>
                <w:sz w:val="24"/>
                <w:szCs w:val="24"/>
              </w:rPr>
              <w:t xml:space="preserve"> 档案</w:t>
            </w:r>
            <w:r>
              <w:rPr>
                <w:rFonts w:hint="eastAsia" w:ascii="仿宋_GB2312" w:hAnsi="仿宋_GB2312" w:eastAsia="仿宋_GB2312" w:cs="仿宋_GB2312"/>
                <w:color w:val="000000"/>
                <w:kern w:val="0"/>
                <w:sz w:val="24"/>
                <w:szCs w:val="24"/>
                <w:lang w:val="en-US" w:eastAsia="zh-CN"/>
              </w:rPr>
              <w:t>管理</w:t>
            </w:r>
            <w:r>
              <w:rPr>
                <w:rFonts w:hint="eastAsia" w:ascii="仿宋_GB2312" w:hAnsi="仿宋_GB2312" w:eastAsia="仿宋_GB2312" w:cs="仿宋_GB2312"/>
                <w:color w:val="000000"/>
                <w:kern w:val="0"/>
                <w:sz w:val="24"/>
                <w:szCs w:val="24"/>
              </w:rPr>
              <w:t>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eastAsia" w:ascii="仿宋_GB2312" w:hAnsi="仿宋_GB2312" w:eastAsia="仿宋_GB2312" w:cs="仿宋_GB2312"/>
                <w:kern w:val="1"/>
                <w:sz w:val="24"/>
                <w:szCs w:val="24"/>
              </w:rPr>
            </w:pPr>
            <w:r>
              <w:rPr>
                <w:rFonts w:hint="eastAsia" w:ascii="仿宋_GB2312" w:hAnsi="仿宋_GB2312" w:eastAsia="仿宋_GB2312" w:cs="仿宋_GB2312"/>
                <w:color w:val="000000"/>
                <w:kern w:val="0"/>
                <w:sz w:val="24"/>
                <w:szCs w:val="24"/>
              </w:rPr>
              <w:t>B22</w:t>
            </w:r>
            <w:r>
              <w:rPr>
                <w:rFonts w:hint="eastAsia" w:ascii="仿宋_GB2312" w:hAnsi="仿宋_GB2312" w:eastAsia="仿宋_GB2312" w:cs="仿宋_GB2312"/>
                <w:color w:val="000000"/>
                <w:kern w:val="0"/>
                <w:sz w:val="24"/>
                <w:szCs w:val="24"/>
                <w:lang w:val="en-US" w:eastAsia="zh-CN"/>
              </w:rPr>
              <w:t>7</w:t>
            </w:r>
            <w:r>
              <w:rPr>
                <w:rFonts w:hint="eastAsia" w:ascii="仿宋_GB2312" w:hAnsi="仿宋_GB2312" w:eastAsia="仿宋_GB2312" w:cs="仿宋_GB2312"/>
                <w:color w:val="000000"/>
                <w:kern w:val="0"/>
                <w:sz w:val="24"/>
                <w:szCs w:val="24"/>
              </w:rPr>
              <w:t xml:space="preserve"> 项目合同管理制度执行有效性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执行情况欠佳</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720" w:firstLineChars="300"/>
              <w:contextualSpacing w:val="0"/>
              <w:jc w:val="left"/>
              <w:rPr>
                <w:rFonts w:hint="default" w:ascii="仿宋_GB2312" w:hAnsi="仿宋_GB2312" w:eastAsia="仿宋_GB2312" w:cs="仿宋_GB2312"/>
                <w:color w:val="000000"/>
                <w:kern w:val="0"/>
                <w:sz w:val="24"/>
                <w:szCs w:val="24"/>
                <w:lang w:val="en-US" w:eastAsia="zh-CN"/>
              </w:rPr>
            </w:pPr>
            <w:r>
              <w:rPr>
                <w:rFonts w:hint="eastAsia" w:cs="仿宋_GB2312"/>
                <w:color w:val="000000"/>
                <w:kern w:val="0"/>
                <w:sz w:val="24"/>
                <w:szCs w:val="24"/>
                <w:lang w:val="en-US" w:eastAsia="zh-CN"/>
              </w:rPr>
              <w:t xml:space="preserve">B228 </w:t>
            </w:r>
            <w:r>
              <w:rPr>
                <w:rFonts w:hint="eastAsia" w:hAnsi="宋体" w:cs="宋体"/>
                <w:color w:val="000000"/>
                <w:kern w:val="0"/>
                <w:sz w:val="24"/>
                <w:szCs w:val="24"/>
                <w:lang w:val="en-US" w:eastAsia="zh-CN"/>
              </w:rPr>
              <w:t>固定资产管理规范性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 xml:space="preserve">B11 </w:t>
      </w:r>
      <w:r>
        <w:rPr>
          <w:rFonts w:hint="eastAsia" w:cs="仿宋_GB2312"/>
          <w:kern w:val="1"/>
          <w:sz w:val="32"/>
          <w:szCs w:val="32"/>
          <w:lang w:val="en-US" w:eastAsia="zh-CN"/>
        </w:rPr>
        <w:t xml:space="preserve">预算调整率 </w:t>
      </w:r>
      <w:r>
        <w:rPr>
          <w:rFonts w:hint="eastAsia" w:ascii="仿宋_GB2312" w:hAnsi="仿宋_GB2312" w:eastAsia="仿宋_GB2312" w:cs="仿宋_GB2312"/>
          <w:kern w:val="1"/>
          <w:sz w:val="32"/>
          <w:szCs w:val="32"/>
          <w:lang w:val="en-US" w:eastAsia="zh-CN"/>
        </w:rPr>
        <w:t>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hAnsi="Times New Roman" w:cs="Times New Roman"/>
          <w:sz w:val="32"/>
          <w:szCs w:val="32"/>
          <w:highlight w:val="none"/>
        </w:rPr>
        <w:t>本项目</w:t>
      </w:r>
      <w:r>
        <w:rPr>
          <w:rFonts w:hint="eastAsia" w:hAnsi="Times New Roman" w:cs="Times New Roman"/>
          <w:sz w:val="32"/>
          <w:szCs w:val="32"/>
          <w:highlight w:val="none"/>
          <w:lang w:val="en-US" w:eastAsia="zh-CN"/>
        </w:rPr>
        <w:t>2020年年初安排预算363.36</w:t>
      </w:r>
      <w:r>
        <w:rPr>
          <w:rFonts w:hint="eastAsia" w:hAnsi="Times New Roman" w:cs="Times New Roman"/>
          <w:sz w:val="32"/>
          <w:szCs w:val="32"/>
          <w:highlight w:val="none"/>
        </w:rPr>
        <w:t>万元，</w:t>
      </w:r>
      <w:r>
        <w:rPr>
          <w:rFonts w:hint="eastAsia" w:hAnsi="Times New Roman" w:cs="Times New Roman"/>
          <w:sz w:val="32"/>
          <w:szCs w:val="32"/>
          <w:highlight w:val="none"/>
          <w:lang w:val="en-US" w:eastAsia="zh-CN"/>
        </w:rPr>
        <w:t>年中调增至6217.97万元；2021年年初未安排预算，年中调增至7054.17万元；2022年未安排预算。两年综合预算调整率为（6217.97-363.36+7054.17）/363.36×100%=3552.61%，预算调整率过大的原因为综合考虑区财政总盘子的结果。</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 xml:space="preserve">B12 </w:t>
      </w:r>
      <w:r>
        <w:rPr>
          <w:rFonts w:hint="eastAsia" w:ascii="仿宋_GB2312" w:hAnsi="仿宋_GB2312" w:eastAsia="仿宋_GB2312" w:cs="仿宋_GB2312"/>
          <w:kern w:val="1"/>
          <w:sz w:val="32"/>
          <w:szCs w:val="32"/>
          <w:lang w:val="en-US" w:eastAsia="zh-CN"/>
        </w:rPr>
        <w:t>预算执行率</w:t>
      </w:r>
      <w:r>
        <w:rPr>
          <w:rFonts w:hint="eastAsia" w:ascii="仿宋_GB2312" w:hAnsi="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val="en-US" w:eastAsia="zh-CN"/>
        </w:rPr>
        <w:t>权重</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val="0"/>
        <w:textAlignment w:val="auto"/>
        <w:rPr>
          <w:rFonts w:hint="eastAsia" w:ascii="仿宋_GB2312" w:hAnsi="仿宋_GB2312" w:eastAsia="仿宋_GB2312" w:cs="仿宋_GB2312"/>
          <w:kern w:val="1"/>
          <w:sz w:val="32"/>
          <w:szCs w:val="32"/>
          <w:lang w:val="en-US" w:eastAsia="zh-CN"/>
        </w:rPr>
      </w:pPr>
      <w:r>
        <w:rPr>
          <w:rFonts w:hint="eastAsia" w:hAnsi="Times New Roman" w:cs="Times New Roman"/>
          <w:sz w:val="32"/>
          <w:szCs w:val="32"/>
          <w:highlight w:val="none"/>
          <w:lang w:val="en-US" w:eastAsia="zh-CN"/>
        </w:rPr>
        <w:t>截至2022年底</w:t>
      </w:r>
      <w:r>
        <w:rPr>
          <w:rFonts w:hAnsi="Times New Roman" w:cs="Times New Roman"/>
          <w:sz w:val="32"/>
          <w:szCs w:val="32"/>
          <w:highlight w:val="none"/>
        </w:rPr>
        <w:t>，</w:t>
      </w:r>
      <w:r>
        <w:rPr>
          <w:rFonts w:hint="eastAsia" w:hAnsi="Times New Roman" w:cs="Times New Roman"/>
          <w:sz w:val="32"/>
          <w:szCs w:val="32"/>
          <w:highlight w:val="none"/>
          <w:lang w:val="en-US" w:eastAsia="zh-CN"/>
        </w:rPr>
        <w:t>本项目实际共计支出13272.14万元，资金来源全部为区财政资金。其中，2020年共支出6217.97万元，预算执行率100%；2021年共支出7054.17万元，预算执行率100%。2022年未发生支出</w:t>
      </w:r>
      <w:r>
        <w:rPr>
          <w:rFonts w:hint="eastAsia" w:ascii="仿宋_GB2312" w:hAnsi="仿宋_GB2312" w:eastAsia="仿宋_GB2312" w:cs="仿宋_GB2312"/>
          <w:kern w:val="1"/>
          <w:sz w:val="32"/>
          <w:szCs w:val="22"/>
          <w:highlight w:val="none"/>
          <w:lang w:val="en-US" w:eastAsia="zh-CN"/>
        </w:rPr>
        <w:t>。</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1.5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B1</w:t>
      </w:r>
      <w:r>
        <w:rPr>
          <w:rFonts w:hint="eastAsia" w:cs="仿宋_GB2312"/>
          <w:kern w:val="1"/>
          <w:sz w:val="32"/>
          <w:szCs w:val="32"/>
          <w:lang w:val="en-US" w:eastAsia="zh-CN"/>
        </w:rPr>
        <w:t>3</w:t>
      </w:r>
      <w:r>
        <w:rPr>
          <w:rFonts w:hint="eastAsia" w:ascii="仿宋_GB2312" w:hAnsi="仿宋_GB2312" w:eastAsia="仿宋_GB2312" w:cs="仿宋_GB2312"/>
          <w:kern w:val="1"/>
          <w:sz w:val="32"/>
          <w:szCs w:val="32"/>
          <w:lang w:val="en-US" w:eastAsia="zh-CN"/>
        </w:rPr>
        <w:t xml:space="preserve"> 财务管理制度健全与执行有效性</w:t>
      </w:r>
      <w:r>
        <w:rPr>
          <w:rFonts w:hint="eastAsia" w:ascii="仿宋_GB2312" w:hAnsi="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val="en-US" w:eastAsia="zh-CN"/>
        </w:rPr>
        <w:t>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cs="仿宋_GB2312"/>
          <w:kern w:val="1"/>
          <w:sz w:val="32"/>
          <w:szCs w:val="32"/>
          <w:lang w:val="en-US" w:eastAsia="zh-CN"/>
        </w:rPr>
        <w:t>根据前文对本项目财务管理制度的分析可知，</w:t>
      </w:r>
      <w:r>
        <w:rPr>
          <w:rFonts w:hint="eastAsia" w:ascii="仿宋_GB2312" w:hAnsi="仿宋_GB2312" w:cs="仿宋_GB2312"/>
          <w:kern w:val="1"/>
          <w:sz w:val="32"/>
          <w:szCs w:val="32"/>
          <w:lang w:val="en-US" w:eastAsia="zh-CN"/>
        </w:rPr>
        <w:t>对于本项目中涉及的资金，</w:t>
      </w:r>
      <w:r>
        <w:rPr>
          <w:rFonts w:hint="eastAsia" w:ascii="仿宋_GB2312" w:hAnsi="仿宋_GB2312" w:eastAsia="仿宋_GB2312" w:cs="仿宋_GB2312"/>
          <w:kern w:val="1"/>
          <w:sz w:val="32"/>
          <w:szCs w:val="32"/>
          <w:lang w:val="en-US" w:eastAsia="zh-CN"/>
        </w:rPr>
        <w:t>适用</w:t>
      </w:r>
      <w:r>
        <w:rPr>
          <w:rFonts w:hint="eastAsia" w:cs="仿宋_GB2312"/>
          <w:kern w:val="1"/>
          <w:sz w:val="32"/>
          <w:szCs w:val="32"/>
          <w:lang w:val="en-US" w:eastAsia="zh-CN"/>
        </w:rPr>
        <w:t>区房管局的</w:t>
      </w:r>
      <w:r>
        <w:rPr>
          <w:rFonts w:hint="eastAsia" w:ascii="仿宋_GB2312" w:hAnsi="仿宋_GB2312" w:eastAsia="仿宋_GB2312" w:cs="仿宋_GB2312"/>
          <w:kern w:val="1"/>
          <w:sz w:val="32"/>
          <w:szCs w:val="32"/>
          <w:lang w:val="en-US" w:eastAsia="zh-CN"/>
        </w:rPr>
        <w:t>预算管理内部控制制度</w:t>
      </w:r>
      <w:r>
        <w:rPr>
          <w:rFonts w:hint="eastAsia" w:cs="仿宋_GB2312"/>
          <w:kern w:val="1"/>
          <w:sz w:val="32"/>
          <w:szCs w:val="32"/>
          <w:lang w:val="en-US" w:eastAsia="zh-CN"/>
        </w:rPr>
        <w:t>和</w:t>
      </w:r>
      <w:r>
        <w:rPr>
          <w:rFonts w:hint="eastAsia" w:ascii="仿宋_GB2312" w:hAnsi="仿宋_GB2312" w:eastAsia="仿宋_GB2312" w:cs="仿宋_GB2312"/>
          <w:kern w:val="1"/>
          <w:sz w:val="32"/>
          <w:szCs w:val="32"/>
          <w:lang w:val="en-US" w:eastAsia="zh-CN"/>
        </w:rPr>
        <w:t>收支业务内控管理制度</w:t>
      </w:r>
      <w:r>
        <w:rPr>
          <w:rFonts w:hint="eastAsia" w:cs="仿宋_GB2312"/>
          <w:kern w:val="1"/>
          <w:sz w:val="32"/>
          <w:szCs w:val="32"/>
          <w:lang w:val="en-US" w:eastAsia="zh-CN"/>
        </w:rPr>
        <w:t>，以及城桥</w:t>
      </w:r>
      <w:r>
        <w:rPr>
          <w:rFonts w:hint="eastAsia" w:ascii="仿宋_GB2312" w:hAnsi="仿宋_GB2312" w:cs="仿宋_GB2312"/>
          <w:kern w:val="1"/>
          <w:sz w:val="32"/>
          <w:szCs w:val="32"/>
          <w:lang w:val="en-US" w:eastAsia="zh-CN"/>
        </w:rPr>
        <w:t>镇机关事业单位</w:t>
      </w:r>
      <w:r>
        <w:rPr>
          <w:rFonts w:hint="eastAsia" w:ascii="仿宋_GB2312" w:hAnsi="仿宋_GB2312" w:eastAsia="仿宋_GB2312" w:cs="仿宋_GB2312"/>
          <w:kern w:val="1"/>
          <w:sz w:val="32"/>
          <w:szCs w:val="32"/>
          <w:lang w:val="en-US" w:eastAsia="zh-CN"/>
        </w:rPr>
        <w:t>财务管理制度</w:t>
      </w:r>
      <w:r>
        <w:rPr>
          <w:rFonts w:hint="eastAsia" w:ascii="仿宋_GB2312" w:hAnsi="仿宋_GB2312" w:cs="仿宋_GB2312"/>
          <w:kern w:val="1"/>
          <w:sz w:val="32"/>
          <w:szCs w:val="32"/>
          <w:lang w:val="en-US" w:eastAsia="zh-CN"/>
        </w:rPr>
        <w:t>与</w:t>
      </w:r>
      <w:r>
        <w:rPr>
          <w:rFonts w:hint="eastAsia" w:ascii="仿宋_GB2312" w:hAnsi="仿宋_GB2312" w:eastAsia="仿宋_GB2312" w:cs="仿宋_GB2312"/>
          <w:kern w:val="1"/>
          <w:sz w:val="32"/>
          <w:szCs w:val="32"/>
          <w:lang w:val="en-US" w:eastAsia="zh-CN"/>
        </w:rPr>
        <w:t>资金管理办法，</w:t>
      </w:r>
      <w:r>
        <w:rPr>
          <w:rFonts w:hint="eastAsia" w:cs="仿宋_GB2312"/>
          <w:kern w:val="1"/>
          <w:sz w:val="32"/>
          <w:szCs w:val="32"/>
          <w:lang w:val="en-US" w:eastAsia="zh-CN"/>
        </w:rPr>
        <w:t>财务管理制度健全，</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②本项目</w:t>
      </w:r>
      <w:r>
        <w:rPr>
          <w:rFonts w:hint="eastAsia" w:ascii="仿宋_GB2312" w:hAnsi="仿宋_GB2312" w:eastAsia="仿宋_GB2312" w:cs="仿宋_GB2312"/>
          <w:kern w:val="1"/>
          <w:sz w:val="32"/>
          <w:szCs w:val="32"/>
          <w:lang w:val="en-US" w:eastAsia="zh-CN"/>
        </w:rPr>
        <w:t>实际执行过程中，预算编制、资金收支与监管方式及流程均符合上述办法规定，得1分。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B1</w:t>
      </w:r>
      <w:r>
        <w:rPr>
          <w:rFonts w:hint="eastAsia" w:cs="仿宋_GB2312"/>
          <w:kern w:val="1"/>
          <w:sz w:val="32"/>
          <w:szCs w:val="32"/>
          <w:lang w:val="en-US" w:eastAsia="zh-CN"/>
        </w:rPr>
        <w:t>4</w:t>
      </w:r>
      <w:r>
        <w:rPr>
          <w:rFonts w:hint="eastAsia" w:ascii="仿宋_GB2312" w:hAnsi="仿宋_GB2312" w:eastAsia="仿宋_GB2312" w:cs="仿宋_GB2312"/>
          <w:kern w:val="1"/>
          <w:sz w:val="32"/>
          <w:szCs w:val="32"/>
          <w:lang w:val="en-US" w:eastAsia="zh-CN"/>
        </w:rPr>
        <w:t xml:space="preserve"> </w:t>
      </w:r>
      <w:r>
        <w:rPr>
          <w:rFonts w:hint="eastAsia" w:ascii="仿宋_GB2312" w:hAnsi="仿宋_GB2312" w:cs="仿宋_GB2312"/>
          <w:kern w:val="1"/>
          <w:sz w:val="32"/>
          <w:szCs w:val="32"/>
          <w:lang w:val="en-US" w:eastAsia="zh-CN"/>
        </w:rPr>
        <w:t>“三算”规范性</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cs="仿宋_GB2312"/>
          <w:kern w:val="1"/>
          <w:sz w:val="32"/>
          <w:szCs w:val="32"/>
          <w:lang w:val="en-US" w:eastAsia="zh-CN"/>
        </w:rPr>
        <w:t>业主</w:t>
      </w:r>
      <w:r>
        <w:rPr>
          <w:rFonts w:hint="eastAsia" w:ascii="仿宋_GB2312" w:hAnsi="仿宋_GB2312" w:cs="仿宋_GB2312"/>
          <w:kern w:val="1"/>
          <w:sz w:val="32"/>
          <w:szCs w:val="32"/>
          <w:lang w:val="en-US" w:eastAsia="zh-CN"/>
        </w:rPr>
        <w:t>单位（</w:t>
      </w:r>
      <w:r>
        <w:rPr>
          <w:rFonts w:hint="eastAsia" w:cs="仿宋_GB2312"/>
          <w:kern w:val="1"/>
          <w:sz w:val="32"/>
          <w:szCs w:val="32"/>
          <w:lang w:val="en-US" w:eastAsia="zh-CN"/>
        </w:rPr>
        <w:t>城桥</w:t>
      </w:r>
      <w:r>
        <w:rPr>
          <w:rFonts w:hint="eastAsia" w:ascii="仿宋_GB2312" w:hAnsi="仿宋_GB2312" w:cs="仿宋_GB2312"/>
          <w:kern w:val="1"/>
          <w:sz w:val="32"/>
          <w:szCs w:val="32"/>
          <w:lang w:val="en-US" w:eastAsia="zh-CN"/>
        </w:rPr>
        <w:t>镇人民政府）委托专业第三方开展了项目概算编制工作，编制的主要参考依据有：设计单位提供的有关本工程图纸、设计文本和工程量、《上海建设工程建材与造价资讯》和类似工程技术经济指标，概算编制工作规范；预算单位（区</w:t>
      </w:r>
      <w:r>
        <w:rPr>
          <w:rFonts w:hint="eastAsia" w:cs="仿宋_GB2312"/>
          <w:kern w:val="1"/>
          <w:sz w:val="32"/>
          <w:szCs w:val="32"/>
          <w:lang w:val="en-US" w:eastAsia="zh-CN"/>
        </w:rPr>
        <w:t>房管局</w:t>
      </w:r>
      <w:r>
        <w:rPr>
          <w:rFonts w:hint="eastAsia" w:ascii="仿宋_GB2312" w:hAnsi="仿宋_GB2312" w:cs="仿宋_GB2312"/>
          <w:kern w:val="1"/>
          <w:sz w:val="32"/>
          <w:szCs w:val="32"/>
          <w:lang w:val="en-US" w:eastAsia="zh-CN"/>
        </w:rPr>
        <w:t>）开展了预算编制工作，并开展了绩效目标申报工作；</w:t>
      </w:r>
      <w:r>
        <w:rPr>
          <w:rFonts w:hint="eastAsia" w:ascii="仿宋_GB2312" w:hAnsi="仿宋_GB2312" w:eastAsia="仿宋_GB2312" w:cs="仿宋_GB2312"/>
          <w:kern w:val="1"/>
          <w:sz w:val="32"/>
          <w:szCs w:val="32"/>
          <w:lang w:val="en-US" w:eastAsia="zh-CN"/>
        </w:rPr>
        <w:t>得</w:t>
      </w:r>
      <w:r>
        <w:rPr>
          <w:rFonts w:hint="eastAsia" w:cs="仿宋_GB2312"/>
          <w:kern w:val="1"/>
          <w:sz w:val="32"/>
          <w:szCs w:val="32"/>
          <w:lang w:val="en-US" w:eastAsia="zh-CN"/>
        </w:rPr>
        <w:t>0.5</w:t>
      </w:r>
      <w:r>
        <w:rPr>
          <w:rFonts w:hint="eastAsia" w:ascii="仿宋_GB2312" w:hAnsi="仿宋_GB2312" w:eastAsia="仿宋_GB2312" w:cs="仿宋_GB2312"/>
          <w:kern w:val="1"/>
          <w:sz w:val="32"/>
          <w:szCs w:val="32"/>
          <w:lang w:val="en-US" w:eastAsia="zh-CN"/>
        </w:rPr>
        <w:t>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cs="仿宋_GB2312"/>
          <w:kern w:val="1"/>
          <w:sz w:val="32"/>
          <w:szCs w:val="32"/>
          <w:lang w:val="en-US" w:eastAsia="zh-CN"/>
        </w:rPr>
        <w:t>根据</w:t>
      </w:r>
      <w:r>
        <w:rPr>
          <w:rFonts w:hint="eastAsia" w:ascii="仿宋_GB2312" w:hAnsi="仿宋_GB2312" w:cs="仿宋_GB2312"/>
          <w:kern w:val="1"/>
          <w:sz w:val="32"/>
          <w:szCs w:val="32"/>
          <w:lang w:val="en-US" w:eastAsia="zh-CN"/>
        </w:rPr>
        <w:t>本项目</w:t>
      </w:r>
      <w:r>
        <w:rPr>
          <w:rFonts w:hint="eastAsia" w:cs="仿宋_GB2312"/>
          <w:kern w:val="1"/>
          <w:sz w:val="32"/>
          <w:szCs w:val="32"/>
          <w:lang w:val="en-US" w:eastAsia="zh-CN"/>
        </w:rPr>
        <w:t>审价结果，6个子项目的总批复工程费用为</w:t>
      </w:r>
      <w:r>
        <w:rPr>
          <w:rFonts w:hint="eastAsia" w:hAnsi="Times New Roman" w:cs="Times New Roman"/>
          <w:sz w:val="32"/>
          <w:szCs w:val="32"/>
          <w:highlight w:val="none"/>
          <w:lang w:val="en-US" w:eastAsia="zh-CN"/>
        </w:rPr>
        <w:t>18629.97</w:t>
      </w:r>
      <w:r>
        <w:rPr>
          <w:rFonts w:hint="eastAsia" w:ascii="仿宋_GB2312" w:hAnsi="仿宋_GB2312" w:cs="仿宋_GB2312"/>
          <w:kern w:val="1"/>
          <w:sz w:val="32"/>
          <w:szCs w:val="32"/>
          <w:lang w:val="en-US" w:eastAsia="zh-CN"/>
        </w:rPr>
        <w:t>万元</w:t>
      </w:r>
      <w:r>
        <w:rPr>
          <w:rFonts w:hint="eastAsia" w:cs="仿宋_GB2312"/>
          <w:kern w:val="1"/>
          <w:sz w:val="32"/>
          <w:szCs w:val="32"/>
          <w:lang w:val="en-US" w:eastAsia="zh-CN"/>
        </w:rPr>
        <w:t>（概算），对应签订的合同总价为17635.42万元（预算）</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审定总价为17152.13万元（决算），决算不超过预算，预算不超过概算，</w:t>
      </w:r>
      <w:r>
        <w:rPr>
          <w:rFonts w:hint="eastAsia" w:ascii="仿宋_GB2312" w:hAnsi="仿宋_GB2312" w:cs="仿宋_GB2312"/>
          <w:kern w:val="1"/>
          <w:sz w:val="32"/>
          <w:szCs w:val="32"/>
          <w:lang w:val="en-US" w:eastAsia="zh-CN"/>
        </w:rPr>
        <w:t>符合行业规范；</w:t>
      </w:r>
      <w:r>
        <w:rPr>
          <w:rFonts w:hint="eastAsia" w:ascii="仿宋_GB2312" w:hAnsi="仿宋_GB2312" w:eastAsia="仿宋_GB2312" w:cs="仿宋_GB2312"/>
          <w:kern w:val="1"/>
          <w:sz w:val="32"/>
          <w:szCs w:val="32"/>
          <w:lang w:val="en-US" w:eastAsia="zh-CN"/>
        </w:rPr>
        <w:t>得</w:t>
      </w:r>
      <w:r>
        <w:rPr>
          <w:rFonts w:hint="eastAsia" w:cs="仿宋_GB2312"/>
          <w:kern w:val="1"/>
          <w:sz w:val="32"/>
          <w:szCs w:val="32"/>
          <w:lang w:val="en-US" w:eastAsia="zh-CN"/>
        </w:rPr>
        <w:t>0.5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B1</w:t>
      </w:r>
      <w:r>
        <w:rPr>
          <w:rFonts w:hint="eastAsia" w:cs="仿宋_GB2312"/>
          <w:kern w:val="1"/>
          <w:sz w:val="32"/>
          <w:szCs w:val="32"/>
          <w:lang w:val="en-US" w:eastAsia="zh-CN"/>
        </w:rPr>
        <w:t>5</w:t>
      </w:r>
      <w:r>
        <w:rPr>
          <w:rFonts w:hint="eastAsia" w:ascii="仿宋_GB2312" w:hAnsi="仿宋_GB2312" w:eastAsia="仿宋_GB2312" w:cs="仿宋_GB2312"/>
          <w:kern w:val="1"/>
          <w:sz w:val="32"/>
          <w:szCs w:val="32"/>
          <w:lang w:val="en-US" w:eastAsia="zh-CN"/>
        </w:rPr>
        <w:t xml:space="preserve"> 资金使用</w:t>
      </w:r>
      <w:r>
        <w:rPr>
          <w:rFonts w:hint="eastAsia" w:ascii="仿宋_GB2312" w:hAnsi="仿宋_GB2312" w:cs="仿宋_GB2312"/>
          <w:kern w:val="1"/>
          <w:sz w:val="32"/>
          <w:szCs w:val="32"/>
          <w:lang w:val="en-US" w:eastAsia="zh-CN"/>
        </w:rPr>
        <w:t>合规</w:t>
      </w:r>
      <w:r>
        <w:rPr>
          <w:rFonts w:hint="eastAsia" w:ascii="仿宋_GB2312" w:hAnsi="仿宋_GB2312" w:eastAsia="仿宋_GB2312" w:cs="仿宋_GB2312"/>
          <w:kern w:val="1"/>
          <w:sz w:val="32"/>
          <w:szCs w:val="32"/>
          <w:lang w:val="en-US" w:eastAsia="zh-CN"/>
        </w:rPr>
        <w:t>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评价组通过翻阅项目财务支出凭证，判断本项目资金使用情况：</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ascii="仿宋_GB2312" w:hAnsi="仿宋_GB2312" w:eastAsia="仿宋_GB2312" w:cs="仿宋_GB2312"/>
          <w:kern w:val="1"/>
          <w:sz w:val="32"/>
          <w:szCs w:val="32"/>
          <w:lang w:val="en-US" w:eastAsia="zh-CN"/>
        </w:rPr>
        <w:t>本项目预算资金管理按照《会计法》、《行政单位会计制度》等规定执行，符合国家财经法规和财务管理制度以及有关专项资金管理办法的规定，得0.5分；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②本项目的</w:t>
      </w:r>
      <w:r>
        <w:rPr>
          <w:rFonts w:hint="eastAsia" w:ascii="仿宋_GB2312" w:hAnsi="仿宋_GB2312" w:eastAsia="仿宋_GB2312" w:cs="仿宋_GB2312"/>
          <w:kern w:val="1"/>
          <w:sz w:val="32"/>
          <w:szCs w:val="32"/>
          <w:lang w:val="en-US" w:eastAsia="zh-CN"/>
        </w:rPr>
        <w:t>资金拨付完成前按照规范流程开展相关审价和审计工作，且有完整的审批程序和手续，得0.5分；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w:t>
      </w:r>
      <w:r>
        <w:rPr>
          <w:rFonts w:hint="eastAsia" w:ascii="仿宋_GB2312" w:hAnsi="仿宋_GB2312" w:eastAsia="仿宋_GB2312" w:cs="仿宋_GB2312"/>
          <w:kern w:val="1"/>
          <w:sz w:val="32"/>
          <w:szCs w:val="32"/>
          <w:lang w:val="en-US" w:eastAsia="zh-CN"/>
        </w:rPr>
        <w:t>资金使用符合项目预算批复</w:t>
      </w:r>
      <w:r>
        <w:rPr>
          <w:rFonts w:hint="eastAsia" w:ascii="仿宋_GB2312" w:hAnsi="仿宋_GB2312" w:cs="仿宋_GB2312"/>
          <w:kern w:val="1"/>
          <w:sz w:val="32"/>
          <w:szCs w:val="32"/>
          <w:lang w:val="en-US" w:eastAsia="zh-CN"/>
        </w:rPr>
        <w:t>和</w:t>
      </w:r>
      <w:r>
        <w:rPr>
          <w:rFonts w:hint="eastAsia" w:ascii="仿宋_GB2312" w:hAnsi="仿宋_GB2312" w:eastAsia="仿宋_GB2312" w:cs="仿宋_GB2312"/>
          <w:kern w:val="1"/>
          <w:sz w:val="32"/>
          <w:szCs w:val="32"/>
          <w:lang w:val="en-US" w:eastAsia="zh-CN"/>
        </w:rPr>
        <w:t>合同规定的用途，得0.5分；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④未发现</w:t>
      </w:r>
      <w:r>
        <w:rPr>
          <w:rFonts w:hint="eastAsia" w:ascii="仿宋_GB2312" w:hAnsi="仿宋_GB2312" w:eastAsia="仿宋_GB2312" w:cs="仿宋_GB2312"/>
          <w:kern w:val="1"/>
          <w:sz w:val="32"/>
          <w:szCs w:val="32"/>
          <w:lang w:val="en-US" w:eastAsia="zh-CN"/>
        </w:rPr>
        <w:t>截留、挤占、挪用、虚列支出等情况，得0.5分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B21 业务管理制度健全性</w:t>
      </w:r>
      <w:r>
        <w:rPr>
          <w:rFonts w:hint="eastAsia" w:ascii="仿宋_GB2312" w:hAnsi="仿宋_GB2312" w:cs="仿宋_GB2312"/>
          <w:kern w:val="1"/>
          <w:sz w:val="32"/>
          <w:szCs w:val="32"/>
          <w:lang w:val="en-US" w:eastAsia="zh-CN"/>
        </w:rPr>
        <w:t xml:space="preserve"> </w:t>
      </w:r>
      <w:r>
        <w:rPr>
          <w:rFonts w:hint="eastAsia" w:ascii="仿宋_GB2312" w:hAnsi="仿宋_GB2312" w:eastAsia="仿宋_GB2312" w:cs="仿宋_GB2312"/>
          <w:kern w:val="1"/>
          <w:sz w:val="32"/>
          <w:szCs w:val="32"/>
          <w:lang w:val="en-US" w:eastAsia="zh-CN"/>
        </w:rPr>
        <w:t>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根据前文对本项目业务管理制度的梳理可知，项目业务管理制度健全</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本项指标</w:t>
      </w:r>
      <w:r>
        <w:rPr>
          <w:rFonts w:hint="eastAsia" w:ascii="仿宋_GB2312" w:hAnsi="仿宋_GB2312" w:eastAsia="仿宋_GB2312" w:cs="仿宋_GB2312"/>
          <w:kern w:val="1"/>
          <w:sz w:val="32"/>
          <w:szCs w:val="32"/>
          <w:lang w:val="en-US" w:eastAsia="zh-CN"/>
        </w:rPr>
        <w:t>得</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1 项目过程监督管理制度执行有效性 权重</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w:t>
      </w:r>
      <w:r>
        <w:rPr>
          <w:rFonts w:hint="eastAsia" w:cs="仿宋_GB2312"/>
          <w:kern w:val="1"/>
          <w:sz w:val="32"/>
          <w:szCs w:val="32"/>
          <w:lang w:val="en-US" w:eastAsia="zh-CN"/>
        </w:rPr>
        <w:t>业主</w:t>
      </w:r>
      <w:r>
        <w:rPr>
          <w:rFonts w:hint="eastAsia" w:ascii="仿宋_GB2312" w:hAnsi="仿宋_GB2312" w:eastAsia="仿宋_GB2312" w:cs="仿宋_GB2312"/>
          <w:kern w:val="1"/>
          <w:sz w:val="32"/>
          <w:szCs w:val="32"/>
          <w:lang w:val="en-US" w:eastAsia="zh-CN"/>
        </w:rPr>
        <w:t>单位</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城桥</w:t>
      </w:r>
      <w:r>
        <w:rPr>
          <w:rFonts w:hint="eastAsia" w:ascii="仿宋_GB2312" w:hAnsi="仿宋_GB2312" w:cs="仿宋_GB2312"/>
          <w:kern w:val="1"/>
          <w:sz w:val="32"/>
          <w:szCs w:val="32"/>
          <w:lang w:val="en-US" w:eastAsia="zh-CN"/>
        </w:rPr>
        <w:t>镇人民政府）委托第三方代建单位</w:t>
      </w:r>
      <w:r>
        <w:rPr>
          <w:rFonts w:hint="eastAsia" w:cs="仿宋_GB2312"/>
          <w:kern w:val="1"/>
          <w:sz w:val="32"/>
          <w:szCs w:val="32"/>
          <w:lang w:val="en-US" w:eastAsia="zh-CN"/>
        </w:rPr>
        <w:t>和施工监理单位</w:t>
      </w:r>
      <w:r>
        <w:rPr>
          <w:rFonts w:hint="eastAsia" w:ascii="仿宋_GB2312" w:hAnsi="仿宋_GB2312" w:eastAsia="仿宋_GB2312" w:cs="仿宋_GB2312"/>
          <w:kern w:val="1"/>
          <w:sz w:val="32"/>
          <w:szCs w:val="32"/>
          <w:lang w:val="en-US" w:eastAsia="zh-CN"/>
        </w:rPr>
        <w:t>对项目实施进度及质量进行监督考核，</w:t>
      </w:r>
      <w:r>
        <w:rPr>
          <w:rFonts w:hint="eastAsia" w:cs="仿宋_GB2312"/>
          <w:kern w:val="1"/>
          <w:sz w:val="32"/>
          <w:szCs w:val="32"/>
          <w:lang w:val="en-US" w:eastAsia="zh-CN"/>
        </w:rPr>
        <w:t>城桥</w:t>
      </w:r>
      <w:r>
        <w:rPr>
          <w:rFonts w:hint="eastAsia" w:ascii="仿宋_GB2312" w:hAnsi="仿宋_GB2312" w:cs="仿宋_GB2312"/>
          <w:kern w:val="1"/>
          <w:sz w:val="32"/>
          <w:szCs w:val="32"/>
          <w:lang w:val="en-US" w:eastAsia="zh-CN"/>
        </w:rPr>
        <w:t>镇</w:t>
      </w:r>
      <w:r>
        <w:rPr>
          <w:rFonts w:hint="eastAsia" w:cs="仿宋_GB2312"/>
          <w:kern w:val="1"/>
          <w:sz w:val="32"/>
          <w:szCs w:val="32"/>
          <w:lang w:val="en-US" w:eastAsia="zh-CN"/>
        </w:rPr>
        <w:t>规划建设与生态环境</w:t>
      </w:r>
      <w:r>
        <w:rPr>
          <w:rFonts w:hint="eastAsia" w:ascii="仿宋_GB2312" w:hAnsi="仿宋_GB2312" w:cs="仿宋_GB2312"/>
          <w:kern w:val="1"/>
          <w:sz w:val="32"/>
          <w:szCs w:val="32"/>
          <w:lang w:val="en-US" w:eastAsia="zh-CN"/>
        </w:rPr>
        <w:t>办公室相关负责人作为业主代表参与现场巡查等工作；</w:t>
      </w:r>
      <w:r>
        <w:rPr>
          <w:rFonts w:hint="eastAsia" w:ascii="仿宋_GB2312" w:hAnsi="仿宋_GB2312" w:eastAsia="仿宋_GB2312" w:cs="仿宋_GB2312"/>
          <w:kern w:val="1"/>
          <w:sz w:val="32"/>
          <w:szCs w:val="32"/>
          <w:lang w:val="en-US" w:eastAsia="zh-CN"/>
        </w:rPr>
        <w:t>得</w:t>
      </w:r>
      <w:r>
        <w:rPr>
          <w:rFonts w:hint="eastAsia" w:cs="仿宋_GB2312"/>
          <w:kern w:val="1"/>
          <w:sz w:val="32"/>
          <w:szCs w:val="32"/>
          <w:lang w:val="en-US" w:eastAsia="zh-CN"/>
        </w:rPr>
        <w:t>0.5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ascii="仿宋_GB2312" w:hAnsi="仿宋_GB2312" w:eastAsia="仿宋_GB2312" w:cs="仿宋_GB2312"/>
          <w:kern w:val="1"/>
          <w:sz w:val="32"/>
          <w:szCs w:val="32"/>
          <w:lang w:val="en-US" w:eastAsia="zh-CN"/>
        </w:rPr>
        <w:t>有相关</w:t>
      </w:r>
      <w:r>
        <w:rPr>
          <w:rFonts w:hint="eastAsia" w:ascii="仿宋_GB2312" w:hAnsi="仿宋_GB2312" w:cs="仿宋_GB2312"/>
          <w:kern w:val="1"/>
          <w:sz w:val="32"/>
          <w:szCs w:val="32"/>
          <w:lang w:val="en-US" w:eastAsia="zh-CN"/>
        </w:rPr>
        <w:t>施工现场巡查</w:t>
      </w:r>
      <w:r>
        <w:rPr>
          <w:rFonts w:hint="eastAsia" w:ascii="仿宋_GB2312" w:hAnsi="仿宋_GB2312" w:eastAsia="仿宋_GB2312" w:cs="仿宋_GB2312"/>
          <w:kern w:val="1"/>
          <w:sz w:val="32"/>
          <w:szCs w:val="32"/>
          <w:lang w:val="en-US" w:eastAsia="zh-CN"/>
        </w:rPr>
        <w:t>记录，</w:t>
      </w:r>
      <w:r>
        <w:rPr>
          <w:rFonts w:hint="eastAsia" w:ascii="仿宋_GB2312" w:hAnsi="仿宋_GB2312" w:cs="仿宋_GB2312"/>
          <w:kern w:val="1"/>
          <w:sz w:val="32"/>
          <w:szCs w:val="32"/>
          <w:lang w:val="en-US" w:eastAsia="zh-CN"/>
        </w:rPr>
        <w:t>巡查内容包括安全隐患检查、施工质量检查、工程进度检查、工地管理检查、文明施工检查、防疫措施检查等，记录单详见附件6；</w:t>
      </w:r>
      <w:r>
        <w:rPr>
          <w:rFonts w:hint="eastAsia" w:ascii="仿宋_GB2312" w:hAnsi="仿宋_GB2312" w:eastAsia="仿宋_GB2312" w:cs="仿宋_GB2312"/>
          <w:kern w:val="1"/>
          <w:sz w:val="32"/>
          <w:szCs w:val="32"/>
          <w:lang w:val="en-US" w:eastAsia="zh-CN"/>
        </w:rPr>
        <w:t>得</w:t>
      </w:r>
      <w:r>
        <w:rPr>
          <w:rFonts w:hint="eastAsia" w:cs="仿宋_GB2312"/>
          <w:kern w:val="1"/>
          <w:sz w:val="32"/>
          <w:szCs w:val="32"/>
          <w:lang w:val="en-US" w:eastAsia="zh-CN"/>
        </w:rPr>
        <w:t>0.5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 xml:space="preserve"> 政府采购规范性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①本项目的施工单位</w:t>
      </w:r>
      <w:r>
        <w:rPr>
          <w:rFonts w:hint="eastAsia" w:cs="仿宋_GB2312"/>
          <w:kern w:val="1"/>
          <w:sz w:val="32"/>
          <w:szCs w:val="32"/>
          <w:lang w:val="en-US" w:eastAsia="zh-CN"/>
        </w:rPr>
        <w:t>、工程监理单位和设计单位</w:t>
      </w:r>
      <w:r>
        <w:rPr>
          <w:rFonts w:hint="eastAsia" w:ascii="仿宋_GB2312" w:hAnsi="仿宋_GB2312" w:eastAsia="仿宋_GB2312" w:cs="仿宋_GB2312"/>
          <w:kern w:val="1"/>
          <w:sz w:val="32"/>
          <w:szCs w:val="32"/>
          <w:lang w:val="en-US" w:eastAsia="zh-CN"/>
        </w:rPr>
        <w:t>按政府采购相关法律规定采取</w:t>
      </w:r>
      <w:r>
        <w:rPr>
          <w:rFonts w:hint="eastAsia" w:ascii="仿宋_GB2312" w:hAnsi="仿宋_GB2312" w:cs="仿宋_GB2312"/>
          <w:kern w:val="1"/>
          <w:sz w:val="32"/>
          <w:szCs w:val="32"/>
          <w:lang w:val="en-US" w:eastAsia="zh-CN"/>
        </w:rPr>
        <w:t>公开招投标的方式确定，其余单位（工可单位、</w:t>
      </w:r>
      <w:r>
        <w:rPr>
          <w:rFonts w:hint="eastAsia" w:cs="仿宋_GB2312"/>
          <w:kern w:val="1"/>
          <w:sz w:val="32"/>
          <w:szCs w:val="32"/>
          <w:lang w:val="en-US" w:eastAsia="zh-CN"/>
        </w:rPr>
        <w:t>物探</w:t>
      </w:r>
      <w:r>
        <w:rPr>
          <w:rFonts w:hint="eastAsia" w:ascii="仿宋_GB2312" w:hAnsi="仿宋_GB2312" w:cs="仿宋_GB2312"/>
          <w:kern w:val="1"/>
          <w:sz w:val="32"/>
          <w:szCs w:val="32"/>
          <w:lang w:val="en-US" w:eastAsia="zh-CN"/>
        </w:rPr>
        <w:t>单位、</w:t>
      </w:r>
      <w:r>
        <w:rPr>
          <w:rFonts w:hint="eastAsia" w:cs="仿宋_GB2312"/>
          <w:kern w:val="1"/>
          <w:sz w:val="32"/>
          <w:szCs w:val="32"/>
          <w:lang w:val="en-US" w:eastAsia="zh-CN"/>
        </w:rPr>
        <w:t>检测单位、</w:t>
      </w:r>
      <w:r>
        <w:rPr>
          <w:rFonts w:hint="eastAsia" w:ascii="仿宋_GB2312" w:hAnsi="仿宋_GB2312" w:cs="仿宋_GB2312"/>
          <w:kern w:val="1"/>
          <w:sz w:val="32"/>
          <w:szCs w:val="32"/>
          <w:lang w:val="en-US" w:eastAsia="zh-CN"/>
        </w:rPr>
        <w:t>代建单位、招标代理单位、财务监理单位）</w:t>
      </w:r>
      <w:r>
        <w:rPr>
          <w:rFonts w:hint="eastAsia" w:cs="仿宋_GB2312"/>
          <w:kern w:val="1"/>
          <w:sz w:val="32"/>
          <w:szCs w:val="32"/>
          <w:lang w:val="en-US" w:eastAsia="zh-CN"/>
        </w:rPr>
        <w:t>均</w:t>
      </w:r>
      <w:r>
        <w:rPr>
          <w:rFonts w:hint="eastAsia" w:ascii="仿宋_GB2312" w:hAnsi="仿宋_GB2312" w:cs="仿宋_GB2312"/>
          <w:kern w:val="1"/>
          <w:sz w:val="32"/>
          <w:szCs w:val="32"/>
          <w:lang w:val="en-US" w:eastAsia="zh-CN"/>
        </w:rPr>
        <w:t>以分散采购的方式，经过镇“三重一大”讨论后确定第三方。</w:t>
      </w:r>
      <w:r>
        <w:rPr>
          <w:rFonts w:hint="eastAsia" w:ascii="仿宋_GB2312" w:hAnsi="仿宋_GB2312" w:eastAsia="仿宋_GB2312" w:cs="仿宋_GB2312"/>
          <w:kern w:val="1"/>
          <w:sz w:val="32"/>
          <w:szCs w:val="32"/>
          <w:lang w:val="en-US" w:eastAsia="zh-CN"/>
        </w:rPr>
        <w:t>采购方式</w:t>
      </w:r>
      <w:r>
        <w:rPr>
          <w:rFonts w:hint="eastAsia" w:ascii="仿宋_GB2312" w:hAnsi="仿宋_GB2312" w:cs="仿宋_GB2312"/>
          <w:kern w:val="1"/>
          <w:sz w:val="32"/>
          <w:szCs w:val="32"/>
          <w:lang w:val="en-US" w:eastAsia="zh-CN"/>
        </w:rPr>
        <w:t>符合规定</w:t>
      </w:r>
      <w:r>
        <w:rPr>
          <w:rFonts w:hint="eastAsia" w:ascii="仿宋_GB2312" w:hAnsi="仿宋_GB2312" w:eastAsia="仿宋_GB2312" w:cs="仿宋_GB2312"/>
          <w:kern w:val="1"/>
          <w:sz w:val="32"/>
          <w:szCs w:val="32"/>
          <w:lang w:val="en-US" w:eastAsia="zh-CN"/>
        </w:rPr>
        <w:t>，得0.5分；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2020年5月13日，上海九硕工程管理有限公司委托建正建设工程咨询有限公司承担6个项目的设计、监理招标代理工作，以公开招标方式于6月12日确认中标单位：2020年6月16日，上海九硕工程管理有限公司委托建正建设工程咨询有限公司承担6个项目的施工招标代理工作，以公开招标方式于7月28日确认中标单位：确认上海崇明建设（集团）有限公司为6个子项目的施工中标单位</w:t>
      </w:r>
      <w:r>
        <w:rPr>
          <w:rFonts w:hint="eastAsia" w:cs="仿宋_GB2312"/>
          <w:kern w:val="1"/>
          <w:sz w:val="32"/>
          <w:szCs w:val="32"/>
          <w:lang w:val="en-US" w:eastAsia="zh-CN"/>
        </w:rPr>
        <w:t>，</w:t>
      </w:r>
      <w:r>
        <w:rPr>
          <w:rFonts w:hint="eastAsia" w:ascii="仿宋_GB2312" w:hAnsi="仿宋_GB2312" w:eastAsia="仿宋_GB2312" w:cs="仿宋_GB2312"/>
          <w:kern w:val="1"/>
          <w:sz w:val="32"/>
          <w:szCs w:val="32"/>
          <w:lang w:val="en-US" w:eastAsia="zh-CN"/>
        </w:rPr>
        <w:t>采购流程</w:t>
      </w:r>
      <w:r>
        <w:rPr>
          <w:rFonts w:hint="eastAsia" w:ascii="仿宋_GB2312" w:hAnsi="仿宋_GB2312" w:cs="仿宋_GB2312"/>
          <w:kern w:val="1"/>
          <w:sz w:val="32"/>
          <w:szCs w:val="32"/>
          <w:lang w:val="en-US" w:eastAsia="zh-CN"/>
        </w:rPr>
        <w:t>符合规定</w:t>
      </w:r>
      <w:r>
        <w:rPr>
          <w:rFonts w:hint="eastAsia" w:ascii="仿宋_GB2312" w:hAnsi="仿宋_GB2312" w:eastAsia="仿宋_GB2312" w:cs="仿宋_GB2312"/>
          <w:kern w:val="1"/>
          <w:sz w:val="32"/>
          <w:szCs w:val="32"/>
          <w:lang w:val="en-US" w:eastAsia="zh-CN"/>
        </w:rPr>
        <w:t>，得0.5分；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③中标</w:t>
      </w:r>
      <w:r>
        <w:rPr>
          <w:rFonts w:hint="eastAsia" w:ascii="仿宋_GB2312" w:hAnsi="仿宋_GB2312" w:eastAsia="仿宋_GB2312" w:cs="仿宋_GB2312"/>
          <w:kern w:val="1"/>
          <w:sz w:val="32"/>
          <w:szCs w:val="32"/>
          <w:lang w:val="en-US" w:eastAsia="zh-CN"/>
        </w:rPr>
        <w:t>结果</w:t>
      </w:r>
      <w:r>
        <w:rPr>
          <w:rFonts w:hint="eastAsia" w:ascii="仿宋_GB2312" w:hAnsi="仿宋_GB2312" w:cs="仿宋_GB2312"/>
          <w:kern w:val="1"/>
          <w:sz w:val="32"/>
          <w:szCs w:val="32"/>
          <w:lang w:val="en-US" w:eastAsia="zh-CN"/>
        </w:rPr>
        <w:t>于2020年7月29日至2020年8月1日期间进行了社会公示，确保了</w:t>
      </w:r>
      <w:r>
        <w:rPr>
          <w:rFonts w:hint="eastAsia" w:ascii="仿宋_GB2312" w:hAnsi="仿宋_GB2312" w:eastAsia="仿宋_GB2312" w:cs="仿宋_GB2312"/>
          <w:kern w:val="1"/>
          <w:sz w:val="32"/>
          <w:szCs w:val="32"/>
          <w:lang w:val="en-US" w:eastAsia="zh-CN"/>
        </w:rPr>
        <w:t>公开公正，得0.5分；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④本项目</w:t>
      </w:r>
      <w:r>
        <w:rPr>
          <w:rFonts w:hint="eastAsia" w:ascii="仿宋_GB2312" w:hAnsi="仿宋_GB2312" w:eastAsia="仿宋_GB2312" w:cs="仿宋_GB2312"/>
          <w:kern w:val="1"/>
          <w:sz w:val="32"/>
          <w:szCs w:val="32"/>
          <w:lang w:val="en-US" w:eastAsia="zh-CN"/>
        </w:rPr>
        <w:t>合同签订与中标结果一致，得0.5分。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3</w:t>
      </w:r>
      <w:r>
        <w:rPr>
          <w:rFonts w:hint="eastAsia" w:ascii="仿宋_GB2312" w:hAnsi="仿宋_GB2312" w:eastAsia="仿宋_GB2312" w:cs="仿宋_GB2312"/>
          <w:kern w:val="1"/>
          <w:sz w:val="32"/>
          <w:szCs w:val="32"/>
          <w:lang w:val="en-US" w:eastAsia="zh-CN"/>
        </w:rPr>
        <w:t xml:space="preserve"> 工程管理规范性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①通过</w:t>
      </w:r>
      <w:r>
        <w:rPr>
          <w:rFonts w:hint="eastAsia" w:ascii="仿宋_GB2312" w:hAnsi="仿宋_GB2312" w:eastAsia="仿宋_GB2312" w:cs="仿宋_GB2312"/>
          <w:kern w:val="1"/>
          <w:sz w:val="32"/>
          <w:szCs w:val="32"/>
          <w:lang w:val="en-US" w:eastAsia="zh-CN"/>
        </w:rPr>
        <w:t>访谈</w:t>
      </w:r>
      <w:r>
        <w:rPr>
          <w:rFonts w:hint="eastAsia" w:cs="仿宋_GB2312"/>
          <w:kern w:val="1"/>
          <w:sz w:val="32"/>
          <w:szCs w:val="32"/>
          <w:lang w:val="en-US" w:eastAsia="zh-CN"/>
        </w:rPr>
        <w:t>城桥</w:t>
      </w:r>
      <w:r>
        <w:rPr>
          <w:rFonts w:hint="eastAsia" w:ascii="仿宋_GB2312" w:hAnsi="仿宋_GB2312" w:cs="仿宋_GB2312"/>
          <w:kern w:val="1"/>
          <w:sz w:val="32"/>
          <w:szCs w:val="32"/>
          <w:lang w:val="en-US" w:eastAsia="zh-CN"/>
        </w:rPr>
        <w:t>镇</w:t>
      </w:r>
      <w:r>
        <w:rPr>
          <w:rFonts w:hint="eastAsia" w:cs="仿宋_GB2312"/>
          <w:kern w:val="1"/>
          <w:sz w:val="32"/>
          <w:szCs w:val="32"/>
          <w:lang w:val="en-US" w:eastAsia="zh-CN"/>
        </w:rPr>
        <w:t>规划建设与生态环境</w:t>
      </w:r>
      <w:r>
        <w:rPr>
          <w:rFonts w:hint="eastAsia" w:ascii="仿宋_GB2312" w:hAnsi="仿宋_GB2312" w:cs="仿宋_GB2312"/>
          <w:kern w:val="1"/>
          <w:sz w:val="32"/>
          <w:szCs w:val="32"/>
          <w:lang w:val="en-US" w:eastAsia="zh-CN"/>
        </w:rPr>
        <w:t>办公室相关负责人（作为业主单位代表）</w:t>
      </w:r>
      <w:r>
        <w:rPr>
          <w:rFonts w:hint="eastAsia" w:cs="仿宋_GB2312"/>
          <w:kern w:val="1"/>
          <w:sz w:val="32"/>
          <w:szCs w:val="32"/>
          <w:lang w:val="en-US" w:eastAsia="zh-CN"/>
        </w:rPr>
        <w:t>和九硕公司项目管理人员（项目实施单位）</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了解项目施工过程中工程监理、财务监理、工程代建</w:t>
      </w:r>
      <w:r>
        <w:rPr>
          <w:rFonts w:hint="eastAsia" w:ascii="仿宋_GB2312" w:hAnsi="仿宋_GB2312" w:cs="仿宋_GB2312"/>
          <w:kern w:val="1"/>
          <w:sz w:val="32"/>
          <w:szCs w:val="32"/>
          <w:lang w:val="en-US" w:eastAsia="zh-CN"/>
        </w:rPr>
        <w:t>等各方的</w:t>
      </w:r>
      <w:r>
        <w:rPr>
          <w:rFonts w:hint="eastAsia" w:ascii="仿宋_GB2312" w:hAnsi="仿宋_GB2312" w:eastAsia="仿宋_GB2312" w:cs="仿宋_GB2312"/>
          <w:kern w:val="1"/>
          <w:sz w:val="32"/>
          <w:szCs w:val="32"/>
          <w:lang w:val="en-US" w:eastAsia="zh-CN"/>
        </w:rPr>
        <w:t>履职情况，</w:t>
      </w:r>
      <w:r>
        <w:rPr>
          <w:rFonts w:hint="eastAsia" w:cs="仿宋_GB2312"/>
          <w:kern w:val="1"/>
          <w:sz w:val="32"/>
          <w:szCs w:val="32"/>
          <w:lang w:val="en-US" w:eastAsia="zh-CN"/>
        </w:rPr>
        <w:t>结果为履职到位；</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②</w:t>
      </w:r>
      <w:r>
        <w:rPr>
          <w:rFonts w:hint="eastAsia" w:ascii="仿宋_GB2312" w:hAnsi="仿宋_GB2312" w:eastAsia="仿宋_GB2312" w:cs="仿宋_GB2312"/>
          <w:kern w:val="1"/>
          <w:sz w:val="32"/>
          <w:szCs w:val="32"/>
          <w:lang w:val="en-US" w:eastAsia="zh-CN"/>
        </w:rPr>
        <w:t>有相关工程台账资料佐证</w:t>
      </w:r>
      <w:r>
        <w:rPr>
          <w:rFonts w:hint="eastAsia" w:cs="仿宋_GB2312"/>
          <w:kern w:val="1"/>
          <w:sz w:val="32"/>
          <w:szCs w:val="32"/>
          <w:lang w:val="en-US" w:eastAsia="zh-CN"/>
        </w:rPr>
        <w:t>（监理日志、报告等）</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资料详见附件6；</w:t>
      </w:r>
      <w:r>
        <w:rPr>
          <w:rFonts w:hint="eastAsia" w:ascii="仿宋_GB2312" w:hAnsi="仿宋_GB2312" w:eastAsia="仿宋_GB2312" w:cs="仿宋_GB2312"/>
          <w:kern w:val="1"/>
          <w:sz w:val="32"/>
          <w:szCs w:val="32"/>
          <w:lang w:val="en-US" w:eastAsia="zh-CN"/>
        </w:rPr>
        <w:t>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B22</w:t>
      </w:r>
      <w:r>
        <w:rPr>
          <w:rFonts w:hint="eastAsia" w:ascii="仿宋_GB2312" w:hAnsi="仿宋_GB2312" w:cs="仿宋_GB2312"/>
          <w:kern w:val="1"/>
          <w:sz w:val="32"/>
          <w:szCs w:val="32"/>
          <w:highlight w:val="none"/>
          <w:lang w:val="en-US" w:eastAsia="zh-CN"/>
        </w:rPr>
        <w:t>4</w:t>
      </w:r>
      <w:r>
        <w:rPr>
          <w:rFonts w:hint="eastAsia" w:ascii="仿宋_GB2312" w:hAnsi="仿宋_GB2312" w:eastAsia="仿宋_GB2312" w:cs="仿宋_GB2312"/>
          <w:kern w:val="1"/>
          <w:sz w:val="32"/>
          <w:szCs w:val="32"/>
          <w:highlight w:val="none"/>
          <w:lang w:val="en-US" w:eastAsia="zh-CN"/>
        </w:rPr>
        <w:t xml:space="preserve"> 项目变更规范</w:t>
      </w:r>
      <w:r>
        <w:rPr>
          <w:rFonts w:hint="eastAsia" w:ascii="仿宋_GB2312" w:hAnsi="仿宋_GB2312" w:eastAsia="仿宋_GB2312" w:cs="仿宋_GB2312"/>
          <w:kern w:val="1"/>
          <w:sz w:val="32"/>
          <w:szCs w:val="32"/>
          <w:lang w:val="en-US" w:eastAsia="zh-CN"/>
        </w:rPr>
        <w:t>性 权重</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本项目实施内容变更</w:t>
      </w:r>
      <w:r>
        <w:rPr>
          <w:rFonts w:hint="eastAsia" w:cs="仿宋_GB2312"/>
          <w:kern w:val="1"/>
          <w:sz w:val="32"/>
          <w:szCs w:val="32"/>
          <w:lang w:val="en-US" w:eastAsia="zh-CN"/>
        </w:rPr>
        <w:t>流程参照</w:t>
      </w:r>
      <w:r>
        <w:rPr>
          <w:rFonts w:hint="eastAsia"/>
          <w:sz w:val="32"/>
          <w:szCs w:val="32"/>
          <w:lang w:val="en-US" w:eastAsia="zh-CN"/>
        </w:rPr>
        <w:t>《</w:t>
      </w:r>
      <w:r>
        <w:rPr>
          <w:rFonts w:hint="eastAsia"/>
          <w:sz w:val="32"/>
          <w:szCs w:val="32"/>
          <w:lang w:eastAsia="zh-CN"/>
        </w:rPr>
        <w:t>上海市崇明区政府投资项目管理办法</w:t>
      </w:r>
      <w:r>
        <w:rPr>
          <w:rFonts w:hint="eastAsia"/>
          <w:sz w:val="32"/>
          <w:szCs w:val="32"/>
          <w:lang w:val="en-US" w:eastAsia="zh-CN"/>
        </w:rPr>
        <w:t>》执行</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实际实施过程中，由于2020年市级层面《关于本市徐汇区住宅修缮工地火灾事故的通报》(沪住修缮</w:t>
      </w:r>
      <w:r>
        <w:rPr>
          <w:rFonts w:hint="eastAsia"/>
          <w:sz w:val="32"/>
          <w:szCs w:val="32"/>
        </w:rPr>
        <w:t>〔20</w:t>
      </w:r>
      <w:r>
        <w:rPr>
          <w:rFonts w:hint="eastAsia"/>
          <w:sz w:val="32"/>
          <w:szCs w:val="32"/>
          <w:lang w:val="en-US" w:eastAsia="zh-CN"/>
        </w:rPr>
        <w:t>20</w:t>
      </w:r>
      <w:r>
        <w:rPr>
          <w:rFonts w:hint="eastAsia"/>
          <w:sz w:val="32"/>
          <w:szCs w:val="32"/>
        </w:rPr>
        <w:t>〕</w:t>
      </w:r>
      <w:r>
        <w:rPr>
          <w:rFonts w:hint="eastAsia" w:cs="仿宋_GB2312"/>
          <w:kern w:val="1"/>
          <w:sz w:val="32"/>
          <w:szCs w:val="32"/>
          <w:lang w:val="en-US" w:eastAsia="zh-CN"/>
        </w:rPr>
        <w:t>14号)文件要求，新开工的住宅修缮项目，应采用不燃材料搭设脚手架。鉴于以上情况及项目实际，需调增“生态美丽家园”项目相关费用1353.66万元，按照规定，区房管局向区政府提交了项目调增资金的请示，并获批。其余在项目施工过程中的内容变更，其调整资金体量均小于中标价的5%，采用报备制，符合相关规定。</w:t>
      </w:r>
      <w:r>
        <w:rPr>
          <w:rFonts w:hint="eastAsia" w:ascii="仿宋_GB2312" w:hAnsi="仿宋_GB2312" w:cs="仿宋_GB2312"/>
          <w:kern w:val="1"/>
          <w:sz w:val="32"/>
          <w:szCs w:val="32"/>
          <w:lang w:val="en-US" w:eastAsia="zh-CN"/>
        </w:rPr>
        <w:t>故本项得</w:t>
      </w:r>
      <w:r>
        <w:rPr>
          <w:rFonts w:hint="eastAsia" w:cs="仿宋_GB2312"/>
          <w:kern w:val="1"/>
          <w:sz w:val="32"/>
          <w:szCs w:val="32"/>
          <w:lang w:val="en-US" w:eastAsia="zh-CN"/>
        </w:rPr>
        <w:t>1</w:t>
      </w:r>
      <w:r>
        <w:rPr>
          <w:rFonts w:hint="eastAsia" w:ascii="仿宋_GB2312" w:hAnsi="仿宋_GB2312" w:cs="仿宋_GB2312"/>
          <w:kern w:val="1"/>
          <w:sz w:val="32"/>
          <w:szCs w:val="32"/>
          <w:lang w:val="en-US" w:eastAsia="zh-CN"/>
        </w:rPr>
        <w:t>分</w:t>
      </w:r>
      <w:r>
        <w:rPr>
          <w:rFonts w:hint="eastAsia" w:ascii="仿宋_GB2312" w:hAnsi="仿宋_GB2312" w:eastAsia="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5</w:t>
      </w:r>
      <w:r>
        <w:rPr>
          <w:rFonts w:hint="eastAsia" w:ascii="仿宋_GB2312" w:hAnsi="仿宋_GB2312" w:eastAsia="仿宋_GB2312" w:cs="仿宋_GB2312"/>
          <w:kern w:val="1"/>
          <w:sz w:val="32"/>
          <w:szCs w:val="32"/>
          <w:lang w:val="en-US" w:eastAsia="zh-CN"/>
        </w:rPr>
        <w:t xml:space="preserve"> 项目验收组织规范性 权重</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根据访谈记录和验收报告，2021年9月9日，城西新村等、南门新村等、北门新村、西门南村和西门北村5个项目顺利通过上海市崇明区给排水管理所开展的雨污排水验收并纳管入网；2021年9月17日，南门路小区等项目也顺利通过雨污排水验收并纳管入网；2021年9月1日，西门北村、城西新村等2个项目接受由施工单位、施工监理、设计单位、代建单位、物业单位和城桥镇人民政府（业主单位）6方共同开展的综合验收，确认工程建设符合设计及规范要求，一次验收合格；2021年9月18日，北门新村、南门新村等、西门南村3个项目也顺利通过综合验收；2021年9月22日，南门路小区等项目也顺利通过综合验收；</w:t>
      </w:r>
      <w:r>
        <w:rPr>
          <w:rFonts w:hint="eastAsia" w:cs="仿宋_GB2312"/>
          <w:kern w:val="1"/>
          <w:sz w:val="32"/>
          <w:szCs w:val="32"/>
          <w:lang w:val="en-US" w:eastAsia="zh-CN"/>
        </w:rPr>
        <w:t>相关验收均有验收报告；故本项</w:t>
      </w:r>
      <w:r>
        <w:rPr>
          <w:rFonts w:hint="eastAsia" w:ascii="仿宋_GB2312" w:hAnsi="仿宋_GB2312" w:cs="仿宋_GB2312"/>
          <w:kern w:val="1"/>
          <w:sz w:val="32"/>
          <w:szCs w:val="32"/>
          <w:lang w:val="en-US" w:eastAsia="zh-CN"/>
        </w:rPr>
        <w:t>得1分</w:t>
      </w:r>
      <w:r>
        <w:rPr>
          <w:rFonts w:hint="eastAsia" w:ascii="仿宋_GB2312" w:hAnsi="仿宋_GB2312" w:eastAsia="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6</w:t>
      </w:r>
      <w:r>
        <w:rPr>
          <w:rFonts w:hint="eastAsia" w:ascii="仿宋_GB2312" w:hAnsi="仿宋_GB2312" w:eastAsia="仿宋_GB2312" w:cs="仿宋_GB2312"/>
          <w:kern w:val="1"/>
          <w:sz w:val="32"/>
          <w:szCs w:val="32"/>
          <w:lang w:val="en-US" w:eastAsia="zh-CN"/>
        </w:rPr>
        <w:t xml:space="preserve"> 档案管理制度执行有效性 权重</w:t>
      </w:r>
      <w:r>
        <w:rPr>
          <w:rFonts w:hint="eastAsia" w:ascii="仿宋_GB2312" w:hAnsi="仿宋_GB2312"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项目设计方案、可行性研究报告、政府采购相关文件、委托合同文件、监理日志和报告、施工日志和阶段性报告、项目变更记录、项目单位监督考核记录、相关会议纪要等档案</w:t>
      </w:r>
      <w:r>
        <w:rPr>
          <w:rFonts w:hint="eastAsia" w:ascii="仿宋_GB2312" w:hAnsi="仿宋_GB2312" w:cs="仿宋_GB2312"/>
          <w:kern w:val="1"/>
          <w:sz w:val="32"/>
          <w:szCs w:val="32"/>
          <w:lang w:val="en-US" w:eastAsia="zh-CN"/>
        </w:rPr>
        <w:t>均</w:t>
      </w:r>
      <w:r>
        <w:rPr>
          <w:rFonts w:hint="eastAsia" w:ascii="仿宋_GB2312" w:hAnsi="仿宋_GB2312" w:eastAsia="仿宋_GB2312" w:cs="仿宋_GB2312"/>
          <w:kern w:val="1"/>
          <w:sz w:val="32"/>
          <w:szCs w:val="32"/>
          <w:lang w:val="en-US" w:eastAsia="zh-CN"/>
        </w:rPr>
        <w:t>保存完整，得</w:t>
      </w:r>
      <w:r>
        <w:rPr>
          <w:rFonts w:hint="eastAsia" w:ascii="仿宋_GB2312" w:hAnsi="仿宋_GB2312"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B22</w:t>
      </w:r>
      <w:r>
        <w:rPr>
          <w:rFonts w:hint="eastAsia" w:ascii="仿宋_GB2312" w:hAnsi="仿宋_GB2312" w:cs="仿宋_GB2312"/>
          <w:kern w:val="1"/>
          <w:sz w:val="32"/>
          <w:szCs w:val="32"/>
          <w:lang w:val="en-US" w:eastAsia="zh-CN"/>
        </w:rPr>
        <w:t>7</w:t>
      </w:r>
      <w:r>
        <w:rPr>
          <w:rFonts w:hint="eastAsia" w:ascii="仿宋_GB2312" w:hAnsi="仿宋_GB2312" w:eastAsia="仿宋_GB2312" w:cs="仿宋_GB2312"/>
          <w:kern w:val="1"/>
          <w:sz w:val="32"/>
          <w:szCs w:val="32"/>
          <w:lang w:val="en-US" w:eastAsia="zh-CN"/>
        </w:rPr>
        <w:t xml:space="preserve"> 项目合同管理制度执行有效性 权重</w:t>
      </w:r>
      <w:r>
        <w:rPr>
          <w:rFonts w:hint="eastAsia" w:ascii="仿宋_GB2312" w:hAnsi="仿宋_GB2312"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0</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经评价组梳理</w:t>
      </w:r>
      <w:r>
        <w:rPr>
          <w:rFonts w:hint="eastAsia" w:cs="仿宋_GB2312"/>
          <w:kern w:val="1"/>
          <w:sz w:val="32"/>
          <w:szCs w:val="32"/>
          <w:lang w:val="en-US" w:eastAsia="zh-CN"/>
        </w:rPr>
        <w:t>合同</w:t>
      </w:r>
      <w:r>
        <w:rPr>
          <w:rFonts w:hint="eastAsia" w:ascii="仿宋_GB2312" w:hAnsi="仿宋_GB2312" w:eastAsia="仿宋_GB2312" w:cs="仿宋_GB2312"/>
          <w:kern w:val="1"/>
          <w:sz w:val="32"/>
          <w:szCs w:val="32"/>
          <w:lang w:val="en-US" w:eastAsia="zh-CN"/>
        </w:rPr>
        <w:t>发现，各项合同签订及执行过程中主要存在以下的问题：</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①</w:t>
      </w:r>
      <w:r>
        <w:rPr>
          <w:rFonts w:hint="eastAsia" w:ascii="仿宋_GB2312" w:hAnsi="仿宋_GB2312" w:eastAsia="仿宋_GB2312" w:cs="仿宋_GB2312"/>
          <w:kern w:val="1"/>
          <w:sz w:val="32"/>
          <w:szCs w:val="32"/>
          <w:lang w:val="en-US" w:eastAsia="zh-CN"/>
        </w:rPr>
        <w:t>部分合同要素有缺失，如方案设计合同、物探合同缺少交付期限条款；物探、管道CCTV检测合同，缺少合同签订日期。</w:t>
      </w:r>
      <w:r>
        <w:rPr>
          <w:rFonts w:hint="eastAsia" w:cs="仿宋_GB2312"/>
          <w:kern w:val="1"/>
          <w:sz w:val="32"/>
          <w:szCs w:val="32"/>
          <w:lang w:val="en-US" w:eastAsia="zh-CN"/>
        </w:rPr>
        <w:t>②</w:t>
      </w:r>
      <w:r>
        <w:rPr>
          <w:rFonts w:hint="eastAsia" w:ascii="仿宋_GB2312" w:hAnsi="仿宋_GB2312" w:eastAsia="仿宋_GB2312" w:cs="仿宋_GB2312"/>
          <w:kern w:val="1"/>
          <w:sz w:val="32"/>
          <w:szCs w:val="32"/>
          <w:lang w:val="en-US" w:eastAsia="zh-CN"/>
        </w:rPr>
        <w:t>支付履约不及时：如管道CCTV检测合同和设计、监理招标代理合同，服务和报告均已完成，但6个项目的合同价款均未支付</w:t>
      </w:r>
      <w:r>
        <w:rPr>
          <w:rFonts w:hint="eastAsia" w:cs="仿宋_GB2312"/>
          <w:kern w:val="1"/>
          <w:sz w:val="32"/>
          <w:szCs w:val="32"/>
          <w:lang w:val="en-US" w:eastAsia="zh-CN"/>
        </w:rPr>
        <w:t>（计划将在项目完成审价和审计工作后支付）</w:t>
      </w:r>
      <w:r>
        <w:rPr>
          <w:rFonts w:hint="eastAsia" w:ascii="仿宋_GB2312" w:hAnsi="仿宋_GB2312" w:eastAsia="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故本项</w:t>
      </w:r>
      <w:r>
        <w:rPr>
          <w:rFonts w:hint="eastAsia" w:cs="仿宋_GB2312"/>
          <w:kern w:val="1"/>
          <w:sz w:val="32"/>
          <w:szCs w:val="32"/>
          <w:lang w:val="en-US" w:eastAsia="zh-CN"/>
        </w:rPr>
        <w:t>指标</w:t>
      </w:r>
      <w:r>
        <w:rPr>
          <w:rFonts w:hint="eastAsia" w:ascii="仿宋_GB2312" w:hAnsi="仿宋_GB2312" w:cs="仿宋_GB2312"/>
          <w:kern w:val="1"/>
          <w:sz w:val="32"/>
          <w:szCs w:val="32"/>
          <w:lang w:val="en-US" w:eastAsia="zh-CN"/>
        </w:rPr>
        <w:t>不得分。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cs="仿宋_GB2312"/>
          <w:kern w:val="1"/>
          <w:sz w:val="32"/>
          <w:szCs w:val="32"/>
          <w:lang w:val="en-US" w:eastAsia="zh-CN"/>
        </w:rPr>
        <w:t>B228 固定资产管理规范性 权重1分，得分1分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w:t>
      </w:r>
      <w:r>
        <w:rPr>
          <w:rFonts w:hint="eastAsia"/>
          <w:sz w:val="32"/>
          <w:szCs w:val="32"/>
          <w:lang w:val="en-US" w:eastAsia="zh-CN"/>
        </w:rPr>
        <w:t>《</w:t>
      </w:r>
      <w:r>
        <w:rPr>
          <w:rFonts w:hint="eastAsia"/>
          <w:sz w:val="32"/>
          <w:szCs w:val="32"/>
          <w:lang w:eastAsia="zh-CN"/>
        </w:rPr>
        <w:t>上海市崇明区政府投资项目管理办法</w:t>
      </w:r>
      <w:r>
        <w:rPr>
          <w:rFonts w:hint="eastAsia"/>
          <w:sz w:val="32"/>
          <w:szCs w:val="32"/>
          <w:lang w:val="en-US" w:eastAsia="zh-CN"/>
        </w:rPr>
        <w:t>》的要求，政府投资项目形成的国有资产管理由业主单位会同相关部门按规定进行资产登记、交付使用、运行和处置的监督管理工作。根据往年项目实施经验（第一批项目已完成资产移交接管），本项目形成的固定资产将自保修期满2年后（2023年9月），由城桥镇人民政府与相关小区物业签订资产移交接管协议书，符合上述办法要求。</w:t>
      </w:r>
      <w:r>
        <w:rPr>
          <w:rFonts w:hint="eastAsia" w:cs="仿宋_GB2312"/>
          <w:kern w:val="1"/>
          <w:sz w:val="32"/>
          <w:szCs w:val="32"/>
          <w:lang w:val="en-US" w:eastAsia="zh-CN"/>
        </w:rPr>
        <w:t>故本项</w:t>
      </w:r>
      <w:r>
        <w:rPr>
          <w:rFonts w:hint="eastAsia" w:ascii="仿宋_GB2312" w:hAnsi="仿宋_GB2312" w:cs="仿宋_GB2312"/>
          <w:kern w:val="1"/>
          <w:sz w:val="32"/>
          <w:szCs w:val="32"/>
          <w:lang w:val="en-US" w:eastAsia="zh-CN"/>
        </w:rPr>
        <w:t>得1分</w:t>
      </w:r>
      <w:r>
        <w:rPr>
          <w:rFonts w:hint="eastAsia" w:ascii="仿宋_GB2312" w:hAnsi="仿宋_GB2312" w:eastAsia="仿宋_GB2312" w:cs="仿宋_GB2312"/>
          <w:kern w:val="1"/>
          <w:sz w:val="32"/>
          <w:szCs w:val="32"/>
          <w:lang w:val="en-US" w:eastAsia="zh-CN"/>
        </w:rPr>
        <w:t>。</w:t>
      </w:r>
    </w:p>
    <w:p>
      <w:pPr>
        <w:rPr>
          <w:rFonts w:hint="eastAsia" w:ascii="仿宋_GB2312" w:hAnsi="仿宋_GB2312" w:eastAsia="仿宋_GB2312" w:cs="仿宋_GB2312"/>
          <w:b/>
          <w:bCs/>
          <w:kern w:val="1"/>
          <w:sz w:val="32"/>
          <w:szCs w:val="32"/>
          <w:lang w:val="en-US" w:eastAsia="zh-CN"/>
        </w:rPr>
      </w:pPr>
      <w:bookmarkStart w:id="67" w:name="_Toc908"/>
      <w:r>
        <w:rPr>
          <w:rFonts w:hint="eastAsia" w:ascii="仿宋_GB2312" w:hAnsi="仿宋_GB2312" w:eastAsia="仿宋_GB2312" w:cs="仿宋_GB2312"/>
          <w:b/>
          <w:bCs/>
          <w:kern w:val="1"/>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500" w:lineRule="exact"/>
        <w:ind w:firstLine="643"/>
        <w:contextualSpacing w:val="0"/>
        <w:textAlignment w:val="auto"/>
        <w:outlineLvl w:val="2"/>
        <w:rPr>
          <w:rFonts w:hint="eastAsia" w:ascii="Calibri" w:hAnsi="Arial" w:eastAsia="仿宋_GB2312" w:cs="Times New Roman"/>
          <w:b/>
          <w:bCs/>
          <w:kern w:val="1"/>
          <w:sz w:val="32"/>
          <w:szCs w:val="32"/>
          <w:lang w:val="en-US" w:eastAsia="zh-CN"/>
        </w:rPr>
      </w:pPr>
      <w:bookmarkStart w:id="68" w:name="_Toc5575"/>
      <w:r>
        <w:rPr>
          <w:rFonts w:hint="eastAsia" w:ascii="仿宋_GB2312" w:hAnsi="仿宋_GB2312" w:eastAsia="仿宋_GB2312" w:cs="仿宋_GB2312"/>
          <w:b/>
          <w:bCs/>
          <w:kern w:val="1"/>
          <w:sz w:val="32"/>
          <w:szCs w:val="32"/>
          <w:lang w:val="en-US" w:eastAsia="zh-CN"/>
        </w:rPr>
        <w:t>3</w:t>
      </w:r>
      <w:r>
        <w:rPr>
          <w:rFonts w:hint="eastAsia" w:ascii="仿宋_GB2312" w:hAnsi="仿宋_GB2312" w:eastAsia="仿宋_GB2312" w:cs="仿宋_GB2312"/>
          <w:b/>
          <w:bCs/>
          <w:kern w:val="1"/>
          <w:sz w:val="32"/>
          <w:szCs w:val="32"/>
        </w:rPr>
        <w:t>.项目</w:t>
      </w:r>
      <w:r>
        <w:rPr>
          <w:rFonts w:hint="eastAsia" w:ascii="仿宋_GB2312" w:hAnsi="仿宋_GB2312" w:eastAsia="仿宋_GB2312" w:cs="仿宋_GB2312"/>
          <w:b/>
          <w:bCs/>
          <w:kern w:val="1"/>
          <w:sz w:val="32"/>
          <w:szCs w:val="32"/>
          <w:lang w:val="en-US" w:eastAsia="zh-CN"/>
        </w:rPr>
        <w:t>产出</w:t>
      </w:r>
      <w:bookmarkEnd w:id="67"/>
      <w:bookmarkEnd w:id="68"/>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28"/>
          <w:szCs w:val="28"/>
          <w:lang w:val="en-US" w:eastAsia="zh-CN"/>
        </w:rPr>
      </w:pP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1</w:t>
      </w:r>
      <w:r>
        <w:rPr>
          <w:rFonts w:hint="eastAsia" w:ascii="仿宋_GB2312" w:hAnsi="Times New Roman" w:cs="Times New Roman"/>
          <w:b w:val="0"/>
          <w:bCs w:val="0"/>
          <w:kern w:val="1"/>
          <w:sz w:val="32"/>
          <w:szCs w:val="32"/>
          <w:lang w:eastAsia="zh-CN"/>
        </w:rPr>
        <w:t>）</w:t>
      </w:r>
      <w:r>
        <w:rPr>
          <w:rFonts w:hint="eastAsia" w:ascii="仿宋_GB2312" w:hAnsi="Times New Roman" w:cs="Times New Roman"/>
          <w:b w:val="0"/>
          <w:bCs w:val="0"/>
          <w:kern w:val="1"/>
          <w:sz w:val="32"/>
          <w:szCs w:val="32"/>
          <w:lang w:val="en-US" w:eastAsia="zh-CN"/>
        </w:rPr>
        <w:t>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w:t>
      </w:r>
      <w:r>
        <w:rPr>
          <w:rFonts w:hint="eastAsia" w:ascii="仿宋_GB2312" w:hAnsi="Times New Roman" w:cs="Times New Roman"/>
          <w:b/>
          <w:bCs/>
          <w:kern w:val="1"/>
          <w:sz w:val="24"/>
          <w:szCs w:val="24"/>
          <w:lang w:val="en-US" w:eastAsia="zh-CN"/>
        </w:rPr>
        <w:t>3</w:t>
      </w:r>
      <w:r>
        <w:rPr>
          <w:rFonts w:hint="eastAsia" w:ascii="仿宋_GB2312" w:hAnsi="Times New Roman" w:cs="Times New Roman"/>
          <w:b/>
          <w:bCs/>
          <w:kern w:val="1"/>
          <w:sz w:val="24"/>
          <w:szCs w:val="24"/>
        </w:rPr>
        <w:t>项目</w:t>
      </w:r>
      <w:r>
        <w:rPr>
          <w:rFonts w:hint="eastAsia" w:ascii="仿宋_GB2312" w:hAnsi="Times New Roman" w:cs="Times New Roman"/>
          <w:b/>
          <w:bCs/>
          <w:kern w:val="1"/>
          <w:sz w:val="24"/>
          <w:szCs w:val="24"/>
          <w:lang w:val="en-US" w:eastAsia="zh-CN"/>
        </w:rPr>
        <w:t>产出类指标</w:t>
      </w:r>
      <w:r>
        <w:rPr>
          <w:rFonts w:hint="eastAsia" w:ascii="仿宋_GB2312" w:hAnsi="Times New Roman" w:cs="Times New Roman"/>
          <w:b/>
          <w:bCs/>
          <w:kern w:val="1"/>
          <w:sz w:val="24"/>
          <w:szCs w:val="24"/>
        </w:rPr>
        <w:t>得分表</w:t>
      </w:r>
    </w:p>
    <w:tbl>
      <w:tblPr>
        <w:tblStyle w:val="38"/>
        <w:tblW w:w="891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20"/>
        <w:gridCol w:w="751"/>
        <w:gridCol w:w="2137"/>
        <w:gridCol w:w="2242"/>
        <w:gridCol w:w="8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29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137"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lang w:val="en-US" w:eastAsia="zh-CN"/>
              </w:rPr>
            </w:pPr>
            <w:r>
              <w:rPr>
                <w:rFonts w:hint="eastAsia" w:cs="仿宋_GB2312"/>
                <w:b/>
                <w:kern w:val="1"/>
                <w:sz w:val="24"/>
                <w:szCs w:val="24"/>
                <w:lang w:val="en-US" w:eastAsia="zh-CN"/>
              </w:rPr>
              <w:t>目标值</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contextualSpacing w:val="0"/>
              <w:jc w:val="left"/>
              <w:textAlignment w:val="auto"/>
              <w:rPr>
                <w:rFonts w:hint="eastAsia" w:ascii="仿宋_GB2312" w:hAnsi="仿宋_GB2312" w:eastAsia="仿宋_GB2312" w:cs="仿宋_GB2312"/>
                <w:b/>
                <w:bCs/>
                <w:kern w:val="1"/>
                <w:sz w:val="24"/>
                <w:szCs w:val="24"/>
                <w:lang w:val="en-US" w:eastAsia="zh-CN"/>
              </w:rPr>
            </w:pPr>
            <w:r>
              <w:rPr>
                <w:rFonts w:hint="eastAsia" w:ascii="仿宋_GB2312" w:hAnsi="仿宋_GB2312" w:eastAsia="仿宋_GB2312" w:cs="仿宋_GB2312"/>
                <w:b/>
                <w:bCs/>
                <w:kern w:val="1"/>
                <w:sz w:val="24"/>
                <w:szCs w:val="24"/>
                <w:lang w:val="en-US" w:eastAsia="zh-CN"/>
              </w:rPr>
              <w:t>C 项目产出</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30</w:t>
            </w:r>
          </w:p>
        </w:tc>
        <w:tc>
          <w:tcPr>
            <w:tcW w:w="2137"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lang w:val="en-US" w:eastAsia="zh-CN" w:bidi="ar-SA"/>
              </w:rPr>
            </w:pPr>
            <w:r>
              <w:rPr>
                <w:rFonts w:hint="eastAsia" w:ascii="仿宋_GB2312" w:hAnsi="仿宋_GB2312" w:eastAsia="仿宋_GB2312" w:cs="仿宋_GB2312"/>
                <w:b/>
                <w:bCs/>
                <w:color w:val="000000"/>
                <w:kern w:val="1"/>
                <w:sz w:val="24"/>
                <w:szCs w:val="24"/>
              </w:rPr>
              <w:t>——</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23.5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10" w:firstLineChars="100"/>
              <w:contextualSpacing w:val="0"/>
              <w:jc w:val="left"/>
              <w:textAlignment w:val="auto"/>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kern w:val="1"/>
                <w:sz w:val="21"/>
                <w:szCs w:val="21"/>
                <w:lang w:val="en-US" w:eastAsia="zh-CN"/>
              </w:rPr>
              <w:t>C1 产出数量</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rPr>
            </w:pPr>
            <w:r>
              <w:rPr>
                <w:rFonts w:hint="eastAsia" w:ascii="仿宋_GB2312" w:hAnsi="仿宋_GB2312" w:eastAsia="仿宋_GB2312" w:cs="仿宋_GB2312"/>
                <w:color w:val="000000"/>
                <w:kern w:val="1"/>
                <w:sz w:val="21"/>
                <w:szCs w:val="21"/>
                <w:lang w:val="en-US" w:eastAsia="zh-CN"/>
              </w:rPr>
              <w:t>1</w:t>
            </w:r>
            <w:r>
              <w:rPr>
                <w:rFonts w:hint="eastAsia" w:cs="仿宋_GB2312"/>
                <w:color w:val="000000"/>
                <w:kern w:val="1"/>
                <w:sz w:val="21"/>
                <w:szCs w:val="21"/>
                <w:lang w:val="en-US" w:eastAsia="zh-CN"/>
              </w:rPr>
              <w:t>4</w:t>
            </w:r>
          </w:p>
        </w:tc>
        <w:tc>
          <w:tcPr>
            <w:tcW w:w="2137"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ascii="仿宋_GB2312" w:hAnsi="仿宋_GB2312" w:eastAsia="仿宋_GB2312" w:cs="仿宋_GB2312"/>
                <w:color w:val="000000"/>
                <w:kern w:val="1"/>
                <w:sz w:val="21"/>
                <w:szCs w:val="21"/>
              </w:rPr>
              <w:t>——</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rPr>
            </w:pPr>
            <w:r>
              <w:rPr>
                <w:rFonts w:hint="eastAsia" w:ascii="仿宋_GB2312" w:hAnsi="仿宋_GB2312" w:eastAsia="仿宋_GB2312" w:cs="仿宋_GB2312"/>
                <w:color w:val="000000"/>
                <w:kern w:val="1"/>
                <w:sz w:val="21"/>
                <w:szCs w:val="21"/>
              </w:rPr>
              <w:t>——</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rPr>
            </w:pPr>
            <w:r>
              <w:rPr>
                <w:rFonts w:hint="eastAsia" w:ascii="仿宋_GB2312" w:hAnsi="仿宋_GB2312" w:eastAsia="仿宋_GB2312" w:cs="仿宋_GB2312"/>
                <w:color w:val="000000"/>
                <w:kern w:val="1"/>
                <w:sz w:val="21"/>
                <w:szCs w:val="21"/>
                <w:lang w:val="en-US" w:eastAsia="zh-CN"/>
              </w:rPr>
              <w:t>1</w:t>
            </w:r>
            <w:r>
              <w:rPr>
                <w:rFonts w:hint="eastAsia" w:cs="仿宋_GB2312"/>
                <w:color w:val="000000"/>
                <w:kern w:val="1"/>
                <w:sz w:val="21"/>
                <w:szCs w:val="21"/>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lang w:val="en-US" w:eastAsia="zh-CN"/>
              </w:rPr>
            </w:pPr>
            <w:r>
              <w:rPr>
                <w:rFonts w:hint="eastAsia" w:hAnsi="黑体" w:cs="Times New Roman"/>
                <w:sz w:val="21"/>
                <w:szCs w:val="21"/>
                <w:lang w:val="en-US" w:eastAsia="zh-CN"/>
              </w:rPr>
              <w:t xml:space="preserve">C11 </w:t>
            </w:r>
            <w:r>
              <w:rPr>
                <w:rFonts w:hint="eastAsia" w:ascii="仿宋_GB2312" w:hAnsi="黑体" w:eastAsia="仿宋_GB2312" w:cs="Times New Roman"/>
                <w:kern w:val="2"/>
                <w:sz w:val="21"/>
                <w:szCs w:val="21"/>
                <w:lang w:val="en-US" w:eastAsia="zh-CN" w:bidi="ar-SA"/>
              </w:rPr>
              <w:t>道路维修</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79329平方米</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color w:val="000000"/>
                <w:kern w:val="1"/>
                <w:sz w:val="21"/>
                <w:szCs w:val="21"/>
                <w:highlight w:val="none"/>
                <w:lang w:val="en-US" w:eastAsia="zh-CN"/>
              </w:rPr>
              <w:t>完成</w:t>
            </w:r>
            <w:r>
              <w:rPr>
                <w:rFonts w:hint="eastAsia" w:cs="仿宋_GB2312"/>
                <w:color w:val="000000"/>
                <w:kern w:val="1"/>
                <w:sz w:val="21"/>
                <w:szCs w:val="21"/>
                <w:highlight w:val="none"/>
                <w:lang w:val="en-US" w:eastAsia="zh-CN"/>
              </w:rPr>
              <w:t>101523</w:t>
            </w:r>
            <w:r>
              <w:rPr>
                <w:rFonts w:hint="eastAsia" w:ascii="仿宋_GB2312" w:hAnsi="仿宋_GB2312" w:eastAsia="仿宋_GB2312" w:cs="仿宋_GB2312"/>
                <w:color w:val="000000"/>
                <w:kern w:val="1"/>
                <w:sz w:val="21"/>
                <w:szCs w:val="21"/>
                <w:highlight w:val="none"/>
                <w:lang w:val="en-US" w:eastAsia="zh-CN"/>
              </w:rPr>
              <w:t>平方米</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lang w:val="en-US" w:eastAsia="zh-CN"/>
              </w:rPr>
            </w:pPr>
            <w:r>
              <w:rPr>
                <w:rFonts w:hint="eastAsia" w:hAnsi="黑体" w:cs="Times New Roman"/>
                <w:sz w:val="21"/>
                <w:szCs w:val="21"/>
                <w:lang w:val="en-US" w:eastAsia="zh-CN"/>
              </w:rPr>
              <w:t xml:space="preserve">C12 </w:t>
            </w:r>
            <w:r>
              <w:rPr>
                <w:rFonts w:hint="eastAsia" w:ascii="仿宋_GB2312" w:hAnsi="黑体" w:eastAsia="仿宋_GB2312" w:cs="Times New Roman"/>
                <w:kern w:val="2"/>
                <w:sz w:val="21"/>
                <w:szCs w:val="21"/>
                <w:lang w:val="en-US" w:eastAsia="zh-CN" w:bidi="ar-SA"/>
              </w:rPr>
              <w:t>屋面维修</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59318平方米</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kern w:val="1"/>
                <w:sz w:val="21"/>
                <w:szCs w:val="21"/>
                <w:highlight w:val="none"/>
                <w:lang w:val="en-US" w:eastAsia="zh-CN"/>
              </w:rPr>
              <w:t>完成</w:t>
            </w:r>
            <w:r>
              <w:rPr>
                <w:rFonts w:hint="eastAsia" w:cs="仿宋_GB2312"/>
                <w:kern w:val="1"/>
                <w:sz w:val="21"/>
                <w:szCs w:val="21"/>
                <w:highlight w:val="none"/>
                <w:lang w:val="en-US" w:eastAsia="zh-CN"/>
              </w:rPr>
              <w:t>88822</w:t>
            </w:r>
            <w:r>
              <w:rPr>
                <w:rFonts w:hint="eastAsia" w:ascii="仿宋_GB2312" w:hAnsi="仿宋_GB2312" w:eastAsia="仿宋_GB2312" w:cs="仿宋_GB2312"/>
                <w:color w:val="000000"/>
                <w:kern w:val="1"/>
                <w:sz w:val="21"/>
                <w:szCs w:val="21"/>
                <w:highlight w:val="none"/>
                <w:lang w:val="en-US" w:eastAsia="zh-CN"/>
              </w:rPr>
              <w:t>平方米</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lang w:val="en-US" w:eastAsia="zh-CN"/>
              </w:rPr>
            </w:pPr>
            <w:r>
              <w:rPr>
                <w:rFonts w:hint="eastAsia" w:hAnsi="黑体" w:cs="Times New Roman"/>
                <w:sz w:val="21"/>
                <w:szCs w:val="21"/>
                <w:lang w:val="en-US" w:eastAsia="zh-CN"/>
              </w:rPr>
              <w:t xml:space="preserve">C13 </w:t>
            </w:r>
            <w:r>
              <w:rPr>
                <w:rFonts w:hint="eastAsia" w:ascii="仿宋_GB2312" w:hAnsi="黑体" w:eastAsia="仿宋_GB2312" w:cs="Times New Roman"/>
                <w:kern w:val="2"/>
                <w:sz w:val="21"/>
                <w:szCs w:val="21"/>
                <w:lang w:val="en-US" w:eastAsia="zh-CN" w:bidi="ar-SA"/>
              </w:rPr>
              <w:t>外立面维修</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317162平方米</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kern w:val="1"/>
                <w:sz w:val="21"/>
                <w:szCs w:val="21"/>
                <w:highlight w:val="none"/>
                <w:lang w:val="en-US" w:eastAsia="zh-CN"/>
              </w:rPr>
              <w:t>完成</w:t>
            </w:r>
            <w:r>
              <w:rPr>
                <w:rFonts w:hint="eastAsia" w:cs="仿宋_GB2312"/>
                <w:kern w:val="1"/>
                <w:sz w:val="21"/>
                <w:szCs w:val="21"/>
                <w:highlight w:val="none"/>
                <w:lang w:val="en-US" w:eastAsia="zh-CN"/>
              </w:rPr>
              <w:t>214436</w:t>
            </w:r>
            <w:r>
              <w:rPr>
                <w:rFonts w:hint="eastAsia" w:ascii="仿宋_GB2312" w:hAnsi="仿宋_GB2312" w:eastAsia="仿宋_GB2312" w:cs="仿宋_GB2312"/>
                <w:color w:val="000000"/>
                <w:kern w:val="1"/>
                <w:sz w:val="21"/>
                <w:szCs w:val="21"/>
                <w:highlight w:val="none"/>
                <w:lang w:val="en-US" w:eastAsia="zh-CN"/>
              </w:rPr>
              <w:t>平方米</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rPr>
            </w:pPr>
            <w:r>
              <w:rPr>
                <w:rFonts w:hint="eastAsia" w:hAnsi="黑体" w:cs="Times New Roman"/>
                <w:sz w:val="21"/>
                <w:szCs w:val="21"/>
                <w:lang w:val="en-US" w:eastAsia="zh-CN"/>
              </w:rPr>
              <w:t xml:space="preserve">C14 </w:t>
            </w:r>
            <w:r>
              <w:rPr>
                <w:rFonts w:hint="eastAsia" w:ascii="仿宋_GB2312" w:hAnsi="黑体" w:eastAsia="仿宋_GB2312" w:cs="Times New Roman"/>
                <w:kern w:val="2"/>
                <w:sz w:val="21"/>
                <w:szCs w:val="21"/>
                <w:lang w:val="en-US" w:eastAsia="zh-CN" w:bidi="ar-SA"/>
              </w:rPr>
              <w:t>绿化提升</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54163平方米</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kern w:val="1"/>
                <w:sz w:val="21"/>
                <w:szCs w:val="21"/>
                <w:highlight w:val="none"/>
                <w:lang w:val="en-US" w:eastAsia="zh-CN"/>
              </w:rPr>
              <w:t>完成</w:t>
            </w:r>
            <w:r>
              <w:rPr>
                <w:rFonts w:hint="eastAsia" w:cs="仿宋_GB2312"/>
                <w:kern w:val="1"/>
                <w:sz w:val="21"/>
                <w:szCs w:val="21"/>
                <w:highlight w:val="none"/>
                <w:lang w:val="en-US" w:eastAsia="zh-CN"/>
              </w:rPr>
              <w:t>16319</w:t>
            </w:r>
            <w:r>
              <w:rPr>
                <w:rFonts w:hint="eastAsia" w:ascii="仿宋_GB2312" w:hAnsi="仿宋_GB2312" w:eastAsia="仿宋_GB2312" w:cs="仿宋_GB2312"/>
                <w:color w:val="000000"/>
                <w:kern w:val="1"/>
                <w:sz w:val="21"/>
                <w:szCs w:val="21"/>
                <w:highlight w:val="none"/>
                <w:lang w:val="en-US" w:eastAsia="zh-CN"/>
              </w:rPr>
              <w:t>平方米</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ascii="仿宋_GB2312" w:hAnsi="仿宋_GB2312"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rPr>
            </w:pPr>
            <w:r>
              <w:rPr>
                <w:rFonts w:hint="eastAsia" w:hAnsi="黑体" w:cs="Times New Roman"/>
                <w:sz w:val="21"/>
                <w:szCs w:val="21"/>
                <w:lang w:val="en-US" w:eastAsia="zh-CN"/>
              </w:rPr>
              <w:t xml:space="preserve">C15 </w:t>
            </w:r>
            <w:r>
              <w:rPr>
                <w:rFonts w:hint="eastAsia" w:ascii="仿宋_GB2312" w:hAnsi="黑体" w:eastAsia="仿宋_GB2312" w:cs="Times New Roman"/>
                <w:kern w:val="2"/>
                <w:sz w:val="21"/>
                <w:szCs w:val="21"/>
                <w:lang w:val="en-US" w:eastAsia="zh-CN" w:bidi="ar-SA"/>
              </w:rPr>
              <w:t>管线入地</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266667平方米</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kern w:val="1"/>
                <w:sz w:val="21"/>
                <w:szCs w:val="21"/>
                <w:highlight w:val="none"/>
                <w:lang w:val="en-US" w:eastAsia="zh-CN"/>
              </w:rPr>
              <w:t>完成266667</w:t>
            </w:r>
            <w:r>
              <w:rPr>
                <w:rFonts w:hint="eastAsia" w:ascii="仿宋_GB2312" w:hAnsi="仿宋_GB2312" w:eastAsia="仿宋_GB2312" w:cs="仿宋_GB2312"/>
                <w:color w:val="000000"/>
                <w:kern w:val="1"/>
                <w:sz w:val="21"/>
                <w:szCs w:val="21"/>
                <w:highlight w:val="none"/>
                <w:lang w:val="en-US" w:eastAsia="zh-CN"/>
              </w:rPr>
              <w:t>平方米</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rPr>
            </w:pPr>
            <w:r>
              <w:rPr>
                <w:rFonts w:hint="eastAsia" w:hAnsi="黑体" w:cs="Times New Roman"/>
                <w:sz w:val="21"/>
                <w:szCs w:val="21"/>
                <w:lang w:val="en-US" w:eastAsia="zh-CN"/>
              </w:rPr>
              <w:t xml:space="preserve">C16 </w:t>
            </w:r>
            <w:r>
              <w:rPr>
                <w:rFonts w:hint="eastAsia" w:ascii="仿宋_GB2312" w:hAnsi="黑体" w:eastAsia="仿宋_GB2312" w:cs="Times New Roman"/>
                <w:kern w:val="2"/>
                <w:sz w:val="21"/>
                <w:szCs w:val="21"/>
                <w:lang w:val="en-US" w:eastAsia="zh-CN" w:bidi="ar-SA"/>
              </w:rPr>
              <w:t>敷设雨污管道</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47986米</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kern w:val="1"/>
                <w:sz w:val="21"/>
                <w:szCs w:val="21"/>
                <w:highlight w:val="none"/>
                <w:lang w:val="en-US" w:eastAsia="zh-CN"/>
              </w:rPr>
              <w:t>完成</w:t>
            </w:r>
            <w:r>
              <w:rPr>
                <w:rFonts w:hint="eastAsia" w:cs="仿宋_GB2312"/>
                <w:kern w:val="1"/>
                <w:sz w:val="21"/>
                <w:szCs w:val="21"/>
                <w:highlight w:val="none"/>
                <w:lang w:val="en-US" w:eastAsia="zh-CN"/>
              </w:rPr>
              <w:t>52524</w:t>
            </w:r>
            <w:r>
              <w:rPr>
                <w:rFonts w:hint="eastAsia" w:ascii="仿宋_GB2312" w:hAnsi="仿宋_GB2312" w:eastAsia="仿宋_GB2312" w:cs="仿宋_GB2312"/>
                <w:color w:val="000000"/>
                <w:kern w:val="1"/>
                <w:sz w:val="21"/>
                <w:szCs w:val="21"/>
                <w:highlight w:val="none"/>
                <w:lang w:val="en-US" w:eastAsia="zh-CN"/>
              </w:rPr>
              <w:t>米</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rPr>
            </w:pPr>
            <w:r>
              <w:rPr>
                <w:rFonts w:hint="eastAsia" w:hAnsi="黑体" w:cs="Times New Roman"/>
                <w:sz w:val="21"/>
                <w:szCs w:val="21"/>
                <w:lang w:val="en-US" w:eastAsia="zh-CN"/>
              </w:rPr>
              <w:t xml:space="preserve">C17 </w:t>
            </w:r>
            <w:r>
              <w:rPr>
                <w:rFonts w:hint="eastAsia" w:ascii="仿宋_GB2312" w:hAnsi="黑体" w:eastAsia="仿宋_GB2312" w:cs="Times New Roman"/>
                <w:kern w:val="2"/>
                <w:sz w:val="21"/>
                <w:szCs w:val="21"/>
                <w:lang w:val="en-US" w:eastAsia="zh-CN" w:bidi="ar-SA"/>
              </w:rPr>
              <w:t>完成其他设施更新工作</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10项</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1"/>
                <w:szCs w:val="21"/>
                <w:highlight w:val="none"/>
                <w:lang w:val="en-US" w:eastAsia="zh-CN"/>
              </w:rPr>
            </w:pPr>
            <w:r>
              <w:rPr>
                <w:rFonts w:hint="eastAsia" w:ascii="仿宋_GB2312" w:hAnsi="仿宋_GB2312" w:cs="仿宋_GB2312"/>
                <w:kern w:val="1"/>
                <w:sz w:val="21"/>
                <w:szCs w:val="21"/>
                <w:highlight w:val="none"/>
                <w:lang w:val="en-US" w:eastAsia="zh-CN"/>
              </w:rPr>
              <w:t>完成</w:t>
            </w:r>
            <w:r>
              <w:rPr>
                <w:rFonts w:hint="eastAsia" w:cs="仿宋_GB2312"/>
                <w:kern w:val="1"/>
                <w:sz w:val="21"/>
                <w:szCs w:val="21"/>
                <w:highlight w:val="none"/>
                <w:lang w:val="en-US" w:eastAsia="zh-CN"/>
              </w:rPr>
              <w:t>10</w:t>
            </w:r>
            <w:r>
              <w:rPr>
                <w:rFonts w:hint="eastAsia" w:ascii="仿宋_GB2312" w:hAnsi="仿宋_GB2312" w:eastAsia="仿宋_GB2312" w:cs="仿宋_GB2312"/>
                <w:kern w:val="1"/>
                <w:sz w:val="21"/>
                <w:szCs w:val="21"/>
                <w:highlight w:val="none"/>
                <w:lang w:val="en-US" w:eastAsia="zh-CN"/>
              </w:rPr>
              <w:t>项</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bidi="ar-SA"/>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10" w:firstLineChars="100"/>
              <w:contextualSpacing w:val="0"/>
              <w:jc w:val="left"/>
              <w:textAlignment w:val="auto"/>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kern w:val="1"/>
                <w:sz w:val="21"/>
                <w:szCs w:val="21"/>
                <w:lang w:val="en-US" w:eastAsia="zh-CN"/>
              </w:rPr>
              <w:t>C2 产出质量</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6</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ascii="仿宋_GB2312" w:hAnsi="仿宋_GB2312" w:eastAsia="仿宋_GB2312" w:cs="仿宋_GB2312"/>
                <w:color w:val="000000"/>
                <w:kern w:val="1"/>
                <w:sz w:val="21"/>
                <w:szCs w:val="21"/>
              </w:rPr>
              <w:t>——</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rPr>
            </w:pPr>
            <w:r>
              <w:rPr>
                <w:rFonts w:hint="eastAsia" w:ascii="仿宋_GB2312" w:hAnsi="仿宋_GB2312" w:eastAsia="仿宋_GB2312" w:cs="仿宋_GB2312"/>
                <w:color w:val="000000"/>
                <w:kern w:val="1"/>
                <w:sz w:val="21"/>
                <w:szCs w:val="21"/>
              </w:rPr>
              <w:t>——</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firstLine="420" w:firstLineChars="200"/>
              <w:contextualSpacing w:val="0"/>
              <w:jc w:val="left"/>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color w:val="000000"/>
                <w:kern w:val="0"/>
                <w:sz w:val="21"/>
                <w:szCs w:val="21"/>
              </w:rPr>
              <w:t>C</w:t>
            </w:r>
            <w:r>
              <w:rPr>
                <w:rFonts w:hint="eastAsia" w:ascii="仿宋_GB2312" w:hAnsi="仿宋_GB2312" w:eastAsia="仿宋_GB2312" w:cs="仿宋_GB2312"/>
                <w:color w:val="000000"/>
                <w:kern w:val="0"/>
                <w:sz w:val="21"/>
                <w:szCs w:val="21"/>
                <w:lang w:val="en-US" w:eastAsia="zh-CN"/>
              </w:rPr>
              <w:t>21</w:t>
            </w:r>
            <w:r>
              <w:rPr>
                <w:rFonts w:hint="eastAsia" w:ascii="仿宋_GB2312" w:hAnsi="仿宋_GB2312" w:eastAsia="仿宋_GB2312" w:cs="仿宋_GB2312"/>
                <w:color w:val="000000"/>
                <w:kern w:val="0"/>
                <w:sz w:val="21"/>
                <w:szCs w:val="21"/>
              </w:rPr>
              <w:t xml:space="preserve"> </w:t>
            </w:r>
            <w:r>
              <w:rPr>
                <w:rFonts w:hint="eastAsia" w:ascii="仿宋_GB2312" w:hAnsi="黑体" w:eastAsia="仿宋_GB2312" w:cs="Times New Roman"/>
                <w:kern w:val="2"/>
                <w:sz w:val="21"/>
                <w:szCs w:val="21"/>
                <w:lang w:val="en-US" w:eastAsia="zh-CN" w:bidi="ar-SA"/>
              </w:rPr>
              <w:t>行业管理部门的专业验收情况</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一次验收合格</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一次验收合格</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firstLine="420" w:firstLineChars="200"/>
              <w:contextualSpacing w:val="0"/>
              <w:jc w:val="left"/>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color w:val="000000"/>
                <w:kern w:val="0"/>
                <w:sz w:val="21"/>
                <w:szCs w:val="21"/>
              </w:rPr>
              <w:t>C</w:t>
            </w:r>
            <w:r>
              <w:rPr>
                <w:rFonts w:hint="eastAsia" w:ascii="仿宋_GB2312" w:hAnsi="仿宋_GB2312" w:eastAsia="仿宋_GB2312" w:cs="仿宋_GB2312"/>
                <w:color w:val="000000"/>
                <w:kern w:val="0"/>
                <w:sz w:val="21"/>
                <w:szCs w:val="21"/>
                <w:lang w:val="en-US" w:eastAsia="zh-CN"/>
              </w:rPr>
              <w:t>22</w:t>
            </w:r>
            <w:r>
              <w:rPr>
                <w:rFonts w:hint="eastAsia" w:ascii="仿宋_GB2312" w:hAnsi="仿宋_GB2312" w:eastAsia="仿宋_GB2312" w:cs="仿宋_GB2312"/>
                <w:color w:val="000000"/>
                <w:kern w:val="0"/>
                <w:sz w:val="21"/>
                <w:szCs w:val="21"/>
              </w:rPr>
              <w:t xml:space="preserve"> </w:t>
            </w:r>
            <w:r>
              <w:rPr>
                <w:rFonts w:hint="eastAsia" w:ascii="仿宋_GB2312" w:hAnsi="黑体" w:eastAsia="仿宋_GB2312" w:cs="Times New Roman"/>
                <w:kern w:val="2"/>
                <w:sz w:val="21"/>
                <w:szCs w:val="21"/>
                <w:lang w:val="en-US" w:eastAsia="zh-CN" w:bidi="ar-SA"/>
              </w:rPr>
              <w:t>项目综合验收情况</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一次验收合格</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一次验收合格</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firstLine="420" w:firstLineChars="200"/>
              <w:contextualSpacing w:val="0"/>
              <w:jc w:val="left"/>
              <w:rPr>
                <w:rFonts w:hint="default" w:ascii="仿宋_GB2312" w:hAnsi="仿宋_GB2312" w:eastAsia="仿宋_GB2312" w:cs="仿宋_GB2312"/>
                <w:color w:val="000000"/>
                <w:kern w:val="0"/>
                <w:sz w:val="21"/>
                <w:szCs w:val="21"/>
                <w:lang w:val="en-US" w:eastAsia="zh-CN"/>
              </w:rPr>
            </w:pPr>
            <w:r>
              <w:rPr>
                <w:rFonts w:hint="eastAsia" w:ascii="仿宋_GB2312" w:hAnsi="仿宋_GB2312" w:cs="仿宋_GB2312"/>
                <w:color w:val="000000"/>
                <w:kern w:val="0"/>
                <w:sz w:val="21"/>
                <w:szCs w:val="21"/>
                <w:lang w:val="en-US" w:eastAsia="zh-CN"/>
              </w:rPr>
              <w:t>C23 质保期内</w:t>
            </w:r>
            <w:r>
              <w:rPr>
                <w:rFonts w:hint="eastAsia" w:cs="仿宋_GB2312"/>
                <w:color w:val="000000"/>
                <w:kern w:val="0"/>
                <w:sz w:val="21"/>
                <w:szCs w:val="21"/>
                <w:lang w:val="en-US" w:eastAsia="zh-CN"/>
              </w:rPr>
              <w:t>的</w:t>
            </w:r>
            <w:r>
              <w:rPr>
                <w:rFonts w:hint="eastAsia" w:ascii="仿宋_GB2312" w:hAnsi="仿宋_GB2312" w:cs="仿宋_GB2312"/>
                <w:color w:val="000000"/>
                <w:kern w:val="0"/>
                <w:sz w:val="21"/>
                <w:szCs w:val="21"/>
                <w:lang w:val="en-US" w:eastAsia="zh-CN"/>
              </w:rPr>
              <w:t>工程建设质量保障情况</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kern w:val="2"/>
                <w:sz w:val="21"/>
                <w:szCs w:val="21"/>
                <w:lang w:val="en-US" w:eastAsia="zh-CN" w:bidi="ar-SA"/>
              </w:rPr>
              <w:t>良好</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部分未达标</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10" w:firstLineChars="100"/>
              <w:contextualSpacing w:val="0"/>
              <w:jc w:val="left"/>
              <w:textAlignment w:val="auto"/>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kern w:val="1"/>
                <w:sz w:val="21"/>
                <w:szCs w:val="21"/>
                <w:lang w:val="en-US" w:eastAsia="zh-CN"/>
              </w:rPr>
              <w:t>C3 产出时效</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6</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ascii="仿宋_GB2312" w:hAnsi="仿宋_GB2312" w:eastAsia="仿宋_GB2312" w:cs="仿宋_GB2312"/>
                <w:color w:val="000000"/>
                <w:kern w:val="1"/>
                <w:sz w:val="21"/>
                <w:szCs w:val="21"/>
              </w:rPr>
              <w:t>——</w:t>
            </w:r>
          </w:p>
        </w:tc>
        <w:tc>
          <w:tcPr>
            <w:tcW w:w="2242"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rPr>
            </w:pPr>
            <w:r>
              <w:rPr>
                <w:rFonts w:hint="eastAsia" w:ascii="仿宋_GB2312" w:hAnsi="仿宋_GB2312" w:eastAsia="仿宋_GB2312" w:cs="仿宋_GB2312"/>
                <w:color w:val="000000"/>
                <w:kern w:val="1"/>
                <w:sz w:val="21"/>
                <w:szCs w:val="21"/>
              </w:rPr>
              <w:t>——</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firstLine="420" w:firstLineChars="200"/>
              <w:contextualSpacing w:val="0"/>
              <w:jc w:val="left"/>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color w:val="000000"/>
                <w:kern w:val="0"/>
                <w:sz w:val="21"/>
                <w:szCs w:val="21"/>
                <w:lang w:val="en-US" w:eastAsia="zh-CN"/>
              </w:rPr>
              <w:t>C31 项目</w:t>
            </w:r>
            <w:r>
              <w:rPr>
                <w:rFonts w:hint="eastAsia" w:cs="仿宋_GB2312"/>
                <w:color w:val="000000"/>
                <w:kern w:val="0"/>
                <w:sz w:val="21"/>
                <w:szCs w:val="21"/>
                <w:lang w:val="en-US" w:eastAsia="zh-CN"/>
              </w:rPr>
              <w:t>前期</w:t>
            </w:r>
            <w:r>
              <w:rPr>
                <w:rFonts w:hint="eastAsia" w:ascii="仿宋_GB2312" w:hAnsi="仿宋_GB2312" w:eastAsia="仿宋_GB2312" w:cs="仿宋_GB2312"/>
                <w:color w:val="000000"/>
                <w:kern w:val="0"/>
                <w:sz w:val="21"/>
                <w:szCs w:val="21"/>
                <w:lang w:val="en-US" w:eastAsia="zh-CN"/>
              </w:rPr>
              <w:t>准备工作及立项</w:t>
            </w:r>
            <w:r>
              <w:rPr>
                <w:rFonts w:hint="eastAsia" w:cs="仿宋_GB2312"/>
                <w:color w:val="000000"/>
                <w:kern w:val="0"/>
                <w:sz w:val="21"/>
                <w:szCs w:val="21"/>
                <w:lang w:val="en-US" w:eastAsia="zh-CN"/>
              </w:rPr>
              <w:t>完成</w:t>
            </w:r>
            <w:r>
              <w:rPr>
                <w:rFonts w:hint="eastAsia" w:ascii="仿宋_GB2312" w:hAnsi="仿宋_GB2312" w:eastAsia="仿宋_GB2312" w:cs="仿宋_GB2312"/>
                <w:color w:val="000000"/>
                <w:kern w:val="0"/>
                <w:sz w:val="21"/>
                <w:szCs w:val="21"/>
                <w:lang w:val="en-US" w:eastAsia="zh-CN"/>
              </w:rPr>
              <w:t>及时性</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2020年4月底前完成</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2020年5月13日完成</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firstLine="420" w:firstLineChars="200"/>
              <w:contextualSpacing w:val="0"/>
              <w:jc w:val="left"/>
              <w:rPr>
                <w:rFonts w:hint="eastAsia" w:ascii="仿宋_GB2312" w:hAnsi="仿宋_GB2312" w:eastAsia="仿宋_GB2312" w:cs="仿宋_GB2312"/>
                <w:kern w:val="1"/>
                <w:sz w:val="21"/>
                <w:szCs w:val="21"/>
                <w:lang w:val="en-US" w:eastAsia="zh-CN"/>
              </w:rPr>
            </w:pPr>
            <w:r>
              <w:rPr>
                <w:rFonts w:hint="eastAsia" w:ascii="仿宋_GB2312" w:hAnsi="仿宋_GB2312" w:eastAsia="仿宋_GB2312" w:cs="仿宋_GB2312"/>
                <w:color w:val="000000"/>
                <w:kern w:val="0"/>
                <w:sz w:val="21"/>
                <w:szCs w:val="21"/>
                <w:lang w:val="en-US" w:eastAsia="zh-CN"/>
              </w:rPr>
              <w:t>C32 项目</w:t>
            </w:r>
            <w:r>
              <w:rPr>
                <w:rFonts w:hint="eastAsia" w:cs="仿宋_GB2312"/>
                <w:color w:val="000000"/>
                <w:kern w:val="0"/>
                <w:sz w:val="21"/>
                <w:szCs w:val="21"/>
                <w:lang w:val="en-US" w:eastAsia="zh-CN"/>
              </w:rPr>
              <w:t>招投标</w:t>
            </w:r>
            <w:r>
              <w:rPr>
                <w:rFonts w:hint="eastAsia" w:ascii="仿宋_GB2312" w:hAnsi="仿宋_GB2312" w:eastAsia="仿宋_GB2312" w:cs="仿宋_GB2312"/>
                <w:color w:val="000000"/>
                <w:kern w:val="0"/>
                <w:sz w:val="21"/>
                <w:szCs w:val="21"/>
                <w:lang w:val="en-US" w:eastAsia="zh-CN"/>
              </w:rPr>
              <w:t>完成及时性</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2020年5月底前完成</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2020年7月28日完成</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firstLine="420" w:firstLineChars="200"/>
              <w:contextualSpacing w:val="0"/>
              <w:jc w:val="left"/>
              <w:rPr>
                <w:rFonts w:hint="eastAsia" w:ascii="仿宋_GB2312" w:hAnsi="仿宋_GB2312" w:eastAsia="仿宋_GB2312" w:cs="仿宋_GB2312"/>
                <w:color w:val="000000"/>
                <w:kern w:val="0"/>
                <w:sz w:val="21"/>
                <w:szCs w:val="21"/>
                <w:lang w:val="en-US" w:eastAsia="zh-CN"/>
              </w:rPr>
            </w:pPr>
            <w:r>
              <w:rPr>
                <w:rFonts w:hint="eastAsia" w:ascii="仿宋_GB2312" w:hAnsi="仿宋_GB2312" w:eastAsia="仿宋_GB2312" w:cs="仿宋_GB2312"/>
                <w:color w:val="000000"/>
                <w:kern w:val="0"/>
                <w:sz w:val="21"/>
                <w:szCs w:val="21"/>
              </w:rPr>
              <w:t>C</w:t>
            </w:r>
            <w:r>
              <w:rPr>
                <w:rFonts w:hint="eastAsia" w:ascii="仿宋_GB2312" w:hAnsi="仿宋_GB2312" w:eastAsia="仿宋_GB2312" w:cs="仿宋_GB2312"/>
                <w:color w:val="000000"/>
                <w:kern w:val="0"/>
                <w:sz w:val="21"/>
                <w:szCs w:val="21"/>
                <w:lang w:val="en-US" w:eastAsia="zh-CN"/>
              </w:rPr>
              <w:t>33</w:t>
            </w:r>
            <w:r>
              <w:rPr>
                <w:rFonts w:hint="eastAsia" w:ascii="仿宋_GB2312" w:hAnsi="仿宋_GB2312" w:eastAsia="仿宋_GB2312" w:cs="仿宋_GB2312"/>
                <w:color w:val="000000"/>
                <w:kern w:val="0"/>
                <w:sz w:val="21"/>
                <w:szCs w:val="21"/>
              </w:rPr>
              <w:t xml:space="preserve"> </w:t>
            </w:r>
            <w:r>
              <w:rPr>
                <w:rFonts w:hint="eastAsia" w:ascii="仿宋_GB2312" w:hAnsi="仿宋_GB2312" w:eastAsia="仿宋_GB2312" w:cs="仿宋_GB2312"/>
                <w:kern w:val="1"/>
                <w:sz w:val="21"/>
                <w:szCs w:val="21"/>
                <w:lang w:val="en-US" w:eastAsia="zh-CN"/>
              </w:rPr>
              <w:t>项目建设完成及时性</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2021年2月底前完成</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rPr>
            </w:pPr>
            <w:r>
              <w:rPr>
                <w:rFonts w:hint="eastAsia" w:hAnsi="黑体" w:cs="Times New Roman"/>
                <w:kern w:val="2"/>
                <w:sz w:val="21"/>
                <w:szCs w:val="21"/>
                <w:lang w:val="en-US" w:eastAsia="zh-CN"/>
              </w:rPr>
              <w:t>2021年9月22日完成</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widowControl/>
              <w:spacing w:line="240" w:lineRule="auto"/>
              <w:ind w:left="0" w:leftChars="0" w:firstLine="210" w:firstLineChars="100"/>
              <w:contextualSpacing w:val="0"/>
              <w:jc w:val="left"/>
              <w:rPr>
                <w:rFonts w:hint="default" w:ascii="仿宋_GB2312" w:hAnsi="仿宋_GB2312" w:eastAsia="仿宋_GB2312" w:cs="仿宋_GB2312"/>
                <w:color w:val="000000"/>
                <w:kern w:val="0"/>
                <w:sz w:val="21"/>
                <w:szCs w:val="21"/>
                <w:lang w:val="en-US" w:eastAsia="zh-CN"/>
              </w:rPr>
            </w:pPr>
            <w:r>
              <w:rPr>
                <w:rFonts w:hint="eastAsia" w:cs="仿宋_GB2312"/>
                <w:color w:val="000000"/>
                <w:kern w:val="0"/>
                <w:sz w:val="21"/>
                <w:szCs w:val="21"/>
                <w:lang w:val="en-US" w:eastAsia="zh-CN"/>
              </w:rPr>
              <w:t>C4 产出成本</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4</w:t>
            </w:r>
          </w:p>
        </w:tc>
        <w:tc>
          <w:tcPr>
            <w:tcW w:w="2137"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cs="仿宋_GB2312"/>
                <w:color w:val="000000"/>
                <w:kern w:val="1"/>
                <w:sz w:val="21"/>
                <w:szCs w:val="21"/>
                <w:lang w:val="en-US" w:eastAsia="zh-CN"/>
              </w:rPr>
            </w:pPr>
            <w:r>
              <w:rPr>
                <w:rFonts w:hint="eastAsia" w:ascii="仿宋_GB2312" w:hAnsi="仿宋_GB2312" w:eastAsia="仿宋_GB2312" w:cs="仿宋_GB2312"/>
                <w:color w:val="000000"/>
                <w:kern w:val="1"/>
                <w:sz w:val="21"/>
                <w:szCs w:val="21"/>
              </w:rPr>
              <w:t>——</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rPr>
            </w:pPr>
            <w:r>
              <w:rPr>
                <w:rFonts w:hint="eastAsia" w:ascii="仿宋_GB2312" w:hAnsi="仿宋_GB2312" w:eastAsia="仿宋_GB2312" w:cs="仿宋_GB2312"/>
                <w:color w:val="000000"/>
                <w:kern w:val="1"/>
                <w:sz w:val="21"/>
                <w:szCs w:val="21"/>
              </w:rPr>
              <w:t>——</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color w:val="000000"/>
                <w:kern w:val="0"/>
                <w:sz w:val="21"/>
                <w:szCs w:val="21"/>
                <w:lang w:val="en-US" w:eastAsia="zh-CN"/>
              </w:rPr>
            </w:pPr>
            <w:r>
              <w:rPr>
                <w:rFonts w:hint="eastAsia" w:hAnsi="黑体" w:cs="Times New Roman"/>
                <w:sz w:val="21"/>
                <w:szCs w:val="21"/>
                <w:lang w:val="en-US" w:eastAsia="zh-CN"/>
              </w:rPr>
              <w:t>C41 项目同类材料造价</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一致且合理</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黑体" w:eastAsia="仿宋_GB2312" w:cs="Times New Roman"/>
                <w:kern w:val="2"/>
                <w:sz w:val="21"/>
                <w:szCs w:val="21"/>
                <w:lang w:val="en-US" w:eastAsia="zh-CN"/>
              </w:rPr>
            </w:pPr>
            <w:r>
              <w:rPr>
                <w:rFonts w:hint="eastAsia" w:hAnsi="黑体" w:cs="Times New Roman"/>
                <w:kern w:val="2"/>
                <w:sz w:val="21"/>
                <w:szCs w:val="21"/>
                <w:lang w:val="en-US" w:eastAsia="zh-CN"/>
              </w:rPr>
              <w:t>部分不合理</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cs="仿宋_GB2312"/>
                <w:color w:val="000000"/>
                <w:kern w:val="1"/>
                <w:sz w:val="21"/>
                <w:szCs w:val="21"/>
                <w:lang w:val="en-US" w:eastAsia="zh-CN"/>
              </w:rPr>
            </w:pPr>
            <w:r>
              <w:rPr>
                <w:rFonts w:hint="eastAsia" w:cs="仿宋_GB2312"/>
                <w:color w:val="000000"/>
                <w:kern w:val="1"/>
                <w:sz w:val="21"/>
                <w:szCs w:val="21"/>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9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20" w:firstLineChars="200"/>
              <w:contextualSpacing w:val="0"/>
              <w:jc w:val="left"/>
              <w:textAlignment w:val="auto"/>
              <w:rPr>
                <w:rFonts w:hint="eastAsia" w:ascii="仿宋_GB2312" w:hAnsi="仿宋_GB2312" w:eastAsia="仿宋_GB2312" w:cs="仿宋_GB2312"/>
                <w:kern w:val="1"/>
                <w:sz w:val="21"/>
                <w:szCs w:val="21"/>
                <w:lang w:val="en-US" w:eastAsia="zh-CN"/>
              </w:rPr>
            </w:pPr>
            <w:r>
              <w:rPr>
                <w:rFonts w:hint="eastAsia" w:hAnsi="黑体" w:cs="Times New Roman"/>
                <w:sz w:val="21"/>
                <w:szCs w:val="21"/>
                <w:lang w:val="en-US" w:eastAsia="zh-CN"/>
              </w:rPr>
              <w:t xml:space="preserve">C42 </w:t>
            </w:r>
            <w:r>
              <w:rPr>
                <w:rFonts w:hint="eastAsia" w:ascii="仿宋_GB2312" w:hAnsi="黑体" w:eastAsia="仿宋_GB2312" w:cs="Times New Roman"/>
                <w:sz w:val="21"/>
                <w:szCs w:val="21"/>
                <w:lang w:val="en-US" w:eastAsia="zh-CN"/>
              </w:rPr>
              <w:t>二类费用取费</w:t>
            </w:r>
          </w:p>
        </w:tc>
        <w:tc>
          <w:tcPr>
            <w:tcW w:w="751"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ascii="仿宋_GB2312" w:hAnsi="仿宋_GB2312" w:cs="仿宋_GB2312"/>
                <w:color w:val="000000"/>
                <w:kern w:val="1"/>
                <w:sz w:val="21"/>
                <w:szCs w:val="21"/>
                <w:lang w:val="en-US" w:eastAsia="zh-CN"/>
              </w:rPr>
              <w:t>2</w:t>
            </w:r>
          </w:p>
        </w:tc>
        <w:tc>
          <w:tcPr>
            <w:tcW w:w="2137"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黑体" w:eastAsia="仿宋_GB2312" w:cs="Times New Roman"/>
                <w:kern w:val="2"/>
                <w:sz w:val="21"/>
                <w:szCs w:val="21"/>
                <w:lang w:val="en-US" w:eastAsia="zh-CN" w:bidi="ar-SA"/>
              </w:rPr>
            </w:pPr>
            <w:r>
              <w:rPr>
                <w:rFonts w:hint="eastAsia" w:hAnsi="黑体" w:cs="Times New Roman"/>
                <w:sz w:val="21"/>
                <w:szCs w:val="21"/>
                <w:lang w:val="en-US" w:eastAsia="zh-CN"/>
              </w:rPr>
              <w:t>符合行业标准</w:t>
            </w:r>
          </w:p>
        </w:tc>
        <w:tc>
          <w:tcPr>
            <w:tcW w:w="2242"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部分不合理</w:t>
            </w:r>
          </w:p>
        </w:tc>
        <w:tc>
          <w:tcPr>
            <w:tcW w:w="86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1"/>
                <w:szCs w:val="21"/>
                <w:lang w:val="en-US" w:eastAsia="zh-CN"/>
              </w:rPr>
            </w:pPr>
            <w:r>
              <w:rPr>
                <w:rFonts w:hint="eastAsia" w:cs="仿宋_GB2312"/>
                <w:color w:val="000000"/>
                <w:kern w:val="1"/>
                <w:sz w:val="21"/>
                <w:szCs w:val="21"/>
                <w:lang w:val="en-US" w:eastAsia="zh-CN"/>
              </w:rPr>
              <w:t>1</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C11 道路</w:t>
      </w:r>
      <w:r>
        <w:rPr>
          <w:rFonts w:hint="eastAsia" w:cs="仿宋_GB2312"/>
          <w:kern w:val="1"/>
          <w:sz w:val="32"/>
          <w:szCs w:val="32"/>
          <w:lang w:val="en-US" w:eastAsia="zh-CN"/>
        </w:rPr>
        <w:t>维修</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w:t>
      </w:r>
      <w:r>
        <w:rPr>
          <w:rFonts w:hint="eastAsia" w:cs="仿宋_GB2312"/>
          <w:kern w:val="1"/>
          <w:sz w:val="32"/>
          <w:szCs w:val="32"/>
          <w:lang w:val="en-US" w:eastAsia="zh-CN"/>
        </w:rPr>
        <w:t>4个小区合计</w:t>
      </w:r>
      <w:r>
        <w:rPr>
          <w:rFonts w:hint="eastAsia" w:ascii="仿宋_GB2312" w:hAnsi="仿宋_GB2312" w:cs="仿宋_GB2312"/>
          <w:kern w:val="1"/>
          <w:sz w:val="32"/>
          <w:szCs w:val="32"/>
          <w:lang w:val="en-US" w:eastAsia="zh-CN"/>
        </w:rPr>
        <w:t>79329平方米的道路维修</w:t>
      </w:r>
      <w:r>
        <w:rPr>
          <w:rFonts w:hint="eastAsia" w:cs="仿宋_GB2312"/>
          <w:kern w:val="1"/>
          <w:sz w:val="32"/>
          <w:szCs w:val="32"/>
          <w:lang w:val="en-US" w:eastAsia="zh-CN"/>
        </w:rPr>
        <w:t>工作</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根据项目审价报告，实际</w:t>
      </w:r>
      <w:r>
        <w:rPr>
          <w:rFonts w:hint="eastAsia" w:ascii="仿宋_GB2312" w:hAnsi="仿宋_GB2312" w:cs="仿宋_GB2312"/>
          <w:kern w:val="1"/>
          <w:sz w:val="32"/>
          <w:szCs w:val="32"/>
          <w:lang w:val="en-US" w:eastAsia="zh-CN"/>
        </w:rPr>
        <w:t>完成道路维修</w:t>
      </w:r>
      <w:r>
        <w:rPr>
          <w:rFonts w:hint="eastAsia" w:cs="仿宋_GB2312"/>
          <w:kern w:val="1"/>
          <w:sz w:val="32"/>
          <w:szCs w:val="32"/>
          <w:highlight w:val="none"/>
          <w:lang w:val="en-US" w:eastAsia="zh-CN"/>
        </w:rPr>
        <w:t>合计101523平方米</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工程量属于合理变动</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本项指标</w:t>
      </w:r>
      <w:r>
        <w:rPr>
          <w:rFonts w:hint="eastAsia" w:ascii="仿宋_GB2312" w:hAnsi="仿宋_GB2312" w:eastAsia="仿宋_GB2312" w:cs="仿宋_GB2312"/>
          <w:kern w:val="1"/>
          <w:sz w:val="32"/>
          <w:szCs w:val="32"/>
          <w:lang w:val="en-US" w:eastAsia="zh-CN"/>
        </w:rPr>
        <w:t>得满分</w:t>
      </w:r>
      <w:r>
        <w:rPr>
          <w:rFonts w:hint="eastAsia" w:ascii="仿宋_GB2312" w:hAnsi="仿宋_GB2312" w:cs="仿宋_GB2312"/>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C12 </w:t>
      </w:r>
      <w:r>
        <w:rPr>
          <w:rFonts w:hint="eastAsia" w:cs="仿宋_GB2312"/>
          <w:kern w:val="1"/>
          <w:sz w:val="32"/>
          <w:szCs w:val="32"/>
          <w:highlight w:val="none"/>
          <w:lang w:val="en-US" w:eastAsia="zh-CN"/>
        </w:rPr>
        <w:t>屋面维修</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w:t>
      </w:r>
      <w:r>
        <w:rPr>
          <w:rFonts w:hint="eastAsia" w:cs="仿宋_GB2312"/>
          <w:kern w:val="1"/>
          <w:sz w:val="32"/>
          <w:szCs w:val="32"/>
          <w:lang w:val="en-US" w:eastAsia="zh-CN"/>
        </w:rPr>
        <w:t>5个小区合计</w:t>
      </w:r>
      <w:r>
        <w:rPr>
          <w:rFonts w:hint="eastAsia" w:ascii="仿宋_GB2312" w:hAnsi="仿宋_GB2312" w:cs="仿宋_GB2312"/>
          <w:kern w:val="1"/>
          <w:sz w:val="32"/>
          <w:szCs w:val="32"/>
          <w:lang w:val="en-US" w:eastAsia="zh-CN"/>
        </w:rPr>
        <w:t>59318平方米屋面维修工作。</w:t>
      </w:r>
      <w:r>
        <w:rPr>
          <w:rFonts w:hint="eastAsia" w:cs="仿宋_GB2312"/>
          <w:kern w:val="1"/>
          <w:sz w:val="32"/>
          <w:szCs w:val="32"/>
          <w:lang w:val="en-US" w:eastAsia="zh-CN"/>
        </w:rPr>
        <w:t>根据项目审价报告，实际</w:t>
      </w:r>
      <w:r>
        <w:rPr>
          <w:rFonts w:hint="eastAsia" w:ascii="仿宋_GB2312" w:hAnsi="仿宋_GB2312" w:cs="仿宋_GB2312"/>
          <w:kern w:val="1"/>
          <w:sz w:val="32"/>
          <w:szCs w:val="32"/>
          <w:lang w:val="en-US" w:eastAsia="zh-CN"/>
        </w:rPr>
        <w:t>完成屋面维修</w:t>
      </w:r>
      <w:r>
        <w:rPr>
          <w:rFonts w:hint="eastAsia" w:cs="仿宋_GB2312"/>
          <w:kern w:val="1"/>
          <w:sz w:val="32"/>
          <w:szCs w:val="32"/>
          <w:highlight w:val="none"/>
          <w:lang w:val="en-US" w:eastAsia="zh-CN"/>
        </w:rPr>
        <w:t>合计88822平方米</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工程量属于合理变动</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C13 </w:t>
      </w:r>
      <w:r>
        <w:rPr>
          <w:rFonts w:hint="eastAsia" w:cs="仿宋_GB2312"/>
          <w:kern w:val="1"/>
          <w:sz w:val="32"/>
          <w:szCs w:val="32"/>
          <w:highlight w:val="none"/>
          <w:lang w:val="en-US" w:eastAsia="zh-CN"/>
        </w:rPr>
        <w:t>外立面维修</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w:t>
      </w:r>
      <w:r>
        <w:rPr>
          <w:rFonts w:hint="eastAsia" w:cs="仿宋_GB2312"/>
          <w:kern w:val="1"/>
          <w:sz w:val="32"/>
          <w:szCs w:val="32"/>
          <w:lang w:val="en-US" w:eastAsia="zh-CN"/>
        </w:rPr>
        <w:t>6个小区合计</w:t>
      </w:r>
      <w:r>
        <w:rPr>
          <w:rFonts w:hint="eastAsia" w:ascii="仿宋_GB2312" w:hAnsi="仿宋_GB2312" w:cs="仿宋_GB2312"/>
          <w:kern w:val="1"/>
          <w:sz w:val="32"/>
          <w:szCs w:val="32"/>
          <w:lang w:val="en-US" w:eastAsia="zh-CN"/>
        </w:rPr>
        <w:t>317162平方米</w:t>
      </w:r>
      <w:r>
        <w:rPr>
          <w:rFonts w:hint="eastAsia" w:cs="仿宋_GB2312"/>
          <w:kern w:val="1"/>
          <w:sz w:val="32"/>
          <w:szCs w:val="32"/>
          <w:lang w:val="en-US" w:eastAsia="zh-CN"/>
        </w:rPr>
        <w:t>外立面</w:t>
      </w:r>
      <w:r>
        <w:rPr>
          <w:rFonts w:hint="eastAsia" w:ascii="仿宋_GB2312" w:hAnsi="仿宋_GB2312" w:cs="仿宋_GB2312"/>
          <w:kern w:val="1"/>
          <w:sz w:val="32"/>
          <w:szCs w:val="32"/>
          <w:lang w:val="en-US" w:eastAsia="zh-CN"/>
        </w:rPr>
        <w:t>维修工作。</w:t>
      </w:r>
      <w:r>
        <w:rPr>
          <w:rFonts w:hint="eastAsia" w:cs="仿宋_GB2312"/>
          <w:kern w:val="1"/>
          <w:sz w:val="32"/>
          <w:szCs w:val="32"/>
          <w:lang w:val="en-US" w:eastAsia="zh-CN"/>
        </w:rPr>
        <w:t>根据项目审价报告，实际</w:t>
      </w:r>
      <w:r>
        <w:rPr>
          <w:rFonts w:hint="eastAsia" w:ascii="仿宋_GB2312" w:hAnsi="仿宋_GB2312" w:cs="仿宋_GB2312"/>
          <w:kern w:val="1"/>
          <w:sz w:val="32"/>
          <w:szCs w:val="32"/>
          <w:lang w:val="en-US" w:eastAsia="zh-CN"/>
        </w:rPr>
        <w:t>完成</w:t>
      </w:r>
      <w:r>
        <w:rPr>
          <w:rFonts w:hint="eastAsia" w:cs="仿宋_GB2312"/>
          <w:kern w:val="1"/>
          <w:sz w:val="32"/>
          <w:szCs w:val="32"/>
          <w:lang w:val="en-US" w:eastAsia="zh-CN"/>
        </w:rPr>
        <w:t>外立面</w:t>
      </w:r>
      <w:r>
        <w:rPr>
          <w:rFonts w:hint="eastAsia" w:ascii="仿宋_GB2312" w:hAnsi="仿宋_GB2312" w:cs="仿宋_GB2312"/>
          <w:kern w:val="1"/>
          <w:sz w:val="32"/>
          <w:szCs w:val="32"/>
          <w:lang w:val="en-US" w:eastAsia="zh-CN"/>
        </w:rPr>
        <w:t>维修</w:t>
      </w:r>
      <w:r>
        <w:rPr>
          <w:rFonts w:hint="eastAsia" w:cs="仿宋_GB2312"/>
          <w:kern w:val="1"/>
          <w:sz w:val="32"/>
          <w:szCs w:val="32"/>
          <w:highlight w:val="none"/>
          <w:lang w:val="en-US" w:eastAsia="zh-CN"/>
        </w:rPr>
        <w:t>合计214436平方米</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工程量属于合理变动</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C14 </w:t>
      </w:r>
      <w:r>
        <w:rPr>
          <w:rFonts w:hint="eastAsia" w:cs="仿宋_GB2312"/>
          <w:kern w:val="1"/>
          <w:sz w:val="32"/>
          <w:szCs w:val="32"/>
          <w:highlight w:val="none"/>
          <w:lang w:val="en-US" w:eastAsia="zh-CN"/>
        </w:rPr>
        <w:t>绿化提升</w:t>
      </w:r>
      <w:r>
        <w:rPr>
          <w:rFonts w:hint="eastAsia" w:ascii="仿宋_GB2312" w:hAnsi="仿宋_GB2312" w:eastAsia="仿宋_GB2312" w:cs="仿宋_GB2312"/>
          <w:kern w:val="1"/>
          <w:sz w:val="32"/>
          <w:szCs w:val="32"/>
          <w:lang w:val="en-US" w:eastAsia="zh-CN"/>
        </w:rPr>
        <w:t xml:space="preserve">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w:t>
      </w:r>
      <w:r>
        <w:rPr>
          <w:rFonts w:hint="eastAsia" w:cs="仿宋_GB2312"/>
          <w:kern w:val="1"/>
          <w:sz w:val="32"/>
          <w:szCs w:val="32"/>
          <w:lang w:val="en-US" w:eastAsia="zh-CN"/>
        </w:rPr>
        <w:t>5个小区合计</w:t>
      </w:r>
      <w:r>
        <w:rPr>
          <w:rFonts w:hint="eastAsia" w:ascii="仿宋_GB2312" w:hAnsi="仿宋_GB2312" w:cs="仿宋_GB2312"/>
          <w:kern w:val="1"/>
          <w:sz w:val="32"/>
          <w:szCs w:val="32"/>
          <w:lang w:val="en-US" w:eastAsia="zh-CN"/>
        </w:rPr>
        <w:t>54163平方米</w:t>
      </w:r>
      <w:r>
        <w:rPr>
          <w:rFonts w:hint="eastAsia" w:cs="仿宋_GB2312"/>
          <w:kern w:val="1"/>
          <w:sz w:val="32"/>
          <w:szCs w:val="32"/>
          <w:highlight w:val="none"/>
          <w:lang w:val="en-US" w:eastAsia="zh-CN"/>
        </w:rPr>
        <w:t>绿化提升</w:t>
      </w:r>
      <w:r>
        <w:rPr>
          <w:rFonts w:hint="eastAsia" w:ascii="仿宋_GB2312" w:hAnsi="仿宋_GB2312" w:cs="仿宋_GB2312"/>
          <w:kern w:val="1"/>
          <w:sz w:val="32"/>
          <w:szCs w:val="32"/>
          <w:lang w:val="en-US" w:eastAsia="zh-CN"/>
        </w:rPr>
        <w:t>工作。</w:t>
      </w:r>
      <w:r>
        <w:rPr>
          <w:rFonts w:hint="eastAsia" w:cs="仿宋_GB2312"/>
          <w:kern w:val="1"/>
          <w:sz w:val="32"/>
          <w:szCs w:val="32"/>
          <w:lang w:val="en-US" w:eastAsia="zh-CN"/>
        </w:rPr>
        <w:t>根据项目审价报告，实际</w:t>
      </w:r>
      <w:r>
        <w:rPr>
          <w:rFonts w:hint="eastAsia" w:ascii="仿宋_GB2312" w:hAnsi="仿宋_GB2312" w:cs="仿宋_GB2312"/>
          <w:kern w:val="1"/>
          <w:sz w:val="32"/>
          <w:szCs w:val="32"/>
          <w:lang w:val="en-US" w:eastAsia="zh-CN"/>
        </w:rPr>
        <w:t>完成</w:t>
      </w:r>
      <w:r>
        <w:rPr>
          <w:rFonts w:hint="eastAsia" w:cs="仿宋_GB2312"/>
          <w:kern w:val="1"/>
          <w:sz w:val="32"/>
          <w:szCs w:val="32"/>
          <w:highlight w:val="none"/>
          <w:lang w:val="en-US" w:eastAsia="zh-CN"/>
        </w:rPr>
        <w:t>绿化提升合计16319平方米</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工程量属于合理变动</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 xml:space="preserve">C15 </w:t>
      </w:r>
      <w:r>
        <w:rPr>
          <w:rFonts w:hint="eastAsia" w:cs="仿宋_GB2312"/>
          <w:kern w:val="1"/>
          <w:sz w:val="32"/>
          <w:szCs w:val="32"/>
          <w:highlight w:val="none"/>
          <w:lang w:val="en-US" w:eastAsia="zh-CN"/>
        </w:rPr>
        <w:t>管线入地</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w:t>
      </w:r>
      <w:r>
        <w:rPr>
          <w:rFonts w:hint="eastAsia" w:cs="仿宋_GB2312"/>
          <w:kern w:val="1"/>
          <w:sz w:val="32"/>
          <w:szCs w:val="32"/>
          <w:lang w:val="en-US" w:eastAsia="zh-CN"/>
        </w:rPr>
        <w:t>3个小区合计</w:t>
      </w:r>
      <w:r>
        <w:rPr>
          <w:rFonts w:hint="eastAsia" w:ascii="仿宋_GB2312" w:hAnsi="仿宋_GB2312" w:cs="仿宋_GB2312"/>
          <w:kern w:val="1"/>
          <w:sz w:val="32"/>
          <w:szCs w:val="32"/>
          <w:lang w:val="en-US" w:eastAsia="zh-CN"/>
        </w:rPr>
        <w:t>266667平方米</w:t>
      </w:r>
      <w:r>
        <w:rPr>
          <w:rFonts w:hint="eastAsia" w:cs="仿宋_GB2312"/>
          <w:kern w:val="1"/>
          <w:sz w:val="32"/>
          <w:szCs w:val="32"/>
          <w:lang w:val="en-US" w:eastAsia="zh-CN"/>
        </w:rPr>
        <w:t>的</w:t>
      </w:r>
      <w:r>
        <w:rPr>
          <w:rFonts w:hint="eastAsia" w:ascii="仿宋_GB2312" w:hAnsi="仿宋_GB2312" w:cs="仿宋_GB2312"/>
          <w:kern w:val="1"/>
          <w:sz w:val="32"/>
          <w:szCs w:val="32"/>
          <w:lang w:val="en-US" w:eastAsia="zh-CN"/>
        </w:rPr>
        <w:t>管线入地。</w:t>
      </w:r>
      <w:r>
        <w:rPr>
          <w:rFonts w:hint="eastAsia" w:cs="仿宋_GB2312"/>
          <w:kern w:val="1"/>
          <w:sz w:val="32"/>
          <w:szCs w:val="32"/>
          <w:lang w:val="en-US" w:eastAsia="zh-CN"/>
        </w:rPr>
        <w:t>根据项目审价报告，实际</w:t>
      </w:r>
      <w:r>
        <w:rPr>
          <w:rFonts w:hint="eastAsia" w:ascii="仿宋_GB2312" w:hAnsi="仿宋_GB2312" w:cs="仿宋_GB2312"/>
          <w:kern w:val="1"/>
          <w:sz w:val="32"/>
          <w:szCs w:val="32"/>
          <w:lang w:val="en-US" w:eastAsia="zh-CN"/>
        </w:rPr>
        <w:t>完成管线入地</w:t>
      </w:r>
      <w:r>
        <w:rPr>
          <w:rFonts w:hint="eastAsia" w:cs="仿宋_GB2312"/>
          <w:kern w:val="1"/>
          <w:sz w:val="32"/>
          <w:szCs w:val="32"/>
          <w:lang w:val="en-US" w:eastAsia="zh-CN"/>
        </w:rPr>
        <w:t>工作与计划数一致</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w:t>
      </w:r>
      <w:r>
        <w:rPr>
          <w:rFonts w:hint="eastAsia" w:ascii="仿宋_GB2312" w:hAnsi="仿宋_GB2312" w:cs="仿宋_GB2312"/>
          <w:kern w:val="1"/>
          <w:sz w:val="32"/>
          <w:szCs w:val="32"/>
          <w:lang w:val="en-US" w:eastAsia="zh-CN"/>
        </w:rPr>
        <w:t>本项</w:t>
      </w:r>
      <w:r>
        <w:rPr>
          <w:rFonts w:hint="eastAsia" w:ascii="仿宋_GB2312" w:hAnsi="仿宋_GB2312" w:eastAsia="仿宋_GB2312" w:cs="仿宋_GB2312"/>
          <w:kern w:val="1"/>
          <w:sz w:val="32"/>
          <w:szCs w:val="32"/>
          <w:lang w:val="en-US" w:eastAsia="zh-CN"/>
        </w:rPr>
        <w:t>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C16 敷设雨污管道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w:t>
      </w:r>
      <w:r>
        <w:rPr>
          <w:rFonts w:hint="eastAsia" w:cs="仿宋_GB2312"/>
          <w:kern w:val="1"/>
          <w:sz w:val="32"/>
          <w:szCs w:val="32"/>
          <w:lang w:val="en-US" w:eastAsia="zh-CN"/>
        </w:rPr>
        <w:t>6个小区合计</w:t>
      </w:r>
      <w:r>
        <w:rPr>
          <w:rFonts w:hint="eastAsia" w:ascii="仿宋_GB2312" w:hAnsi="仿宋_GB2312" w:cs="仿宋_GB2312"/>
          <w:kern w:val="1"/>
          <w:sz w:val="32"/>
          <w:szCs w:val="32"/>
          <w:lang w:val="en-US" w:eastAsia="zh-CN"/>
        </w:rPr>
        <w:t>47986米雨污管道敷设</w:t>
      </w:r>
      <w:r>
        <w:rPr>
          <w:rFonts w:hint="eastAsia" w:cs="仿宋_GB2312"/>
          <w:kern w:val="1"/>
          <w:sz w:val="32"/>
          <w:szCs w:val="32"/>
          <w:lang w:val="en-US" w:eastAsia="zh-CN"/>
        </w:rPr>
        <w:t>工作</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根据项目审价报告，实际</w:t>
      </w:r>
      <w:r>
        <w:rPr>
          <w:rFonts w:hint="eastAsia" w:ascii="仿宋_GB2312" w:hAnsi="仿宋_GB2312" w:cs="仿宋_GB2312"/>
          <w:kern w:val="1"/>
          <w:sz w:val="32"/>
          <w:szCs w:val="32"/>
          <w:lang w:val="en-US" w:eastAsia="zh-CN"/>
        </w:rPr>
        <w:t>完成雨污管道敷设</w:t>
      </w:r>
      <w:r>
        <w:rPr>
          <w:rFonts w:hint="eastAsia" w:cs="仿宋_GB2312"/>
          <w:kern w:val="1"/>
          <w:sz w:val="32"/>
          <w:szCs w:val="32"/>
          <w:highlight w:val="none"/>
          <w:lang w:val="en-US" w:eastAsia="zh-CN"/>
        </w:rPr>
        <w:t>合计52524米</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工程量属于合理变动</w:t>
      </w:r>
      <w:r>
        <w:rPr>
          <w:rFonts w:hint="eastAsia" w:ascii="仿宋_GB2312" w:hAnsi="仿宋_GB2312" w:cs="仿宋_GB2312"/>
          <w:kern w:val="1"/>
          <w:sz w:val="32"/>
          <w:szCs w:val="32"/>
          <w:lang w:val="en-US" w:eastAsia="zh-CN"/>
        </w:rPr>
        <w:t>。故</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highlight w:val="none"/>
          <w:lang w:val="en-US" w:eastAsia="zh-CN"/>
        </w:rPr>
        <w:t>C17 完成其他设施更新工作</w:t>
      </w:r>
      <w:r>
        <w:rPr>
          <w:rFonts w:hint="eastAsia" w:ascii="仿宋_GB2312" w:hAnsi="仿宋_GB2312" w:eastAsia="仿宋_GB2312" w:cs="仿宋_GB2312"/>
          <w:kern w:val="1"/>
          <w:sz w:val="32"/>
          <w:szCs w:val="32"/>
          <w:lang w:val="en-US" w:eastAsia="zh-CN"/>
        </w:rPr>
        <w:t xml:space="preserve"> 权重</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根据</w:t>
      </w:r>
      <w:r>
        <w:rPr>
          <w:rFonts w:hint="eastAsia" w:ascii="仿宋_GB2312" w:hAnsi="仿宋_GB2312" w:cs="仿宋_GB2312"/>
          <w:kern w:val="1"/>
          <w:sz w:val="32"/>
          <w:szCs w:val="32"/>
          <w:lang w:val="en-US" w:eastAsia="zh-CN"/>
        </w:rPr>
        <w:t>发改委批复内容，项目计划完成10项其他设施更新工作，包括：非机动车库维修、健身设施更新、更换窗户、公共部位维修、改造植草砖等停车位、安防设施更新、围墙维修、避雷带更换、新增路灯、新增健身步道</w:t>
      </w:r>
      <w:r>
        <w:rPr>
          <w:rFonts w:hint="eastAsia" w:ascii="仿宋_GB2312" w:hAnsi="仿宋_GB2312" w:eastAsia="仿宋_GB2312" w:cs="仿宋_GB2312"/>
          <w:kern w:val="1"/>
          <w:sz w:val="32"/>
          <w:szCs w:val="32"/>
          <w:lang w:val="en-US" w:eastAsia="zh-CN"/>
        </w:rPr>
        <w:t>。</w:t>
      </w:r>
      <w:r>
        <w:rPr>
          <w:rFonts w:hint="eastAsia" w:cs="仿宋_GB2312"/>
          <w:kern w:val="1"/>
          <w:sz w:val="32"/>
          <w:szCs w:val="32"/>
          <w:lang w:val="en-US" w:eastAsia="zh-CN"/>
        </w:rPr>
        <w:t>根据项目审价报告，</w:t>
      </w:r>
      <w:r>
        <w:rPr>
          <w:rFonts w:hint="eastAsia" w:ascii="仿宋_GB2312" w:hAnsi="仿宋_GB2312" w:cs="仿宋_GB2312"/>
          <w:kern w:val="1"/>
          <w:sz w:val="32"/>
          <w:szCs w:val="32"/>
          <w:lang w:val="en-US" w:eastAsia="zh-CN"/>
        </w:rPr>
        <w:t>以上</w:t>
      </w:r>
      <w:r>
        <w:rPr>
          <w:rFonts w:hint="eastAsia" w:cs="仿宋_GB2312"/>
          <w:kern w:val="1"/>
          <w:sz w:val="32"/>
          <w:szCs w:val="32"/>
          <w:lang w:val="en-US" w:eastAsia="zh-CN"/>
        </w:rPr>
        <w:t>10</w:t>
      </w:r>
      <w:r>
        <w:rPr>
          <w:rFonts w:hint="eastAsia" w:ascii="仿宋_GB2312" w:hAnsi="仿宋_GB2312" w:cs="仿宋_GB2312"/>
          <w:kern w:val="1"/>
          <w:sz w:val="32"/>
          <w:szCs w:val="32"/>
          <w:lang w:val="en-US" w:eastAsia="zh-CN"/>
        </w:rPr>
        <w:t>项内容均</w:t>
      </w:r>
      <w:r>
        <w:rPr>
          <w:rFonts w:hint="eastAsia" w:cs="仿宋_GB2312"/>
          <w:kern w:val="1"/>
          <w:sz w:val="32"/>
          <w:szCs w:val="32"/>
          <w:lang w:val="en-US" w:eastAsia="zh-CN"/>
        </w:rPr>
        <w:t>按计划</w:t>
      </w:r>
      <w:r>
        <w:rPr>
          <w:rFonts w:hint="eastAsia" w:ascii="仿宋_GB2312" w:hAnsi="仿宋_GB2312" w:cs="仿宋_GB2312"/>
          <w:kern w:val="1"/>
          <w:sz w:val="32"/>
          <w:szCs w:val="32"/>
          <w:lang w:val="en-US" w:eastAsia="zh-CN"/>
        </w:rPr>
        <w:t>完成</w:t>
      </w:r>
      <w:r>
        <w:rPr>
          <w:rFonts w:hint="eastAsia" w:cs="仿宋_GB2312"/>
          <w:kern w:val="1"/>
          <w:sz w:val="32"/>
          <w:szCs w:val="32"/>
          <w:lang w:val="en-US" w:eastAsia="zh-CN"/>
        </w:rPr>
        <w:t>更新</w:t>
      </w:r>
      <w:r>
        <w:rPr>
          <w:rFonts w:hint="eastAsia" w:ascii="仿宋_GB2312" w:hAnsi="仿宋_GB2312" w:cs="仿宋_GB2312"/>
          <w:kern w:val="1"/>
          <w:sz w:val="32"/>
          <w:szCs w:val="32"/>
          <w:lang w:val="en-US" w:eastAsia="zh-CN"/>
        </w:rPr>
        <w:t>，故</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C21 行业管理部门的专业验收情况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2021年9月9日，城西新村等、南门新村等、北门新村、西门南村和西门北村5个项目顺利通过上海市崇明区给排水管理所开展的雨污排水验收并纳管入网；2021年9月17日，南门路小区等项目也顺利通过雨污排水验收并纳管入网。故</w:t>
      </w:r>
      <w:r>
        <w:rPr>
          <w:rFonts w:hint="eastAsia" w:ascii="仿宋_GB2312" w:hAnsi="仿宋_GB2312" w:eastAsia="仿宋_GB2312" w:cs="仿宋_GB2312"/>
          <w:kern w:val="1"/>
          <w:sz w:val="32"/>
          <w:szCs w:val="32"/>
          <w:lang w:val="en-US" w:eastAsia="zh-CN"/>
        </w:rPr>
        <w:t>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 xml:space="preserve">C22 </w:t>
      </w:r>
      <w:r>
        <w:rPr>
          <w:rFonts w:hint="eastAsia" w:ascii="仿宋_GB2312" w:hAnsi="仿宋_GB2312" w:cs="仿宋_GB2312"/>
          <w:kern w:val="1"/>
          <w:sz w:val="32"/>
          <w:szCs w:val="32"/>
          <w:lang w:val="en-US" w:eastAsia="zh-CN"/>
        </w:rPr>
        <w:t>项目综合验收情况</w:t>
      </w:r>
      <w:r>
        <w:rPr>
          <w:rFonts w:hint="eastAsia" w:ascii="仿宋_GB2312" w:hAnsi="仿宋_GB2312" w:eastAsia="仿宋_GB2312" w:cs="仿宋_GB2312"/>
          <w:kern w:val="1"/>
          <w:sz w:val="32"/>
          <w:szCs w:val="32"/>
          <w:lang w:val="en-US" w:eastAsia="zh-CN"/>
        </w:rPr>
        <w:t xml:space="preserve">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2021年9月1日，西门北村、城西新村等2个项目接受由施工单位、施工监理、设计单位、代建单位、物业单位和城桥镇人民政府（业主单位）6方共同开展的综合验收，确认工程建设符合设计及规范要求，一次验收合格；2021年9月18日，北门新村、南门新村等、西门南村3个项目也顺利通过综合验收；2021年9月22日，南门路小区等项目也顺利通过综合验收。故</w:t>
      </w:r>
      <w:r>
        <w:rPr>
          <w:rFonts w:hint="eastAsia" w:ascii="仿宋_GB2312" w:hAnsi="仿宋_GB2312" w:eastAsia="仿宋_GB2312" w:cs="仿宋_GB2312"/>
          <w:kern w:val="1"/>
          <w:sz w:val="32"/>
          <w:szCs w:val="32"/>
          <w:lang w:val="en-US" w:eastAsia="zh-CN"/>
        </w:rPr>
        <w:t>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32"/>
          <w:szCs w:val="32"/>
          <w:lang w:val="en-US" w:eastAsia="zh-CN"/>
        </w:rPr>
      </w:pPr>
      <w:r>
        <w:rPr>
          <w:rFonts w:hint="eastAsia" w:ascii="仿宋_GB2312" w:hAnsi="仿宋_GB2312" w:cs="仿宋_GB2312"/>
          <w:kern w:val="1"/>
          <w:sz w:val="32"/>
          <w:szCs w:val="32"/>
          <w:lang w:val="en-US" w:eastAsia="zh-CN"/>
        </w:rPr>
        <w:t xml:space="preserve">C23 </w:t>
      </w:r>
      <w:r>
        <w:rPr>
          <w:rFonts w:hint="eastAsia" w:ascii="仿宋_GB2312" w:hAnsi="仿宋_GB2312" w:eastAsia="仿宋_GB2312" w:cs="仿宋_GB2312"/>
          <w:kern w:val="1"/>
          <w:sz w:val="32"/>
          <w:szCs w:val="32"/>
          <w:lang w:val="en-US" w:eastAsia="zh-CN"/>
        </w:rPr>
        <w:t>质保期内</w:t>
      </w:r>
      <w:r>
        <w:rPr>
          <w:rFonts w:hint="eastAsia" w:cs="仿宋_GB2312"/>
          <w:kern w:val="1"/>
          <w:sz w:val="32"/>
          <w:szCs w:val="32"/>
          <w:lang w:val="en-US" w:eastAsia="zh-CN"/>
        </w:rPr>
        <w:t>的</w:t>
      </w:r>
      <w:r>
        <w:rPr>
          <w:rFonts w:hint="eastAsia" w:ascii="仿宋_GB2312" w:hAnsi="仿宋_GB2312" w:eastAsia="仿宋_GB2312" w:cs="仿宋_GB2312"/>
          <w:kern w:val="1"/>
          <w:sz w:val="32"/>
          <w:szCs w:val="32"/>
          <w:lang w:val="en-US" w:eastAsia="zh-CN"/>
        </w:rPr>
        <w:t>工程建设质量保障情况</w:t>
      </w:r>
      <w:r>
        <w:rPr>
          <w:rFonts w:hint="eastAsia" w:ascii="仿宋_GB2312" w:hAnsi="仿宋_GB2312" w:cs="仿宋_GB2312"/>
          <w:kern w:val="1"/>
          <w:sz w:val="32"/>
          <w:szCs w:val="32"/>
          <w:lang w:val="en-US" w:eastAsia="zh-CN"/>
        </w:rPr>
        <w:t xml:space="preserve"> 权重2分，得分</w:t>
      </w:r>
      <w:r>
        <w:rPr>
          <w:rFonts w:hint="eastAsia" w:cs="仿宋_GB2312"/>
          <w:kern w:val="1"/>
          <w:sz w:val="32"/>
          <w:szCs w:val="32"/>
          <w:lang w:val="en-US" w:eastAsia="zh-CN"/>
        </w:rPr>
        <w:t>0</w:t>
      </w:r>
      <w:r>
        <w:rPr>
          <w:rFonts w:hint="eastAsia" w:ascii="仿宋_GB2312" w:hAnsi="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根据评价组实地调研</w:t>
      </w:r>
      <w:r>
        <w:rPr>
          <w:rFonts w:hint="eastAsia" w:cs="仿宋_GB2312"/>
          <w:kern w:val="1"/>
          <w:sz w:val="32"/>
          <w:szCs w:val="32"/>
          <w:lang w:val="en-US" w:eastAsia="zh-CN"/>
        </w:rPr>
        <w:t>和访谈小区物业、居委和居民的</w:t>
      </w:r>
      <w:r>
        <w:rPr>
          <w:rFonts w:hint="eastAsia" w:ascii="仿宋_GB2312" w:hAnsi="仿宋_GB2312" w:cs="仿宋_GB2312"/>
          <w:kern w:val="1"/>
          <w:sz w:val="32"/>
          <w:szCs w:val="32"/>
          <w:lang w:val="en-US" w:eastAsia="zh-CN"/>
        </w:rPr>
        <w:t>结果，</w:t>
      </w:r>
      <w:r>
        <w:rPr>
          <w:rFonts w:hint="eastAsia" w:cs="仿宋_GB2312"/>
          <w:kern w:val="1"/>
          <w:sz w:val="32"/>
          <w:szCs w:val="32"/>
          <w:lang w:val="en-US" w:eastAsia="zh-CN"/>
        </w:rPr>
        <w:t>南门路小区项目在改造完成后有出现雨污管道返工、污水管堵塞报修、局部屋面漏水等问题</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西门北村项目在改造完成后有出现外立面墙面开裂、剥落而需修补的情况，西门南村项目在改造完成后有出现46号居民楼空调架子（属于改造内容之一）掉落的情况，城西新村项目在改造完成后有出现污水管道堵塞的情况，南门新村项目在改造完成后有出现雨污管道的报修、空调架子脱落的情况；</w:t>
      </w:r>
      <w:r>
        <w:rPr>
          <w:rFonts w:hint="eastAsia" w:ascii="仿宋_GB2312" w:hAnsi="仿宋_GB2312" w:cs="仿宋_GB2312"/>
          <w:kern w:val="1"/>
          <w:sz w:val="32"/>
          <w:szCs w:val="32"/>
          <w:lang w:val="en-US" w:eastAsia="zh-CN"/>
        </w:rPr>
        <w:t>以上情况</w:t>
      </w:r>
      <w:r>
        <w:rPr>
          <w:rFonts w:hint="eastAsia" w:cs="仿宋_GB2312"/>
          <w:kern w:val="1"/>
          <w:sz w:val="32"/>
          <w:szCs w:val="32"/>
          <w:lang w:val="en-US" w:eastAsia="zh-CN"/>
        </w:rPr>
        <w:t>均</w:t>
      </w:r>
      <w:r>
        <w:rPr>
          <w:rFonts w:hint="eastAsia" w:ascii="仿宋_GB2312" w:hAnsi="仿宋_GB2312" w:cs="仿宋_GB2312"/>
          <w:kern w:val="1"/>
          <w:sz w:val="32"/>
          <w:szCs w:val="32"/>
          <w:lang w:val="en-US" w:eastAsia="zh-CN"/>
        </w:rPr>
        <w:t>属于装修工程质保期内出现了质量问题。</w:t>
      </w:r>
      <w:r>
        <w:rPr>
          <w:rFonts w:hint="eastAsia" w:cs="仿宋_GB2312"/>
          <w:kern w:val="1"/>
          <w:sz w:val="32"/>
          <w:szCs w:val="32"/>
          <w:lang w:val="en-US" w:eastAsia="zh-CN"/>
        </w:rPr>
        <w:t>现场图片及访谈详情见附件2。</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根据评分标准，本项指标得</w:t>
      </w:r>
      <w:r>
        <w:rPr>
          <w:rFonts w:hint="eastAsia" w:cs="仿宋_GB2312"/>
          <w:kern w:val="1"/>
          <w:sz w:val="32"/>
          <w:szCs w:val="32"/>
          <w:lang w:val="en-US" w:eastAsia="zh-CN"/>
        </w:rPr>
        <w:t>0</w:t>
      </w:r>
      <w:r>
        <w:rPr>
          <w:rFonts w:hint="eastAsia" w:ascii="仿宋_GB2312" w:hAnsi="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w:t>
      </w:r>
      <w:r>
        <w:rPr>
          <w:rFonts w:hint="eastAsia" w:ascii="仿宋_GB2312" w:hAnsi="仿宋_GB2312" w:cs="仿宋_GB2312"/>
          <w:kern w:val="1"/>
          <w:sz w:val="32"/>
          <w:szCs w:val="32"/>
          <w:lang w:val="en-US" w:eastAsia="zh-CN"/>
        </w:rPr>
        <w:t>31</w:t>
      </w:r>
      <w:r>
        <w:rPr>
          <w:rFonts w:hint="eastAsia" w:ascii="仿宋_GB2312" w:hAnsi="仿宋_GB2312" w:eastAsia="仿宋_GB2312" w:cs="仿宋_GB2312"/>
          <w:kern w:val="1"/>
          <w:sz w:val="32"/>
          <w:szCs w:val="32"/>
          <w:lang w:val="en-US" w:eastAsia="zh-CN"/>
        </w:rPr>
        <w:t xml:space="preserve"> 项目</w:t>
      </w:r>
      <w:r>
        <w:rPr>
          <w:rFonts w:hint="eastAsia" w:cs="仿宋_GB2312"/>
          <w:kern w:val="1"/>
          <w:sz w:val="32"/>
          <w:szCs w:val="32"/>
          <w:lang w:val="en-US" w:eastAsia="zh-CN"/>
        </w:rPr>
        <w:t>前期</w:t>
      </w:r>
      <w:r>
        <w:rPr>
          <w:rFonts w:hint="eastAsia" w:ascii="仿宋_GB2312" w:hAnsi="仿宋_GB2312" w:eastAsia="仿宋_GB2312" w:cs="仿宋_GB2312"/>
          <w:kern w:val="1"/>
          <w:sz w:val="32"/>
          <w:szCs w:val="32"/>
          <w:lang w:val="en-US" w:eastAsia="zh-CN"/>
        </w:rPr>
        <w:t>准备工作及立项完成及时性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根据项目工作计划，原计划于2020年4月底前完成项目前期准备工作及立项。实际开展过程中，</w:t>
      </w:r>
      <w:r>
        <w:rPr>
          <w:rFonts w:hint="eastAsia" w:ascii="仿宋_GB2312" w:hAnsi="仿宋_GB2312" w:cs="仿宋_GB2312"/>
          <w:kern w:val="1"/>
          <w:sz w:val="32"/>
          <w:szCs w:val="32"/>
          <w:lang w:val="en-US" w:eastAsia="zh-CN"/>
        </w:rPr>
        <w:t>2019年10月，上海市崇明区城桥镇人民政府启动项目前期研究准备工作，委托上海容基工程项目管理有限公司，在多次现场踏勘调研和沟通的基础上，开展方案策划、咨询工作，并编制可行性研究报告（初步设计深度），完成后向崇明区发改委提交立项申请</w:t>
      </w:r>
      <w:r>
        <w:rPr>
          <w:rFonts w:hint="eastAsia" w:cs="仿宋_GB2312"/>
          <w:kern w:val="1"/>
          <w:sz w:val="32"/>
          <w:szCs w:val="32"/>
          <w:lang w:val="en-US" w:eastAsia="zh-CN"/>
        </w:rPr>
        <w:t>，2020年5月13日，项目正式获批立项，落后计划1个月</w:t>
      </w:r>
      <w:r>
        <w:rPr>
          <w:rFonts w:hint="eastAsia" w:ascii="仿宋_GB2312" w:hAnsi="仿宋_GB2312" w:cs="仿宋_GB2312"/>
          <w:kern w:val="1"/>
          <w:sz w:val="32"/>
          <w:szCs w:val="32"/>
          <w:lang w:val="en-US" w:eastAsia="zh-CN"/>
        </w:rPr>
        <w:t>。</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w:t>
      </w:r>
      <w:r>
        <w:rPr>
          <w:rFonts w:hint="eastAsia" w:ascii="仿宋_GB2312" w:hAnsi="仿宋_GB2312" w:cs="仿宋_GB2312"/>
          <w:kern w:val="1"/>
          <w:sz w:val="32"/>
          <w:szCs w:val="32"/>
          <w:lang w:val="en-US" w:eastAsia="zh-CN"/>
        </w:rPr>
        <w:t>32</w:t>
      </w:r>
      <w:r>
        <w:rPr>
          <w:rFonts w:hint="eastAsia" w:ascii="仿宋_GB2312" w:hAnsi="仿宋_GB2312" w:eastAsia="仿宋_GB2312" w:cs="仿宋_GB2312"/>
          <w:kern w:val="1"/>
          <w:sz w:val="32"/>
          <w:szCs w:val="32"/>
          <w:lang w:val="en-US" w:eastAsia="zh-CN"/>
        </w:rPr>
        <w:t xml:space="preserve"> 项目</w:t>
      </w:r>
      <w:r>
        <w:rPr>
          <w:rFonts w:hint="eastAsia" w:cs="仿宋_GB2312"/>
          <w:kern w:val="1"/>
          <w:sz w:val="32"/>
          <w:szCs w:val="32"/>
          <w:lang w:val="en-US" w:eastAsia="zh-CN"/>
        </w:rPr>
        <w:t>招投标</w:t>
      </w:r>
      <w:r>
        <w:rPr>
          <w:rFonts w:hint="eastAsia" w:ascii="仿宋_GB2312" w:hAnsi="仿宋_GB2312" w:eastAsia="仿宋_GB2312" w:cs="仿宋_GB2312"/>
          <w:kern w:val="1"/>
          <w:sz w:val="32"/>
          <w:szCs w:val="32"/>
          <w:lang w:val="en-US" w:eastAsia="zh-CN"/>
        </w:rPr>
        <w:t>完成及时性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cs="仿宋_GB2312"/>
          <w:kern w:val="1"/>
          <w:sz w:val="32"/>
          <w:szCs w:val="32"/>
          <w:lang w:val="en-US" w:eastAsia="zh-CN"/>
        </w:rPr>
        <w:t>根据项目工作计划，原计划于2020年5月底前完成招投标工作。实际开展过程中，</w:t>
      </w:r>
      <w:r>
        <w:rPr>
          <w:rFonts w:hint="eastAsia" w:ascii="仿宋_GB2312" w:hAnsi="仿宋_GB2312" w:cs="仿宋_GB2312"/>
          <w:kern w:val="1"/>
          <w:sz w:val="32"/>
          <w:szCs w:val="32"/>
          <w:lang w:val="en-US" w:eastAsia="zh-CN"/>
        </w:rPr>
        <w:t>2020年5月13日，上海九硕工程管理有限公司委托建正建设工程咨询有限公司承担6个项目的设计、监理招标代理工作，以公开招标方式于6月12日确认中标单位</w:t>
      </w:r>
      <w:r>
        <w:rPr>
          <w:rFonts w:hint="eastAsia" w:ascii="仿宋_GB2312" w:hAnsi="仿宋_GB2312" w:eastAsia="仿宋_GB2312" w:cs="仿宋_GB2312"/>
          <w:kern w:val="1"/>
          <w:sz w:val="32"/>
          <w:szCs w:val="32"/>
          <w:lang w:val="en-US" w:eastAsia="zh-CN"/>
        </w:rPr>
        <w:t>。2020年6月16日，上海九硕工程管理有限公司委托建正建设工程咨询有限公司承担6个项目的施工招标代理工作，以公开招标方式于7月28日确认中标单位</w:t>
      </w:r>
      <w:r>
        <w:rPr>
          <w:rFonts w:hint="eastAsia" w:cs="仿宋_GB2312"/>
          <w:kern w:val="1"/>
          <w:sz w:val="32"/>
          <w:szCs w:val="32"/>
          <w:lang w:val="en-US" w:eastAsia="zh-CN"/>
        </w:rPr>
        <w:t>。落后计划2个月。</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C</w:t>
      </w:r>
      <w:r>
        <w:rPr>
          <w:rFonts w:hint="eastAsia" w:ascii="仿宋_GB2312" w:hAnsi="仿宋_GB2312" w:cs="仿宋_GB2312"/>
          <w:kern w:val="1"/>
          <w:sz w:val="32"/>
          <w:szCs w:val="32"/>
          <w:lang w:val="en-US" w:eastAsia="zh-CN"/>
        </w:rPr>
        <w:t>33</w:t>
      </w:r>
      <w:r>
        <w:rPr>
          <w:rFonts w:hint="eastAsia" w:ascii="仿宋_GB2312" w:hAnsi="仿宋_GB2312" w:eastAsia="仿宋_GB2312" w:cs="仿宋_GB2312"/>
          <w:kern w:val="1"/>
          <w:sz w:val="32"/>
          <w:szCs w:val="32"/>
          <w:lang w:val="en-US" w:eastAsia="zh-CN"/>
        </w:rPr>
        <w:t xml:space="preserve"> 项目建设完成及时性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2020年8月8日，上海市崇明区城桥镇人民政府、上海九硕工程管理有限公司共同与上海崇明建设（集团）有限公司签订施工合同，2020年10月6个项目正式开工建设，</w:t>
      </w:r>
      <w:r>
        <w:rPr>
          <w:rFonts w:hint="eastAsia" w:cs="仿宋_GB2312"/>
          <w:kern w:val="1"/>
          <w:sz w:val="32"/>
          <w:szCs w:val="32"/>
          <w:lang w:val="en-US" w:eastAsia="zh-CN"/>
        </w:rPr>
        <w:t>截至</w:t>
      </w:r>
      <w:r>
        <w:rPr>
          <w:rFonts w:hint="eastAsia" w:ascii="仿宋_GB2312" w:hAnsi="仿宋_GB2312" w:eastAsia="仿宋_GB2312" w:cs="仿宋_GB2312"/>
          <w:kern w:val="1"/>
          <w:sz w:val="32"/>
          <w:szCs w:val="32"/>
          <w:lang w:val="en-US" w:eastAsia="zh-CN"/>
        </w:rPr>
        <w:t>2021年9月22日，</w:t>
      </w:r>
      <w:r>
        <w:rPr>
          <w:rFonts w:hint="eastAsia" w:cs="仿宋_GB2312"/>
          <w:kern w:val="1"/>
          <w:sz w:val="32"/>
          <w:szCs w:val="32"/>
          <w:lang w:val="en-US" w:eastAsia="zh-CN"/>
        </w:rPr>
        <w:t>6个</w:t>
      </w:r>
      <w:r>
        <w:rPr>
          <w:rFonts w:hint="eastAsia" w:ascii="仿宋_GB2312" w:hAnsi="仿宋_GB2312" w:eastAsia="仿宋_GB2312" w:cs="仿宋_GB2312"/>
          <w:kern w:val="1"/>
          <w:sz w:val="32"/>
          <w:szCs w:val="32"/>
          <w:lang w:val="en-US" w:eastAsia="zh-CN"/>
        </w:rPr>
        <w:t>项目</w:t>
      </w:r>
      <w:r>
        <w:rPr>
          <w:rFonts w:hint="eastAsia" w:cs="仿宋_GB2312"/>
          <w:kern w:val="1"/>
          <w:sz w:val="32"/>
          <w:szCs w:val="32"/>
          <w:lang w:val="en-US" w:eastAsia="zh-CN"/>
        </w:rPr>
        <w:t>全部</w:t>
      </w:r>
      <w:r>
        <w:rPr>
          <w:rFonts w:hint="eastAsia" w:ascii="仿宋_GB2312" w:hAnsi="仿宋_GB2312" w:eastAsia="仿宋_GB2312" w:cs="仿宋_GB2312"/>
          <w:kern w:val="1"/>
          <w:sz w:val="32"/>
          <w:szCs w:val="32"/>
          <w:lang w:val="en-US" w:eastAsia="zh-CN"/>
        </w:rPr>
        <w:t>完成施工建设</w:t>
      </w:r>
      <w:r>
        <w:rPr>
          <w:rFonts w:hint="eastAsia" w:cs="仿宋_GB2312"/>
          <w:kern w:val="1"/>
          <w:sz w:val="32"/>
          <w:szCs w:val="32"/>
          <w:lang w:val="en-US" w:eastAsia="zh-CN"/>
        </w:rPr>
        <w:t>，落后计划7个月。但由于是诸多客观不可抗力因素导致的本项目建设时效慢于计划，</w:t>
      </w:r>
      <w:r>
        <w:rPr>
          <w:rFonts w:hint="eastAsia" w:ascii="仿宋_GB2312" w:hAnsi="仿宋_GB2312" w:eastAsia="仿宋_GB2312" w:cs="仿宋_GB2312"/>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val="0"/>
        <w:textAlignment w:val="auto"/>
        <w:outlineLvl w:val="9"/>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C41 项目同类材料造价 权重2分，得0.5分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根据各子项目的审价报告，项目同类材料造价有出现不一致的情况，包括外墙喷刷涂料、内墙喷刷涂料和室外T型不锈钢晒衣架的单价，在不同项目中的单价不一致，具体详见附件3。</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0.5</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val="0"/>
        <w:textAlignment w:val="auto"/>
        <w:outlineLvl w:val="9"/>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default"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C42 二类费用取费 权重2分，得1分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根据评价组的初步核算，</w:t>
      </w:r>
      <w:r>
        <w:rPr>
          <w:rFonts w:hint="eastAsia" w:cs="仿宋_GB2312"/>
          <w:b w:val="0"/>
          <w:bCs w:val="0"/>
          <w:kern w:val="1"/>
          <w:sz w:val="32"/>
          <w:szCs w:val="32"/>
          <w:lang w:val="en-US" w:eastAsia="zh-CN"/>
        </w:rPr>
        <w:t>项目二类费用中，</w:t>
      </w:r>
      <w:r>
        <w:rPr>
          <w:rFonts w:hint="eastAsia" w:ascii="仿宋_GB2312" w:hAnsi="仿宋_GB2312" w:eastAsia="仿宋_GB2312" w:cs="仿宋_GB2312"/>
          <w:b w:val="0"/>
          <w:bCs w:val="0"/>
          <w:kern w:val="1"/>
          <w:sz w:val="32"/>
          <w:szCs w:val="32"/>
          <w:lang w:val="en-US" w:eastAsia="zh-CN"/>
        </w:rPr>
        <w:t>城西新村项目的施工监理合同价（98.2万元）高于（发改价格〔2007〕670号）文计算的标准价（88.74万元）</w:t>
      </w:r>
      <w:r>
        <w:rPr>
          <w:rFonts w:hint="eastAsia" w:cs="仿宋_GB2312"/>
          <w:b w:val="0"/>
          <w:bCs w:val="0"/>
          <w:kern w:val="1"/>
          <w:sz w:val="32"/>
          <w:szCs w:val="32"/>
          <w:lang w:val="en-US" w:eastAsia="zh-CN"/>
        </w:rPr>
        <w:t>，具体核查表详见附件3。</w:t>
      </w:r>
      <w:r>
        <w:rPr>
          <w:rFonts w:hint="eastAsia" w:ascii="仿宋_GB2312" w:hAnsi="仿宋_GB2312" w:eastAsia="仿宋_GB2312" w:cs="仿宋_GB2312"/>
          <w:kern w:val="1"/>
          <w:sz w:val="32"/>
          <w:szCs w:val="32"/>
          <w:lang w:val="en-US" w:eastAsia="zh-CN"/>
        </w:rPr>
        <w:t>根据评分标准，该指标得</w:t>
      </w:r>
      <w:r>
        <w:rPr>
          <w:rFonts w:hint="eastAsia" w:cs="仿宋_GB2312"/>
          <w:kern w:val="1"/>
          <w:sz w:val="32"/>
          <w:szCs w:val="32"/>
          <w:lang w:val="en-US" w:eastAsia="zh-CN"/>
        </w:rPr>
        <w:t>1</w:t>
      </w:r>
      <w:r>
        <w:rPr>
          <w:rFonts w:hint="eastAsia" w:ascii="仿宋_GB2312" w:hAnsi="仿宋_GB2312" w:eastAsia="仿宋_GB2312" w:cs="仿宋_GB2312"/>
          <w:kern w:val="1"/>
          <w:sz w:val="32"/>
          <w:szCs w:val="32"/>
          <w:lang w:val="en-US" w:eastAsia="zh-CN"/>
        </w:rPr>
        <w:t>分。</w:t>
      </w:r>
    </w:p>
    <w:p>
      <w:pPr>
        <w:rPr>
          <w:rFonts w:hint="eastAsia" w:ascii="仿宋_GB2312" w:hAnsi="仿宋_GB2312" w:eastAsia="仿宋_GB2312" w:cs="仿宋_GB2312"/>
          <w:b/>
          <w:bCs/>
          <w:kern w:val="1"/>
          <w:sz w:val="32"/>
          <w:szCs w:val="32"/>
          <w:lang w:val="en-US" w:eastAsia="zh-CN"/>
        </w:rPr>
      </w:pPr>
      <w:bookmarkStart w:id="69" w:name="_Toc20443"/>
      <w:r>
        <w:rPr>
          <w:rFonts w:hint="eastAsia" w:ascii="仿宋_GB2312" w:hAnsi="仿宋_GB2312" w:eastAsia="仿宋_GB2312" w:cs="仿宋_GB2312"/>
          <w:b/>
          <w:bCs/>
          <w:kern w:val="1"/>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500" w:lineRule="exact"/>
        <w:ind w:firstLine="643"/>
        <w:contextualSpacing w:val="0"/>
        <w:textAlignment w:val="auto"/>
        <w:outlineLvl w:val="2"/>
        <w:rPr>
          <w:rFonts w:hint="eastAsia" w:ascii="Calibri" w:hAnsi="Arial" w:eastAsia="仿宋_GB2312" w:cs="Times New Roman"/>
          <w:b/>
          <w:bCs/>
          <w:kern w:val="1"/>
          <w:sz w:val="32"/>
          <w:szCs w:val="32"/>
          <w:lang w:val="en-US" w:eastAsia="zh-CN"/>
        </w:rPr>
      </w:pPr>
      <w:bookmarkStart w:id="70" w:name="_Toc31341"/>
      <w:r>
        <w:rPr>
          <w:rFonts w:hint="eastAsia" w:ascii="仿宋_GB2312" w:hAnsi="仿宋_GB2312" w:eastAsia="仿宋_GB2312" w:cs="仿宋_GB2312"/>
          <w:b/>
          <w:bCs/>
          <w:kern w:val="1"/>
          <w:sz w:val="32"/>
          <w:szCs w:val="32"/>
          <w:lang w:val="en-US" w:eastAsia="zh-CN"/>
        </w:rPr>
        <w:t>4</w:t>
      </w:r>
      <w:r>
        <w:rPr>
          <w:rFonts w:hint="eastAsia" w:ascii="仿宋_GB2312" w:hAnsi="仿宋_GB2312" w:eastAsia="仿宋_GB2312" w:cs="仿宋_GB2312"/>
          <w:b/>
          <w:bCs/>
          <w:kern w:val="1"/>
          <w:sz w:val="32"/>
          <w:szCs w:val="32"/>
        </w:rPr>
        <w:t>.项目</w:t>
      </w:r>
      <w:r>
        <w:rPr>
          <w:rFonts w:hint="eastAsia" w:ascii="仿宋_GB2312" w:hAnsi="仿宋_GB2312" w:eastAsia="仿宋_GB2312" w:cs="仿宋_GB2312"/>
          <w:b/>
          <w:bCs/>
          <w:kern w:val="1"/>
          <w:sz w:val="32"/>
          <w:szCs w:val="32"/>
          <w:lang w:val="en-US" w:eastAsia="zh-CN"/>
        </w:rPr>
        <w:t>效益</w:t>
      </w:r>
      <w:bookmarkEnd w:id="69"/>
      <w:bookmarkEnd w:id="70"/>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kern w:val="1"/>
          <w:sz w:val="28"/>
          <w:szCs w:val="28"/>
          <w:lang w:val="en-US" w:eastAsia="zh-CN"/>
        </w:rPr>
      </w:pPr>
      <w:r>
        <w:rPr>
          <w:rFonts w:hint="eastAsia" w:ascii="仿宋_GB2312" w:hAnsi="仿宋_GB2312" w:cs="仿宋_GB2312"/>
          <w:kern w:val="1"/>
          <w:sz w:val="32"/>
          <w:szCs w:val="32"/>
          <w:lang w:val="en-US" w:eastAsia="zh-CN"/>
        </w:rPr>
        <w:t>（1）得分情况</w:t>
      </w:r>
    </w:p>
    <w:p>
      <w:pPr>
        <w:pageBreakBefore w:val="0"/>
        <w:kinsoku/>
        <w:wordWrap/>
        <w:overflowPunct/>
        <w:topLinePunct w:val="0"/>
        <w:autoSpaceDN/>
        <w:bidi w:val="0"/>
        <w:spacing w:line="500" w:lineRule="exact"/>
        <w:ind w:left="0" w:leftChars="0" w:firstLine="0" w:firstLineChars="0"/>
        <w:contextualSpacing w:val="0"/>
        <w:jc w:val="center"/>
        <w:rPr>
          <w:rFonts w:hint="eastAsia" w:ascii="仿宋_GB2312" w:hAnsi="Times New Roman" w:cs="Times New Roman"/>
          <w:b/>
          <w:bCs/>
          <w:kern w:val="1"/>
          <w:sz w:val="28"/>
          <w:szCs w:val="28"/>
        </w:rPr>
      </w:pPr>
      <w:r>
        <w:rPr>
          <w:rFonts w:hint="eastAsia" w:ascii="仿宋_GB2312" w:hAnsi="Times New Roman" w:cs="Times New Roman"/>
          <w:b/>
          <w:bCs/>
          <w:kern w:val="1"/>
          <w:sz w:val="24"/>
          <w:szCs w:val="24"/>
        </w:rPr>
        <w:t>表3-</w:t>
      </w:r>
      <w:r>
        <w:rPr>
          <w:rFonts w:hint="eastAsia" w:ascii="仿宋_GB2312" w:hAnsi="Times New Roman" w:cs="Times New Roman"/>
          <w:b/>
          <w:bCs/>
          <w:kern w:val="1"/>
          <w:sz w:val="24"/>
          <w:szCs w:val="24"/>
          <w:lang w:val="en-US" w:eastAsia="zh-CN"/>
        </w:rPr>
        <w:t>4</w:t>
      </w:r>
      <w:r>
        <w:rPr>
          <w:rFonts w:hint="eastAsia" w:ascii="仿宋_GB2312" w:hAnsi="Times New Roman" w:cs="Times New Roman"/>
          <w:b/>
          <w:bCs/>
          <w:kern w:val="1"/>
          <w:sz w:val="24"/>
          <w:szCs w:val="24"/>
        </w:rPr>
        <w:t>项目</w:t>
      </w:r>
      <w:r>
        <w:rPr>
          <w:rFonts w:hint="eastAsia" w:ascii="仿宋_GB2312" w:hAnsi="Times New Roman" w:cs="Times New Roman"/>
          <w:b/>
          <w:bCs/>
          <w:kern w:val="1"/>
          <w:sz w:val="24"/>
          <w:szCs w:val="24"/>
          <w:lang w:val="en-US" w:eastAsia="zh-CN"/>
        </w:rPr>
        <w:t>效益类指标</w:t>
      </w:r>
      <w:r>
        <w:rPr>
          <w:rFonts w:hint="eastAsia" w:ascii="仿宋_GB2312" w:hAnsi="Times New Roman" w:cs="Times New Roman"/>
          <w:b/>
          <w:bCs/>
          <w:kern w:val="1"/>
          <w:sz w:val="24"/>
          <w:szCs w:val="24"/>
        </w:rPr>
        <w:t>得分表</w:t>
      </w:r>
    </w:p>
    <w:tbl>
      <w:tblPr>
        <w:tblStyle w:val="38"/>
        <w:tblW w:w="865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20"/>
        <w:gridCol w:w="803"/>
        <w:gridCol w:w="2508"/>
        <w:gridCol w:w="11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指标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权重</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业绩值</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kern w:val="1"/>
                <w:sz w:val="24"/>
                <w:szCs w:val="24"/>
              </w:rPr>
            </w:pPr>
            <w:r>
              <w:rPr>
                <w:rFonts w:hint="eastAsia" w:ascii="仿宋_GB2312" w:hAnsi="仿宋_GB2312" w:eastAsia="仿宋_GB2312" w:cs="仿宋_GB2312"/>
                <w:b/>
                <w:kern w:val="1"/>
                <w:sz w:val="24"/>
                <w:szCs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8" w:hRule="atLeast"/>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contextualSpacing w:val="0"/>
              <w:jc w:val="left"/>
              <w:textAlignment w:val="auto"/>
              <w:rPr>
                <w:rFonts w:hint="eastAsia" w:ascii="仿宋_GB2312" w:hAnsi="仿宋_GB2312" w:eastAsia="仿宋_GB2312" w:cs="仿宋_GB2312"/>
                <w:b/>
                <w:bCs/>
                <w:kern w:val="1"/>
                <w:sz w:val="24"/>
                <w:szCs w:val="24"/>
              </w:rPr>
            </w:pPr>
            <w:r>
              <w:rPr>
                <w:rFonts w:hint="eastAsia" w:ascii="仿宋_GB2312" w:hAnsi="仿宋_GB2312" w:eastAsia="仿宋_GB2312" w:cs="仿宋_GB2312"/>
                <w:b/>
                <w:bCs/>
                <w:kern w:val="1"/>
                <w:sz w:val="24"/>
                <w:szCs w:val="24"/>
                <w:lang w:val="en-US" w:eastAsia="zh-CN"/>
              </w:rPr>
              <w:t>D</w:t>
            </w:r>
            <w:r>
              <w:rPr>
                <w:rFonts w:hint="eastAsia" w:ascii="仿宋_GB2312" w:hAnsi="仿宋_GB2312" w:eastAsia="仿宋_GB2312" w:cs="仿宋_GB2312"/>
                <w:b/>
                <w:bCs/>
                <w:kern w:val="1"/>
                <w:sz w:val="24"/>
                <w:szCs w:val="24"/>
              </w:rPr>
              <w:t xml:space="preserve"> 项目效益</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ascii="仿宋_GB2312" w:hAnsi="仿宋_GB2312" w:eastAsia="仿宋_GB2312" w:cs="仿宋_GB2312"/>
                <w:b/>
                <w:bCs/>
                <w:color w:val="000000"/>
                <w:kern w:val="1"/>
                <w:sz w:val="24"/>
                <w:szCs w:val="24"/>
                <w:lang w:val="en-US" w:eastAsia="zh-CN"/>
              </w:rPr>
              <w:t>3</w:t>
            </w:r>
            <w:r>
              <w:rPr>
                <w:rFonts w:hint="eastAsia" w:cs="仿宋_GB2312"/>
                <w:b/>
                <w:bCs/>
                <w:color w:val="000000"/>
                <w:kern w:val="1"/>
                <w:sz w:val="24"/>
                <w:szCs w:val="24"/>
                <w:lang w:val="en-US" w:eastAsia="zh-CN"/>
              </w:rPr>
              <w:t>0</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b/>
                <w:bCs/>
                <w:color w:val="000000"/>
                <w:kern w:val="1"/>
                <w:sz w:val="24"/>
                <w:szCs w:val="24"/>
              </w:rPr>
            </w:pPr>
            <w:r>
              <w:rPr>
                <w:rFonts w:hint="eastAsia" w:ascii="仿宋_GB2312" w:hAnsi="仿宋_GB2312" w:eastAsia="仿宋_GB2312" w:cs="仿宋_GB2312"/>
                <w:b/>
                <w:bCs/>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b/>
                <w:bCs/>
                <w:color w:val="000000"/>
                <w:kern w:val="1"/>
                <w:sz w:val="24"/>
                <w:szCs w:val="24"/>
                <w:lang w:val="en-US" w:eastAsia="zh-CN"/>
              </w:rPr>
            </w:pPr>
            <w:r>
              <w:rPr>
                <w:rFonts w:hint="eastAsia" w:cs="仿宋_GB2312"/>
                <w:b/>
                <w:bCs/>
                <w:color w:val="000000"/>
                <w:kern w:val="1"/>
                <w:sz w:val="24"/>
                <w:szCs w:val="24"/>
                <w:lang w:val="en-US" w:eastAsia="zh-CN"/>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default" w:ascii="仿宋_GB2312" w:hAnsi="仿宋_GB2312" w:eastAsia="仿宋_GB2312" w:cs="仿宋_GB2312"/>
                <w:color w:val="000000"/>
                <w:kern w:val="0"/>
                <w:sz w:val="24"/>
                <w:szCs w:val="24"/>
                <w:lang w:val="en-US" w:eastAsia="zh-CN"/>
              </w:rPr>
            </w:pPr>
            <w:r>
              <w:rPr>
                <w:rFonts w:hint="eastAsia" w:ascii="仿宋_GB2312" w:hAnsi="仿宋_GB2312" w:cs="仿宋_GB2312"/>
                <w:color w:val="000000"/>
                <w:kern w:val="0"/>
                <w:sz w:val="24"/>
                <w:szCs w:val="24"/>
                <w:lang w:val="en-US" w:eastAsia="zh-CN"/>
              </w:rPr>
              <w:t>D</w:t>
            </w:r>
            <w:r>
              <w:rPr>
                <w:rFonts w:hint="eastAsia" w:cs="仿宋_GB2312"/>
                <w:color w:val="000000"/>
                <w:kern w:val="0"/>
                <w:sz w:val="24"/>
                <w:szCs w:val="24"/>
                <w:lang w:val="en-US" w:eastAsia="zh-CN"/>
              </w:rPr>
              <w:t>1</w:t>
            </w:r>
            <w:r>
              <w:rPr>
                <w:rFonts w:hint="eastAsia" w:ascii="仿宋_GB2312" w:hAnsi="仿宋_GB2312" w:cs="仿宋_GB2312"/>
                <w:color w:val="000000"/>
                <w:kern w:val="0"/>
                <w:sz w:val="24"/>
                <w:szCs w:val="24"/>
                <w:lang w:val="en-US" w:eastAsia="zh-CN"/>
              </w:rPr>
              <w:t>社会效益</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10.39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sz w:val="24"/>
                <w:szCs w:val="24"/>
                <w:lang w:val="en-US" w:eastAsia="zh-CN"/>
              </w:rPr>
              <w:t xml:space="preserve">D11 </w:t>
            </w:r>
            <w:r>
              <w:rPr>
                <w:rFonts w:hint="eastAsia" w:ascii="仿宋_GB2312" w:hAnsi="黑体" w:eastAsia="仿宋_GB2312" w:cs="Times New Roman"/>
                <w:sz w:val="24"/>
                <w:szCs w:val="24"/>
                <w:lang w:val="en-US" w:eastAsia="zh-CN"/>
              </w:rPr>
              <w:t>居民幸福感和获得感提升</w:t>
            </w:r>
            <w:r>
              <w:rPr>
                <w:rFonts w:hint="eastAsia" w:hAnsi="黑体" w:cs="Times New Roman"/>
                <w:sz w:val="24"/>
                <w:szCs w:val="24"/>
                <w:lang w:val="en-US" w:eastAsia="zh-CN"/>
              </w:rPr>
              <w:t>占比</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85.98%</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sz w:val="24"/>
                <w:szCs w:val="24"/>
                <w:lang w:val="en-US" w:eastAsia="zh-CN"/>
              </w:rPr>
              <w:t>D12 优化建筑结构</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hAnsi="黑体" w:cs="Times New Roman"/>
                <w:sz w:val="24"/>
                <w:szCs w:val="24"/>
                <w:lang w:val="en-US" w:eastAsia="zh-CN"/>
              </w:rPr>
              <w:t>屋面和外立面</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rPr>
            </w:pPr>
            <w:r>
              <w:rPr>
                <w:rFonts w:hint="eastAsia" w:hAnsi="黑体" w:cs="Times New Roman"/>
                <w:sz w:val="24"/>
                <w:szCs w:val="24"/>
                <w:lang w:val="en-US" w:eastAsia="zh-CN"/>
              </w:rPr>
              <w:t>D13 完善社区功能</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hAnsi="黑体" w:cs="Times New Roman"/>
                <w:sz w:val="24"/>
                <w:szCs w:val="24"/>
                <w:lang w:val="en-US" w:eastAsia="zh-CN"/>
              </w:rPr>
              <w:t>出行和安全</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lang w:val="en-US" w:eastAsia="zh-CN"/>
              </w:rPr>
            </w:pPr>
            <w:r>
              <w:rPr>
                <w:rFonts w:hint="eastAsia" w:hAnsi="黑体" w:cs="Times New Roman"/>
                <w:sz w:val="24"/>
                <w:szCs w:val="24"/>
                <w:lang w:val="en-US" w:eastAsia="zh-CN"/>
              </w:rPr>
              <w:t>D14 健全配套设施</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hAnsi="黑体" w:cs="Times New Roman"/>
                <w:kern w:val="2"/>
                <w:sz w:val="24"/>
                <w:szCs w:val="24"/>
                <w:lang w:val="en-US" w:eastAsia="zh-CN" w:bidi="ar-SA"/>
              </w:rPr>
              <w:t>文体和充电设施，但飞线问题依然突出</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lang w:val="en-US" w:eastAsia="zh-CN"/>
              </w:rPr>
            </w:pPr>
            <w:r>
              <w:rPr>
                <w:rFonts w:hint="eastAsia" w:hAnsi="黑体" w:cs="Times New Roman"/>
                <w:kern w:val="2"/>
                <w:sz w:val="24"/>
                <w:szCs w:val="24"/>
                <w:lang w:val="en-US" w:eastAsia="zh-CN" w:bidi="ar-SA"/>
              </w:rPr>
              <w:t xml:space="preserve">D15 </w:t>
            </w:r>
            <w:r>
              <w:rPr>
                <w:rFonts w:hint="eastAsia" w:hAnsi="黑体" w:cs="Times New Roman"/>
                <w:sz w:val="24"/>
                <w:szCs w:val="24"/>
                <w:lang w:val="en-US" w:eastAsia="zh-CN"/>
              </w:rPr>
              <w:t>群众期待响应匹配率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70%</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color w:val="000000"/>
                <w:kern w:val="0"/>
                <w:sz w:val="24"/>
                <w:szCs w:val="24"/>
                <w:lang w:val="en-US" w:eastAsia="zh-CN"/>
              </w:rPr>
            </w:pPr>
            <w:r>
              <w:rPr>
                <w:rFonts w:hint="eastAsia" w:hAnsi="黑体" w:cs="Times New Roman"/>
                <w:sz w:val="24"/>
                <w:szCs w:val="24"/>
                <w:lang w:val="en-US" w:eastAsia="zh-CN"/>
              </w:rPr>
              <w:t xml:space="preserve">D16 </w:t>
            </w:r>
            <w:r>
              <w:rPr>
                <w:rFonts w:hint="eastAsia" w:hAnsi="黑体" w:cs="Times New Roman"/>
                <w:kern w:val="2"/>
                <w:sz w:val="24"/>
                <w:szCs w:val="24"/>
                <w:lang w:val="en-US" w:eastAsia="zh-CN" w:bidi="ar-SA"/>
              </w:rPr>
              <w:t>安全生产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hAnsi="黑体" w:cs="Times New Roman"/>
                <w:sz w:val="24"/>
                <w:szCs w:val="20"/>
                <w:highlight w:val="none"/>
              </w:rPr>
              <w:t>无施工安全事故发生</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default" w:ascii="仿宋_GB2312" w:hAnsi="仿宋_GB2312" w:eastAsia="仿宋_GB2312" w:cs="仿宋_GB2312"/>
                <w:kern w:val="1"/>
                <w:sz w:val="24"/>
                <w:szCs w:val="24"/>
                <w:lang w:val="en-US" w:eastAsia="zh-CN"/>
              </w:rPr>
            </w:pPr>
            <w:r>
              <w:rPr>
                <w:rFonts w:hint="eastAsia" w:ascii="仿宋_GB2312" w:hAnsi="仿宋_GB2312" w:cs="仿宋_GB2312"/>
                <w:kern w:val="1"/>
                <w:sz w:val="24"/>
                <w:szCs w:val="24"/>
                <w:lang w:val="en-US" w:eastAsia="zh-CN"/>
              </w:rPr>
              <w:t>D</w:t>
            </w:r>
            <w:r>
              <w:rPr>
                <w:rFonts w:hint="eastAsia" w:cs="仿宋_GB2312"/>
                <w:kern w:val="1"/>
                <w:sz w:val="24"/>
                <w:szCs w:val="24"/>
                <w:lang w:val="en-US" w:eastAsia="zh-CN"/>
              </w:rPr>
              <w:t>2</w:t>
            </w:r>
            <w:r>
              <w:rPr>
                <w:rFonts w:hint="eastAsia" w:ascii="仿宋_GB2312" w:hAnsi="仿宋_GB2312" w:cs="仿宋_GB2312"/>
                <w:kern w:val="1"/>
                <w:sz w:val="24"/>
                <w:szCs w:val="24"/>
                <w:lang w:val="en-US" w:eastAsia="zh-CN"/>
              </w:rPr>
              <w:t>生态效益</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4</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rPr>
            </w:pPr>
            <w:r>
              <w:rPr>
                <w:rFonts w:hint="eastAsia" w:hAnsi="黑体" w:cs="Times New Roman"/>
                <w:sz w:val="24"/>
                <w:szCs w:val="24"/>
                <w:lang w:val="en-US" w:eastAsia="zh-CN"/>
              </w:rPr>
              <w:t xml:space="preserve">D21 </w:t>
            </w:r>
            <w:r>
              <w:rPr>
                <w:rFonts w:hint="eastAsia" w:ascii="仿宋_GB2312" w:hAnsi="黑体" w:eastAsia="仿宋_GB2312" w:cs="Times New Roman"/>
                <w:sz w:val="24"/>
                <w:szCs w:val="24"/>
                <w:lang w:val="en-US" w:eastAsia="zh-CN"/>
              </w:rPr>
              <w:t>小区内绿化美观度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hAnsi="黑体" w:cs="Times New Roman"/>
                <w:sz w:val="24"/>
                <w:szCs w:val="24"/>
                <w:lang w:val="en-US" w:eastAsia="zh-CN"/>
              </w:rPr>
              <w:t>无明显提升</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480" w:firstLineChars="200"/>
              <w:contextualSpacing w:val="0"/>
              <w:jc w:val="left"/>
              <w:textAlignment w:val="auto"/>
              <w:rPr>
                <w:rFonts w:hint="eastAsia" w:ascii="仿宋_GB2312" w:hAnsi="仿宋_GB2312" w:eastAsia="仿宋_GB2312" w:cs="仿宋_GB2312"/>
                <w:kern w:val="1"/>
                <w:sz w:val="24"/>
                <w:szCs w:val="24"/>
                <w:lang w:val="en-US"/>
              </w:rPr>
            </w:pPr>
            <w:r>
              <w:rPr>
                <w:rFonts w:hint="eastAsia" w:hAnsi="黑体" w:cs="Times New Roman"/>
                <w:kern w:val="2"/>
                <w:sz w:val="24"/>
                <w:szCs w:val="24"/>
                <w:lang w:val="en-US" w:eastAsia="zh-CN" w:bidi="ar-SA"/>
              </w:rPr>
              <w:t xml:space="preserve">D22 </w:t>
            </w:r>
            <w:r>
              <w:rPr>
                <w:rFonts w:hint="eastAsia" w:ascii="仿宋_GB2312" w:hAnsi="黑体" w:eastAsia="仿宋_GB2312" w:cs="Times New Roman"/>
                <w:sz w:val="24"/>
                <w:szCs w:val="24"/>
                <w:lang w:val="en-US" w:eastAsia="zh-CN"/>
              </w:rPr>
              <w:t>提升城桥地区污水处理效率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tabs>
                <w:tab w:val="left" w:pos="634"/>
              </w:tabs>
              <w:kinsoku/>
              <w:wordWrap/>
              <w:overflowPunct/>
              <w:topLinePunct w:val="0"/>
              <w:autoSpaceDE/>
              <w:autoSpaceDN/>
              <w:bidi w:val="0"/>
              <w:adjustRightInd w:val="0"/>
              <w:snapToGrid w:val="0"/>
              <w:spacing w:line="36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hAnsi="黑体" w:cs="Times New Roman"/>
                <w:sz w:val="24"/>
                <w:szCs w:val="24"/>
                <w:lang w:val="en-US" w:eastAsia="zh-CN"/>
              </w:rPr>
              <w:t>进水COD浓度提升</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val="en-US" w:eastAsia="zh-CN"/>
              </w:rPr>
            </w:pPr>
            <w:r>
              <w:rPr>
                <w:rFonts w:hint="eastAsia" w:ascii="仿宋_GB2312" w:hAnsi="仿宋_GB2312" w:eastAsia="仿宋_GB2312" w:cs="仿宋_GB2312"/>
                <w:kern w:val="1"/>
                <w:sz w:val="24"/>
                <w:szCs w:val="24"/>
                <w:lang w:val="en-US" w:eastAsia="zh-CN"/>
              </w:rPr>
              <w:t>D</w:t>
            </w:r>
            <w:r>
              <w:rPr>
                <w:rFonts w:hint="eastAsia" w:cs="仿宋_GB2312"/>
                <w:kern w:val="1"/>
                <w:sz w:val="24"/>
                <w:szCs w:val="24"/>
                <w:lang w:val="en-US" w:eastAsia="zh-CN"/>
              </w:rPr>
              <w:t>3</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kern w:val="1"/>
                <w:sz w:val="24"/>
                <w:szCs w:val="24"/>
                <w:lang w:val="en-US" w:eastAsia="zh-CN"/>
              </w:rPr>
              <w:t>可持续影响</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rPr>
            </w:pPr>
            <w:r>
              <w:rPr>
                <w:rFonts w:hint="eastAsia" w:hAnsi="宋体" w:cs="宋体"/>
                <w:color w:val="000000"/>
                <w:kern w:val="0"/>
                <w:sz w:val="24"/>
                <w:szCs w:val="24"/>
                <w:lang w:val="en-US" w:eastAsia="zh-CN"/>
              </w:rPr>
              <w:t>D31</w:t>
            </w:r>
            <w:r>
              <w:rPr>
                <w:rFonts w:hint="eastAsia" w:hAnsi="宋体" w:cs="宋体"/>
                <w:color w:val="000000"/>
                <w:kern w:val="0"/>
                <w:sz w:val="24"/>
                <w:szCs w:val="24"/>
              </w:rPr>
              <w:t xml:space="preserve"> </w:t>
            </w:r>
            <w:r>
              <w:rPr>
                <w:rFonts w:hint="eastAsia" w:hAnsi="黑体" w:cs="Times New Roman"/>
                <w:sz w:val="24"/>
                <w:szCs w:val="24"/>
                <w:lang w:val="en-US" w:eastAsia="zh-CN"/>
              </w:rPr>
              <w:t>项目建后管护机制健全性和执行有效性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3</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健全但执行情况不佳</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rPr>
            </w:pPr>
            <w:r>
              <w:rPr>
                <w:rFonts w:hint="eastAsia" w:hAnsi="宋体" w:cs="宋体"/>
                <w:color w:val="000000"/>
                <w:kern w:val="0"/>
                <w:sz w:val="24"/>
                <w:szCs w:val="24"/>
                <w:lang w:val="en-US" w:eastAsia="zh-CN"/>
              </w:rPr>
              <w:t>D32</w:t>
            </w:r>
            <w:r>
              <w:rPr>
                <w:rFonts w:hint="eastAsia" w:hAnsi="宋体" w:cs="宋体"/>
                <w:color w:val="000000"/>
                <w:kern w:val="0"/>
                <w:sz w:val="24"/>
                <w:szCs w:val="24"/>
              </w:rPr>
              <w:t xml:space="preserve"> </w:t>
            </w:r>
            <w:r>
              <w:rPr>
                <w:rFonts w:hint="eastAsia" w:ascii="仿宋_GB2312" w:hAnsi="黑体" w:eastAsia="仿宋_GB2312" w:cs="Times New Roman"/>
                <w:sz w:val="24"/>
                <w:szCs w:val="24"/>
                <w:lang w:val="en-US" w:eastAsia="zh-CN"/>
              </w:rPr>
              <w:t>参建各方的沟通协调机制有效</w:t>
            </w:r>
            <w:r>
              <w:rPr>
                <w:rFonts w:hint="eastAsia" w:hAnsi="黑体" w:cs="Times New Roman"/>
                <w:sz w:val="24"/>
                <w:szCs w:val="24"/>
                <w:lang w:val="en-US" w:eastAsia="zh-CN"/>
              </w:rPr>
              <w:t>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有效</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lang w:val="en-US" w:eastAsia="zh-CN"/>
              </w:rPr>
            </w:pPr>
            <w:r>
              <w:rPr>
                <w:rFonts w:hint="eastAsia" w:hAnsi="宋体" w:cs="宋体"/>
                <w:color w:val="000000"/>
                <w:kern w:val="0"/>
                <w:sz w:val="24"/>
                <w:szCs w:val="24"/>
                <w:lang w:val="en-US" w:eastAsia="zh-CN"/>
              </w:rPr>
              <w:t xml:space="preserve">D33 </w:t>
            </w:r>
            <w:r>
              <w:rPr>
                <w:rFonts w:hint="eastAsia" w:ascii="仿宋_GB2312" w:hAnsi="黑体" w:eastAsia="仿宋_GB2312" w:cs="Times New Roman"/>
                <w:sz w:val="24"/>
                <w:szCs w:val="24"/>
                <w:lang w:val="en-US" w:eastAsia="zh-CN"/>
              </w:rPr>
              <w:t>新建公共设施综合利用率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93.7%</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lang w:val="en-US" w:eastAsia="zh-CN"/>
              </w:rPr>
            </w:pPr>
            <w:r>
              <w:rPr>
                <w:rFonts w:hint="eastAsia" w:hAnsi="宋体" w:cs="宋体"/>
                <w:color w:val="000000"/>
                <w:kern w:val="0"/>
                <w:sz w:val="24"/>
                <w:szCs w:val="24"/>
                <w:lang w:val="en-US" w:eastAsia="zh-CN"/>
              </w:rPr>
              <w:t xml:space="preserve">D34 </w:t>
            </w:r>
            <w:r>
              <w:rPr>
                <w:rFonts w:hint="eastAsia" w:ascii="仿宋_GB2312" w:hAnsi="黑体" w:eastAsia="仿宋_GB2312" w:cs="Times New Roman"/>
                <w:sz w:val="24"/>
                <w:szCs w:val="24"/>
                <w:lang w:val="en-US" w:eastAsia="zh-CN"/>
              </w:rPr>
              <w:t>居民知晓率</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99.3</w:t>
            </w:r>
            <w:r>
              <w:rPr>
                <w:rFonts w:hint="eastAsia" w:ascii="仿宋_GB2312" w:hAnsi="仿宋_GB2312" w:cs="仿宋_GB2312"/>
                <w:color w:val="000000"/>
                <w:kern w:val="1"/>
                <w:sz w:val="24"/>
                <w:szCs w:val="24"/>
                <w:lang w:val="en-US" w:eastAsia="zh-CN"/>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widowControl/>
              <w:spacing w:line="240" w:lineRule="auto"/>
              <w:ind w:firstLine="480" w:firstLineChars="200"/>
              <w:contextualSpacing w:val="0"/>
              <w:jc w:val="left"/>
              <w:rPr>
                <w:rFonts w:hint="eastAsia" w:ascii="仿宋_GB2312" w:hAnsi="仿宋_GB2312" w:eastAsia="仿宋_GB2312" w:cs="仿宋_GB2312"/>
                <w:kern w:val="1"/>
                <w:sz w:val="24"/>
                <w:szCs w:val="24"/>
                <w:lang w:val="en-US" w:eastAsia="zh-CN"/>
              </w:rPr>
            </w:pPr>
            <w:r>
              <w:rPr>
                <w:rFonts w:hint="eastAsia" w:hAnsi="宋体" w:cs="宋体"/>
                <w:color w:val="000000"/>
                <w:kern w:val="0"/>
                <w:sz w:val="24"/>
                <w:szCs w:val="24"/>
                <w:lang w:val="en-US" w:eastAsia="zh-CN"/>
              </w:rPr>
              <w:t>D35 信息公开规范性</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1</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较规范</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240" w:firstLineChars="100"/>
              <w:contextualSpacing w:val="0"/>
              <w:jc w:val="left"/>
              <w:textAlignment w:val="auto"/>
              <w:rPr>
                <w:rFonts w:hint="eastAsia" w:ascii="仿宋_GB2312" w:hAnsi="仿宋_GB2312" w:eastAsia="仿宋_GB2312" w:cs="仿宋_GB2312"/>
                <w:kern w:val="1"/>
                <w:sz w:val="24"/>
                <w:szCs w:val="24"/>
                <w:lang w:eastAsia="zh-CN"/>
              </w:rPr>
            </w:pPr>
            <w:r>
              <w:rPr>
                <w:rFonts w:hint="eastAsia" w:ascii="仿宋_GB2312" w:hAnsi="仿宋_GB2312" w:eastAsia="仿宋_GB2312" w:cs="仿宋_GB2312"/>
                <w:kern w:val="1"/>
                <w:sz w:val="24"/>
                <w:szCs w:val="24"/>
                <w:lang w:val="en-US" w:eastAsia="zh-CN"/>
              </w:rPr>
              <w:t>D</w:t>
            </w:r>
            <w:r>
              <w:rPr>
                <w:rFonts w:hint="eastAsia" w:cs="仿宋_GB2312"/>
                <w:kern w:val="1"/>
                <w:sz w:val="24"/>
                <w:szCs w:val="24"/>
                <w:lang w:val="en-US" w:eastAsia="zh-CN"/>
              </w:rPr>
              <w:t>4</w:t>
            </w:r>
            <w:r>
              <w:rPr>
                <w:rFonts w:hint="eastAsia" w:ascii="仿宋_GB2312" w:hAnsi="仿宋_GB2312" w:eastAsia="仿宋_GB2312" w:cs="仿宋_GB2312"/>
                <w:kern w:val="1"/>
                <w:sz w:val="24"/>
                <w:szCs w:val="24"/>
              </w:rPr>
              <w:t xml:space="preserve"> </w:t>
            </w:r>
            <w:r>
              <w:rPr>
                <w:rFonts w:hint="eastAsia" w:ascii="仿宋_GB2312" w:hAnsi="仿宋_GB2312" w:eastAsia="仿宋_GB2312" w:cs="仿宋_GB2312"/>
                <w:kern w:val="1"/>
                <w:sz w:val="24"/>
                <w:szCs w:val="24"/>
                <w:lang w:val="en-US" w:eastAsia="zh-CN"/>
              </w:rPr>
              <w:t>满意度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ascii="仿宋_GB2312" w:hAnsi="仿宋_GB2312"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rPr>
            </w:pPr>
            <w:r>
              <w:rPr>
                <w:rFonts w:hint="eastAsia" w:ascii="仿宋_GB2312" w:hAnsi="仿宋_GB2312" w:eastAsia="仿宋_GB2312" w:cs="仿宋_GB2312"/>
                <w:color w:val="000000"/>
                <w:kern w:val="1"/>
                <w:sz w:val="24"/>
                <w:szCs w:val="24"/>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5.41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20" w:type="dxa"/>
            <w:vAlign w:val="center"/>
          </w:tcPr>
          <w:p>
            <w:pPr>
              <w:keepNext w:val="0"/>
              <w:keepLines w:val="0"/>
              <w:pageBreakBefore w:val="0"/>
              <w:tabs>
                <w:tab w:val="left" w:pos="634"/>
              </w:tabs>
              <w:kinsoku/>
              <w:wordWrap/>
              <w:overflowPunct/>
              <w:topLinePunct w:val="0"/>
              <w:autoSpaceDE/>
              <w:autoSpaceDN/>
              <w:bidi w:val="0"/>
              <w:adjustRightInd w:val="0"/>
              <w:snapToGrid w:val="0"/>
              <w:spacing w:line="240" w:lineRule="auto"/>
              <w:ind w:firstLine="480" w:firstLineChars="200"/>
              <w:contextualSpacing w:val="0"/>
              <w:jc w:val="both"/>
              <w:textAlignment w:val="auto"/>
              <w:rPr>
                <w:rFonts w:hint="eastAsia" w:ascii="仿宋_GB2312" w:hAnsi="仿宋_GB2312" w:eastAsia="仿宋_GB2312" w:cs="仿宋_GB2312"/>
                <w:color w:val="000000"/>
                <w:kern w:val="0"/>
                <w:sz w:val="24"/>
                <w:szCs w:val="24"/>
              </w:rPr>
            </w:pPr>
            <w:r>
              <w:rPr>
                <w:rFonts w:hint="eastAsia" w:ascii="仿宋_GB2312" w:hAnsi="仿宋_GB2312" w:eastAsia="仿宋_GB2312" w:cs="仿宋_GB2312"/>
                <w:color w:val="000000"/>
                <w:kern w:val="2"/>
                <w:sz w:val="24"/>
                <w:szCs w:val="24"/>
                <w:lang w:val="en-US" w:eastAsia="zh-CN"/>
              </w:rPr>
              <w:t>D</w:t>
            </w:r>
            <w:r>
              <w:rPr>
                <w:rFonts w:hint="eastAsia" w:cs="仿宋_GB2312"/>
                <w:color w:val="000000"/>
                <w:kern w:val="2"/>
                <w:sz w:val="24"/>
                <w:szCs w:val="24"/>
                <w:lang w:val="en-US" w:eastAsia="zh-CN"/>
              </w:rPr>
              <w:t>4</w:t>
            </w:r>
            <w:r>
              <w:rPr>
                <w:rFonts w:hint="eastAsia" w:ascii="仿宋_GB2312" w:hAnsi="仿宋_GB2312" w:eastAsia="仿宋_GB2312" w:cs="仿宋_GB2312"/>
                <w:color w:val="000000"/>
                <w:kern w:val="2"/>
                <w:sz w:val="24"/>
                <w:szCs w:val="24"/>
                <w:lang w:val="en-US" w:eastAsia="zh-CN"/>
              </w:rPr>
              <w:t>1</w:t>
            </w:r>
            <w:r>
              <w:rPr>
                <w:rFonts w:hint="eastAsia" w:cs="仿宋_GB2312"/>
                <w:color w:val="000000"/>
                <w:kern w:val="2"/>
                <w:sz w:val="24"/>
                <w:szCs w:val="24"/>
                <w:lang w:val="en-US" w:eastAsia="zh-CN"/>
              </w:rPr>
              <w:t xml:space="preserve"> </w:t>
            </w:r>
            <w:r>
              <w:rPr>
                <w:rFonts w:hint="eastAsia" w:ascii="仿宋_GB2312" w:hAnsi="仿宋_GB2312" w:eastAsia="仿宋_GB2312" w:cs="仿宋_GB2312"/>
                <w:color w:val="000000"/>
                <w:kern w:val="2"/>
                <w:sz w:val="24"/>
                <w:szCs w:val="24"/>
                <w:lang w:val="en-US" w:eastAsia="zh-CN"/>
              </w:rPr>
              <w:t>小区居民对改造成果的综合满意度</w:t>
            </w:r>
          </w:p>
        </w:tc>
        <w:tc>
          <w:tcPr>
            <w:tcW w:w="803"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eastAsia"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6</w:t>
            </w:r>
          </w:p>
        </w:tc>
        <w:tc>
          <w:tcPr>
            <w:tcW w:w="2508"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81.7</w:t>
            </w:r>
            <w:r>
              <w:rPr>
                <w:rFonts w:hint="eastAsia" w:ascii="仿宋_GB2312" w:hAnsi="仿宋_GB2312" w:cs="仿宋_GB2312"/>
                <w:color w:val="000000"/>
                <w:kern w:val="1"/>
                <w:sz w:val="24"/>
                <w:szCs w:val="24"/>
                <w:lang w:val="en-US" w:eastAsia="zh-CN"/>
              </w:rPr>
              <w:t>%</w:t>
            </w:r>
          </w:p>
        </w:tc>
        <w:tc>
          <w:tcPr>
            <w:tcW w:w="1120" w:type="dxa"/>
            <w:vAlign w:val="center"/>
          </w:tcPr>
          <w:p>
            <w:pPr>
              <w:keepNext w:val="0"/>
              <w:keepLines w:val="0"/>
              <w:pageBreakBefore w:val="0"/>
              <w:widowControl w:val="0"/>
              <w:kinsoku/>
              <w:wordWrap/>
              <w:overflowPunct/>
              <w:topLinePunct w:val="0"/>
              <w:autoSpaceDE/>
              <w:autoSpaceDN/>
              <w:bidi w:val="0"/>
              <w:adjustRightInd/>
              <w:snapToGrid/>
              <w:spacing w:line="400" w:lineRule="exact"/>
              <w:ind w:firstLine="0" w:firstLineChars="0"/>
              <w:contextualSpacing w:val="0"/>
              <w:jc w:val="center"/>
              <w:textAlignment w:val="auto"/>
              <w:rPr>
                <w:rFonts w:hint="default" w:ascii="仿宋_GB2312" w:hAnsi="仿宋_GB2312" w:eastAsia="仿宋_GB2312" w:cs="仿宋_GB2312"/>
                <w:color w:val="000000"/>
                <w:kern w:val="1"/>
                <w:sz w:val="24"/>
                <w:szCs w:val="24"/>
                <w:lang w:val="en-US" w:eastAsia="zh-CN"/>
              </w:rPr>
            </w:pPr>
            <w:r>
              <w:rPr>
                <w:rFonts w:hint="eastAsia" w:cs="仿宋_GB2312"/>
                <w:color w:val="000000"/>
                <w:kern w:val="1"/>
                <w:sz w:val="24"/>
                <w:szCs w:val="24"/>
                <w:lang w:val="en-US" w:eastAsia="zh-CN"/>
              </w:rPr>
              <w:t>5.41</w:t>
            </w:r>
          </w:p>
        </w:tc>
      </w:tr>
    </w:tbl>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kern w:val="1"/>
          <w:sz w:val="28"/>
          <w:szCs w:val="28"/>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w:t>
      </w:r>
      <w:r>
        <w:rPr>
          <w:rFonts w:hint="eastAsia" w:ascii="仿宋_GB2312" w:hAnsi="仿宋_GB2312" w:cs="仿宋_GB2312"/>
          <w:kern w:val="1"/>
          <w:sz w:val="32"/>
          <w:szCs w:val="32"/>
          <w:lang w:val="en-US" w:eastAsia="zh-CN"/>
        </w:rPr>
        <w:t>指标分析</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eastAsia="仿宋_GB2312" w:cs="仿宋_GB2312"/>
          <w:kern w:val="1"/>
          <w:sz w:val="32"/>
          <w:szCs w:val="32"/>
          <w:lang w:val="en-US" w:eastAsia="zh-CN"/>
        </w:rPr>
        <w:t>D</w:t>
      </w:r>
      <w:r>
        <w:rPr>
          <w:rFonts w:hint="eastAsia" w:cs="仿宋_GB2312"/>
          <w:kern w:val="1"/>
          <w:sz w:val="32"/>
          <w:szCs w:val="32"/>
          <w:lang w:val="en-US" w:eastAsia="zh-CN"/>
        </w:rPr>
        <w:t>1</w:t>
      </w:r>
      <w:r>
        <w:rPr>
          <w:rFonts w:hint="eastAsia" w:ascii="仿宋_GB2312" w:hAnsi="仿宋_GB2312" w:cs="仿宋_GB2312"/>
          <w:kern w:val="1"/>
          <w:sz w:val="32"/>
          <w:szCs w:val="32"/>
          <w:lang w:val="en-US" w:eastAsia="zh-CN"/>
        </w:rPr>
        <w:t>1</w:t>
      </w:r>
      <w:r>
        <w:rPr>
          <w:rFonts w:hint="eastAsia" w:ascii="仿宋_GB2312" w:hAnsi="仿宋_GB2312" w:eastAsia="仿宋_GB2312" w:cs="仿宋_GB2312"/>
          <w:kern w:val="1"/>
          <w:sz w:val="32"/>
          <w:szCs w:val="32"/>
          <w:lang w:val="en-US" w:eastAsia="zh-CN"/>
        </w:rPr>
        <w:t xml:space="preserve"> 居民幸福感和获得感提升占比 权重</w:t>
      </w:r>
      <w:r>
        <w:rPr>
          <w:rFonts w:hint="eastAsia" w:ascii="仿宋_GB2312" w:hAnsi="仿宋_GB2312"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分，得分</w:t>
      </w:r>
      <w:r>
        <w:rPr>
          <w:rFonts w:hint="eastAsia" w:cs="仿宋_GB2312"/>
          <w:kern w:val="1"/>
          <w:sz w:val="32"/>
          <w:szCs w:val="32"/>
          <w:lang w:val="en-US" w:eastAsia="zh-CN"/>
        </w:rPr>
        <w:t>2</w:t>
      </w:r>
      <w:r>
        <w:rPr>
          <w:rFonts w:hint="eastAsia" w:ascii="仿宋_GB2312" w:hAnsi="仿宋_GB2312" w:eastAsia="仿宋_GB2312" w:cs="仿宋_GB2312"/>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cs="仿宋_GB2312"/>
          <w:b w:val="0"/>
          <w:bCs w:val="0"/>
          <w:kern w:val="1"/>
          <w:sz w:val="32"/>
          <w:szCs w:val="32"/>
          <w:highlight w:val="none"/>
          <w:lang w:val="en-US" w:eastAsia="zh-CN"/>
        </w:rPr>
        <w:t>接受问卷调查的美丽家园改造居民共428名，其中对小区改造后提升获得感和幸福感的看法表示“有明显提升”的占54.67%，表示“有一定提升”的占比31.31%，表示“</w:t>
      </w:r>
      <w:r>
        <w:rPr>
          <w:rFonts w:hint="eastAsia" w:ascii="仿宋_GB2312" w:hAnsi="仿宋_GB2312" w:cs="仿宋_GB2312"/>
          <w:b w:val="0"/>
          <w:bCs w:val="0"/>
          <w:kern w:val="1"/>
          <w:sz w:val="32"/>
          <w:szCs w:val="32"/>
          <w:highlight w:val="none"/>
          <w:lang w:val="en-US" w:eastAsia="zh-CN"/>
        </w:rPr>
        <w:t>没啥感觉</w:t>
      </w:r>
      <w:r>
        <w:rPr>
          <w:rFonts w:hint="eastAsia" w:cs="仿宋_GB2312"/>
          <w:b w:val="0"/>
          <w:bCs w:val="0"/>
          <w:kern w:val="1"/>
          <w:sz w:val="32"/>
          <w:szCs w:val="32"/>
          <w:highlight w:val="none"/>
          <w:lang w:val="en-US" w:eastAsia="zh-CN"/>
        </w:rPr>
        <w:t>”的占比12.38%，表示“还不如以前”的占比1.64%</w:t>
      </w:r>
      <w:r>
        <w:rPr>
          <w:rFonts w:hint="eastAsia" w:ascii="仿宋_GB2312" w:hAnsi="仿宋_GB2312" w:cs="仿宋_GB2312"/>
          <w:b w:val="0"/>
          <w:bCs w:val="0"/>
          <w:kern w:val="1"/>
          <w:sz w:val="32"/>
          <w:szCs w:val="32"/>
          <w:highlight w:val="none"/>
          <w:lang w:val="en-US" w:eastAsia="zh-CN"/>
        </w:rPr>
        <w:t>，</w:t>
      </w:r>
      <w:r>
        <w:rPr>
          <w:rFonts w:hint="eastAsia" w:cs="仿宋_GB2312"/>
          <w:b w:val="0"/>
          <w:bCs w:val="0"/>
          <w:kern w:val="1"/>
          <w:sz w:val="32"/>
          <w:szCs w:val="32"/>
          <w:highlight w:val="none"/>
          <w:lang w:val="en-US" w:eastAsia="zh-CN"/>
        </w:rPr>
        <w:t>正面回答合计占比85.98%，</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满</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1</w:t>
      </w:r>
      <w:r>
        <w:rPr>
          <w:rFonts w:hint="eastAsia" w:ascii="仿宋_GB2312" w:hAnsi="仿宋_GB2312" w:cs="仿宋_GB2312"/>
          <w:b w:val="0"/>
          <w:bCs w:val="0"/>
          <w:kern w:val="1"/>
          <w:sz w:val="32"/>
          <w:szCs w:val="32"/>
          <w:highlight w:val="none"/>
          <w:lang w:val="en-US" w:eastAsia="zh-CN"/>
        </w:rPr>
        <w:t>2</w:t>
      </w:r>
      <w:r>
        <w:rPr>
          <w:rFonts w:hint="eastAsia" w:ascii="仿宋_GB2312" w:hAnsi="仿宋_GB2312" w:eastAsia="仿宋_GB2312" w:cs="仿宋_GB2312"/>
          <w:b w:val="0"/>
          <w:bCs w:val="0"/>
          <w:kern w:val="1"/>
          <w:sz w:val="32"/>
          <w:szCs w:val="32"/>
          <w:highlight w:val="none"/>
          <w:lang w:val="en-US" w:eastAsia="zh-CN"/>
        </w:rPr>
        <w:t xml:space="preserve"> 优化建筑结构</w:t>
      </w:r>
      <w:r>
        <w:rPr>
          <w:rFonts w:hint="eastAsia" w:ascii="仿宋_GB2312" w:hAnsi="仿宋_GB2312" w:eastAsia="仿宋_GB2312" w:cs="仿宋_GB2312"/>
          <w:b w:val="0"/>
          <w:bCs w:val="0"/>
          <w:kern w:val="1"/>
          <w:sz w:val="32"/>
          <w:szCs w:val="32"/>
          <w:lang w:val="en-US" w:eastAsia="zh-CN"/>
        </w:rPr>
        <w:t xml:space="preserve"> 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cs="仿宋_GB2312"/>
          <w:kern w:val="1"/>
          <w:sz w:val="32"/>
          <w:szCs w:val="32"/>
          <w:lang w:val="en-US" w:eastAsia="zh-CN"/>
        </w:rPr>
      </w:pPr>
      <w:r>
        <w:rPr>
          <w:rFonts w:hint="eastAsia" w:cs="仿宋_GB2312"/>
          <w:kern w:val="1"/>
          <w:sz w:val="32"/>
          <w:szCs w:val="32"/>
          <w:lang w:val="en-US" w:eastAsia="zh-CN"/>
        </w:rPr>
        <w:t>①</w:t>
      </w:r>
      <w:r>
        <w:rPr>
          <w:rFonts w:hint="eastAsia" w:ascii="仿宋_GB2312" w:hAnsi="仿宋_GB2312" w:cs="仿宋_GB2312"/>
          <w:kern w:val="1"/>
          <w:sz w:val="32"/>
          <w:szCs w:val="32"/>
          <w:lang w:val="en-US" w:eastAsia="zh-CN"/>
        </w:rPr>
        <w:t>根据项目屋面和外立面施工方案，结合对物业和居民的访谈</w:t>
      </w:r>
      <w:r>
        <w:rPr>
          <w:rFonts w:hint="eastAsia" w:cs="仿宋_GB2312"/>
          <w:kern w:val="1"/>
          <w:sz w:val="32"/>
          <w:szCs w:val="32"/>
          <w:lang w:val="en-US" w:eastAsia="zh-CN"/>
        </w:rPr>
        <w:t>可知</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项目集中实施了</w:t>
      </w:r>
      <w:r>
        <w:rPr>
          <w:rFonts w:hint="eastAsia" w:ascii="仿宋_GB2312" w:hAnsi="仿宋_GB2312" w:cs="仿宋_GB2312"/>
          <w:kern w:val="1"/>
          <w:sz w:val="32"/>
          <w:szCs w:val="32"/>
          <w:lang w:val="en-US" w:eastAsia="zh-CN"/>
        </w:rPr>
        <w:t>对建筑外立面、空调外机支架、遮阳篷、雨蓬、晾衣架等外立面附属设施</w:t>
      </w:r>
      <w:r>
        <w:rPr>
          <w:rFonts w:hint="eastAsia" w:cs="仿宋_GB2312"/>
          <w:kern w:val="1"/>
          <w:sz w:val="32"/>
          <w:szCs w:val="32"/>
          <w:lang w:val="en-US" w:eastAsia="zh-CN"/>
        </w:rPr>
        <w:t>的修缮，解决了屋面年久失修和漏水问题，更换了老化的雨水管、空调滴水管等，房屋在建筑结构优化方面得到了提升；得1分；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cs="仿宋_GB2312"/>
          <w:kern w:val="1"/>
          <w:sz w:val="32"/>
          <w:szCs w:val="32"/>
          <w:lang w:val="en-US" w:eastAsia="zh-CN"/>
        </w:rPr>
        <w:t>②</w:t>
      </w:r>
      <w:r>
        <w:rPr>
          <w:rFonts w:hint="eastAsia" w:ascii="仿宋_GB2312" w:hAnsi="仿宋_GB2312" w:cs="仿宋_GB2312"/>
          <w:kern w:val="1"/>
          <w:sz w:val="32"/>
          <w:szCs w:val="32"/>
          <w:lang w:val="en-US" w:eastAsia="zh-CN"/>
        </w:rPr>
        <w:t>在</w:t>
      </w:r>
      <w:r>
        <w:rPr>
          <w:rFonts w:hint="eastAsia" w:cs="仿宋_GB2312"/>
          <w:kern w:val="1"/>
          <w:sz w:val="32"/>
          <w:szCs w:val="32"/>
          <w:lang w:val="en-US" w:eastAsia="zh-CN"/>
        </w:rPr>
        <w:t>改造完成后，</w:t>
      </w:r>
      <w:r>
        <w:rPr>
          <w:rFonts w:hint="eastAsia" w:ascii="仿宋_GB2312" w:hAnsi="仿宋_GB2312" w:cs="仿宋_GB2312"/>
          <w:kern w:val="1"/>
          <w:sz w:val="32"/>
          <w:szCs w:val="32"/>
          <w:lang w:val="en-US" w:eastAsia="zh-CN"/>
        </w:rPr>
        <w:t>建筑风貌</w:t>
      </w:r>
      <w:r>
        <w:rPr>
          <w:rFonts w:hint="eastAsia" w:cs="仿宋_GB2312"/>
          <w:kern w:val="1"/>
          <w:sz w:val="32"/>
          <w:szCs w:val="32"/>
          <w:lang w:val="en-US" w:eastAsia="zh-CN"/>
        </w:rPr>
        <w:t>是否得到</w:t>
      </w:r>
      <w:r>
        <w:rPr>
          <w:rFonts w:hint="eastAsia" w:ascii="仿宋_GB2312" w:hAnsi="仿宋_GB2312" w:cs="仿宋_GB2312"/>
          <w:kern w:val="1"/>
          <w:sz w:val="32"/>
          <w:szCs w:val="32"/>
          <w:lang w:val="en-US" w:eastAsia="zh-CN"/>
        </w:rPr>
        <w:t>提升方面，居民问卷调查中给出正面回答的人数比例</w:t>
      </w:r>
      <w:r>
        <w:rPr>
          <w:rFonts w:hint="eastAsia" w:cs="仿宋_GB2312"/>
          <w:kern w:val="1"/>
          <w:sz w:val="32"/>
          <w:szCs w:val="32"/>
          <w:lang w:val="en-US" w:eastAsia="zh-CN"/>
        </w:rPr>
        <w:t>达到96.96%，</w:t>
      </w:r>
      <w:r>
        <w:rPr>
          <w:rFonts w:hint="eastAsia" w:ascii="仿宋_GB2312" w:hAnsi="仿宋_GB2312" w:eastAsia="仿宋_GB2312" w:cs="仿宋_GB2312"/>
          <w:b w:val="0"/>
          <w:bCs w:val="0"/>
          <w:kern w:val="1"/>
          <w:sz w:val="32"/>
          <w:szCs w:val="32"/>
          <w:lang w:val="en-US" w:eastAsia="zh-CN"/>
        </w:rPr>
        <w:t>根据评分标准，得</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D</w:t>
      </w:r>
      <w:r>
        <w:rPr>
          <w:rFonts w:hint="eastAsia" w:cs="仿宋_GB2312"/>
          <w:b w:val="0"/>
          <w:bCs w:val="0"/>
          <w:kern w:val="1"/>
          <w:sz w:val="32"/>
          <w:szCs w:val="32"/>
          <w:lang w:val="en-US" w:eastAsia="zh-CN"/>
        </w:rPr>
        <w:t>1</w:t>
      </w:r>
      <w:r>
        <w:rPr>
          <w:rFonts w:hint="eastAsia" w:ascii="仿宋_GB2312" w:hAnsi="仿宋_GB2312" w:cs="仿宋_GB2312"/>
          <w:b w:val="0"/>
          <w:bCs w:val="0"/>
          <w:kern w:val="1"/>
          <w:sz w:val="32"/>
          <w:szCs w:val="32"/>
          <w:lang w:val="en-US" w:eastAsia="zh-CN"/>
        </w:rPr>
        <w:t>3</w:t>
      </w:r>
      <w:r>
        <w:rPr>
          <w:rFonts w:hint="eastAsia" w:ascii="仿宋_GB2312" w:hAnsi="仿宋_GB2312" w:eastAsia="仿宋_GB2312" w:cs="仿宋_GB2312"/>
          <w:b w:val="0"/>
          <w:bCs w:val="0"/>
          <w:kern w:val="1"/>
          <w:sz w:val="32"/>
          <w:szCs w:val="32"/>
          <w:lang w:val="en-US" w:eastAsia="zh-CN"/>
        </w:rPr>
        <w:t xml:space="preserve"> 完善社区功能 权重</w:t>
      </w:r>
      <w:r>
        <w:rPr>
          <w:rFonts w:hint="eastAsia" w:ascii="仿宋_GB2312" w:hAnsi="仿宋_GB2312"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kern w:val="1"/>
          <w:sz w:val="32"/>
          <w:szCs w:val="32"/>
          <w:lang w:val="en-US" w:eastAsia="zh-CN"/>
        </w:rPr>
        <w:t>①</w:t>
      </w:r>
      <w:r>
        <w:rPr>
          <w:rFonts w:hint="eastAsia" w:ascii="仿宋_GB2312" w:hAnsi="仿宋_GB2312" w:cs="仿宋_GB2312"/>
          <w:b w:val="0"/>
          <w:bCs w:val="0"/>
          <w:kern w:val="1"/>
          <w:sz w:val="32"/>
          <w:szCs w:val="32"/>
          <w:lang w:val="en-US" w:eastAsia="zh-CN"/>
        </w:rPr>
        <w:t>根据项目施工方案、审价报告和实地踏勘</w:t>
      </w:r>
      <w:r>
        <w:rPr>
          <w:rFonts w:hint="eastAsia" w:cs="仿宋_GB2312"/>
          <w:b w:val="0"/>
          <w:bCs w:val="0"/>
          <w:kern w:val="1"/>
          <w:sz w:val="32"/>
          <w:szCs w:val="32"/>
          <w:lang w:val="en-US" w:eastAsia="zh-CN"/>
        </w:rPr>
        <w:t>结果</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西门北村、西门南村和北门新村等3个</w:t>
      </w:r>
      <w:r>
        <w:rPr>
          <w:rFonts w:hint="eastAsia" w:ascii="仿宋_GB2312" w:hAnsi="仿宋_GB2312" w:cs="仿宋_GB2312"/>
          <w:b w:val="0"/>
          <w:bCs w:val="0"/>
          <w:kern w:val="1"/>
          <w:sz w:val="32"/>
          <w:szCs w:val="32"/>
          <w:lang w:val="en-US" w:eastAsia="zh-CN"/>
        </w:rPr>
        <w:t>小区</w:t>
      </w:r>
      <w:r>
        <w:rPr>
          <w:rFonts w:hint="eastAsia" w:cs="仿宋_GB2312"/>
          <w:b w:val="0"/>
          <w:bCs w:val="0"/>
          <w:kern w:val="1"/>
          <w:sz w:val="32"/>
          <w:szCs w:val="32"/>
          <w:lang w:val="en-US" w:eastAsia="zh-CN"/>
        </w:rPr>
        <w:t>的</w:t>
      </w:r>
      <w:r>
        <w:rPr>
          <w:rFonts w:hint="eastAsia" w:ascii="仿宋_GB2312" w:hAnsi="仿宋_GB2312" w:cs="仿宋_GB2312"/>
          <w:b w:val="0"/>
          <w:bCs w:val="0"/>
          <w:kern w:val="1"/>
          <w:sz w:val="32"/>
          <w:szCs w:val="32"/>
          <w:lang w:val="en-US" w:eastAsia="zh-CN"/>
        </w:rPr>
        <w:t>人车分流</w:t>
      </w:r>
      <w:r>
        <w:rPr>
          <w:rFonts w:hint="eastAsia" w:cs="仿宋_GB2312"/>
          <w:b w:val="0"/>
          <w:bCs w:val="0"/>
          <w:kern w:val="1"/>
          <w:sz w:val="32"/>
          <w:szCs w:val="32"/>
          <w:lang w:val="en-US" w:eastAsia="zh-CN"/>
        </w:rPr>
        <w:t>得到优化，改造完成后6个小区合计</w:t>
      </w:r>
      <w:r>
        <w:rPr>
          <w:rFonts w:hint="eastAsia" w:ascii="仿宋_GB2312" w:hAnsi="仿宋_GB2312" w:cs="仿宋_GB2312"/>
          <w:b w:val="0"/>
          <w:bCs w:val="0"/>
          <w:kern w:val="1"/>
          <w:sz w:val="32"/>
          <w:szCs w:val="32"/>
          <w:lang w:val="en-US" w:eastAsia="zh-CN"/>
        </w:rPr>
        <w:t>增加停车位</w:t>
      </w:r>
      <w:r>
        <w:rPr>
          <w:rFonts w:hint="eastAsia" w:cs="仿宋_GB2312"/>
          <w:b w:val="0"/>
          <w:bCs w:val="0"/>
          <w:kern w:val="1"/>
          <w:sz w:val="32"/>
          <w:szCs w:val="32"/>
          <w:lang w:val="en-US" w:eastAsia="zh-CN"/>
        </w:rPr>
        <w:t>50个左右，各小区内主干</w:t>
      </w:r>
      <w:r>
        <w:rPr>
          <w:rFonts w:hint="eastAsia" w:ascii="仿宋_GB2312" w:hAnsi="仿宋_GB2312" w:cs="仿宋_GB2312"/>
          <w:b w:val="0"/>
          <w:bCs w:val="0"/>
          <w:kern w:val="1"/>
          <w:sz w:val="32"/>
          <w:szCs w:val="32"/>
          <w:lang w:val="en-US" w:eastAsia="zh-CN"/>
        </w:rPr>
        <w:t>道路</w:t>
      </w:r>
      <w:r>
        <w:rPr>
          <w:rFonts w:hint="eastAsia" w:cs="仿宋_GB2312"/>
          <w:b w:val="0"/>
          <w:bCs w:val="0"/>
          <w:kern w:val="1"/>
          <w:sz w:val="32"/>
          <w:szCs w:val="32"/>
          <w:lang w:val="en-US" w:eastAsia="zh-CN"/>
        </w:rPr>
        <w:t>修缮率达到100%；</w:t>
      </w:r>
      <w:r>
        <w:rPr>
          <w:rFonts w:hint="eastAsia" w:ascii="仿宋_GB2312" w:hAnsi="仿宋_GB2312" w:cs="仿宋_GB2312"/>
          <w:b w:val="0"/>
          <w:bCs w:val="0"/>
          <w:kern w:val="1"/>
          <w:sz w:val="32"/>
          <w:szCs w:val="32"/>
          <w:lang w:val="en-US" w:eastAsia="zh-CN"/>
        </w:rPr>
        <w:t>在物防、技防方面</w:t>
      </w:r>
      <w:r>
        <w:rPr>
          <w:rFonts w:hint="eastAsia" w:cs="仿宋_GB2312"/>
          <w:b w:val="0"/>
          <w:bCs w:val="0"/>
          <w:kern w:val="1"/>
          <w:sz w:val="32"/>
          <w:szCs w:val="32"/>
          <w:lang w:val="en-US" w:eastAsia="zh-CN"/>
        </w:rPr>
        <w:t>，对各小区的围墙进行重新粉刷和破损修补</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部分小区新增了安防摄像头、电子显示屏等；</w:t>
      </w:r>
      <w:r>
        <w:rPr>
          <w:rFonts w:hint="eastAsia" w:ascii="仿宋_GB2312" w:hAnsi="仿宋_GB2312" w:cs="仿宋_GB2312"/>
          <w:b w:val="0"/>
          <w:bCs w:val="0"/>
          <w:kern w:val="1"/>
          <w:sz w:val="32"/>
          <w:szCs w:val="32"/>
          <w:lang w:val="en-US" w:eastAsia="zh-CN"/>
        </w:rPr>
        <w:t>综</w:t>
      </w:r>
      <w:r>
        <w:rPr>
          <w:rFonts w:hint="eastAsia" w:cs="仿宋_GB2312"/>
          <w:b w:val="0"/>
          <w:bCs w:val="0"/>
          <w:kern w:val="1"/>
          <w:sz w:val="32"/>
          <w:szCs w:val="32"/>
          <w:lang w:val="en-US" w:eastAsia="zh-CN"/>
        </w:rPr>
        <w:t>上</w:t>
      </w:r>
      <w:r>
        <w:rPr>
          <w:rFonts w:hint="eastAsia" w:ascii="仿宋_GB2312" w:hAnsi="仿宋_GB2312" w:cs="仿宋_GB2312"/>
          <w:b w:val="0"/>
          <w:bCs w:val="0"/>
          <w:kern w:val="1"/>
          <w:sz w:val="32"/>
          <w:szCs w:val="32"/>
          <w:lang w:val="en-US" w:eastAsia="zh-CN"/>
        </w:rPr>
        <w:t>判断改造工程对小区</w:t>
      </w:r>
      <w:r>
        <w:rPr>
          <w:rFonts w:hint="eastAsia" w:cs="仿宋_GB2312"/>
          <w:b w:val="0"/>
          <w:bCs w:val="0"/>
          <w:kern w:val="1"/>
          <w:sz w:val="32"/>
          <w:szCs w:val="32"/>
          <w:lang w:val="en-US" w:eastAsia="zh-CN"/>
        </w:rPr>
        <w:t>的</w:t>
      </w:r>
      <w:r>
        <w:rPr>
          <w:rFonts w:hint="eastAsia" w:ascii="仿宋_GB2312" w:hAnsi="仿宋_GB2312" w:cs="仿宋_GB2312"/>
          <w:b w:val="0"/>
          <w:bCs w:val="0"/>
          <w:kern w:val="1"/>
          <w:sz w:val="32"/>
          <w:szCs w:val="32"/>
          <w:lang w:val="en-US" w:eastAsia="zh-CN"/>
        </w:rPr>
        <w:t>通勤条件和安全性</w:t>
      </w:r>
      <w:r>
        <w:rPr>
          <w:rFonts w:hint="eastAsia" w:cs="仿宋_GB2312"/>
          <w:b w:val="0"/>
          <w:bCs w:val="0"/>
          <w:kern w:val="1"/>
          <w:sz w:val="32"/>
          <w:szCs w:val="32"/>
          <w:lang w:val="en-US" w:eastAsia="zh-CN"/>
        </w:rPr>
        <w:t>都有</w:t>
      </w:r>
      <w:r>
        <w:rPr>
          <w:rFonts w:hint="eastAsia" w:ascii="仿宋_GB2312" w:hAnsi="仿宋_GB2312" w:cs="仿宋_GB2312"/>
          <w:b w:val="0"/>
          <w:bCs w:val="0"/>
          <w:kern w:val="1"/>
          <w:sz w:val="32"/>
          <w:szCs w:val="32"/>
          <w:lang w:val="en-US" w:eastAsia="zh-CN"/>
        </w:rPr>
        <w:t>提升，得1分；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cs="仿宋_GB2312"/>
          <w:kern w:val="1"/>
          <w:sz w:val="32"/>
          <w:szCs w:val="32"/>
          <w:lang w:val="en-US" w:eastAsia="zh-CN"/>
        </w:rPr>
        <w:t>②</w:t>
      </w:r>
      <w:r>
        <w:rPr>
          <w:rFonts w:hint="eastAsia" w:ascii="仿宋_GB2312" w:hAnsi="仿宋_GB2312" w:cs="仿宋_GB2312"/>
          <w:b w:val="0"/>
          <w:bCs w:val="0"/>
          <w:kern w:val="1"/>
          <w:sz w:val="32"/>
          <w:szCs w:val="32"/>
          <w:lang w:val="en-US" w:eastAsia="zh-CN"/>
        </w:rPr>
        <w:t>根据居民问卷调查，对对小区通勤条件和安全性的提升给出正面回答的人数比例达到</w:t>
      </w:r>
      <w:r>
        <w:rPr>
          <w:rFonts w:hint="eastAsia" w:cs="仿宋_GB2312"/>
          <w:b w:val="0"/>
          <w:bCs w:val="0"/>
          <w:kern w:val="1"/>
          <w:sz w:val="32"/>
          <w:szCs w:val="32"/>
          <w:lang w:val="en-US" w:eastAsia="zh-CN"/>
        </w:rPr>
        <w:t>84.96%；</w:t>
      </w:r>
      <w:r>
        <w:rPr>
          <w:rFonts w:hint="eastAsia" w:ascii="仿宋_GB2312" w:hAnsi="仿宋_GB2312" w:eastAsia="仿宋_GB2312" w:cs="仿宋_GB2312"/>
          <w:b w:val="0"/>
          <w:bCs w:val="0"/>
          <w:kern w:val="1"/>
          <w:sz w:val="32"/>
          <w:szCs w:val="32"/>
          <w:lang w:val="en-US" w:eastAsia="zh-CN"/>
        </w:rPr>
        <w:t>根据评分标准，得</w:t>
      </w:r>
      <w:r>
        <w:rPr>
          <w:rFonts w:hint="eastAsia"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D</w:t>
      </w:r>
      <w:r>
        <w:rPr>
          <w:rFonts w:hint="eastAsia" w:cs="仿宋_GB2312"/>
          <w:b w:val="0"/>
          <w:bCs w:val="0"/>
          <w:kern w:val="1"/>
          <w:sz w:val="32"/>
          <w:szCs w:val="32"/>
          <w:lang w:val="en-US" w:eastAsia="zh-CN"/>
        </w:rPr>
        <w:t>1</w:t>
      </w:r>
      <w:r>
        <w:rPr>
          <w:rFonts w:hint="eastAsia" w:ascii="仿宋_GB2312" w:hAnsi="仿宋_GB2312" w:cs="仿宋_GB2312"/>
          <w:b w:val="0"/>
          <w:bCs w:val="0"/>
          <w:kern w:val="1"/>
          <w:sz w:val="32"/>
          <w:szCs w:val="32"/>
          <w:lang w:val="en-US" w:eastAsia="zh-CN"/>
        </w:rPr>
        <w:t>4</w:t>
      </w:r>
      <w:r>
        <w:rPr>
          <w:rFonts w:hint="eastAsia" w:ascii="仿宋_GB2312" w:hAnsi="仿宋_GB2312" w:eastAsia="仿宋_GB2312" w:cs="仿宋_GB2312"/>
          <w:b w:val="0"/>
          <w:bCs w:val="0"/>
          <w:kern w:val="1"/>
          <w:sz w:val="32"/>
          <w:szCs w:val="32"/>
          <w:lang w:val="en-US" w:eastAsia="zh-CN"/>
        </w:rPr>
        <w:t xml:space="preserve"> 健全配套设施 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0.99</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kern w:val="1"/>
          <w:sz w:val="32"/>
          <w:szCs w:val="32"/>
          <w:lang w:val="en-US" w:eastAsia="zh-CN"/>
        </w:rPr>
        <w:t>①</w:t>
      </w:r>
      <w:r>
        <w:rPr>
          <w:rFonts w:hint="eastAsia" w:ascii="仿宋_GB2312" w:hAnsi="仿宋_GB2312" w:cs="仿宋_GB2312"/>
          <w:b w:val="0"/>
          <w:bCs w:val="0"/>
          <w:kern w:val="1"/>
          <w:sz w:val="32"/>
          <w:szCs w:val="32"/>
          <w:lang w:val="en-US" w:eastAsia="zh-CN"/>
        </w:rPr>
        <w:t>根据项目施工方案、审价报告和实地踏勘</w:t>
      </w:r>
      <w:r>
        <w:rPr>
          <w:rFonts w:hint="eastAsia" w:cs="仿宋_GB2312"/>
          <w:b w:val="0"/>
          <w:bCs w:val="0"/>
          <w:kern w:val="1"/>
          <w:sz w:val="32"/>
          <w:szCs w:val="32"/>
          <w:lang w:val="en-US" w:eastAsia="zh-CN"/>
        </w:rPr>
        <w:t>结果</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西门南村、西门北村、北门新村等3个小区</w:t>
      </w:r>
      <w:r>
        <w:rPr>
          <w:rFonts w:hint="eastAsia" w:ascii="仿宋_GB2312" w:hAnsi="仿宋_GB2312" w:cs="仿宋_GB2312"/>
          <w:b w:val="0"/>
          <w:bCs w:val="0"/>
          <w:kern w:val="1"/>
          <w:sz w:val="32"/>
          <w:szCs w:val="32"/>
          <w:lang w:val="en-US" w:eastAsia="zh-CN"/>
        </w:rPr>
        <w:t>增加</w:t>
      </w:r>
      <w:r>
        <w:rPr>
          <w:rFonts w:hint="eastAsia" w:cs="仿宋_GB2312"/>
          <w:b w:val="0"/>
          <w:bCs w:val="0"/>
          <w:kern w:val="1"/>
          <w:sz w:val="32"/>
          <w:szCs w:val="32"/>
          <w:lang w:val="en-US" w:eastAsia="zh-CN"/>
        </w:rPr>
        <w:t>了</w:t>
      </w:r>
      <w:r>
        <w:rPr>
          <w:rFonts w:hint="eastAsia" w:ascii="仿宋_GB2312" w:hAnsi="仿宋_GB2312" w:cs="仿宋_GB2312"/>
          <w:b w:val="0"/>
          <w:bCs w:val="0"/>
          <w:kern w:val="1"/>
          <w:sz w:val="32"/>
          <w:szCs w:val="32"/>
          <w:lang w:val="en-US" w:eastAsia="zh-CN"/>
        </w:rPr>
        <w:t>文体设施供给</w:t>
      </w:r>
      <w:r>
        <w:rPr>
          <w:rFonts w:hint="eastAsia" w:cs="仿宋_GB2312"/>
          <w:b w:val="0"/>
          <w:bCs w:val="0"/>
          <w:kern w:val="1"/>
          <w:sz w:val="32"/>
          <w:szCs w:val="32"/>
          <w:lang w:val="en-US" w:eastAsia="zh-CN"/>
        </w:rPr>
        <w:t>，包括健身步道、公共休闲空间；西门北村、南门路小区、西门南村、城西新村和北门新村等5个小区新增了</w:t>
      </w:r>
      <w:r>
        <w:rPr>
          <w:rFonts w:hint="eastAsia" w:ascii="仿宋_GB2312" w:hAnsi="仿宋_GB2312" w:cs="仿宋_GB2312"/>
          <w:b w:val="0"/>
          <w:bCs w:val="0"/>
          <w:kern w:val="1"/>
          <w:sz w:val="32"/>
          <w:szCs w:val="32"/>
          <w:lang w:val="en-US" w:eastAsia="zh-CN"/>
        </w:rPr>
        <w:t>电瓶车充电桩</w:t>
      </w:r>
      <w:r>
        <w:rPr>
          <w:rFonts w:hint="eastAsia" w:cs="仿宋_GB2312"/>
          <w:b w:val="0"/>
          <w:bCs w:val="0"/>
          <w:kern w:val="1"/>
          <w:sz w:val="32"/>
          <w:szCs w:val="32"/>
          <w:lang w:val="en-US" w:eastAsia="zh-CN"/>
        </w:rPr>
        <w:t>设施；综上，小区文体和充电设施配套</w:t>
      </w:r>
      <w:r>
        <w:rPr>
          <w:rFonts w:hint="eastAsia" w:ascii="仿宋_GB2312" w:hAnsi="仿宋_GB2312" w:cs="仿宋_GB2312"/>
          <w:b w:val="0"/>
          <w:bCs w:val="0"/>
          <w:kern w:val="1"/>
          <w:sz w:val="32"/>
          <w:szCs w:val="32"/>
          <w:lang w:val="en-US" w:eastAsia="zh-CN"/>
        </w:rPr>
        <w:t>确有健全，得1分；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kern w:val="1"/>
          <w:sz w:val="32"/>
          <w:szCs w:val="32"/>
          <w:lang w:val="en-US" w:eastAsia="zh-CN"/>
        </w:rPr>
        <w:t>②</w:t>
      </w:r>
      <w:r>
        <w:rPr>
          <w:rFonts w:hint="eastAsia" w:ascii="仿宋_GB2312" w:hAnsi="仿宋_GB2312" w:cs="仿宋_GB2312"/>
          <w:b w:val="0"/>
          <w:bCs w:val="0"/>
          <w:kern w:val="1"/>
          <w:sz w:val="32"/>
          <w:szCs w:val="32"/>
          <w:lang w:val="en-US" w:eastAsia="zh-CN"/>
        </w:rPr>
        <w:t>根据问卷调查</w:t>
      </w:r>
      <w:r>
        <w:rPr>
          <w:rFonts w:hint="eastAsia" w:cs="仿宋_GB2312"/>
          <w:b w:val="0"/>
          <w:bCs w:val="0"/>
          <w:kern w:val="1"/>
          <w:sz w:val="32"/>
          <w:szCs w:val="32"/>
          <w:lang w:val="en-US" w:eastAsia="zh-CN"/>
        </w:rPr>
        <w:t>结果</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363名居民对</w:t>
      </w:r>
      <w:r>
        <w:rPr>
          <w:rFonts w:hint="eastAsia" w:ascii="仿宋_GB2312" w:hAnsi="仿宋_GB2312" w:cs="仿宋_GB2312"/>
          <w:b w:val="0"/>
          <w:bCs w:val="0"/>
          <w:kern w:val="1"/>
          <w:sz w:val="32"/>
          <w:szCs w:val="32"/>
          <w:lang w:val="en-US" w:eastAsia="zh-CN"/>
        </w:rPr>
        <w:t>小区改造后的公共休闲活动空间（设施）</w:t>
      </w:r>
      <w:r>
        <w:rPr>
          <w:rFonts w:hint="eastAsia" w:cs="仿宋_GB2312"/>
          <w:b w:val="0"/>
          <w:bCs w:val="0"/>
          <w:kern w:val="1"/>
          <w:sz w:val="32"/>
          <w:szCs w:val="32"/>
          <w:lang w:val="en-US" w:eastAsia="zh-CN"/>
        </w:rPr>
        <w:t>的看法，</w:t>
      </w:r>
      <w:r>
        <w:rPr>
          <w:rFonts w:hint="eastAsia" w:cs="仿宋_GB2312"/>
          <w:b w:val="0"/>
          <w:bCs w:val="0"/>
          <w:kern w:val="1"/>
          <w:sz w:val="32"/>
          <w:szCs w:val="32"/>
          <w:highlight w:val="none"/>
          <w:lang w:val="en-US" w:eastAsia="zh-CN"/>
        </w:rPr>
        <w:t>表示“有明显提升”的占44.9%，表示“有一定提升”的占比39.39%，表示“</w:t>
      </w:r>
      <w:r>
        <w:rPr>
          <w:rFonts w:hint="eastAsia" w:ascii="仿宋_GB2312" w:hAnsi="仿宋_GB2312" w:cs="仿宋_GB2312"/>
          <w:b w:val="0"/>
          <w:bCs w:val="0"/>
          <w:kern w:val="1"/>
          <w:sz w:val="32"/>
          <w:szCs w:val="32"/>
          <w:highlight w:val="none"/>
          <w:lang w:val="en-US" w:eastAsia="zh-CN"/>
        </w:rPr>
        <w:t>没啥感觉</w:t>
      </w:r>
      <w:r>
        <w:rPr>
          <w:rFonts w:hint="eastAsia" w:cs="仿宋_GB2312"/>
          <w:b w:val="0"/>
          <w:bCs w:val="0"/>
          <w:kern w:val="1"/>
          <w:sz w:val="32"/>
          <w:szCs w:val="32"/>
          <w:highlight w:val="none"/>
          <w:lang w:val="en-US" w:eastAsia="zh-CN"/>
        </w:rPr>
        <w:t>”的占比15.15%，表示“还不如以前”的占比0.55%</w:t>
      </w:r>
      <w:r>
        <w:rPr>
          <w:rFonts w:hint="eastAsia" w:ascii="仿宋_GB2312" w:hAnsi="仿宋_GB2312" w:cs="仿宋_GB2312"/>
          <w:b w:val="0"/>
          <w:bCs w:val="0"/>
          <w:kern w:val="1"/>
          <w:sz w:val="32"/>
          <w:szCs w:val="32"/>
          <w:highlight w:val="none"/>
          <w:lang w:val="en-US" w:eastAsia="zh-CN"/>
        </w:rPr>
        <w:t>，</w:t>
      </w:r>
      <w:r>
        <w:rPr>
          <w:rFonts w:hint="eastAsia" w:cs="仿宋_GB2312"/>
          <w:b w:val="0"/>
          <w:bCs w:val="0"/>
          <w:kern w:val="1"/>
          <w:sz w:val="32"/>
          <w:szCs w:val="32"/>
          <w:highlight w:val="none"/>
          <w:lang w:val="en-US" w:eastAsia="zh-CN"/>
        </w:rPr>
        <w:t>正面回答合计占比84.29%</w:t>
      </w:r>
      <w:r>
        <w:rPr>
          <w:rFonts w:hint="eastAsia" w:cs="仿宋_GB2312"/>
          <w:b w:val="0"/>
          <w:bCs w:val="0"/>
          <w:kern w:val="1"/>
          <w:sz w:val="32"/>
          <w:szCs w:val="32"/>
          <w:lang w:val="en-US" w:eastAsia="zh-CN"/>
        </w:rPr>
        <w:t>；在接受电瓶车充电问题访问的381名</w:t>
      </w:r>
      <w:r>
        <w:rPr>
          <w:rFonts w:hint="eastAsia" w:ascii="仿宋_GB2312" w:hAnsi="仿宋_GB2312" w:cs="仿宋_GB2312"/>
          <w:b w:val="0"/>
          <w:bCs w:val="0"/>
          <w:kern w:val="1"/>
          <w:sz w:val="32"/>
          <w:szCs w:val="32"/>
          <w:lang w:val="en-US" w:eastAsia="zh-CN"/>
        </w:rPr>
        <w:t>居民</w:t>
      </w:r>
      <w:r>
        <w:rPr>
          <w:rFonts w:hint="eastAsia" w:cs="仿宋_GB2312"/>
          <w:b w:val="0"/>
          <w:bCs w:val="0"/>
          <w:kern w:val="1"/>
          <w:sz w:val="32"/>
          <w:szCs w:val="32"/>
          <w:lang w:val="en-US" w:eastAsia="zh-CN"/>
        </w:rPr>
        <w:t>中，有57名选择</w:t>
      </w:r>
      <w:r>
        <w:rPr>
          <w:rFonts w:hint="eastAsia" w:cs="仿宋_GB2312"/>
          <w:b w:val="0"/>
          <w:bCs w:val="0"/>
          <w:kern w:val="1"/>
          <w:sz w:val="32"/>
          <w:szCs w:val="32"/>
          <w:highlight w:val="none"/>
          <w:lang w:val="en-US" w:eastAsia="zh-CN"/>
        </w:rPr>
        <w:t>用家中拖线板接线充电，有5名选择把电瓶拎家里充电，合计占比16.27%，其余居民充电方式以非机动车车棚充电为主，充电方式合理的占比为83.73%；两者合计</w:t>
      </w:r>
      <w:r>
        <w:rPr>
          <w:rFonts w:hint="eastAsia" w:ascii="仿宋_GB2312" w:hAnsi="仿宋_GB2312" w:cs="仿宋_GB2312"/>
          <w:b w:val="0"/>
          <w:bCs w:val="0"/>
          <w:kern w:val="1"/>
          <w:sz w:val="32"/>
          <w:szCs w:val="32"/>
          <w:lang w:val="en-US" w:eastAsia="zh-CN"/>
        </w:rPr>
        <w:t>正面回答的人数比例</w:t>
      </w:r>
      <w:r>
        <w:rPr>
          <w:rFonts w:hint="eastAsia" w:cs="仿宋_GB2312"/>
          <w:b w:val="0"/>
          <w:bCs w:val="0"/>
          <w:kern w:val="1"/>
          <w:sz w:val="32"/>
          <w:szCs w:val="32"/>
          <w:lang w:val="en-US" w:eastAsia="zh-CN"/>
        </w:rPr>
        <w:t>为84.01%</w:t>
      </w:r>
      <w:r>
        <w:rPr>
          <w:rFonts w:hint="eastAsia" w:ascii="仿宋_GB2312" w:hAnsi="仿宋_GB2312" w:cs="仿宋_GB2312"/>
          <w:b w:val="0"/>
          <w:bCs w:val="0"/>
          <w:kern w:val="1"/>
          <w:sz w:val="32"/>
          <w:szCs w:val="32"/>
          <w:lang w:val="en-US" w:eastAsia="zh-CN"/>
        </w:rPr>
        <w:t>，</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0.99</w:t>
      </w:r>
      <w:r>
        <w:rPr>
          <w:rFonts w:hint="eastAsia" w:ascii="仿宋_GB2312" w:hAnsi="仿宋_GB2312" w:eastAsia="仿宋_GB2312" w:cs="仿宋_GB2312"/>
          <w:b w:val="0"/>
          <w:bCs w:val="0"/>
          <w:kern w:val="1"/>
          <w:sz w:val="32"/>
          <w:szCs w:val="32"/>
          <w:lang w:val="en-US" w:eastAsia="zh-CN"/>
        </w:rPr>
        <w:t>分</w:t>
      </w:r>
      <w:r>
        <w:rPr>
          <w:rFonts w:hint="eastAsia" w:ascii="仿宋_GB2312" w:hAnsi="仿宋_GB2312"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cs="仿宋_GB2312"/>
          <w:b w:val="0"/>
          <w:bCs w:val="0"/>
          <w:kern w:val="1"/>
          <w:sz w:val="32"/>
          <w:szCs w:val="32"/>
          <w:lang w:val="en-US" w:eastAsia="zh-CN"/>
        </w:rPr>
      </w:pPr>
      <w:r>
        <w:rPr>
          <w:rFonts w:hint="eastAsia" w:cs="仿宋_GB2312"/>
          <w:b w:val="0"/>
          <w:bCs w:val="0"/>
          <w:kern w:val="1"/>
          <w:sz w:val="32"/>
          <w:szCs w:val="32"/>
          <w:lang w:val="en-US" w:eastAsia="zh-CN"/>
        </w:rPr>
        <w:t>③</w:t>
      </w:r>
      <w:r>
        <w:rPr>
          <w:rFonts w:hint="eastAsia" w:ascii="仿宋_GB2312" w:hAnsi="仿宋_GB2312" w:cs="仿宋_GB2312"/>
          <w:b w:val="0"/>
          <w:bCs w:val="0"/>
          <w:kern w:val="1"/>
          <w:sz w:val="32"/>
          <w:szCs w:val="32"/>
          <w:lang w:val="en-US" w:eastAsia="zh-CN"/>
        </w:rPr>
        <w:t>根据实地踏勘情况，评价组实地发现</w:t>
      </w:r>
      <w:r>
        <w:rPr>
          <w:rFonts w:hint="eastAsia" w:cs="仿宋_GB2312"/>
          <w:b w:val="0"/>
          <w:bCs w:val="0"/>
          <w:kern w:val="1"/>
          <w:sz w:val="32"/>
          <w:szCs w:val="32"/>
          <w:lang w:val="en-US" w:eastAsia="zh-CN"/>
        </w:rPr>
        <w:t>各小区</w:t>
      </w:r>
      <w:r>
        <w:rPr>
          <w:rFonts w:hint="eastAsia" w:ascii="仿宋_GB2312" w:hAnsi="仿宋_GB2312" w:cs="仿宋_GB2312"/>
          <w:b w:val="0"/>
          <w:bCs w:val="0"/>
          <w:kern w:val="1"/>
          <w:sz w:val="32"/>
          <w:szCs w:val="32"/>
          <w:lang w:val="en-US" w:eastAsia="zh-CN"/>
        </w:rPr>
        <w:t>电瓶车“飞线”充电的情况</w:t>
      </w:r>
      <w:r>
        <w:rPr>
          <w:rFonts w:hint="eastAsia" w:cs="仿宋_GB2312"/>
          <w:b w:val="0"/>
          <w:bCs w:val="0"/>
          <w:kern w:val="1"/>
          <w:sz w:val="32"/>
          <w:szCs w:val="32"/>
          <w:lang w:val="en-US" w:eastAsia="zh-CN"/>
        </w:rPr>
        <w:t>依然很普遍，总量超过100例，</w:t>
      </w:r>
      <w:r>
        <w:rPr>
          <w:rFonts w:hint="eastAsia" w:ascii="仿宋_GB2312" w:hAnsi="仿宋_GB2312" w:eastAsia="仿宋_GB2312" w:cs="仿宋_GB2312"/>
          <w:b w:val="0"/>
          <w:bCs w:val="0"/>
          <w:kern w:val="1"/>
          <w:sz w:val="32"/>
          <w:szCs w:val="32"/>
          <w:lang w:val="en-US" w:eastAsia="zh-CN"/>
        </w:rPr>
        <w:t>根据评分标准，</w:t>
      </w:r>
      <w:r>
        <w:rPr>
          <w:rFonts w:hint="eastAsia" w:cs="仿宋_GB2312"/>
          <w:b w:val="0"/>
          <w:bCs w:val="0"/>
          <w:kern w:val="1"/>
          <w:sz w:val="32"/>
          <w:szCs w:val="32"/>
          <w:lang w:val="en-US" w:eastAsia="zh-CN"/>
        </w:rPr>
        <w:t>扣1分。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cs="仿宋_GB2312"/>
          <w:b w:val="0"/>
          <w:bCs w:val="0"/>
          <w:kern w:val="1"/>
          <w:sz w:val="32"/>
          <w:szCs w:val="32"/>
          <w:lang w:val="en-US" w:eastAsia="zh-CN"/>
        </w:rPr>
      </w:pPr>
      <w:r>
        <w:rPr>
          <w:rFonts w:hint="eastAsia" w:cs="仿宋_GB2312"/>
          <w:b w:val="0"/>
          <w:bCs w:val="0"/>
          <w:kern w:val="1"/>
          <w:sz w:val="32"/>
          <w:szCs w:val="32"/>
          <w:lang w:val="en-US" w:eastAsia="zh-CN"/>
        </w:rPr>
        <w:t>综上，本项指标得0.99分。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D</w:t>
      </w:r>
      <w:r>
        <w:rPr>
          <w:rFonts w:hint="eastAsia" w:cs="仿宋_GB2312"/>
          <w:b w:val="0"/>
          <w:bCs w:val="0"/>
          <w:kern w:val="1"/>
          <w:sz w:val="32"/>
          <w:szCs w:val="32"/>
          <w:lang w:val="en-US" w:eastAsia="zh-CN"/>
        </w:rPr>
        <w:t>1</w:t>
      </w:r>
      <w:r>
        <w:rPr>
          <w:rFonts w:hint="eastAsia" w:ascii="仿宋_GB2312" w:hAnsi="仿宋_GB2312" w:cs="仿宋_GB2312"/>
          <w:b w:val="0"/>
          <w:bCs w:val="0"/>
          <w:kern w:val="1"/>
          <w:sz w:val="32"/>
          <w:szCs w:val="32"/>
          <w:lang w:val="en-US" w:eastAsia="zh-CN"/>
        </w:rPr>
        <w:t>5</w:t>
      </w:r>
      <w:r>
        <w:rPr>
          <w:rFonts w:hint="eastAsia" w:ascii="仿宋_GB2312" w:hAnsi="仿宋_GB2312" w:eastAsia="仿宋_GB2312" w:cs="仿宋_GB2312"/>
          <w:b w:val="0"/>
          <w:bCs w:val="0"/>
          <w:kern w:val="1"/>
          <w:sz w:val="32"/>
          <w:szCs w:val="32"/>
          <w:lang w:val="en-US" w:eastAsia="zh-CN"/>
        </w:rPr>
        <w:t xml:space="preserve"> 群众期待响应匹配率 权重</w:t>
      </w:r>
      <w:r>
        <w:rPr>
          <w:rFonts w:hint="eastAsia" w:cs="仿宋_GB2312"/>
          <w:b w:val="0"/>
          <w:bCs w:val="0"/>
          <w:kern w:val="1"/>
          <w:sz w:val="32"/>
          <w:szCs w:val="32"/>
          <w:lang w:val="en-US" w:eastAsia="zh-CN"/>
        </w:rPr>
        <w:t>3</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2.4</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根据对已改造小区居民和未改造（但在计划改造之列的）小区居民的随机访谈，评价组随机采访</w:t>
      </w:r>
      <w:r>
        <w:rPr>
          <w:rFonts w:hint="eastAsia" w:cs="仿宋_GB2312"/>
          <w:b w:val="0"/>
          <w:bCs w:val="0"/>
          <w:kern w:val="1"/>
          <w:sz w:val="32"/>
          <w:szCs w:val="32"/>
          <w:lang w:val="en-US" w:eastAsia="zh-CN"/>
        </w:rPr>
        <w:t>各</w:t>
      </w:r>
      <w:r>
        <w:rPr>
          <w:rFonts w:hint="eastAsia" w:ascii="仿宋_GB2312" w:hAnsi="仿宋_GB2312" w:cs="仿宋_GB2312"/>
          <w:b w:val="0"/>
          <w:bCs w:val="0"/>
          <w:kern w:val="1"/>
          <w:sz w:val="32"/>
          <w:szCs w:val="32"/>
          <w:lang w:val="en-US" w:eastAsia="zh-CN"/>
        </w:rPr>
        <w:t>小区居民2</w:t>
      </w:r>
      <w:r>
        <w:rPr>
          <w:rFonts w:hint="eastAsia" w:cs="仿宋_GB2312"/>
          <w:b w:val="0"/>
          <w:bCs w:val="0"/>
          <w:kern w:val="1"/>
          <w:sz w:val="32"/>
          <w:szCs w:val="32"/>
          <w:lang w:val="en-US" w:eastAsia="zh-CN"/>
        </w:rPr>
        <w:t>95</w:t>
      </w:r>
      <w:r>
        <w:rPr>
          <w:rFonts w:hint="eastAsia" w:ascii="仿宋_GB2312" w:hAnsi="仿宋_GB2312" w:cs="仿宋_GB2312"/>
          <w:b w:val="0"/>
          <w:bCs w:val="0"/>
          <w:kern w:val="1"/>
          <w:sz w:val="32"/>
          <w:szCs w:val="32"/>
          <w:lang w:val="en-US" w:eastAsia="zh-CN"/>
        </w:rPr>
        <w:t>名</w:t>
      </w:r>
      <w:r>
        <w:rPr>
          <w:rFonts w:hint="eastAsia" w:cs="仿宋_GB2312"/>
          <w:b w:val="0"/>
          <w:bCs w:val="0"/>
          <w:kern w:val="1"/>
          <w:sz w:val="32"/>
          <w:szCs w:val="32"/>
          <w:lang w:val="en-US" w:eastAsia="zh-CN"/>
        </w:rPr>
        <w:t>，</w:t>
      </w:r>
      <w:r>
        <w:rPr>
          <w:rFonts w:hint="eastAsia" w:ascii="仿宋_GB2312" w:hAnsi="仿宋_GB2312" w:cs="仿宋_GB2312"/>
          <w:b w:val="0"/>
          <w:bCs w:val="0"/>
          <w:kern w:val="1"/>
          <w:sz w:val="32"/>
          <w:szCs w:val="32"/>
          <w:lang w:val="en-US" w:eastAsia="zh-CN"/>
        </w:rPr>
        <w:t>群众最迫切希望得到改善的</w:t>
      </w:r>
      <w:r>
        <w:rPr>
          <w:rFonts w:hint="eastAsia" w:cs="仿宋_GB2312"/>
          <w:b w:val="0"/>
          <w:bCs w:val="0"/>
          <w:kern w:val="1"/>
          <w:sz w:val="32"/>
          <w:szCs w:val="32"/>
          <w:lang w:val="en-US" w:eastAsia="zh-CN"/>
        </w:rPr>
        <w:t>前</w:t>
      </w:r>
      <w:r>
        <w:rPr>
          <w:rFonts w:hint="eastAsia" w:ascii="仿宋_GB2312" w:hAnsi="仿宋_GB2312" w:cs="仿宋_GB2312"/>
          <w:b w:val="0"/>
          <w:bCs w:val="0"/>
          <w:kern w:val="1"/>
          <w:sz w:val="32"/>
          <w:szCs w:val="32"/>
          <w:lang w:val="en-US" w:eastAsia="zh-CN"/>
        </w:rPr>
        <w:t>1</w:t>
      </w:r>
      <w:r>
        <w:rPr>
          <w:rFonts w:hint="eastAsia" w:cs="仿宋_GB2312"/>
          <w:b w:val="0"/>
          <w:bCs w:val="0"/>
          <w:kern w:val="1"/>
          <w:sz w:val="32"/>
          <w:szCs w:val="32"/>
          <w:lang w:val="en-US" w:eastAsia="zh-CN"/>
        </w:rPr>
        <w:t>0</w:t>
      </w:r>
      <w:r>
        <w:rPr>
          <w:rFonts w:hint="eastAsia" w:ascii="仿宋_GB2312" w:hAnsi="仿宋_GB2312" w:cs="仿宋_GB2312"/>
          <w:b w:val="0"/>
          <w:bCs w:val="0"/>
          <w:kern w:val="1"/>
          <w:sz w:val="32"/>
          <w:szCs w:val="32"/>
          <w:lang w:val="en-US" w:eastAsia="zh-CN"/>
        </w:rPr>
        <w:t>项内容</w:t>
      </w:r>
      <w:r>
        <w:rPr>
          <w:rFonts w:hint="eastAsia" w:cs="仿宋_GB2312"/>
          <w:b w:val="0"/>
          <w:bCs w:val="0"/>
          <w:kern w:val="1"/>
          <w:sz w:val="32"/>
          <w:szCs w:val="32"/>
          <w:lang w:val="en-US" w:eastAsia="zh-CN"/>
        </w:rPr>
        <w:t>包括：①增加、更新休闲健身设施和空间；②加强绿化修剪、养护；③解决小区停车困难问题（加强外来车辆管理）；④解决房屋漏水、渗水问题；⑤解决电瓶车充电不便问题；⑥修缮、拓宽小区道路；⑦修缮建筑外观；⑧统一更换屋内老旧下水管，解决堵塞、返臭问题；⑨加装电梯；⑩减少小区蚊虫数量。</w:t>
      </w:r>
      <w:r>
        <w:rPr>
          <w:rFonts w:hint="eastAsia" w:ascii="仿宋_GB2312" w:hAnsi="仿宋_GB2312" w:cs="仿宋_GB2312"/>
          <w:b w:val="0"/>
          <w:bCs w:val="0"/>
          <w:kern w:val="1"/>
          <w:sz w:val="32"/>
          <w:szCs w:val="32"/>
          <w:lang w:val="en-US" w:eastAsia="zh-CN"/>
        </w:rPr>
        <w:t>与项目实际实施的改造内容作比较，后者对前者内容的覆盖度</w:t>
      </w:r>
      <w:r>
        <w:rPr>
          <w:rFonts w:hint="eastAsia" w:cs="仿宋_GB2312"/>
          <w:b w:val="0"/>
          <w:bCs w:val="0"/>
          <w:kern w:val="1"/>
          <w:sz w:val="32"/>
          <w:szCs w:val="32"/>
          <w:lang w:val="en-US" w:eastAsia="zh-CN"/>
        </w:rPr>
        <w:t>为70%</w:t>
      </w:r>
      <w:r>
        <w:rPr>
          <w:rFonts w:hint="eastAsia" w:ascii="仿宋_GB2312" w:hAnsi="仿宋_GB2312" w:eastAsia="仿宋_GB2312" w:cs="仿宋_GB2312"/>
          <w:b w:val="0"/>
          <w:bCs w:val="0"/>
          <w:kern w:val="1"/>
          <w:sz w:val="32"/>
          <w:szCs w:val="32"/>
          <w:lang w:val="en-US" w:eastAsia="zh-CN"/>
        </w:rPr>
        <w:t>。</w:t>
      </w:r>
      <w:r>
        <w:rPr>
          <w:rFonts w:hint="eastAsia" w:cs="仿宋_GB2312"/>
          <w:b w:val="0"/>
          <w:bCs w:val="0"/>
          <w:kern w:val="1"/>
          <w:sz w:val="32"/>
          <w:szCs w:val="32"/>
          <w:lang w:val="en-US" w:eastAsia="zh-CN"/>
        </w:rPr>
        <w:t>详细访谈结果见附件7。</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2.4</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eastAsia="仿宋_GB2312" w:cs="仿宋_GB2312"/>
          <w:b w:val="0"/>
          <w:bCs w:val="0"/>
          <w:kern w:val="1"/>
          <w:sz w:val="32"/>
          <w:szCs w:val="32"/>
          <w:lang w:val="en-US" w:eastAsia="zh-CN"/>
        </w:rPr>
        <w:t>D</w:t>
      </w:r>
      <w:r>
        <w:rPr>
          <w:rFonts w:hint="eastAsia" w:cs="仿宋_GB2312"/>
          <w:b w:val="0"/>
          <w:bCs w:val="0"/>
          <w:kern w:val="1"/>
          <w:sz w:val="32"/>
          <w:szCs w:val="32"/>
          <w:lang w:val="en-US" w:eastAsia="zh-CN"/>
        </w:rPr>
        <w:t>1</w:t>
      </w:r>
      <w:r>
        <w:rPr>
          <w:rFonts w:hint="eastAsia" w:ascii="仿宋_GB2312" w:hAnsi="仿宋_GB2312" w:cs="仿宋_GB2312"/>
          <w:b w:val="0"/>
          <w:bCs w:val="0"/>
          <w:kern w:val="1"/>
          <w:sz w:val="32"/>
          <w:szCs w:val="32"/>
          <w:lang w:val="en-US" w:eastAsia="zh-CN"/>
        </w:rPr>
        <w:t>6</w:t>
      </w:r>
      <w:r>
        <w:rPr>
          <w:rFonts w:hint="eastAsia" w:ascii="仿宋_GB2312" w:hAnsi="仿宋_GB2312" w:eastAsia="仿宋_GB2312" w:cs="仿宋_GB2312"/>
          <w:b w:val="0"/>
          <w:bCs w:val="0"/>
          <w:kern w:val="1"/>
          <w:sz w:val="32"/>
          <w:szCs w:val="32"/>
          <w:lang w:val="en-US" w:eastAsia="zh-CN"/>
        </w:rPr>
        <w:t xml:space="preserve"> </w:t>
      </w:r>
      <w:r>
        <w:rPr>
          <w:rFonts w:hint="eastAsia" w:cs="仿宋_GB2312"/>
          <w:b w:val="0"/>
          <w:bCs w:val="0"/>
          <w:kern w:val="1"/>
          <w:sz w:val="32"/>
          <w:szCs w:val="32"/>
          <w:lang w:val="en-US" w:eastAsia="zh-CN"/>
        </w:rPr>
        <w:t>安全生产</w:t>
      </w:r>
      <w:r>
        <w:rPr>
          <w:rFonts w:hint="eastAsia" w:ascii="仿宋_GB2312" w:hAnsi="仿宋_GB2312" w:cs="仿宋_GB2312"/>
          <w:b w:val="0"/>
          <w:bCs w:val="0"/>
          <w:kern w:val="1"/>
          <w:sz w:val="32"/>
          <w:szCs w:val="32"/>
          <w:lang w:val="en-US" w:eastAsia="zh-CN"/>
        </w:rPr>
        <w:t xml:space="preserve">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分，得分</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根据项目施工安全事故记录情况，</w:t>
      </w:r>
      <w:r>
        <w:rPr>
          <w:rFonts w:hint="eastAsia" w:ascii="仿宋_GB2312" w:hAnsi="仿宋_GB2312" w:eastAsia="仿宋_GB2312" w:cs="仿宋_GB2312"/>
          <w:b w:val="0"/>
          <w:bCs w:val="0"/>
          <w:kern w:val="1"/>
          <w:sz w:val="32"/>
          <w:szCs w:val="32"/>
          <w:lang w:val="en-US" w:eastAsia="zh-CN"/>
        </w:rPr>
        <w:t>项目施工过程中未发生施工安全事故如人员死亡、重伤或直接经济损失</w:t>
      </w:r>
      <w:r>
        <w:rPr>
          <w:rFonts w:hint="eastAsia" w:ascii="仿宋_GB2312" w:hAnsi="仿宋_GB2312" w:cs="仿宋_GB2312"/>
          <w:b w:val="0"/>
          <w:bCs w:val="0"/>
          <w:kern w:val="1"/>
          <w:sz w:val="32"/>
          <w:szCs w:val="32"/>
          <w:lang w:val="en-US" w:eastAsia="zh-CN"/>
        </w:rPr>
        <w:t>的经验事件</w:t>
      </w:r>
      <w:r>
        <w:rPr>
          <w:rFonts w:hint="eastAsia" w:ascii="仿宋_GB2312" w:hAnsi="仿宋_GB2312" w:eastAsia="仿宋_GB2312" w:cs="仿宋_GB2312"/>
          <w:b w:val="0"/>
          <w:bCs w:val="0"/>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2</w:t>
      </w:r>
      <w:r>
        <w:rPr>
          <w:rFonts w:hint="eastAsia" w:ascii="仿宋_GB2312" w:hAnsi="仿宋_GB2312" w:cs="仿宋_GB2312"/>
          <w:b w:val="0"/>
          <w:bCs w:val="0"/>
          <w:kern w:val="1"/>
          <w:sz w:val="32"/>
          <w:szCs w:val="32"/>
          <w:highlight w:val="none"/>
          <w:lang w:val="en-US" w:eastAsia="zh-CN"/>
        </w:rPr>
        <w:t>1 小区内绿化美观度</w:t>
      </w:r>
      <w:r>
        <w:rPr>
          <w:rFonts w:hint="eastAsia" w:ascii="仿宋_GB2312" w:hAnsi="仿宋_GB2312" w:cs="仿宋_GB2312"/>
          <w:b w:val="0"/>
          <w:bCs w:val="0"/>
          <w:kern w:val="1"/>
          <w:sz w:val="32"/>
          <w:szCs w:val="32"/>
          <w:lang w:val="en-US" w:eastAsia="zh-CN"/>
        </w:rPr>
        <w:t xml:space="preserve">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0</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根据问卷调查</w:t>
      </w:r>
      <w:r>
        <w:rPr>
          <w:rFonts w:hint="eastAsia" w:cs="仿宋_GB2312"/>
          <w:b w:val="0"/>
          <w:bCs w:val="0"/>
          <w:kern w:val="1"/>
          <w:sz w:val="32"/>
          <w:szCs w:val="32"/>
          <w:lang w:val="en-US" w:eastAsia="zh-CN"/>
        </w:rPr>
        <w:t>结果</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423名接受</w:t>
      </w:r>
      <w:r>
        <w:rPr>
          <w:rFonts w:hint="eastAsia" w:ascii="仿宋_GB2312" w:hAnsi="仿宋_GB2312" w:eastAsia="仿宋_GB2312" w:cs="仿宋_GB2312"/>
          <w:b w:val="0"/>
          <w:bCs w:val="0"/>
          <w:kern w:val="1"/>
          <w:sz w:val="32"/>
          <w:szCs w:val="32"/>
          <w:lang w:val="en-US" w:eastAsia="zh-CN"/>
        </w:rPr>
        <w:t>调研</w:t>
      </w:r>
      <w:r>
        <w:rPr>
          <w:rFonts w:hint="eastAsia" w:cs="仿宋_GB2312"/>
          <w:b w:val="0"/>
          <w:bCs w:val="0"/>
          <w:kern w:val="1"/>
          <w:sz w:val="32"/>
          <w:szCs w:val="32"/>
          <w:lang w:val="en-US" w:eastAsia="zh-CN"/>
        </w:rPr>
        <w:t>的</w:t>
      </w:r>
      <w:r>
        <w:rPr>
          <w:rFonts w:hint="eastAsia" w:ascii="仿宋_GB2312" w:hAnsi="仿宋_GB2312" w:eastAsia="仿宋_GB2312" w:cs="仿宋_GB2312"/>
          <w:b w:val="0"/>
          <w:bCs w:val="0"/>
          <w:kern w:val="1"/>
          <w:sz w:val="32"/>
          <w:szCs w:val="32"/>
          <w:lang w:val="en-US" w:eastAsia="zh-CN"/>
        </w:rPr>
        <w:t>居民对改造后的绿化效果的评价</w:t>
      </w:r>
      <w:r>
        <w:rPr>
          <w:rFonts w:hint="eastAsia" w:cs="仿宋_GB2312"/>
          <w:b w:val="0"/>
          <w:bCs w:val="0"/>
          <w:kern w:val="1"/>
          <w:sz w:val="32"/>
          <w:szCs w:val="32"/>
          <w:lang w:val="en-US" w:eastAsia="zh-CN"/>
        </w:rPr>
        <w:t>中</w:t>
      </w:r>
      <w:r>
        <w:rPr>
          <w:rFonts w:hint="eastAsia" w:ascii="仿宋_GB2312" w:hAnsi="仿宋_GB2312" w:eastAsia="仿宋_GB2312" w:cs="仿宋_GB2312"/>
          <w:b w:val="0"/>
          <w:bCs w:val="0"/>
          <w:kern w:val="1"/>
          <w:sz w:val="32"/>
          <w:szCs w:val="32"/>
          <w:lang w:val="en-US" w:eastAsia="zh-CN"/>
        </w:rPr>
        <w:t>，</w:t>
      </w:r>
      <w:r>
        <w:rPr>
          <w:rFonts w:hint="eastAsia" w:cs="仿宋_GB2312"/>
          <w:b w:val="0"/>
          <w:bCs w:val="0"/>
          <w:kern w:val="1"/>
          <w:sz w:val="32"/>
          <w:szCs w:val="32"/>
          <w:highlight w:val="none"/>
          <w:lang w:val="en-US" w:eastAsia="zh-CN"/>
        </w:rPr>
        <w:t>表示“有明显提升”的占31.21%，表示“有较大提升”的占比27.19%，表示“</w:t>
      </w:r>
      <w:r>
        <w:rPr>
          <w:rFonts w:hint="eastAsia" w:ascii="仿宋_GB2312" w:hAnsi="仿宋_GB2312" w:cs="仿宋_GB2312"/>
          <w:b w:val="0"/>
          <w:bCs w:val="0"/>
          <w:kern w:val="1"/>
          <w:sz w:val="32"/>
          <w:szCs w:val="32"/>
          <w:highlight w:val="none"/>
          <w:lang w:val="en-US" w:eastAsia="zh-CN"/>
        </w:rPr>
        <w:t>没啥感觉</w:t>
      </w:r>
      <w:r>
        <w:rPr>
          <w:rFonts w:hint="eastAsia" w:cs="仿宋_GB2312"/>
          <w:b w:val="0"/>
          <w:bCs w:val="0"/>
          <w:kern w:val="1"/>
          <w:sz w:val="32"/>
          <w:szCs w:val="32"/>
          <w:highlight w:val="none"/>
          <w:lang w:val="en-US" w:eastAsia="zh-CN"/>
        </w:rPr>
        <w:t>”的占比40.9%，表示“还不如以前”的占比0.71%</w:t>
      </w:r>
      <w:r>
        <w:rPr>
          <w:rFonts w:hint="eastAsia" w:ascii="仿宋_GB2312" w:hAnsi="仿宋_GB2312" w:cs="仿宋_GB2312"/>
          <w:b w:val="0"/>
          <w:bCs w:val="0"/>
          <w:kern w:val="1"/>
          <w:sz w:val="32"/>
          <w:szCs w:val="32"/>
          <w:highlight w:val="none"/>
          <w:lang w:val="en-US" w:eastAsia="zh-CN"/>
        </w:rPr>
        <w:t>，</w:t>
      </w:r>
      <w:r>
        <w:rPr>
          <w:rFonts w:hint="eastAsia" w:cs="仿宋_GB2312"/>
          <w:b w:val="0"/>
          <w:bCs w:val="0"/>
          <w:kern w:val="1"/>
          <w:sz w:val="32"/>
          <w:szCs w:val="32"/>
          <w:highlight w:val="none"/>
          <w:lang w:val="en-US" w:eastAsia="zh-CN"/>
        </w:rPr>
        <w:t>正面回答合计占比仅为58.4%，同时评价组根据改造前后对比图片，也佐证了居民的看法，详见附件2，</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0</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2</w:t>
      </w:r>
      <w:r>
        <w:rPr>
          <w:rFonts w:hint="eastAsia" w:ascii="仿宋_GB2312" w:hAnsi="仿宋_GB2312" w:cs="仿宋_GB2312"/>
          <w:b w:val="0"/>
          <w:bCs w:val="0"/>
          <w:kern w:val="1"/>
          <w:sz w:val="32"/>
          <w:szCs w:val="32"/>
          <w:highlight w:val="none"/>
          <w:lang w:val="en-US" w:eastAsia="zh-CN"/>
        </w:rPr>
        <w:t>2 提升城桥地区污水处理效率</w:t>
      </w:r>
      <w:r>
        <w:rPr>
          <w:rFonts w:hint="eastAsia" w:ascii="仿宋_GB2312" w:hAnsi="仿宋_GB2312" w:cs="仿宋_GB2312"/>
          <w:b w:val="0"/>
          <w:bCs w:val="0"/>
          <w:kern w:val="1"/>
          <w:sz w:val="32"/>
          <w:szCs w:val="32"/>
          <w:lang w:val="en-US" w:eastAsia="zh-CN"/>
        </w:rPr>
        <w:t xml:space="preserve">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根据评价组</w:t>
      </w:r>
      <w:r>
        <w:rPr>
          <w:rFonts w:hint="eastAsia" w:ascii="仿宋_GB2312" w:hAnsi="仿宋_GB2312" w:cs="仿宋_GB2312"/>
          <w:b w:val="0"/>
          <w:bCs w:val="0"/>
          <w:kern w:val="1"/>
          <w:sz w:val="32"/>
          <w:szCs w:val="32"/>
          <w:lang w:val="en-US" w:eastAsia="zh-CN"/>
        </w:rPr>
        <w:t>访谈调研城桥地区污水处理厂</w:t>
      </w:r>
      <w:r>
        <w:rPr>
          <w:rFonts w:hint="eastAsia" w:cs="仿宋_GB2312"/>
          <w:b w:val="0"/>
          <w:bCs w:val="0"/>
          <w:kern w:val="1"/>
          <w:sz w:val="32"/>
          <w:szCs w:val="32"/>
          <w:lang w:val="en-US" w:eastAsia="zh-CN"/>
        </w:rPr>
        <w:t>的结果</w:t>
      </w:r>
      <w:r>
        <w:rPr>
          <w:rFonts w:hint="eastAsia" w:ascii="仿宋_GB2312" w:hAnsi="仿宋_GB2312" w:cs="仿宋_GB2312"/>
          <w:b w:val="0"/>
          <w:bCs w:val="0"/>
          <w:kern w:val="1"/>
          <w:sz w:val="32"/>
          <w:szCs w:val="32"/>
          <w:lang w:val="en-US" w:eastAsia="zh-CN"/>
        </w:rPr>
        <w:t>，雨污混改</w:t>
      </w:r>
      <w:r>
        <w:rPr>
          <w:rFonts w:hint="eastAsia" w:cs="仿宋_GB2312"/>
          <w:b w:val="0"/>
          <w:bCs w:val="0"/>
          <w:kern w:val="1"/>
          <w:sz w:val="32"/>
          <w:szCs w:val="32"/>
          <w:lang w:val="en-US" w:eastAsia="zh-CN"/>
        </w:rPr>
        <w:t>工程的实施</w:t>
      </w:r>
      <w:r>
        <w:rPr>
          <w:rFonts w:hint="eastAsia" w:ascii="仿宋_GB2312" w:hAnsi="仿宋_GB2312" w:cs="仿宋_GB2312"/>
          <w:b w:val="0"/>
          <w:bCs w:val="0"/>
          <w:kern w:val="1"/>
          <w:sz w:val="32"/>
          <w:szCs w:val="32"/>
          <w:lang w:val="en-US" w:eastAsia="zh-CN"/>
        </w:rPr>
        <w:t>对提升城桥地区污水处理效率</w:t>
      </w:r>
      <w:r>
        <w:rPr>
          <w:rFonts w:hint="eastAsia" w:cs="仿宋_GB2312"/>
          <w:b w:val="0"/>
          <w:bCs w:val="0"/>
          <w:kern w:val="1"/>
          <w:sz w:val="32"/>
          <w:szCs w:val="32"/>
          <w:lang w:val="en-US" w:eastAsia="zh-CN"/>
        </w:rPr>
        <w:t>确有</w:t>
      </w:r>
      <w:r>
        <w:rPr>
          <w:rFonts w:hint="eastAsia" w:ascii="仿宋_GB2312" w:hAnsi="仿宋_GB2312" w:cs="仿宋_GB2312"/>
          <w:b w:val="0"/>
          <w:bCs w:val="0"/>
          <w:kern w:val="1"/>
          <w:sz w:val="32"/>
          <w:szCs w:val="32"/>
          <w:lang w:val="en-US" w:eastAsia="zh-CN"/>
        </w:rPr>
        <w:t>成效，进水COD浓度由</w:t>
      </w:r>
      <w:r>
        <w:rPr>
          <w:rFonts w:hint="eastAsia" w:cs="仿宋_GB2312"/>
          <w:b w:val="0"/>
          <w:bCs w:val="0"/>
          <w:kern w:val="1"/>
          <w:sz w:val="32"/>
          <w:szCs w:val="32"/>
          <w:lang w:val="en-US" w:eastAsia="zh-CN"/>
        </w:rPr>
        <w:t>改造前的</w:t>
      </w:r>
      <w:r>
        <w:rPr>
          <w:rFonts w:hint="eastAsia" w:ascii="仿宋_GB2312" w:hAnsi="仿宋_GB2312" w:cs="仿宋_GB2312"/>
          <w:b w:val="0"/>
          <w:bCs w:val="0"/>
          <w:kern w:val="1"/>
          <w:sz w:val="32"/>
          <w:szCs w:val="32"/>
          <w:lang w:val="en-US" w:eastAsia="zh-CN"/>
        </w:rPr>
        <w:t>70毫克/升</w:t>
      </w:r>
      <w:r>
        <w:rPr>
          <w:rFonts w:hint="eastAsia" w:cs="仿宋_GB2312"/>
          <w:b w:val="0"/>
          <w:bCs w:val="0"/>
          <w:kern w:val="1"/>
          <w:sz w:val="32"/>
          <w:szCs w:val="32"/>
          <w:lang w:val="en-US" w:eastAsia="zh-CN"/>
        </w:rPr>
        <w:t>左右</w:t>
      </w:r>
      <w:r>
        <w:rPr>
          <w:rFonts w:hint="eastAsia" w:ascii="仿宋_GB2312" w:hAnsi="仿宋_GB2312" w:cs="仿宋_GB2312"/>
          <w:b w:val="0"/>
          <w:bCs w:val="0"/>
          <w:kern w:val="1"/>
          <w:sz w:val="32"/>
          <w:szCs w:val="32"/>
          <w:lang w:val="en-US" w:eastAsia="zh-CN"/>
        </w:rPr>
        <w:t>提高到130毫克/升</w:t>
      </w:r>
      <w:r>
        <w:rPr>
          <w:rFonts w:hint="eastAsia" w:cs="仿宋_GB2312"/>
          <w:b w:val="0"/>
          <w:bCs w:val="0"/>
          <w:kern w:val="1"/>
          <w:sz w:val="32"/>
          <w:szCs w:val="32"/>
          <w:lang w:val="en-US" w:eastAsia="zh-CN"/>
        </w:rPr>
        <w:t>左右</w:t>
      </w:r>
      <w:r>
        <w:rPr>
          <w:rFonts w:hint="eastAsia" w:ascii="仿宋_GB2312" w:hAnsi="仿宋_GB2312" w:cs="仿宋_GB2312"/>
          <w:b w:val="0"/>
          <w:bCs w:val="0"/>
          <w:kern w:val="1"/>
          <w:sz w:val="32"/>
          <w:szCs w:val="32"/>
          <w:lang w:val="en-US" w:eastAsia="zh-CN"/>
        </w:rPr>
        <w:t>。</w:t>
      </w:r>
      <w:r>
        <w:rPr>
          <w:rFonts w:hint="eastAsia" w:ascii="仿宋_GB2312" w:hAnsi="仿宋_GB2312" w:eastAsia="仿宋_GB2312" w:cs="仿宋_GB2312"/>
          <w:b w:val="0"/>
          <w:bCs w:val="0"/>
          <w:kern w:val="1"/>
          <w:sz w:val="32"/>
          <w:szCs w:val="32"/>
          <w:lang w:val="en-US" w:eastAsia="zh-CN"/>
        </w:rPr>
        <w:t>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w:t>
      </w:r>
      <w:r>
        <w:rPr>
          <w:rFonts w:hint="eastAsia" w:ascii="仿宋_GB2312" w:hAnsi="仿宋_GB2312" w:cs="仿宋_GB2312"/>
          <w:b w:val="0"/>
          <w:bCs w:val="0"/>
          <w:kern w:val="1"/>
          <w:sz w:val="32"/>
          <w:szCs w:val="32"/>
          <w:lang w:val="en-US" w:eastAsia="zh-CN"/>
        </w:rPr>
        <w:t xml:space="preserve">1 项目建后管护机制健全性和执行有效性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3</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w:t>
      </w:r>
      <w:r>
        <w:rPr>
          <w:rFonts w:hint="eastAsia" w:ascii="仿宋_GB2312" w:hAnsi="仿宋_GB2312" w:cs="仿宋_GB2312"/>
          <w:b w:val="0"/>
          <w:bCs w:val="0"/>
          <w:kern w:val="1"/>
          <w:sz w:val="32"/>
          <w:szCs w:val="32"/>
          <w:lang w:val="en-US" w:eastAsia="zh-CN"/>
        </w:rPr>
        <w:t>.5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cs="仿宋_GB2312"/>
          <w:kern w:val="1"/>
          <w:sz w:val="32"/>
          <w:szCs w:val="32"/>
          <w:lang w:val="en-US" w:eastAsia="zh-CN"/>
        </w:rPr>
        <w:t>根据</w:t>
      </w:r>
      <w:r>
        <w:rPr>
          <w:rFonts w:hint="eastAsia"/>
          <w:sz w:val="32"/>
          <w:szCs w:val="32"/>
          <w:lang w:val="en-US" w:eastAsia="zh-CN"/>
        </w:rPr>
        <w:t>项目合同约定和职责划分，项目完成改造的2年内，各项设施设备的管护工作由施工单位负责，包括屋面和外立面的维护、雨污管道的维护、非机动车棚、健身步道、户外晾晒架等设施的维护等。改造完成2年后（2023年9月），城桥镇人民政府与相关小区物业签订资产移交接管协议书</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以上各项内容的日常管护工作将交由小区物业负责；此外，城桥镇人民政府进一步优化居民自治、物业管理、业委会运作机制，协调确定小区后续物业服务标准、物业收费标准等相关事宜，提升居民的法治意识、自治意识，同时，注重培育引入社会服务组织参与公共事务服务，促进改造小区维护更新良性循环；故项目</w:t>
      </w:r>
      <w:r>
        <w:rPr>
          <w:rFonts w:hint="eastAsia" w:ascii="仿宋_GB2312" w:hAnsi="仿宋_GB2312" w:cs="仿宋_GB2312"/>
          <w:b w:val="0"/>
          <w:bCs w:val="0"/>
          <w:kern w:val="1"/>
          <w:sz w:val="32"/>
          <w:szCs w:val="32"/>
          <w:lang w:val="en-US" w:eastAsia="zh-CN"/>
        </w:rPr>
        <w:t>建后管护机制健全</w:t>
      </w:r>
      <w:r>
        <w:rPr>
          <w:rFonts w:hint="eastAsia" w:cs="仿宋_GB2312"/>
          <w:b w:val="0"/>
          <w:bCs w:val="0"/>
          <w:kern w:val="1"/>
          <w:sz w:val="32"/>
          <w:szCs w:val="32"/>
          <w:lang w:val="en-US" w:eastAsia="zh-CN"/>
        </w:rPr>
        <w:t>；得1分</w:t>
      </w:r>
      <w:r>
        <w:rPr>
          <w:rFonts w:hint="eastAsia" w:ascii="仿宋_GB2312" w:hAnsi="仿宋_GB2312" w:cs="仿宋_GB2312"/>
          <w:b w:val="0"/>
          <w:bCs w:val="0"/>
          <w:kern w:val="1"/>
          <w:sz w:val="32"/>
          <w:szCs w:val="32"/>
          <w:lang w:val="en-US" w:eastAsia="zh-CN"/>
        </w:rPr>
        <w:t>。</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在实地调研过程中，评价组发现</w:t>
      </w:r>
      <w:r>
        <w:rPr>
          <w:rFonts w:hint="eastAsia" w:cs="仿宋_GB2312"/>
          <w:b w:val="0"/>
          <w:bCs w:val="0"/>
          <w:kern w:val="1"/>
          <w:sz w:val="32"/>
          <w:szCs w:val="32"/>
          <w:lang w:val="en-US" w:eastAsia="zh-CN"/>
        </w:rPr>
        <w:t>管护</w:t>
      </w:r>
      <w:r>
        <w:rPr>
          <w:rFonts w:hint="eastAsia" w:ascii="仿宋_GB2312" w:hAnsi="仿宋_GB2312" w:cs="仿宋_GB2312"/>
          <w:b w:val="0"/>
          <w:bCs w:val="0"/>
          <w:kern w:val="1"/>
          <w:sz w:val="32"/>
          <w:szCs w:val="32"/>
          <w:lang w:val="en-US" w:eastAsia="zh-CN"/>
        </w:rPr>
        <w:t>不到位</w:t>
      </w:r>
      <w:r>
        <w:rPr>
          <w:rFonts w:hint="eastAsia" w:cs="仿宋_GB2312"/>
          <w:b w:val="0"/>
          <w:bCs w:val="0"/>
          <w:kern w:val="1"/>
          <w:sz w:val="32"/>
          <w:szCs w:val="32"/>
          <w:lang w:val="en-US" w:eastAsia="zh-CN"/>
        </w:rPr>
        <w:t>的情况主要涉及：多个小区的建筑外立面涂料发生明显剥落、鼓包等情况，且报修后修补不及时</w:t>
      </w:r>
      <w:r>
        <w:rPr>
          <w:rFonts w:hint="eastAsia" w:ascii="仿宋_GB2312" w:hAnsi="仿宋_GB2312" w:cs="仿宋_GB2312"/>
          <w:b w:val="0"/>
          <w:bCs w:val="0"/>
          <w:kern w:val="1"/>
          <w:sz w:val="32"/>
          <w:szCs w:val="32"/>
          <w:lang w:val="en-US" w:eastAsia="zh-CN"/>
        </w:rPr>
        <w:t>。</w:t>
      </w:r>
      <w:r>
        <w:rPr>
          <w:rFonts w:hint="eastAsia" w:ascii="仿宋_GB2312" w:hAnsi="仿宋_GB2312" w:eastAsia="仿宋_GB2312" w:cs="仿宋_GB2312"/>
          <w:b w:val="0"/>
          <w:bCs w:val="0"/>
          <w:kern w:val="1"/>
          <w:sz w:val="32"/>
          <w:szCs w:val="32"/>
          <w:lang w:val="en-US" w:eastAsia="zh-CN"/>
        </w:rPr>
        <w:t>根据评分标准，得</w:t>
      </w:r>
      <w:r>
        <w:rPr>
          <w:rFonts w:hint="eastAsia" w:ascii="仿宋_GB2312" w:hAnsi="仿宋_GB2312" w:cs="仿宋_GB2312"/>
          <w:b w:val="0"/>
          <w:bCs w:val="0"/>
          <w:kern w:val="1"/>
          <w:sz w:val="32"/>
          <w:szCs w:val="32"/>
          <w:lang w:val="en-US" w:eastAsia="zh-CN"/>
        </w:rPr>
        <w:t>1.5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0" w:firstLineChars="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32</w:t>
      </w:r>
      <w:r>
        <w:rPr>
          <w:rFonts w:hint="eastAsia" w:ascii="仿宋_GB2312" w:hAnsi="仿宋_GB2312" w:cs="仿宋_GB2312"/>
          <w:b w:val="0"/>
          <w:bCs w:val="0"/>
          <w:kern w:val="1"/>
          <w:sz w:val="32"/>
          <w:szCs w:val="32"/>
          <w:lang w:val="en-US" w:eastAsia="zh-CN"/>
        </w:rPr>
        <w:t xml:space="preserve"> 参建各方的沟通协调机制有效性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分，得分</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本项目在实施推进过程中，城桥镇镇政府通过健全党建微网格组织体系，搭建议事平台，建立定期会商机制，及时反映业主意愿，分析、研究、讨论、化解矛盾，更好地推动各方参与</w:t>
      </w:r>
      <w:r>
        <w:rPr>
          <w:rFonts w:hint="eastAsia" w:cs="仿宋_GB2312"/>
          <w:b w:val="0"/>
          <w:bCs w:val="0"/>
          <w:kern w:val="1"/>
          <w:sz w:val="32"/>
          <w:szCs w:val="32"/>
          <w:lang w:val="en-US" w:eastAsia="zh-CN"/>
        </w:rPr>
        <w:t>项目</w:t>
      </w:r>
      <w:r>
        <w:rPr>
          <w:rFonts w:hint="eastAsia" w:ascii="仿宋_GB2312" w:hAnsi="仿宋_GB2312" w:cs="仿宋_GB2312"/>
          <w:b w:val="0"/>
          <w:bCs w:val="0"/>
          <w:kern w:val="1"/>
          <w:sz w:val="32"/>
          <w:szCs w:val="32"/>
          <w:lang w:val="en-US" w:eastAsia="zh-CN"/>
        </w:rPr>
        <w:t>建设，积极引导居民</w:t>
      </w:r>
      <w:r>
        <w:rPr>
          <w:rFonts w:hint="eastAsia" w:cs="仿宋_GB2312"/>
          <w:b w:val="0"/>
          <w:bCs w:val="0"/>
          <w:kern w:val="1"/>
          <w:sz w:val="32"/>
          <w:szCs w:val="32"/>
          <w:lang w:val="en-US" w:eastAsia="zh-CN"/>
        </w:rPr>
        <w:t>配合工程改造，总体</w:t>
      </w:r>
      <w:r>
        <w:rPr>
          <w:rFonts w:hint="eastAsia" w:ascii="仿宋_GB2312" w:hAnsi="仿宋_GB2312" w:eastAsia="仿宋_GB2312" w:cs="仿宋_GB2312"/>
          <w:b w:val="0"/>
          <w:bCs w:val="0"/>
          <w:kern w:val="1"/>
          <w:sz w:val="32"/>
          <w:szCs w:val="32"/>
          <w:lang w:val="en-US" w:eastAsia="zh-CN"/>
        </w:rPr>
        <w:t>沟通协调有效，未发生因沟通不畅导致项目建设停滞的事件，根据评分标准，该指标得满分。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33</w:t>
      </w:r>
      <w:r>
        <w:rPr>
          <w:rFonts w:hint="eastAsia" w:ascii="仿宋_GB2312" w:hAnsi="仿宋_GB2312" w:cs="仿宋_GB2312"/>
          <w:b w:val="0"/>
          <w:bCs w:val="0"/>
          <w:kern w:val="1"/>
          <w:sz w:val="32"/>
          <w:szCs w:val="32"/>
          <w:lang w:val="en-US" w:eastAsia="zh-CN"/>
        </w:rPr>
        <w:t xml:space="preserve"> 新建公共设施</w:t>
      </w:r>
      <w:r>
        <w:rPr>
          <w:rFonts w:hint="eastAsia" w:cs="仿宋_GB2312"/>
          <w:b w:val="0"/>
          <w:bCs w:val="0"/>
          <w:kern w:val="1"/>
          <w:sz w:val="32"/>
          <w:szCs w:val="32"/>
          <w:lang w:val="en-US" w:eastAsia="zh-CN"/>
        </w:rPr>
        <w:t>综合</w:t>
      </w:r>
      <w:r>
        <w:rPr>
          <w:rFonts w:hint="eastAsia" w:ascii="仿宋_GB2312" w:hAnsi="仿宋_GB2312" w:cs="仿宋_GB2312"/>
          <w:b w:val="0"/>
          <w:bCs w:val="0"/>
          <w:kern w:val="1"/>
          <w:sz w:val="32"/>
          <w:szCs w:val="32"/>
          <w:lang w:val="en-US" w:eastAsia="zh-CN"/>
        </w:rPr>
        <w:t xml:space="preserve">利用率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2</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通过居民问卷调查分析，</w:t>
      </w:r>
      <w:r>
        <w:rPr>
          <w:rFonts w:hint="eastAsia" w:cs="仿宋_GB2312"/>
          <w:b w:val="0"/>
          <w:bCs w:val="0"/>
          <w:kern w:val="1"/>
          <w:sz w:val="32"/>
          <w:szCs w:val="32"/>
          <w:lang w:val="en-US" w:eastAsia="zh-CN"/>
        </w:rPr>
        <w:t>262名接受调研的居民中，对</w:t>
      </w:r>
      <w:r>
        <w:rPr>
          <w:rFonts w:hint="eastAsia" w:ascii="仿宋_GB2312" w:hAnsi="仿宋_GB2312" w:cs="仿宋_GB2312"/>
          <w:b w:val="0"/>
          <w:bCs w:val="0"/>
          <w:kern w:val="1"/>
          <w:sz w:val="32"/>
          <w:szCs w:val="32"/>
          <w:lang w:val="en-US" w:eastAsia="zh-CN"/>
        </w:rPr>
        <w:t>4类设施的综合利用</w:t>
      </w:r>
      <w:r>
        <w:rPr>
          <w:rFonts w:hint="eastAsia" w:cs="仿宋_GB2312"/>
          <w:b w:val="0"/>
          <w:bCs w:val="0"/>
          <w:kern w:val="1"/>
          <w:sz w:val="32"/>
          <w:szCs w:val="32"/>
          <w:lang w:val="en-US" w:eastAsia="zh-CN"/>
        </w:rPr>
        <w:t>情况如下：健身设施</w:t>
      </w:r>
      <w:r>
        <w:rPr>
          <w:rFonts w:hint="eastAsia" w:ascii="仿宋_GB2312" w:hAnsi="仿宋_GB2312" w:cs="仿宋_GB2312"/>
          <w:b w:val="0"/>
          <w:bCs w:val="0"/>
          <w:kern w:val="1"/>
          <w:sz w:val="32"/>
          <w:szCs w:val="32"/>
          <w:lang w:val="en-US" w:eastAsia="zh-CN"/>
        </w:rPr>
        <w:t>利用</w:t>
      </w:r>
      <w:r>
        <w:rPr>
          <w:rFonts w:hint="eastAsia" w:cs="仿宋_GB2312"/>
          <w:b w:val="0"/>
          <w:bCs w:val="0"/>
          <w:kern w:val="1"/>
          <w:sz w:val="32"/>
          <w:szCs w:val="32"/>
          <w:lang w:val="en-US" w:eastAsia="zh-CN"/>
        </w:rPr>
        <w:t>人次数170</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健身步道</w:t>
      </w:r>
      <w:r>
        <w:rPr>
          <w:rFonts w:hint="eastAsia" w:ascii="仿宋_GB2312" w:hAnsi="仿宋_GB2312" w:cs="仿宋_GB2312"/>
          <w:b w:val="0"/>
          <w:bCs w:val="0"/>
          <w:kern w:val="1"/>
          <w:sz w:val="32"/>
          <w:szCs w:val="32"/>
          <w:lang w:val="en-US" w:eastAsia="zh-CN"/>
        </w:rPr>
        <w:t>利用</w:t>
      </w:r>
      <w:r>
        <w:rPr>
          <w:rFonts w:hint="eastAsia" w:cs="仿宋_GB2312"/>
          <w:b w:val="0"/>
          <w:bCs w:val="0"/>
          <w:kern w:val="1"/>
          <w:sz w:val="32"/>
          <w:szCs w:val="32"/>
          <w:lang w:val="en-US" w:eastAsia="zh-CN"/>
        </w:rPr>
        <w:t>人次数32</w:t>
      </w:r>
      <w:r>
        <w:rPr>
          <w:rFonts w:hint="eastAsia" w:ascii="仿宋_GB2312" w:hAnsi="仿宋_GB2312" w:cs="仿宋_GB2312"/>
          <w:b w:val="0"/>
          <w:bCs w:val="0"/>
          <w:kern w:val="1"/>
          <w:sz w:val="32"/>
          <w:szCs w:val="32"/>
          <w:lang w:val="en-US" w:eastAsia="zh-CN"/>
        </w:rPr>
        <w:t>；</w:t>
      </w:r>
      <w:r>
        <w:rPr>
          <w:rFonts w:hint="eastAsia" w:ascii="仿宋_GB2312" w:hAnsi="仿宋_GB2312" w:eastAsia="仿宋_GB2312" w:cs="仿宋_GB2312"/>
          <w:b w:val="0"/>
          <w:bCs w:val="0"/>
          <w:kern w:val="1"/>
          <w:sz w:val="32"/>
          <w:szCs w:val="32"/>
          <w:lang w:val="en-US" w:eastAsia="zh-CN"/>
        </w:rPr>
        <w:t>非机动车库充电桩</w:t>
      </w:r>
      <w:r>
        <w:rPr>
          <w:rFonts w:hint="eastAsia" w:ascii="仿宋_GB2312" w:hAnsi="仿宋_GB2312" w:cs="仿宋_GB2312"/>
          <w:b w:val="0"/>
          <w:bCs w:val="0"/>
          <w:kern w:val="1"/>
          <w:sz w:val="32"/>
          <w:szCs w:val="32"/>
          <w:lang w:val="en-US" w:eastAsia="zh-CN"/>
        </w:rPr>
        <w:t>利用</w:t>
      </w:r>
      <w:r>
        <w:rPr>
          <w:rFonts w:hint="eastAsia" w:cs="仿宋_GB2312"/>
          <w:b w:val="0"/>
          <w:bCs w:val="0"/>
          <w:kern w:val="1"/>
          <w:sz w:val="32"/>
          <w:szCs w:val="32"/>
          <w:lang w:val="en-US" w:eastAsia="zh-CN"/>
        </w:rPr>
        <w:t>人次数133</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晾晒架</w:t>
      </w:r>
      <w:r>
        <w:rPr>
          <w:rFonts w:hint="eastAsia" w:ascii="仿宋_GB2312" w:hAnsi="仿宋_GB2312" w:cs="仿宋_GB2312"/>
          <w:b w:val="0"/>
          <w:bCs w:val="0"/>
          <w:kern w:val="1"/>
          <w:sz w:val="32"/>
          <w:szCs w:val="32"/>
          <w:lang w:val="en-US" w:eastAsia="zh-CN"/>
        </w:rPr>
        <w:t>利用</w:t>
      </w:r>
      <w:r>
        <w:rPr>
          <w:rFonts w:hint="eastAsia" w:cs="仿宋_GB2312"/>
          <w:b w:val="0"/>
          <w:bCs w:val="0"/>
          <w:kern w:val="1"/>
          <w:sz w:val="32"/>
          <w:szCs w:val="32"/>
          <w:lang w:val="en-US" w:eastAsia="zh-CN"/>
        </w:rPr>
        <w:t>人次数156。</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则</w:t>
      </w:r>
      <w:r>
        <w:rPr>
          <w:rFonts w:hint="eastAsia" w:ascii="仿宋_GB2312" w:hAnsi="仿宋_GB2312" w:cs="仿宋_GB2312"/>
          <w:b w:val="0"/>
          <w:bCs w:val="0"/>
          <w:kern w:val="1"/>
          <w:sz w:val="32"/>
          <w:szCs w:val="32"/>
          <w:lang w:val="en-US" w:eastAsia="zh-CN"/>
        </w:rPr>
        <w:t>4类设施的综合利用率（4类设施的总使用人次数÷2÷受访总人次数）</w:t>
      </w:r>
      <w:r>
        <w:rPr>
          <w:rFonts w:hint="eastAsia" w:cs="仿宋_GB2312"/>
          <w:b w:val="0"/>
          <w:bCs w:val="0"/>
          <w:kern w:val="1"/>
          <w:sz w:val="32"/>
          <w:szCs w:val="32"/>
          <w:lang w:val="en-US" w:eastAsia="zh-CN"/>
        </w:rPr>
        <w:t>的计算结果为（170+32+133+156）</w:t>
      </w:r>
      <w:r>
        <w:rPr>
          <w:rFonts w:hint="eastAsia" w:ascii="仿宋_GB2312" w:hAnsi="仿宋_GB2312" w:cs="仿宋_GB2312"/>
          <w:b w:val="0"/>
          <w:bCs w:val="0"/>
          <w:kern w:val="1"/>
          <w:sz w:val="32"/>
          <w:szCs w:val="32"/>
          <w:lang w:val="en-US" w:eastAsia="zh-CN"/>
        </w:rPr>
        <w:t>÷2÷</w:t>
      </w:r>
      <w:r>
        <w:rPr>
          <w:rFonts w:hint="eastAsia" w:cs="仿宋_GB2312"/>
          <w:b w:val="0"/>
          <w:bCs w:val="0"/>
          <w:kern w:val="1"/>
          <w:sz w:val="32"/>
          <w:szCs w:val="32"/>
          <w:lang w:val="en-US" w:eastAsia="zh-CN"/>
        </w:rPr>
        <w:t>262=93.7%</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故</w:t>
      </w:r>
      <w:r>
        <w:rPr>
          <w:rFonts w:hint="eastAsia" w:ascii="仿宋_GB2312" w:hAnsi="仿宋_GB2312" w:cs="仿宋_GB2312"/>
          <w:b w:val="0"/>
          <w:bCs w:val="0"/>
          <w:kern w:val="1"/>
          <w:sz w:val="32"/>
          <w:szCs w:val="32"/>
          <w:lang w:val="en-US" w:eastAsia="zh-CN"/>
        </w:rPr>
        <w:t>本项指标得</w:t>
      </w:r>
      <w:r>
        <w:rPr>
          <w:rFonts w:hint="eastAsia" w:cs="仿宋_GB2312"/>
          <w:b w:val="0"/>
          <w:bCs w:val="0"/>
          <w:kern w:val="1"/>
          <w:sz w:val="32"/>
          <w:szCs w:val="32"/>
          <w:lang w:val="en-US" w:eastAsia="zh-CN"/>
        </w:rPr>
        <w:t>满</w:t>
      </w:r>
      <w:r>
        <w:rPr>
          <w:rFonts w:hint="eastAsia" w:ascii="仿宋_GB2312" w:hAnsi="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highlight w:val="none"/>
          <w:lang w:val="en-US" w:eastAsia="zh-CN"/>
        </w:rPr>
      </w:pPr>
      <w:r>
        <w:rPr>
          <w:rFonts w:hint="eastAsia" w:ascii="仿宋_GB2312" w:hAnsi="仿宋_GB2312" w:cs="仿宋_GB2312"/>
          <w:b w:val="0"/>
          <w:bCs w:val="0"/>
          <w:kern w:val="1"/>
          <w:sz w:val="32"/>
          <w:szCs w:val="32"/>
          <w:highlight w:val="none"/>
          <w:lang w:val="en-US" w:eastAsia="zh-CN"/>
        </w:rPr>
        <w:t>D</w:t>
      </w:r>
      <w:r>
        <w:rPr>
          <w:rFonts w:hint="eastAsia" w:cs="仿宋_GB2312"/>
          <w:b w:val="0"/>
          <w:bCs w:val="0"/>
          <w:kern w:val="1"/>
          <w:sz w:val="32"/>
          <w:szCs w:val="32"/>
          <w:highlight w:val="none"/>
          <w:lang w:val="en-US" w:eastAsia="zh-CN"/>
        </w:rPr>
        <w:t>3</w:t>
      </w:r>
      <w:r>
        <w:rPr>
          <w:rFonts w:hint="eastAsia" w:ascii="仿宋_GB2312" w:hAnsi="仿宋_GB2312" w:cs="仿宋_GB2312"/>
          <w:b w:val="0"/>
          <w:bCs w:val="0"/>
          <w:kern w:val="1"/>
          <w:sz w:val="32"/>
          <w:szCs w:val="32"/>
          <w:highlight w:val="none"/>
          <w:lang w:val="en-US" w:eastAsia="zh-CN"/>
        </w:rPr>
        <w:t xml:space="preserve">4 </w:t>
      </w:r>
      <w:r>
        <w:rPr>
          <w:rFonts w:hint="eastAsia" w:cs="仿宋_GB2312"/>
          <w:b w:val="0"/>
          <w:bCs w:val="0"/>
          <w:kern w:val="1"/>
          <w:sz w:val="32"/>
          <w:szCs w:val="32"/>
          <w:highlight w:val="none"/>
          <w:lang w:val="en-US" w:eastAsia="zh-CN"/>
        </w:rPr>
        <w:t>居民</w:t>
      </w:r>
      <w:r>
        <w:rPr>
          <w:rFonts w:hint="eastAsia" w:ascii="仿宋_GB2312" w:hAnsi="仿宋_GB2312" w:cs="仿宋_GB2312"/>
          <w:b w:val="0"/>
          <w:bCs w:val="0"/>
          <w:kern w:val="1"/>
          <w:sz w:val="32"/>
          <w:szCs w:val="32"/>
          <w:highlight w:val="none"/>
          <w:lang w:val="en-US" w:eastAsia="zh-CN"/>
        </w:rPr>
        <w:t>知晓</w:t>
      </w:r>
      <w:r>
        <w:rPr>
          <w:rFonts w:hint="eastAsia" w:cs="仿宋_GB2312"/>
          <w:b w:val="0"/>
          <w:bCs w:val="0"/>
          <w:kern w:val="1"/>
          <w:sz w:val="32"/>
          <w:szCs w:val="32"/>
          <w:highlight w:val="none"/>
          <w:lang w:val="en-US" w:eastAsia="zh-CN"/>
        </w:rPr>
        <w:t>率</w:t>
      </w:r>
      <w:r>
        <w:rPr>
          <w:rFonts w:hint="eastAsia" w:ascii="仿宋_GB2312" w:hAnsi="仿宋_GB2312" w:cs="仿宋_GB2312"/>
          <w:b w:val="0"/>
          <w:bCs w:val="0"/>
          <w:kern w:val="1"/>
          <w:sz w:val="32"/>
          <w:szCs w:val="32"/>
          <w:highlight w:val="none"/>
          <w:lang w:val="en-US" w:eastAsia="zh-CN"/>
        </w:rPr>
        <w:t xml:space="preserve"> </w:t>
      </w:r>
      <w:r>
        <w:rPr>
          <w:rFonts w:hint="eastAsia" w:ascii="仿宋_GB2312" w:hAnsi="仿宋_GB2312" w:eastAsia="仿宋_GB2312" w:cs="仿宋_GB2312"/>
          <w:b w:val="0"/>
          <w:bCs w:val="0"/>
          <w:kern w:val="1"/>
          <w:sz w:val="32"/>
          <w:szCs w:val="32"/>
          <w:highlight w:val="none"/>
          <w:lang w:val="en-US" w:eastAsia="zh-CN"/>
        </w:rPr>
        <w:t>权重</w:t>
      </w:r>
      <w:r>
        <w:rPr>
          <w:rFonts w:hint="eastAsia" w:ascii="仿宋_GB2312" w:hAnsi="仿宋_GB2312" w:cs="仿宋_GB2312"/>
          <w:b w:val="0"/>
          <w:bCs w:val="0"/>
          <w:kern w:val="1"/>
          <w:sz w:val="32"/>
          <w:szCs w:val="32"/>
          <w:highlight w:val="none"/>
          <w:lang w:val="en-US" w:eastAsia="zh-CN"/>
        </w:rPr>
        <w:t>1</w:t>
      </w:r>
      <w:r>
        <w:rPr>
          <w:rFonts w:hint="eastAsia" w:ascii="仿宋_GB2312" w:hAnsi="仿宋_GB2312" w:eastAsia="仿宋_GB2312" w:cs="仿宋_GB2312"/>
          <w:b w:val="0"/>
          <w:bCs w:val="0"/>
          <w:kern w:val="1"/>
          <w:sz w:val="32"/>
          <w:szCs w:val="32"/>
          <w:highlight w:val="none"/>
          <w:lang w:val="en-US" w:eastAsia="zh-CN"/>
        </w:rPr>
        <w:t>分，得分</w:t>
      </w:r>
      <w:r>
        <w:rPr>
          <w:rFonts w:hint="eastAsia" w:cs="仿宋_GB2312"/>
          <w:b w:val="0"/>
          <w:bCs w:val="0"/>
          <w:kern w:val="1"/>
          <w:sz w:val="32"/>
          <w:szCs w:val="32"/>
          <w:highlight w:val="none"/>
          <w:lang w:val="en-US" w:eastAsia="zh-CN"/>
        </w:rPr>
        <w:t>1</w:t>
      </w:r>
      <w:r>
        <w:rPr>
          <w:rFonts w:hint="eastAsia" w:ascii="仿宋_GB2312" w:hAnsi="仿宋_GB2312" w:eastAsia="仿宋_GB2312" w:cs="仿宋_GB2312"/>
          <w:b w:val="0"/>
          <w:bCs w:val="0"/>
          <w:kern w:val="1"/>
          <w:sz w:val="32"/>
          <w:szCs w:val="32"/>
          <w:highlight w:val="none"/>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highlight w:val="none"/>
          <w:lang w:val="en-US" w:eastAsia="zh-CN"/>
        </w:rPr>
        <w:t>根据评价组的问卷调查结果分析，</w:t>
      </w:r>
      <w:r>
        <w:rPr>
          <w:rFonts w:hint="eastAsia" w:cs="仿宋_GB2312"/>
          <w:b w:val="0"/>
          <w:bCs w:val="0"/>
          <w:kern w:val="1"/>
          <w:sz w:val="32"/>
          <w:szCs w:val="32"/>
          <w:highlight w:val="none"/>
          <w:lang w:val="en-US" w:eastAsia="zh-CN"/>
        </w:rPr>
        <w:t>428名接受调研的居民</w:t>
      </w:r>
      <w:r>
        <w:rPr>
          <w:rFonts w:hint="eastAsia" w:ascii="仿宋_GB2312" w:hAnsi="仿宋_GB2312" w:cs="仿宋_GB2312"/>
          <w:b w:val="0"/>
          <w:bCs w:val="0"/>
          <w:kern w:val="1"/>
          <w:sz w:val="32"/>
          <w:szCs w:val="32"/>
          <w:highlight w:val="none"/>
          <w:lang w:val="en-US" w:eastAsia="zh-CN"/>
        </w:rPr>
        <w:t>对</w:t>
      </w:r>
      <w:r>
        <w:rPr>
          <w:rFonts w:hint="eastAsia" w:cs="仿宋_GB2312"/>
          <w:b w:val="0"/>
          <w:bCs w:val="0"/>
          <w:kern w:val="1"/>
          <w:sz w:val="32"/>
          <w:szCs w:val="32"/>
          <w:highlight w:val="none"/>
          <w:lang w:val="en-US" w:eastAsia="zh-CN"/>
        </w:rPr>
        <w:t>美丽家园改造工作</w:t>
      </w:r>
      <w:r>
        <w:rPr>
          <w:rFonts w:hint="eastAsia" w:ascii="仿宋_GB2312" w:hAnsi="仿宋_GB2312" w:cs="仿宋_GB2312"/>
          <w:b w:val="0"/>
          <w:bCs w:val="0"/>
          <w:kern w:val="1"/>
          <w:sz w:val="32"/>
          <w:szCs w:val="32"/>
          <w:highlight w:val="none"/>
          <w:lang w:val="en-US" w:eastAsia="zh-CN"/>
        </w:rPr>
        <w:t>的知晓度为</w:t>
      </w:r>
      <w:r>
        <w:rPr>
          <w:rFonts w:hint="eastAsia" w:cs="仿宋_GB2312"/>
          <w:b w:val="0"/>
          <w:bCs w:val="0"/>
          <w:kern w:val="1"/>
          <w:sz w:val="32"/>
          <w:szCs w:val="32"/>
          <w:highlight w:val="none"/>
          <w:lang w:val="en-US" w:eastAsia="zh-CN"/>
        </w:rPr>
        <w:t>99.3</w:t>
      </w:r>
      <w:r>
        <w:rPr>
          <w:rFonts w:hint="eastAsia" w:ascii="仿宋_GB2312" w:hAnsi="仿宋_GB2312" w:cs="仿宋_GB2312"/>
          <w:b w:val="0"/>
          <w:bCs w:val="0"/>
          <w:kern w:val="1"/>
          <w:sz w:val="32"/>
          <w:szCs w:val="32"/>
          <w:highlight w:val="none"/>
          <w:lang w:val="en-US" w:eastAsia="zh-CN"/>
        </w:rPr>
        <w:t>%，</w:t>
      </w:r>
      <w:r>
        <w:rPr>
          <w:rFonts w:hint="eastAsia" w:ascii="仿宋_GB2312" w:hAnsi="仿宋_GB2312" w:eastAsia="仿宋_GB2312" w:cs="仿宋_GB2312"/>
          <w:b w:val="0"/>
          <w:bCs w:val="0"/>
          <w:kern w:val="1"/>
          <w:sz w:val="32"/>
          <w:szCs w:val="32"/>
          <w:lang w:val="en-US" w:eastAsia="zh-CN"/>
        </w:rPr>
        <w:t>根据评分标准，该指标得</w:t>
      </w:r>
      <w:r>
        <w:rPr>
          <w:rFonts w:hint="eastAsia" w:cs="仿宋_GB2312"/>
          <w:b w:val="0"/>
          <w:bCs w:val="0"/>
          <w:kern w:val="1"/>
          <w:sz w:val="32"/>
          <w:szCs w:val="32"/>
          <w:lang w:val="en-US" w:eastAsia="zh-CN"/>
        </w:rPr>
        <w:t>满</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35</w:t>
      </w:r>
      <w:r>
        <w:rPr>
          <w:rFonts w:hint="eastAsia" w:ascii="仿宋_GB2312" w:hAnsi="仿宋_GB2312" w:cs="仿宋_GB2312"/>
          <w:b w:val="0"/>
          <w:bCs w:val="0"/>
          <w:kern w:val="1"/>
          <w:sz w:val="32"/>
          <w:szCs w:val="32"/>
          <w:lang w:val="en-US" w:eastAsia="zh-CN"/>
        </w:rPr>
        <w:t xml:space="preserve"> 信息公开规范性 </w:t>
      </w:r>
      <w:r>
        <w:rPr>
          <w:rFonts w:hint="eastAsia" w:ascii="仿宋_GB2312" w:hAnsi="仿宋_GB2312" w:eastAsia="仿宋_GB2312" w:cs="仿宋_GB2312"/>
          <w:b w:val="0"/>
          <w:bCs w:val="0"/>
          <w:kern w:val="1"/>
          <w:sz w:val="32"/>
          <w:szCs w:val="32"/>
          <w:lang w:val="en-US" w:eastAsia="zh-CN"/>
        </w:rPr>
        <w:t>权重</w:t>
      </w:r>
      <w:r>
        <w:rPr>
          <w:rFonts w:hint="eastAsia" w:ascii="仿宋_GB2312" w:hAnsi="仿宋_GB2312" w:cs="仿宋_GB2312"/>
          <w:b w:val="0"/>
          <w:bCs w:val="0"/>
          <w:kern w:val="1"/>
          <w:sz w:val="32"/>
          <w:szCs w:val="32"/>
          <w:lang w:val="en-US" w:eastAsia="zh-CN"/>
        </w:rPr>
        <w:t>1</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0.5</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根据信息公开相关规定，与本项目相关的立项信息、</w:t>
      </w:r>
      <w:r>
        <w:rPr>
          <w:rFonts w:hint="eastAsia" w:cs="仿宋_GB2312"/>
          <w:b w:val="0"/>
          <w:bCs w:val="0"/>
          <w:kern w:val="1"/>
          <w:sz w:val="32"/>
          <w:szCs w:val="32"/>
          <w:lang w:val="en-US" w:eastAsia="zh-CN"/>
        </w:rPr>
        <w:t>美丽家园改造</w:t>
      </w:r>
      <w:r>
        <w:rPr>
          <w:rFonts w:hint="eastAsia" w:ascii="仿宋_GB2312" w:hAnsi="仿宋_GB2312" w:cs="仿宋_GB2312"/>
          <w:b w:val="0"/>
          <w:bCs w:val="0"/>
          <w:kern w:val="1"/>
          <w:sz w:val="32"/>
          <w:szCs w:val="32"/>
          <w:lang w:val="en-US" w:eastAsia="zh-CN"/>
        </w:rPr>
        <w:t>信息均于区政府网站上进行公开，相关</w:t>
      </w:r>
      <w:r>
        <w:rPr>
          <w:rFonts w:hint="eastAsia" w:cs="仿宋_GB2312"/>
          <w:b w:val="0"/>
          <w:bCs w:val="0"/>
          <w:kern w:val="1"/>
          <w:sz w:val="32"/>
          <w:szCs w:val="32"/>
          <w:lang w:val="en-US" w:eastAsia="zh-CN"/>
        </w:rPr>
        <w:t>改造方案</w:t>
      </w:r>
      <w:r>
        <w:rPr>
          <w:rFonts w:hint="eastAsia" w:ascii="仿宋_GB2312" w:hAnsi="仿宋_GB2312" w:cs="仿宋_GB2312"/>
          <w:b w:val="0"/>
          <w:bCs w:val="0"/>
          <w:kern w:val="1"/>
          <w:sz w:val="32"/>
          <w:szCs w:val="32"/>
          <w:lang w:val="en-US" w:eastAsia="zh-CN"/>
        </w:rPr>
        <w:t>和内容在小区（居民楼内）有公开，</w:t>
      </w:r>
      <w:r>
        <w:rPr>
          <w:rFonts w:hint="eastAsia" w:cs="仿宋_GB2312"/>
          <w:b w:val="0"/>
          <w:bCs w:val="0"/>
          <w:kern w:val="1"/>
          <w:sz w:val="32"/>
          <w:szCs w:val="32"/>
          <w:lang w:val="en-US" w:eastAsia="zh-CN"/>
        </w:rPr>
        <w:t>但对于决策过程、对象选取依据等内容，缺乏说明，</w:t>
      </w:r>
      <w:r>
        <w:rPr>
          <w:rFonts w:hint="eastAsia" w:ascii="仿宋_GB2312" w:hAnsi="仿宋_GB2312" w:cs="仿宋_GB2312"/>
          <w:b w:val="0"/>
          <w:bCs w:val="0"/>
          <w:kern w:val="1"/>
          <w:sz w:val="32"/>
          <w:szCs w:val="32"/>
          <w:lang w:val="en-US" w:eastAsia="zh-CN"/>
        </w:rPr>
        <w:t>信息公开</w:t>
      </w:r>
      <w:r>
        <w:rPr>
          <w:rFonts w:hint="eastAsia" w:cs="仿宋_GB2312"/>
          <w:b w:val="0"/>
          <w:bCs w:val="0"/>
          <w:kern w:val="1"/>
          <w:sz w:val="32"/>
          <w:szCs w:val="32"/>
          <w:lang w:val="en-US" w:eastAsia="zh-CN"/>
        </w:rPr>
        <w:t>较</w:t>
      </w:r>
      <w:r>
        <w:rPr>
          <w:rFonts w:hint="eastAsia" w:ascii="仿宋_GB2312" w:hAnsi="仿宋_GB2312" w:cs="仿宋_GB2312"/>
          <w:b w:val="0"/>
          <w:bCs w:val="0"/>
          <w:kern w:val="1"/>
          <w:sz w:val="32"/>
          <w:szCs w:val="32"/>
          <w:lang w:val="en-US" w:eastAsia="zh-CN"/>
        </w:rPr>
        <w:t>规范，本项指标得</w:t>
      </w:r>
      <w:r>
        <w:rPr>
          <w:rFonts w:hint="eastAsia" w:cs="仿宋_GB2312"/>
          <w:b w:val="0"/>
          <w:bCs w:val="0"/>
          <w:kern w:val="1"/>
          <w:sz w:val="32"/>
          <w:szCs w:val="32"/>
          <w:lang w:val="en-US" w:eastAsia="zh-CN"/>
        </w:rPr>
        <w:t>0.5</w:t>
      </w:r>
      <w:r>
        <w:rPr>
          <w:rFonts w:hint="eastAsia" w:ascii="仿宋_GB2312" w:hAnsi="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default"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D</w:t>
      </w:r>
      <w:r>
        <w:rPr>
          <w:rFonts w:hint="eastAsia" w:cs="仿宋_GB2312"/>
          <w:b w:val="0"/>
          <w:bCs w:val="0"/>
          <w:kern w:val="1"/>
          <w:sz w:val="32"/>
          <w:szCs w:val="32"/>
          <w:lang w:val="en-US" w:eastAsia="zh-CN"/>
        </w:rPr>
        <w:t>4</w:t>
      </w:r>
      <w:r>
        <w:rPr>
          <w:rFonts w:hint="eastAsia" w:ascii="仿宋_GB2312" w:hAnsi="仿宋_GB2312" w:cs="仿宋_GB2312"/>
          <w:b w:val="0"/>
          <w:bCs w:val="0"/>
          <w:kern w:val="1"/>
          <w:sz w:val="32"/>
          <w:szCs w:val="32"/>
          <w:lang w:val="en-US" w:eastAsia="zh-CN"/>
        </w:rPr>
        <w:t xml:space="preserve">1 小区居民对改造成果的综合满意度 </w:t>
      </w:r>
      <w:r>
        <w:rPr>
          <w:rFonts w:hint="eastAsia" w:ascii="仿宋_GB2312" w:hAnsi="仿宋_GB2312" w:eastAsia="仿宋_GB2312" w:cs="仿宋_GB2312"/>
          <w:b w:val="0"/>
          <w:bCs w:val="0"/>
          <w:kern w:val="1"/>
          <w:sz w:val="32"/>
          <w:szCs w:val="32"/>
          <w:lang w:val="en-US" w:eastAsia="zh-CN"/>
        </w:rPr>
        <w:t>权重</w:t>
      </w:r>
      <w:r>
        <w:rPr>
          <w:rFonts w:hint="eastAsia" w:cs="仿宋_GB2312"/>
          <w:b w:val="0"/>
          <w:bCs w:val="0"/>
          <w:kern w:val="1"/>
          <w:sz w:val="32"/>
          <w:szCs w:val="32"/>
          <w:lang w:val="en-US" w:eastAsia="zh-CN"/>
        </w:rPr>
        <w:t>6</w:t>
      </w:r>
      <w:r>
        <w:rPr>
          <w:rFonts w:hint="eastAsia" w:ascii="仿宋_GB2312" w:hAnsi="仿宋_GB2312" w:eastAsia="仿宋_GB2312" w:cs="仿宋_GB2312"/>
          <w:b w:val="0"/>
          <w:bCs w:val="0"/>
          <w:kern w:val="1"/>
          <w:sz w:val="32"/>
          <w:szCs w:val="32"/>
          <w:lang w:val="en-US" w:eastAsia="zh-CN"/>
        </w:rPr>
        <w:t>分，得分</w:t>
      </w:r>
      <w:r>
        <w:rPr>
          <w:rFonts w:hint="eastAsia" w:cs="仿宋_GB2312"/>
          <w:b w:val="0"/>
          <w:bCs w:val="0"/>
          <w:kern w:val="1"/>
          <w:sz w:val="32"/>
          <w:szCs w:val="32"/>
          <w:lang w:val="en-US" w:eastAsia="zh-CN"/>
        </w:rPr>
        <w:t>5.41</w:t>
      </w:r>
      <w:r>
        <w:rPr>
          <w:rFonts w:hint="eastAsia" w:ascii="仿宋_GB2312" w:hAnsi="仿宋_GB2312" w:eastAsia="仿宋_GB2312" w:cs="仿宋_GB2312"/>
          <w:b w:val="0"/>
          <w:bCs w:val="0"/>
          <w:kern w:val="1"/>
          <w:sz w:val="32"/>
          <w:szCs w:val="32"/>
          <w:lang w:val="en-US" w:eastAsia="zh-CN"/>
        </w:rPr>
        <w:t>分</w:t>
      </w:r>
    </w:p>
    <w:p>
      <w:pPr>
        <w:keepNext w:val="0"/>
        <w:keepLines w:val="0"/>
        <w:pageBreakBefore w:val="0"/>
        <w:widowControl w:val="0"/>
        <w:kinsoku/>
        <w:wordWrap/>
        <w:overflowPunct/>
        <w:topLinePunct w:val="0"/>
        <w:autoSpaceDE/>
        <w:autoSpaceDN/>
        <w:bidi w:val="0"/>
        <w:adjustRightInd/>
        <w:snapToGrid/>
        <w:spacing w:line="500" w:lineRule="exact"/>
        <w:ind w:firstLine="640"/>
        <w:contextualSpacing/>
        <w:textAlignment w:val="auto"/>
        <w:rPr>
          <w:rFonts w:hint="eastAsia" w:ascii="仿宋_GB2312" w:hAnsi="仿宋_GB2312" w:eastAsia="仿宋_GB2312" w:cs="仿宋_GB2312"/>
          <w:b w:val="0"/>
          <w:bCs w:val="0"/>
          <w:kern w:val="1"/>
          <w:sz w:val="32"/>
          <w:szCs w:val="32"/>
          <w:lang w:val="en-US" w:eastAsia="zh-CN"/>
        </w:rPr>
      </w:pPr>
      <w:r>
        <w:rPr>
          <w:rFonts w:hint="eastAsia" w:ascii="仿宋_GB2312" w:hAnsi="仿宋_GB2312" w:cs="仿宋_GB2312"/>
          <w:b w:val="0"/>
          <w:bCs w:val="0"/>
          <w:kern w:val="1"/>
          <w:sz w:val="32"/>
          <w:szCs w:val="32"/>
          <w:lang w:val="en-US" w:eastAsia="zh-CN"/>
        </w:rPr>
        <w:t>根据评价组的问卷调查结果分析，受调查的</w:t>
      </w:r>
      <w:r>
        <w:rPr>
          <w:rFonts w:hint="eastAsia" w:cs="仿宋_GB2312"/>
          <w:b w:val="0"/>
          <w:bCs w:val="0"/>
          <w:kern w:val="1"/>
          <w:sz w:val="32"/>
          <w:szCs w:val="32"/>
          <w:lang w:val="en-US" w:eastAsia="zh-CN"/>
        </w:rPr>
        <w:t>428名居民</w:t>
      </w:r>
      <w:r>
        <w:rPr>
          <w:rFonts w:hint="eastAsia" w:ascii="仿宋_GB2312" w:hAnsi="仿宋_GB2312" w:cs="仿宋_GB2312"/>
          <w:b w:val="0"/>
          <w:bCs w:val="0"/>
          <w:kern w:val="1"/>
          <w:sz w:val="32"/>
          <w:szCs w:val="32"/>
          <w:lang w:val="en-US" w:eastAsia="zh-CN"/>
        </w:rPr>
        <w:t>对</w:t>
      </w:r>
      <w:r>
        <w:rPr>
          <w:rFonts w:hint="eastAsia" w:cs="仿宋_GB2312"/>
          <w:b w:val="0"/>
          <w:bCs w:val="0"/>
          <w:kern w:val="1"/>
          <w:sz w:val="32"/>
          <w:szCs w:val="32"/>
          <w:lang w:val="en-US" w:eastAsia="zh-CN"/>
        </w:rPr>
        <w:t>美丽家园改造的三</w:t>
      </w:r>
      <w:r>
        <w:rPr>
          <w:rFonts w:hint="eastAsia" w:ascii="仿宋_GB2312" w:hAnsi="仿宋_GB2312" w:cs="仿宋_GB2312"/>
          <w:b w:val="0"/>
          <w:bCs w:val="0"/>
          <w:kern w:val="1"/>
          <w:sz w:val="32"/>
          <w:szCs w:val="32"/>
          <w:lang w:val="en-US" w:eastAsia="zh-CN"/>
        </w:rPr>
        <w:t>个方面：</w:t>
      </w:r>
      <w:r>
        <w:rPr>
          <w:rFonts w:hint="eastAsia" w:cs="仿宋_GB2312"/>
          <w:b w:val="0"/>
          <w:bCs w:val="0"/>
          <w:kern w:val="1"/>
          <w:sz w:val="32"/>
          <w:szCs w:val="32"/>
          <w:lang w:val="en-US" w:eastAsia="zh-CN"/>
        </w:rPr>
        <w:t>总体效果</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工程质量</w:t>
      </w:r>
      <w:r>
        <w:rPr>
          <w:rFonts w:hint="eastAsia" w:ascii="仿宋_GB2312" w:hAnsi="仿宋_GB2312" w:cs="仿宋_GB2312"/>
          <w:b w:val="0"/>
          <w:bCs w:val="0"/>
          <w:kern w:val="1"/>
          <w:sz w:val="32"/>
          <w:szCs w:val="32"/>
          <w:lang w:val="en-US" w:eastAsia="zh-CN"/>
        </w:rPr>
        <w:t>、</w:t>
      </w:r>
      <w:r>
        <w:rPr>
          <w:rFonts w:hint="eastAsia" w:cs="仿宋_GB2312"/>
          <w:b w:val="0"/>
          <w:bCs w:val="0"/>
          <w:kern w:val="1"/>
          <w:sz w:val="32"/>
          <w:szCs w:val="32"/>
          <w:lang w:val="en-US" w:eastAsia="zh-CN"/>
        </w:rPr>
        <w:t>改造效率</w:t>
      </w:r>
      <w:r>
        <w:rPr>
          <w:rFonts w:hint="eastAsia" w:ascii="仿宋_GB2312" w:hAnsi="仿宋_GB2312" w:cs="仿宋_GB2312"/>
          <w:b w:val="0"/>
          <w:bCs w:val="0"/>
          <w:kern w:val="1"/>
          <w:sz w:val="32"/>
          <w:szCs w:val="32"/>
          <w:lang w:val="en-US" w:eastAsia="zh-CN"/>
        </w:rPr>
        <w:t>，进行了满意度打分，</w:t>
      </w:r>
      <w:r>
        <w:rPr>
          <w:rFonts w:hint="eastAsia" w:cs="仿宋_GB2312"/>
          <w:b w:val="0"/>
          <w:bCs w:val="0"/>
          <w:kern w:val="1"/>
          <w:sz w:val="32"/>
          <w:szCs w:val="32"/>
          <w:lang w:val="en-US" w:eastAsia="zh-CN"/>
        </w:rPr>
        <w:t>其中，对改造总体效果的平均满意度为83.4%，对工程质量的平均满意度为79.7%，对改造效率的平均满意度为81.9%，</w:t>
      </w:r>
      <w:r>
        <w:rPr>
          <w:rFonts w:hint="eastAsia" w:ascii="仿宋_GB2312" w:hAnsi="仿宋_GB2312" w:cs="仿宋_GB2312"/>
          <w:b w:val="0"/>
          <w:bCs w:val="0"/>
          <w:kern w:val="1"/>
          <w:sz w:val="32"/>
          <w:szCs w:val="32"/>
          <w:lang w:val="en-US" w:eastAsia="zh-CN"/>
        </w:rPr>
        <w:t>最终综合满意度为81.</w:t>
      </w:r>
      <w:r>
        <w:rPr>
          <w:rFonts w:hint="eastAsia" w:cs="仿宋_GB2312"/>
          <w:b w:val="0"/>
          <w:bCs w:val="0"/>
          <w:kern w:val="1"/>
          <w:sz w:val="32"/>
          <w:szCs w:val="32"/>
          <w:lang w:val="en-US" w:eastAsia="zh-CN"/>
        </w:rPr>
        <w:t>7</w:t>
      </w:r>
      <w:r>
        <w:rPr>
          <w:rFonts w:hint="eastAsia" w:ascii="仿宋_GB2312" w:hAnsi="仿宋_GB2312" w:cs="仿宋_GB2312"/>
          <w:b w:val="0"/>
          <w:bCs w:val="0"/>
          <w:kern w:val="1"/>
          <w:sz w:val="32"/>
          <w:szCs w:val="32"/>
          <w:lang w:val="en-US" w:eastAsia="zh-CN"/>
        </w:rPr>
        <w:t>%，依据评分标准，本项得</w:t>
      </w:r>
      <w:r>
        <w:rPr>
          <w:rFonts w:hint="eastAsia" w:cs="仿宋_GB2312"/>
          <w:b w:val="0"/>
          <w:bCs w:val="0"/>
          <w:kern w:val="1"/>
          <w:sz w:val="32"/>
          <w:szCs w:val="32"/>
          <w:lang w:val="en-US" w:eastAsia="zh-CN"/>
        </w:rPr>
        <w:t>5.41</w:t>
      </w:r>
      <w:r>
        <w:rPr>
          <w:rFonts w:hint="eastAsia" w:ascii="仿宋_GB2312" w:hAnsi="仿宋_GB2312" w:cs="仿宋_GB2312"/>
          <w:b w:val="0"/>
          <w:bCs w:val="0"/>
          <w:kern w:val="1"/>
          <w:sz w:val="32"/>
          <w:szCs w:val="32"/>
          <w:lang w:val="en-US" w:eastAsia="zh-CN"/>
        </w:rPr>
        <w:t>分。</w:t>
      </w:r>
    </w:p>
    <w:p>
      <w:pPr>
        <w:ind w:firstLine="560"/>
        <w:contextualSpacing w:val="0"/>
        <w:rPr>
          <w:rFonts w:hAnsi="Times New Roman" w:cs="Times New Roman"/>
        </w:rPr>
        <w:sectPr>
          <w:pgSz w:w="11906" w:h="16838"/>
          <w:pgMar w:top="1440" w:right="1797" w:bottom="1440" w:left="1797" w:header="851" w:footer="567" w:gutter="0"/>
          <w:cols w:space="720" w:num="1"/>
          <w:docGrid w:linePitch="381" w:charSpace="0"/>
        </w:sectPr>
      </w:pPr>
    </w:p>
    <w:p>
      <w:pPr>
        <w:pStyle w:val="2"/>
        <w:ind w:firstLine="643" w:firstLineChars="200"/>
        <w:rPr>
          <w:sz w:val="32"/>
          <w:szCs w:val="32"/>
        </w:rPr>
      </w:pPr>
      <w:bookmarkStart w:id="71" w:name="_Toc5757"/>
      <w:bookmarkStart w:id="72" w:name="_Toc30448"/>
      <w:r>
        <w:rPr>
          <w:rFonts w:hint="eastAsia" w:ascii="黑体" w:hAnsi="黑体" w:eastAsia="黑体" w:cs="黑体"/>
          <w:sz w:val="32"/>
          <w:szCs w:val="32"/>
          <w:lang w:val="en-US" w:eastAsia="zh-CN"/>
        </w:rPr>
        <w:t>四</w:t>
      </w:r>
      <w:r>
        <w:rPr>
          <w:rFonts w:hint="eastAsia" w:ascii="黑体" w:hAnsi="黑体" w:eastAsia="黑体" w:cs="黑体"/>
          <w:sz w:val="32"/>
          <w:szCs w:val="32"/>
        </w:rPr>
        <w:t>、</w:t>
      </w:r>
      <w:bookmarkEnd w:id="71"/>
      <w:r>
        <w:rPr>
          <w:rFonts w:hint="eastAsia" w:ascii="黑体" w:hAnsi="黑体" w:eastAsia="黑体" w:cs="黑体"/>
          <w:sz w:val="32"/>
          <w:szCs w:val="32"/>
        </w:rPr>
        <w:t>主要经验及做法、存在问题和建议</w:t>
      </w:r>
      <w:bookmarkEnd w:id="72"/>
    </w:p>
    <w:p>
      <w:pPr>
        <w:pStyle w:val="3"/>
        <w:rPr>
          <w:sz w:val="32"/>
          <w:szCs w:val="32"/>
        </w:rPr>
      </w:pPr>
      <w:bookmarkStart w:id="73" w:name="_Toc4465"/>
      <w:bookmarkStart w:id="74" w:name="_Toc17014"/>
      <w:r>
        <w:rPr>
          <w:rFonts w:hint="eastAsia" w:ascii="方正楷体_GB2312" w:hAnsi="方正楷体_GB2312" w:eastAsia="方正楷体_GB2312" w:cs="方正楷体_GB2312"/>
          <w:sz w:val="32"/>
          <w:szCs w:val="32"/>
        </w:rPr>
        <w:t>（一）</w:t>
      </w:r>
      <w:bookmarkEnd w:id="73"/>
      <w:r>
        <w:rPr>
          <w:rFonts w:hint="eastAsia" w:ascii="方正楷体_GB2312" w:hAnsi="方正楷体_GB2312" w:eastAsia="方正楷体_GB2312" w:cs="方正楷体_GB2312"/>
          <w:sz w:val="32"/>
          <w:szCs w:val="32"/>
          <w:lang w:val="en-US" w:eastAsia="zh-CN"/>
        </w:rPr>
        <w:t>主要经验及做法</w:t>
      </w:r>
      <w:bookmarkEnd w:id="74"/>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健全会商机制，保障居民参与</w:t>
      </w:r>
    </w:p>
    <w:p>
      <w:pPr>
        <w:ind w:firstLine="560"/>
        <w:rPr>
          <w:rFonts w:hint="eastAsia" w:hAnsi="黑体" w:cs="Times New Roman"/>
          <w:sz w:val="32"/>
          <w:szCs w:val="32"/>
          <w:lang w:eastAsia="zh-CN"/>
        </w:rPr>
      </w:pPr>
      <w:r>
        <w:rPr>
          <w:rFonts w:hint="eastAsia" w:hAnsi="黑体" w:cs="Times New Roman"/>
          <w:sz w:val="32"/>
          <w:szCs w:val="32"/>
        </w:rPr>
        <w:t>城桥镇镇政府通过健全党建微网格组织体系，搭建议事平台，建立定期会商机制，及时反映业主意愿，分析、研究、讨论、化解矛盾，更好地推动各方参与社区建设，</w:t>
      </w:r>
      <w:r>
        <w:rPr>
          <w:rFonts w:hint="eastAsia" w:hAnsi="黑体" w:cs="Times New Roman"/>
          <w:sz w:val="32"/>
          <w:szCs w:val="32"/>
          <w:lang w:val="en-US" w:eastAsia="zh-CN"/>
        </w:rPr>
        <w:t>社会调查显示居民对项目开展的知晓率达到99.3%</w:t>
      </w:r>
      <w:r>
        <w:rPr>
          <w:rFonts w:hint="eastAsia" w:hAnsi="黑体" w:cs="Times New Roman"/>
          <w:sz w:val="32"/>
          <w:szCs w:val="32"/>
        </w:rPr>
        <w:t>；</w:t>
      </w:r>
      <w:r>
        <w:rPr>
          <w:rFonts w:hint="eastAsia" w:hAnsi="黑体" w:cs="Times New Roman"/>
          <w:sz w:val="32"/>
          <w:szCs w:val="32"/>
          <w:lang w:val="en-US" w:eastAsia="zh-CN"/>
        </w:rPr>
        <w:t>事前</w:t>
      </w:r>
      <w:r>
        <w:rPr>
          <w:rFonts w:hint="eastAsia" w:hAnsi="黑体" w:cs="Times New Roman"/>
          <w:sz w:val="32"/>
          <w:szCs w:val="32"/>
        </w:rPr>
        <w:t>集思广益，充分调动群众参与改造方案的制定，围绕群众普遍反映的短板问题，将改造内容从“政府排单”转变为“群众点单”</w:t>
      </w:r>
      <w:r>
        <w:rPr>
          <w:rFonts w:hint="eastAsia" w:hAnsi="黑体" w:cs="Times New Roman"/>
          <w:sz w:val="32"/>
          <w:szCs w:val="32"/>
          <w:lang w:eastAsia="zh-CN"/>
        </w:rPr>
        <w:t>，</w:t>
      </w:r>
      <w:r>
        <w:rPr>
          <w:rFonts w:hint="eastAsia" w:hAnsi="黑体" w:cs="Times New Roman"/>
          <w:sz w:val="32"/>
          <w:szCs w:val="32"/>
          <w:lang w:val="en-US" w:eastAsia="zh-CN"/>
        </w:rPr>
        <w:t>社会调查显示居民参与改造意见反馈的比例超过60%</w:t>
      </w:r>
      <w:r>
        <w:rPr>
          <w:rFonts w:hint="eastAsia" w:hAnsi="黑体" w:cs="Times New Roman"/>
          <w:sz w:val="32"/>
          <w:szCs w:val="32"/>
          <w:lang w:eastAsia="zh-CN"/>
        </w:rPr>
        <w:t>。</w:t>
      </w:r>
    </w:p>
    <w:p>
      <w:pPr>
        <w:pStyle w:val="3"/>
        <w:ind w:left="0" w:leftChars="0" w:firstLine="643" w:firstLineChars="200"/>
        <w:rPr>
          <w:sz w:val="32"/>
          <w:szCs w:val="32"/>
        </w:rPr>
      </w:pPr>
      <w:bookmarkStart w:id="75" w:name="_Toc7003"/>
      <w:bookmarkStart w:id="76" w:name="_Toc7012"/>
      <w:r>
        <w:rPr>
          <w:rFonts w:hint="eastAsia" w:ascii="方正楷体_GB2312" w:hAnsi="方正楷体_GB2312" w:eastAsia="方正楷体_GB2312" w:cs="方正楷体_GB2312"/>
          <w:sz w:val="32"/>
          <w:szCs w:val="32"/>
        </w:rPr>
        <w:t>（二）</w:t>
      </w:r>
      <w:bookmarkEnd w:id="75"/>
      <w:r>
        <w:rPr>
          <w:rFonts w:hint="eastAsia" w:ascii="方正楷体_GB2312" w:hAnsi="方正楷体_GB2312" w:eastAsia="方正楷体_GB2312" w:cs="方正楷体_GB2312"/>
          <w:sz w:val="32"/>
          <w:szCs w:val="32"/>
        </w:rPr>
        <w:t>存在问题</w:t>
      </w:r>
      <w:bookmarkEnd w:id="76"/>
    </w:p>
    <w:p>
      <w:pPr>
        <w:ind w:firstLine="560"/>
        <w:rPr>
          <w:rFonts w:hint="default" w:hAnsi="宋体"/>
          <w:sz w:val="32"/>
          <w:szCs w:val="32"/>
          <w:lang w:val="en-US"/>
        </w:rPr>
      </w:pPr>
      <w:r>
        <w:rPr>
          <w:rFonts w:hint="eastAsia" w:hAnsi="宋体"/>
          <w:b/>
          <w:bCs/>
          <w:sz w:val="32"/>
          <w:szCs w:val="32"/>
          <w:lang w:val="en-US" w:eastAsia="zh-CN"/>
        </w:rPr>
        <w:t>1</w:t>
      </w:r>
      <w:r>
        <w:rPr>
          <w:rFonts w:hint="eastAsia" w:hAnsi="宋体"/>
          <w:b/>
          <w:bCs/>
          <w:sz w:val="32"/>
          <w:szCs w:val="32"/>
        </w:rPr>
        <w:t>.</w:t>
      </w:r>
      <w:r>
        <w:rPr>
          <w:rFonts w:hint="eastAsia" w:hAnsi="宋体"/>
          <w:b/>
          <w:bCs/>
          <w:sz w:val="32"/>
          <w:szCs w:val="32"/>
          <w:lang w:val="en-US" w:eastAsia="zh-CN"/>
        </w:rPr>
        <w:t>项目部分材料单价控制不合理，二类费取价有偏差</w:t>
      </w:r>
    </w:p>
    <w:p>
      <w:pPr>
        <w:keepNext w:val="0"/>
        <w:keepLines w:val="0"/>
        <w:pageBreakBefore w:val="0"/>
        <w:widowControl w:val="0"/>
        <w:kinsoku/>
        <w:wordWrap/>
        <w:overflowPunct/>
        <w:topLinePunct w:val="0"/>
        <w:autoSpaceDE/>
        <w:autoSpaceDN/>
        <w:bidi w:val="0"/>
        <w:adjustRightInd/>
        <w:snapToGrid/>
        <w:spacing w:line="500" w:lineRule="exact"/>
        <w:ind w:left="0" w:leftChars="0" w:firstLine="640" w:firstLineChars="200"/>
        <w:contextualSpacing w:val="0"/>
        <w:textAlignment w:val="auto"/>
        <w:outlineLvl w:val="9"/>
        <w:rPr>
          <w:rFonts w:hint="eastAsia" w:hAnsi="宋体"/>
          <w:sz w:val="32"/>
          <w:szCs w:val="32"/>
        </w:rPr>
      </w:pPr>
      <w:r>
        <w:rPr>
          <w:rFonts w:hint="eastAsia" w:cs="仿宋_GB2312"/>
          <w:b w:val="0"/>
          <w:bCs w:val="0"/>
          <w:kern w:val="1"/>
          <w:sz w:val="32"/>
          <w:szCs w:val="32"/>
          <w:lang w:val="en-US" w:eastAsia="zh-CN"/>
        </w:rPr>
        <w:t>根据各子项目的审价报告，项目同类材料造价有出现不一致的情况，包括外墙喷刷涂料、内墙喷刷涂料和室外T型不锈钢晒衣架的单价，如西门北村和南门路小区项目的室外T型不锈钢晒衣架的审定价为797.9元/套，而南门新村项目的室外T型不锈钢晒衣架的审定价为1286.69元/套，西门南村的审定价为746.48元/套，一般通用材料的单价控制不合理，详细对比数据表见附件3第101页。在项目二类费用计价方面，</w:t>
      </w:r>
      <w:r>
        <w:rPr>
          <w:rFonts w:hint="eastAsia" w:ascii="仿宋_GB2312" w:hAnsi="仿宋_GB2312" w:eastAsia="仿宋_GB2312" w:cs="仿宋_GB2312"/>
          <w:b w:val="0"/>
          <w:bCs w:val="0"/>
          <w:kern w:val="1"/>
          <w:sz w:val="32"/>
          <w:szCs w:val="32"/>
          <w:lang w:val="en-US" w:eastAsia="zh-CN"/>
        </w:rPr>
        <w:t>城西新村项目的施工监理合同价（98.2万元）高于（发改价格〔2007〕670号）文计算的标准价（88.74万元）</w:t>
      </w:r>
      <w:r>
        <w:rPr>
          <w:rFonts w:hint="eastAsia" w:cs="仿宋_GB2312"/>
          <w:b w:val="0"/>
          <w:bCs w:val="0"/>
          <w:kern w:val="1"/>
          <w:sz w:val="32"/>
          <w:szCs w:val="32"/>
          <w:lang w:val="en-US" w:eastAsia="zh-CN"/>
        </w:rPr>
        <w:t>，取价有偏差，详见附件3第98页</w:t>
      </w:r>
      <w:r>
        <w:rPr>
          <w:rFonts w:hint="eastAsia" w:hAnsi="宋体"/>
          <w:sz w:val="32"/>
          <w:szCs w:val="32"/>
        </w:rPr>
        <w:t>。</w:t>
      </w:r>
    </w:p>
    <w:p>
      <w:pPr>
        <w:ind w:firstLine="560"/>
        <w:rPr>
          <w:rFonts w:hint="default" w:hAnsi="宋体" w:eastAsia="仿宋_GB2312"/>
          <w:sz w:val="32"/>
          <w:szCs w:val="32"/>
          <w:lang w:val="en-US" w:eastAsia="zh-CN"/>
        </w:rPr>
      </w:pPr>
      <w:r>
        <w:rPr>
          <w:rFonts w:hint="eastAsia" w:hAnsi="宋体"/>
          <w:b/>
          <w:bCs/>
          <w:sz w:val="32"/>
          <w:szCs w:val="32"/>
          <w:lang w:val="en-US" w:eastAsia="zh-CN"/>
        </w:rPr>
        <w:t>2</w:t>
      </w:r>
      <w:r>
        <w:rPr>
          <w:rFonts w:hint="eastAsia" w:hAnsi="宋体"/>
          <w:b/>
          <w:bCs/>
          <w:sz w:val="32"/>
          <w:szCs w:val="32"/>
        </w:rPr>
        <w:t>.</w:t>
      </w:r>
      <w:r>
        <w:rPr>
          <w:rFonts w:hint="eastAsia" w:hAnsi="宋体"/>
          <w:b/>
          <w:bCs/>
          <w:sz w:val="32"/>
          <w:szCs w:val="32"/>
          <w:lang w:val="en-US" w:eastAsia="zh-CN"/>
        </w:rPr>
        <w:t>部分改造内容效果不佳，外立面管护情况不到位</w:t>
      </w:r>
    </w:p>
    <w:p>
      <w:pPr>
        <w:ind w:firstLine="560"/>
        <w:rPr>
          <w:rFonts w:hint="eastAsia" w:ascii="仿宋_GB2312" w:hAnsi="仿宋_GB2312" w:cs="仿宋_GB2312"/>
          <w:kern w:val="1"/>
          <w:sz w:val="32"/>
          <w:szCs w:val="32"/>
          <w:lang w:val="en-US" w:eastAsia="zh-CN"/>
        </w:rPr>
      </w:pPr>
      <w:r>
        <w:rPr>
          <w:rFonts w:hint="eastAsia" w:ascii="仿宋_GB2312" w:hAnsi="仿宋_GB2312" w:cs="仿宋_GB2312"/>
          <w:kern w:val="1"/>
          <w:sz w:val="32"/>
          <w:szCs w:val="32"/>
          <w:lang w:val="en-US" w:eastAsia="zh-CN"/>
        </w:rPr>
        <w:t>根据评价组实地调研</w:t>
      </w:r>
      <w:r>
        <w:rPr>
          <w:rFonts w:hint="eastAsia" w:cs="仿宋_GB2312"/>
          <w:kern w:val="1"/>
          <w:sz w:val="32"/>
          <w:szCs w:val="32"/>
          <w:lang w:val="en-US" w:eastAsia="zh-CN"/>
        </w:rPr>
        <w:t>和访谈小区物业、居委和居民的</w:t>
      </w:r>
      <w:r>
        <w:rPr>
          <w:rFonts w:hint="eastAsia" w:ascii="仿宋_GB2312" w:hAnsi="仿宋_GB2312" w:cs="仿宋_GB2312"/>
          <w:kern w:val="1"/>
          <w:sz w:val="32"/>
          <w:szCs w:val="32"/>
          <w:lang w:val="en-US" w:eastAsia="zh-CN"/>
        </w:rPr>
        <w:t>结果，</w:t>
      </w:r>
      <w:r>
        <w:rPr>
          <w:rFonts w:hint="eastAsia" w:cs="仿宋_GB2312"/>
          <w:kern w:val="1"/>
          <w:sz w:val="32"/>
          <w:szCs w:val="32"/>
          <w:lang w:val="en-US" w:eastAsia="zh-CN"/>
        </w:rPr>
        <w:t>获悉部分项目改造内容效果不佳，例如南门路小区项目在改造完成后有出现雨污管道返工、污水管堵塞报修、局部屋面漏水等问题</w:t>
      </w:r>
      <w:r>
        <w:rPr>
          <w:rFonts w:hint="eastAsia" w:ascii="仿宋_GB2312" w:hAnsi="仿宋_GB2312" w:cs="仿宋_GB2312"/>
          <w:kern w:val="1"/>
          <w:sz w:val="32"/>
          <w:szCs w:val="32"/>
          <w:lang w:val="en-US" w:eastAsia="zh-CN"/>
        </w:rPr>
        <w:t>，</w:t>
      </w:r>
      <w:r>
        <w:rPr>
          <w:rFonts w:hint="eastAsia" w:cs="仿宋_GB2312"/>
          <w:kern w:val="1"/>
          <w:sz w:val="32"/>
          <w:szCs w:val="32"/>
          <w:lang w:val="en-US" w:eastAsia="zh-CN"/>
        </w:rPr>
        <w:t>西门北村项目在改造完成后有出现外立面墙面开裂、剥落而需修补的情况，南门新村项目在改造完成后有出现雨污管道的报修、空调架子脱落的情况，</w:t>
      </w:r>
      <w:r>
        <w:rPr>
          <w:rFonts w:hint="eastAsia" w:ascii="仿宋_GB2312" w:hAnsi="仿宋_GB2312" w:cs="仿宋_GB2312"/>
          <w:kern w:val="1"/>
          <w:sz w:val="32"/>
          <w:szCs w:val="32"/>
          <w:lang w:val="en-US" w:eastAsia="zh-CN"/>
        </w:rPr>
        <w:t>以上情况</w:t>
      </w:r>
      <w:r>
        <w:rPr>
          <w:rFonts w:hint="eastAsia" w:cs="仿宋_GB2312"/>
          <w:kern w:val="1"/>
          <w:sz w:val="32"/>
          <w:szCs w:val="32"/>
          <w:lang w:val="en-US" w:eastAsia="zh-CN"/>
        </w:rPr>
        <w:t>均</w:t>
      </w:r>
      <w:r>
        <w:rPr>
          <w:rFonts w:hint="eastAsia" w:ascii="仿宋_GB2312" w:hAnsi="仿宋_GB2312" w:cs="仿宋_GB2312"/>
          <w:kern w:val="1"/>
          <w:sz w:val="32"/>
          <w:szCs w:val="32"/>
          <w:lang w:val="en-US" w:eastAsia="zh-CN"/>
        </w:rPr>
        <w:t>属于装修工程质保期内出现了质量问题</w:t>
      </w:r>
      <w:r>
        <w:rPr>
          <w:rFonts w:hint="eastAsia" w:cs="仿宋_GB2312"/>
          <w:kern w:val="1"/>
          <w:sz w:val="32"/>
          <w:szCs w:val="32"/>
          <w:lang w:val="en-US" w:eastAsia="zh-CN"/>
        </w:rPr>
        <w:t>；</w:t>
      </w:r>
      <w:r>
        <w:rPr>
          <w:rFonts w:hint="eastAsia" w:cs="仿宋_GB2312"/>
          <w:b w:val="0"/>
          <w:bCs w:val="0"/>
          <w:kern w:val="1"/>
          <w:sz w:val="32"/>
          <w:szCs w:val="32"/>
          <w:lang w:val="en-US" w:eastAsia="zh-CN"/>
        </w:rPr>
        <w:t>在绿化改造方面，提升效果不佳，根据评价组对居民的随访调查，在各项改造成效满意度中，居民对绿化提升的满意度是最低的，接受调研的423名居民中</w:t>
      </w:r>
      <w:r>
        <w:rPr>
          <w:rFonts w:hint="eastAsia" w:cs="仿宋_GB2312"/>
          <w:b w:val="0"/>
          <w:bCs w:val="0"/>
          <w:kern w:val="1"/>
          <w:sz w:val="32"/>
          <w:szCs w:val="32"/>
          <w:highlight w:val="none"/>
          <w:lang w:val="en-US" w:eastAsia="zh-CN"/>
        </w:rPr>
        <w:t>给予绿化效果正面评价的占比仅为58.4%，项目原先“保留修剪、改良美化、添景加彩”的目标未能完全实现；这些都直接</w:t>
      </w:r>
      <w:r>
        <w:rPr>
          <w:rFonts w:hint="eastAsia" w:cs="仿宋_GB2312"/>
          <w:kern w:val="1"/>
          <w:sz w:val="32"/>
          <w:szCs w:val="32"/>
          <w:lang w:val="en-US" w:eastAsia="zh-CN"/>
        </w:rPr>
        <w:t>影响了最终改造效果</w:t>
      </w:r>
      <w:r>
        <w:rPr>
          <w:rFonts w:hint="eastAsia" w:ascii="仿宋_GB2312" w:hAnsi="仿宋_GB2312" w:cs="仿宋_GB2312"/>
          <w:kern w:val="1"/>
          <w:sz w:val="32"/>
          <w:szCs w:val="32"/>
          <w:lang w:val="en-US" w:eastAsia="zh-CN"/>
        </w:rPr>
        <w:t>。</w:t>
      </w:r>
    </w:p>
    <w:p>
      <w:pPr>
        <w:ind w:firstLine="560"/>
        <w:rPr>
          <w:rFonts w:hint="default" w:ascii="仿宋_GB2312" w:hAnsi="仿宋_GB2312" w:cs="仿宋_GB2312"/>
          <w:b w:val="0"/>
          <w:bCs w:val="0"/>
          <w:kern w:val="1"/>
          <w:sz w:val="32"/>
          <w:szCs w:val="32"/>
          <w:lang w:val="en-US" w:eastAsia="zh-CN"/>
        </w:rPr>
      </w:pPr>
      <w:r>
        <w:rPr>
          <w:rFonts w:hint="eastAsia" w:cs="仿宋_GB2312"/>
          <w:b w:val="0"/>
          <w:bCs w:val="0"/>
          <w:kern w:val="1"/>
          <w:sz w:val="32"/>
          <w:szCs w:val="32"/>
          <w:lang w:val="en-US" w:eastAsia="zh-CN"/>
        </w:rPr>
        <w:t>在建后管护方面，出现外立面的管护不到位情况，主要涉及：南门新村、城西新村、西门北村和南门新村等小区的建筑外立面涂料发生明显剥落、鼓包等情况，且在居民报修后修补不及时</w:t>
      </w:r>
      <w:r>
        <w:rPr>
          <w:rFonts w:hint="eastAsia" w:ascii="仿宋_GB2312" w:hAnsi="仿宋_GB2312" w:cs="仿宋_GB2312"/>
          <w:b w:val="0"/>
          <w:bCs w:val="0"/>
          <w:kern w:val="1"/>
          <w:sz w:val="32"/>
          <w:szCs w:val="32"/>
          <w:lang w:val="en-US" w:eastAsia="zh-CN"/>
        </w:rPr>
        <w:t>。</w:t>
      </w:r>
    </w:p>
    <w:p>
      <w:pPr>
        <w:ind w:firstLine="560"/>
        <w:rPr>
          <w:rFonts w:hint="default" w:hAnsi="宋体" w:eastAsia="仿宋_GB2312"/>
          <w:sz w:val="32"/>
          <w:szCs w:val="32"/>
          <w:highlight w:val="yellow"/>
          <w:lang w:val="en-US" w:eastAsia="zh-CN"/>
        </w:rPr>
      </w:pPr>
      <w:r>
        <w:rPr>
          <w:rFonts w:hint="eastAsia" w:hAnsi="宋体"/>
          <w:b/>
          <w:bCs/>
          <w:sz w:val="32"/>
          <w:szCs w:val="32"/>
          <w:lang w:val="en-US" w:eastAsia="zh-CN"/>
        </w:rPr>
        <w:t>3</w:t>
      </w:r>
      <w:r>
        <w:rPr>
          <w:rFonts w:hint="eastAsia" w:hAnsi="宋体"/>
          <w:b/>
          <w:bCs/>
          <w:sz w:val="32"/>
          <w:szCs w:val="32"/>
        </w:rPr>
        <w:t>.</w:t>
      </w:r>
      <w:r>
        <w:rPr>
          <w:rFonts w:hint="eastAsia" w:hAnsi="宋体"/>
          <w:b/>
          <w:bCs/>
          <w:sz w:val="32"/>
          <w:szCs w:val="32"/>
          <w:lang w:val="en-US" w:eastAsia="zh-CN"/>
        </w:rPr>
        <w:t>信息公开全面性不足，事前基层调研待优化</w:t>
      </w:r>
    </w:p>
    <w:p>
      <w:pPr>
        <w:ind w:firstLine="560"/>
        <w:rPr>
          <w:rFonts w:hint="eastAsia" w:hAnsi="宋体"/>
          <w:sz w:val="32"/>
          <w:szCs w:val="32"/>
        </w:rPr>
      </w:pPr>
      <w:r>
        <w:rPr>
          <w:rFonts w:hint="eastAsia" w:cs="仿宋_GB2312"/>
          <w:kern w:val="1"/>
          <w:sz w:val="32"/>
          <w:szCs w:val="22"/>
          <w:lang w:val="en-US" w:eastAsia="zh-CN"/>
        </w:rPr>
        <w:t>本</w:t>
      </w:r>
      <w:r>
        <w:rPr>
          <w:rFonts w:hint="eastAsia" w:ascii="仿宋_GB2312" w:hAnsi="仿宋_GB2312" w:cs="仿宋_GB2312"/>
          <w:kern w:val="1"/>
          <w:sz w:val="32"/>
          <w:szCs w:val="22"/>
          <w:lang w:val="en-US" w:eastAsia="zh-CN"/>
        </w:rPr>
        <w:t>项目</w:t>
      </w:r>
      <w:r>
        <w:rPr>
          <w:rFonts w:hint="eastAsia" w:cs="仿宋_GB2312"/>
          <w:kern w:val="1"/>
          <w:sz w:val="32"/>
          <w:szCs w:val="22"/>
          <w:lang w:val="en-US" w:eastAsia="zh-CN"/>
        </w:rPr>
        <w:t>在信息公开方面，侧重于对决策结果的公示公开，但对公众关心的决策依据、过程等内容公开力度不足，例如本项目在</w:t>
      </w:r>
      <w:r>
        <w:rPr>
          <w:rFonts w:hint="eastAsia" w:ascii="仿宋_GB2312" w:hAnsi="仿宋_GB2312" w:cs="仿宋_GB2312"/>
          <w:kern w:val="1"/>
          <w:sz w:val="32"/>
          <w:szCs w:val="22"/>
          <w:lang w:val="en-US" w:eastAsia="zh-CN"/>
        </w:rPr>
        <w:t>选取</w:t>
      </w:r>
      <w:r>
        <w:rPr>
          <w:rFonts w:hint="eastAsia" w:cs="仿宋_GB2312"/>
          <w:kern w:val="1"/>
          <w:sz w:val="32"/>
          <w:szCs w:val="22"/>
          <w:lang w:val="en-US" w:eastAsia="zh-CN"/>
        </w:rPr>
        <w:t>城桥镇地区具体</w:t>
      </w:r>
      <w:r>
        <w:rPr>
          <w:rFonts w:hint="eastAsia" w:ascii="仿宋_GB2312" w:hAnsi="仿宋_GB2312" w:cs="仿宋_GB2312"/>
          <w:kern w:val="1"/>
          <w:sz w:val="32"/>
          <w:szCs w:val="22"/>
          <w:lang w:val="en-US" w:eastAsia="zh-CN"/>
        </w:rPr>
        <w:t>改造对象</w:t>
      </w:r>
      <w:r>
        <w:rPr>
          <w:rFonts w:hint="eastAsia" w:cs="仿宋_GB2312"/>
          <w:kern w:val="1"/>
          <w:sz w:val="32"/>
          <w:szCs w:val="22"/>
          <w:lang w:val="en-US" w:eastAsia="zh-CN"/>
        </w:rPr>
        <w:t>时遵循</w:t>
      </w:r>
      <w:r>
        <w:rPr>
          <w:rFonts w:hint="eastAsia" w:ascii="仿宋_GB2312" w:hAnsi="仿宋_GB2312" w:cs="仿宋_GB2312"/>
          <w:kern w:val="1"/>
          <w:sz w:val="32"/>
          <w:szCs w:val="22"/>
          <w:lang w:val="en-US" w:eastAsia="zh-CN"/>
        </w:rPr>
        <w:t>的先后原则</w:t>
      </w:r>
      <w:r>
        <w:rPr>
          <w:rFonts w:hint="eastAsia" w:cs="仿宋_GB2312"/>
          <w:kern w:val="1"/>
          <w:sz w:val="32"/>
          <w:szCs w:val="22"/>
          <w:lang w:val="en-US" w:eastAsia="zh-CN"/>
        </w:rPr>
        <w:t>、政策依据、决策过程等</w:t>
      </w:r>
      <w:r>
        <w:rPr>
          <w:rFonts w:hint="eastAsia" w:hAnsi="宋体"/>
          <w:sz w:val="32"/>
          <w:szCs w:val="32"/>
        </w:rPr>
        <w:t>。</w:t>
      </w:r>
    </w:p>
    <w:p>
      <w:pPr>
        <w:keepNext w:val="0"/>
        <w:keepLines w:val="0"/>
        <w:pageBreakBefore w:val="0"/>
        <w:widowControl w:val="0"/>
        <w:kinsoku/>
        <w:wordWrap/>
        <w:overflowPunct/>
        <w:topLinePunct w:val="0"/>
        <w:autoSpaceDE/>
        <w:autoSpaceDN/>
        <w:bidi w:val="0"/>
        <w:spacing w:line="500" w:lineRule="atLeast"/>
        <w:ind w:firstLine="640"/>
        <w:contextualSpacing/>
        <w:textAlignment w:val="auto"/>
        <w:outlineLvl w:val="9"/>
        <w:rPr>
          <w:rFonts w:hint="eastAsia" w:ascii="仿宋_GB2312" w:hAnsi="仿宋_GB2312" w:eastAsia="仿宋_GB2312" w:cs="仿宋_GB2312"/>
          <w:b w:val="0"/>
          <w:bCs w:val="0"/>
          <w:kern w:val="1"/>
          <w:sz w:val="32"/>
          <w:szCs w:val="32"/>
          <w:lang w:val="en-US" w:eastAsia="zh-CN"/>
        </w:rPr>
      </w:pPr>
      <w:r>
        <w:rPr>
          <w:rFonts w:hint="eastAsia" w:cs="仿宋_GB2312"/>
          <w:b w:val="0"/>
          <w:bCs w:val="0"/>
          <w:kern w:val="1"/>
          <w:sz w:val="32"/>
          <w:szCs w:val="32"/>
          <w:lang w:val="en-US" w:eastAsia="zh-CN"/>
        </w:rPr>
        <w:t>同时，本项目在前期准备工作阶段，虽有开展居民意见征询，但并未形成调研报告等书面形式材料，也间接导致本项目的实际改造内容与群众改造需求的匹配度未能达到最理想状态，项目的前期基层调研工作还需加强</w:t>
      </w:r>
      <w:r>
        <w:rPr>
          <w:rFonts w:hint="eastAsia" w:ascii="仿宋_GB2312" w:hAnsi="仿宋_GB2312" w:eastAsia="仿宋_GB2312" w:cs="仿宋_GB2312"/>
          <w:b w:val="0"/>
          <w:bCs w:val="0"/>
          <w:kern w:val="1"/>
          <w:sz w:val="32"/>
          <w:szCs w:val="32"/>
          <w:lang w:val="en-US" w:eastAsia="zh-CN"/>
        </w:rPr>
        <w:t>。</w:t>
      </w:r>
    </w:p>
    <w:p>
      <w:pPr>
        <w:ind w:firstLine="560"/>
        <w:rPr>
          <w:rFonts w:hint="default" w:hAnsi="宋体" w:eastAsia="仿宋_GB2312"/>
          <w:sz w:val="32"/>
          <w:szCs w:val="32"/>
          <w:lang w:val="en-US" w:eastAsia="zh-CN"/>
        </w:rPr>
      </w:pPr>
      <w:r>
        <w:rPr>
          <w:rFonts w:hint="eastAsia" w:hAnsi="宋体"/>
          <w:b/>
          <w:bCs/>
          <w:sz w:val="32"/>
          <w:szCs w:val="32"/>
          <w:lang w:val="en-US" w:eastAsia="zh-CN"/>
        </w:rPr>
        <w:t>4.合同要素不完备，支付履约不及时</w:t>
      </w:r>
    </w:p>
    <w:p>
      <w:pPr>
        <w:ind w:firstLine="560"/>
        <w:rPr>
          <w:rFonts w:hint="eastAsia" w:hAnsi="宋体"/>
          <w:b/>
          <w:bCs/>
          <w:sz w:val="32"/>
          <w:szCs w:val="32"/>
          <w:lang w:val="en-US" w:eastAsia="zh-CN"/>
        </w:rPr>
      </w:pPr>
      <w:r>
        <w:rPr>
          <w:rFonts w:hint="eastAsia" w:hAnsi="宋体"/>
          <w:sz w:val="32"/>
          <w:szCs w:val="32"/>
        </w:rPr>
        <w:t>经评价组梳理发现，本项目的</w:t>
      </w:r>
      <w:r>
        <w:rPr>
          <w:rFonts w:hint="eastAsia" w:hAnsi="宋体"/>
          <w:sz w:val="32"/>
          <w:szCs w:val="32"/>
          <w:lang w:val="en-US" w:eastAsia="zh-CN"/>
        </w:rPr>
        <w:t>部分合同的要素不完备，如</w:t>
      </w:r>
      <w:r>
        <w:rPr>
          <w:rFonts w:hint="eastAsia" w:hAnsi="宋体"/>
          <w:sz w:val="32"/>
          <w:szCs w:val="32"/>
        </w:rPr>
        <w:t>方案设计合同、物探合同缺少交付期限条款</w:t>
      </w:r>
      <w:r>
        <w:rPr>
          <w:rFonts w:hint="eastAsia" w:hAnsi="宋体"/>
          <w:sz w:val="32"/>
          <w:szCs w:val="32"/>
          <w:lang w:eastAsia="zh-CN"/>
        </w:rPr>
        <w:t>，</w:t>
      </w:r>
      <w:r>
        <w:rPr>
          <w:rFonts w:hint="eastAsia" w:hAnsi="宋体"/>
          <w:sz w:val="32"/>
          <w:szCs w:val="32"/>
        </w:rPr>
        <w:t>物探、管道CCTV检测合同缺少合同签订日期。</w:t>
      </w:r>
      <w:r>
        <w:rPr>
          <w:rFonts w:hint="eastAsia" w:hAnsi="宋体"/>
          <w:sz w:val="32"/>
          <w:szCs w:val="32"/>
          <w:lang w:val="en-US" w:eastAsia="zh-CN"/>
        </w:rPr>
        <w:t>在履行支付条款时，部分合同履约不及时：</w:t>
      </w:r>
      <w:r>
        <w:rPr>
          <w:rFonts w:hint="eastAsia" w:hAnsi="宋体"/>
          <w:sz w:val="32"/>
          <w:szCs w:val="32"/>
        </w:rPr>
        <w:t>如管道CCTV检测合同和设计、监理招标代理合同，</w:t>
      </w:r>
      <w:r>
        <w:rPr>
          <w:rFonts w:hint="eastAsia" w:hAnsi="宋体"/>
          <w:sz w:val="32"/>
          <w:szCs w:val="32"/>
          <w:lang w:val="en-US" w:eastAsia="zh-CN"/>
        </w:rPr>
        <w:t>根据合同条款，业主方需在第三方完成服务内容、提供相关报告后，一周内完成支付合同费用，实际各项目的</w:t>
      </w:r>
      <w:r>
        <w:rPr>
          <w:rFonts w:hint="eastAsia" w:hAnsi="宋体"/>
          <w:sz w:val="32"/>
          <w:szCs w:val="32"/>
        </w:rPr>
        <w:t>CCTV检测服务</w:t>
      </w:r>
      <w:r>
        <w:rPr>
          <w:rFonts w:hint="eastAsia" w:hAnsi="宋体"/>
          <w:sz w:val="32"/>
          <w:szCs w:val="32"/>
          <w:lang w:eastAsia="zh-CN"/>
        </w:rPr>
        <w:t>、</w:t>
      </w:r>
      <w:r>
        <w:rPr>
          <w:rFonts w:hint="eastAsia" w:hAnsi="宋体"/>
          <w:sz w:val="32"/>
          <w:szCs w:val="32"/>
        </w:rPr>
        <w:t>报告</w:t>
      </w:r>
      <w:r>
        <w:rPr>
          <w:rFonts w:hint="eastAsia" w:hAnsi="宋体"/>
          <w:sz w:val="32"/>
          <w:szCs w:val="32"/>
          <w:lang w:val="en-US" w:eastAsia="zh-CN"/>
        </w:rPr>
        <w:t>和</w:t>
      </w:r>
      <w:r>
        <w:rPr>
          <w:rFonts w:hint="eastAsia" w:hAnsi="宋体"/>
          <w:sz w:val="32"/>
          <w:szCs w:val="32"/>
        </w:rPr>
        <w:t>设计、监理招标代理</w:t>
      </w:r>
      <w:r>
        <w:rPr>
          <w:rFonts w:hint="eastAsia" w:hAnsi="宋体"/>
          <w:sz w:val="32"/>
          <w:szCs w:val="32"/>
          <w:lang w:val="en-US" w:eastAsia="zh-CN"/>
        </w:rPr>
        <w:t>评标报告</w:t>
      </w:r>
      <w:r>
        <w:rPr>
          <w:rFonts w:hint="eastAsia" w:hAnsi="宋体"/>
          <w:sz w:val="32"/>
          <w:szCs w:val="32"/>
        </w:rPr>
        <w:t>均已</w:t>
      </w:r>
      <w:r>
        <w:rPr>
          <w:rFonts w:hint="eastAsia" w:hAnsi="宋体"/>
          <w:sz w:val="32"/>
          <w:szCs w:val="32"/>
          <w:lang w:val="en-US" w:eastAsia="zh-CN"/>
        </w:rPr>
        <w:t>出具</w:t>
      </w:r>
      <w:r>
        <w:rPr>
          <w:rFonts w:hint="eastAsia" w:hAnsi="宋体"/>
          <w:sz w:val="32"/>
          <w:szCs w:val="32"/>
        </w:rPr>
        <w:t>，但6个项目的</w:t>
      </w:r>
      <w:r>
        <w:rPr>
          <w:rFonts w:hint="eastAsia" w:hAnsi="宋体"/>
          <w:sz w:val="32"/>
          <w:szCs w:val="32"/>
          <w:lang w:val="en-US" w:eastAsia="zh-CN"/>
        </w:rPr>
        <w:t>相关</w:t>
      </w:r>
      <w:r>
        <w:rPr>
          <w:rFonts w:hint="eastAsia" w:hAnsi="宋体"/>
          <w:sz w:val="32"/>
          <w:szCs w:val="32"/>
        </w:rPr>
        <w:t>合同价款均未</w:t>
      </w:r>
      <w:r>
        <w:rPr>
          <w:rFonts w:hint="eastAsia" w:hAnsi="宋体"/>
          <w:sz w:val="32"/>
          <w:szCs w:val="32"/>
          <w:lang w:val="en-US" w:eastAsia="zh-CN"/>
        </w:rPr>
        <w:t>完成</w:t>
      </w:r>
      <w:r>
        <w:rPr>
          <w:rFonts w:hint="eastAsia" w:hAnsi="宋体"/>
          <w:sz w:val="32"/>
          <w:szCs w:val="32"/>
        </w:rPr>
        <w:t>支付。</w:t>
      </w:r>
      <w:r>
        <w:rPr>
          <w:rFonts w:hint="eastAsia" w:hAnsi="Microsoft JhengHei" w:cs="Times New Roman"/>
          <w:sz w:val="32"/>
          <w:szCs w:val="32"/>
          <w:highlight w:val="none"/>
          <w:lang w:val="en-US" w:eastAsia="zh-CN"/>
        </w:rPr>
        <w:t>究其原因，是项目单位对日常合同管理工作的不严谨。</w:t>
      </w:r>
    </w:p>
    <w:p>
      <w:pPr>
        <w:ind w:firstLine="560"/>
        <w:rPr>
          <w:rFonts w:hint="eastAsia" w:hAnsi="宋体"/>
          <w:b/>
          <w:bCs/>
          <w:sz w:val="32"/>
          <w:szCs w:val="32"/>
          <w:lang w:val="en-US" w:eastAsia="zh-CN"/>
        </w:rPr>
      </w:pPr>
      <w:r>
        <w:rPr>
          <w:rFonts w:hint="eastAsia" w:hAnsi="宋体"/>
          <w:b/>
          <w:bCs/>
          <w:sz w:val="32"/>
          <w:szCs w:val="32"/>
          <w:lang w:val="en-US" w:eastAsia="zh-CN"/>
        </w:rPr>
        <w:t>5.绩效目标设定欠合理，填报质量需优化</w:t>
      </w:r>
    </w:p>
    <w:p>
      <w:pPr>
        <w:ind w:firstLine="560"/>
        <w:rPr>
          <w:rFonts w:hint="eastAsia" w:hAnsi="宋体"/>
          <w:sz w:val="32"/>
          <w:szCs w:val="32"/>
        </w:rPr>
      </w:pPr>
      <w:r>
        <w:rPr>
          <w:rFonts w:hint="eastAsia" w:hAnsi="宋体"/>
          <w:b w:val="0"/>
          <w:bCs w:val="0"/>
          <w:sz w:val="32"/>
          <w:szCs w:val="32"/>
          <w:lang w:val="en-US" w:eastAsia="zh-CN"/>
        </w:rPr>
        <w:t>在绩效目标申报表填报方面，项目单位在对项目目标提炼和目标值设定方面存在着一定的偏差，例如产出质量指标“工程验收合格率”指标的目标值设置为了“合格”，不合理，应设置为100%；经济效益指标设置“提升区域经济效应”不合理，旧住房修缮项目不存在经济效益。绩效目标表的整体填报质量还需要进一步优化，究其原因，是项目单位的目标填报流程和技能还需要优化。</w:t>
      </w:r>
    </w:p>
    <w:p>
      <w:pPr>
        <w:pStyle w:val="3"/>
        <w:rPr>
          <w:rFonts w:hAnsi="黑体" w:cs="Times New Roman"/>
          <w:sz w:val="32"/>
          <w:szCs w:val="32"/>
        </w:rPr>
      </w:pPr>
      <w:bookmarkStart w:id="77" w:name="_Toc14850"/>
      <w:bookmarkStart w:id="78" w:name="_Toc362875277"/>
      <w:bookmarkStart w:id="79" w:name="_Toc311800231"/>
      <w:bookmarkStart w:id="80" w:name="_Toc8713"/>
      <w:r>
        <w:rPr>
          <w:rFonts w:hint="eastAsia" w:ascii="方正楷体_GB2312" w:hAnsi="方正楷体_GB2312" w:eastAsia="方正楷体_GB2312" w:cs="方正楷体_GB2312"/>
          <w:sz w:val="32"/>
          <w:szCs w:val="32"/>
        </w:rPr>
        <w:t>（三）</w:t>
      </w:r>
      <w:bookmarkEnd w:id="77"/>
      <w:bookmarkEnd w:id="78"/>
      <w:bookmarkEnd w:id="79"/>
      <w:r>
        <w:rPr>
          <w:rFonts w:hint="eastAsia" w:ascii="方正楷体_GB2312" w:hAnsi="方正楷体_GB2312" w:eastAsia="方正楷体_GB2312" w:cs="方正楷体_GB2312"/>
          <w:sz w:val="32"/>
          <w:szCs w:val="32"/>
        </w:rPr>
        <w:t>建议和改进举措</w:t>
      </w:r>
      <w:bookmarkEnd w:id="80"/>
    </w:p>
    <w:p>
      <w:pPr>
        <w:ind w:firstLine="560"/>
        <w:rPr>
          <w:rFonts w:hint="default" w:hAnsi="黑体" w:eastAsia="仿宋_GB2312" w:cs="Times New Roman"/>
          <w:sz w:val="32"/>
          <w:szCs w:val="32"/>
          <w:lang w:val="en-US" w:eastAsia="zh-CN"/>
        </w:rPr>
      </w:pPr>
      <w:r>
        <w:rPr>
          <w:rFonts w:hint="eastAsia" w:hAnsi="黑体" w:cs="Times New Roman"/>
          <w:b/>
          <w:bCs/>
          <w:sz w:val="32"/>
          <w:szCs w:val="32"/>
        </w:rPr>
        <w:t>1.</w:t>
      </w:r>
      <w:r>
        <w:rPr>
          <w:rFonts w:hint="eastAsia" w:hAnsi="黑体" w:cs="Times New Roman"/>
          <w:b/>
          <w:bCs/>
          <w:sz w:val="32"/>
          <w:szCs w:val="32"/>
          <w:lang w:val="en-US" w:eastAsia="zh-CN"/>
        </w:rPr>
        <w:t>进一步明确招标阶段需求，提高造价合理性</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项目造价合理性的控制，需从源头寻找答案</w:t>
      </w:r>
      <w:r>
        <w:rPr>
          <w:rFonts w:hint="eastAsia" w:hAnsi="黑体" w:cs="Times New Roman"/>
          <w:sz w:val="32"/>
          <w:szCs w:val="32"/>
        </w:rPr>
        <w:t>。</w:t>
      </w:r>
      <w:r>
        <w:rPr>
          <w:rFonts w:hint="eastAsia" w:hAnsi="黑体" w:cs="Times New Roman"/>
          <w:sz w:val="32"/>
          <w:szCs w:val="32"/>
          <w:lang w:val="en-US" w:eastAsia="zh-CN"/>
        </w:rPr>
        <w:t>纵观各子项目的招标文件，项目在方案设计和施工招标阶段，均未对常见的建筑主材提出明确的规格和参数要求，以至于出现同批项目中同类材料造价差异较大的情况。建议项目单位在今后实施同类项目时，在编制招标需求时，对诸如腻子、底漆、面漆的性能参数、最低单价，对室外晾晒架的材料、管径、长度高度等关键参数，对空调架的钢材型号、厚度、性能参数等，应作出更明确清晰的要求，提高造价合理性。</w:t>
      </w:r>
    </w:p>
    <w:p>
      <w:pPr>
        <w:ind w:firstLine="560"/>
        <w:rPr>
          <w:rFonts w:hint="default" w:hAnsi="黑体" w:eastAsia="仿宋_GB2312" w:cs="Times New Roman"/>
          <w:sz w:val="32"/>
          <w:szCs w:val="32"/>
          <w:lang w:val="en-US" w:eastAsia="zh-CN"/>
        </w:rPr>
      </w:pPr>
      <w:r>
        <w:rPr>
          <w:rFonts w:hint="eastAsia" w:cs="仿宋_GB2312"/>
          <w:b w:val="0"/>
          <w:bCs w:val="0"/>
          <w:kern w:val="1"/>
          <w:sz w:val="32"/>
          <w:szCs w:val="32"/>
          <w:lang w:val="en-US" w:eastAsia="zh-CN"/>
        </w:rPr>
        <w:t>在项目二类费用计价方面，建议项目单位加强合同价的审核，对确有不合理的部分，在审价阶段予以纠正，加强项目成本控制。</w:t>
      </w:r>
    </w:p>
    <w:p>
      <w:pPr>
        <w:ind w:firstLine="560"/>
        <w:rPr>
          <w:rFonts w:hint="default" w:hAnsi="黑体" w:eastAsia="仿宋_GB2312" w:cs="Times New Roman"/>
          <w:sz w:val="32"/>
          <w:szCs w:val="32"/>
          <w:lang w:val="en-US" w:eastAsia="zh-CN"/>
        </w:rPr>
      </w:pPr>
      <w:r>
        <w:rPr>
          <w:rFonts w:hint="eastAsia" w:hAnsi="黑体" w:cs="Times New Roman"/>
          <w:b/>
          <w:bCs/>
          <w:sz w:val="32"/>
          <w:szCs w:val="32"/>
        </w:rPr>
        <w:t>2.</w:t>
      </w:r>
      <w:r>
        <w:rPr>
          <w:rFonts w:hint="eastAsia" w:hAnsi="黑体" w:cs="Times New Roman"/>
          <w:b/>
          <w:bCs/>
          <w:sz w:val="32"/>
          <w:szCs w:val="32"/>
          <w:lang w:val="en-US" w:eastAsia="zh-CN"/>
        </w:rPr>
        <w:t>完善建后管护机制，督促施工单位落实维修责任</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根据项目现有管护机制，</w:t>
      </w:r>
      <w:r>
        <w:rPr>
          <w:rFonts w:hint="eastAsia"/>
          <w:sz w:val="32"/>
          <w:szCs w:val="32"/>
          <w:lang w:val="en-US" w:eastAsia="zh-CN"/>
        </w:rPr>
        <w:t>项目完成改造的2年内，各项设施设备的管护工作由施工单位负责，包括屋面和外立面、雨污管道、非机动车棚、户外晾晒架等设施的维护</w:t>
      </w:r>
      <w:r>
        <w:rPr>
          <w:rFonts w:hint="eastAsia" w:hAnsi="黑体" w:cs="Times New Roman"/>
          <w:sz w:val="32"/>
          <w:szCs w:val="32"/>
        </w:rPr>
        <w:t>。</w:t>
      </w:r>
      <w:r>
        <w:rPr>
          <w:rFonts w:hint="eastAsia" w:hAnsi="黑体" w:cs="Times New Roman"/>
          <w:sz w:val="32"/>
          <w:szCs w:val="32"/>
          <w:lang w:val="en-US" w:eastAsia="zh-CN"/>
        </w:rPr>
        <w:t>在合同中，有明确约定维修时效，但对维修不及时等情况的违约责任，未作出明确规定，不利于约束施工方履行建后管护责任，建议项目单位在后续项目的合同签订阶段进一步明确管护违约责任，并在现阶段督促施工单位更有效落实居民的报修反馈。</w:t>
      </w:r>
    </w:p>
    <w:p>
      <w:pPr>
        <w:ind w:firstLine="560"/>
        <w:rPr>
          <w:rFonts w:hint="default" w:hAnsi="黑体" w:cs="Times New Roman"/>
          <w:sz w:val="32"/>
          <w:szCs w:val="32"/>
          <w:lang w:val="en-US" w:eastAsia="zh-CN"/>
        </w:rPr>
      </w:pPr>
      <w:r>
        <w:rPr>
          <w:rFonts w:hint="eastAsia" w:hAnsi="黑体" w:cs="Times New Roman"/>
          <w:sz w:val="32"/>
          <w:szCs w:val="32"/>
          <w:lang w:val="en-US" w:eastAsia="zh-CN"/>
        </w:rPr>
        <w:t>针对居民反映的绿化提升效果不明显问题，建议优化后续项目绿化相关的设计方案，针对早已成熟的老旧小区，谨慎实施提升性绿化改造，建议以补植、修剪等基础性改造为主，同时提升对养护工作的重视，在养护机制方面，明确养护责任主体（建议形成物业、居委、业委会、志愿者共管的模式），并以原先的提升性改造资金改为设立专项养护基金等形式，解决养护资金匮乏的问题，提升绿化养护的长期效益。</w:t>
      </w:r>
    </w:p>
    <w:p>
      <w:pPr>
        <w:ind w:firstLine="560"/>
        <w:rPr>
          <w:rFonts w:hint="default" w:hAnsi="黑体" w:eastAsia="仿宋_GB2312" w:cs="Times New Roman"/>
          <w:b/>
          <w:bCs/>
          <w:sz w:val="32"/>
          <w:szCs w:val="32"/>
          <w:lang w:val="en-US" w:eastAsia="zh-CN"/>
        </w:rPr>
      </w:pPr>
      <w:r>
        <w:rPr>
          <w:rFonts w:hint="eastAsia" w:hAnsi="黑体" w:cs="Times New Roman"/>
          <w:b/>
          <w:bCs/>
          <w:sz w:val="32"/>
          <w:szCs w:val="32"/>
        </w:rPr>
        <w:t>3.</w:t>
      </w:r>
      <w:r>
        <w:rPr>
          <w:rFonts w:hint="eastAsia" w:hAnsi="黑体" w:cs="Times New Roman"/>
          <w:b/>
          <w:bCs/>
          <w:sz w:val="32"/>
          <w:szCs w:val="32"/>
          <w:lang w:val="en-US" w:eastAsia="zh-CN"/>
        </w:rPr>
        <w:t>加强事前调研和过程公开，提升施策透明度</w:t>
      </w:r>
    </w:p>
    <w:p>
      <w:pPr>
        <w:ind w:firstLine="560"/>
        <w:rPr>
          <w:rFonts w:hint="eastAsia" w:hAnsi="黑体" w:cs="Times New Roman"/>
          <w:sz w:val="32"/>
          <w:szCs w:val="32"/>
          <w:lang w:val="en-US" w:eastAsia="zh-CN"/>
        </w:rPr>
      </w:pPr>
      <w:r>
        <w:rPr>
          <w:rFonts w:hint="eastAsia" w:hAnsi="黑体" w:cs="Times New Roman"/>
          <w:sz w:val="32"/>
          <w:szCs w:val="32"/>
        </w:rPr>
        <w:t>旧房改造是涉及多方利益的重大民生问题，</w:t>
      </w:r>
      <w:r>
        <w:rPr>
          <w:rFonts w:hint="eastAsia" w:hAnsi="黑体" w:cs="Times New Roman"/>
          <w:sz w:val="32"/>
          <w:szCs w:val="32"/>
          <w:lang w:val="en-US" w:eastAsia="zh-CN"/>
        </w:rPr>
        <w:t>必须</w:t>
      </w:r>
      <w:r>
        <w:rPr>
          <w:rFonts w:hint="eastAsia" w:hAnsi="黑体" w:cs="Times New Roman"/>
          <w:sz w:val="32"/>
          <w:szCs w:val="32"/>
        </w:rPr>
        <w:t>坚持行政公开的原则，即涉及改造的每个环节的信息都要做到：以公开为常态，以不公开为例外。</w:t>
      </w:r>
      <w:r>
        <w:rPr>
          <w:rFonts w:hint="eastAsia" w:hAnsi="黑体" w:cs="Times New Roman"/>
          <w:sz w:val="32"/>
          <w:szCs w:val="32"/>
          <w:lang w:val="en-US" w:eastAsia="zh-CN"/>
        </w:rPr>
        <w:t>这是保障项目公平性和赢得公众广泛支持的先决条件，因而项目事前调研和决策阶段的信息公开就显得尤为重要。</w:t>
      </w:r>
    </w:p>
    <w:p>
      <w:pPr>
        <w:ind w:firstLine="560"/>
        <w:rPr>
          <w:rFonts w:hint="default" w:hAnsi="黑体" w:cs="Times New Roman"/>
          <w:sz w:val="32"/>
          <w:szCs w:val="32"/>
          <w:lang w:val="en-US" w:eastAsia="zh-CN"/>
        </w:rPr>
      </w:pPr>
      <w:r>
        <w:rPr>
          <w:rFonts w:hint="eastAsia" w:hAnsi="黑体" w:cs="Times New Roman"/>
          <w:sz w:val="32"/>
          <w:szCs w:val="32"/>
          <w:lang w:val="en-US" w:eastAsia="zh-CN"/>
        </w:rPr>
        <w:t>因此，在事前调研方面，评价组建议加大民生类项目事前调研工作的充分性，必要时，除可行性研究报告外，可委托专业的第三方调研机构，进行更广泛深入的群众调研，采用诸如以居民代表形式参与的政府决策咨询会、研讨会、招待会、资政会等，适合全民参与的网络民意调查、设立小区改造意见箱等形式，充分了解公众意愿，并出具专业的民意征询报告，为决策提供基层民意数据支撑。</w:t>
      </w:r>
    </w:p>
    <w:p>
      <w:pPr>
        <w:ind w:firstLine="560"/>
        <w:rPr>
          <w:rFonts w:hint="default" w:hAnsi="黑体" w:cs="Times New Roman"/>
          <w:sz w:val="32"/>
          <w:szCs w:val="32"/>
          <w:lang w:val="en-US" w:eastAsia="zh-CN"/>
        </w:rPr>
      </w:pPr>
      <w:r>
        <w:rPr>
          <w:rFonts w:hint="eastAsia" w:hAnsi="黑体" w:cs="Times New Roman"/>
          <w:sz w:val="32"/>
          <w:szCs w:val="32"/>
          <w:lang w:val="en-US" w:eastAsia="zh-CN"/>
        </w:rPr>
        <w:t>在信息公开方面，基于民生类项目特点，评价组建议进一步加强过程类信息的公开力度，以美丽家园改造项目为例，应加强对群众关心的“</w:t>
      </w:r>
      <w:r>
        <w:rPr>
          <w:rFonts w:hint="eastAsia" w:ascii="仿宋_GB2312" w:hAnsi="仿宋_GB2312" w:cs="仿宋_GB2312"/>
          <w:kern w:val="1"/>
          <w:sz w:val="32"/>
          <w:szCs w:val="22"/>
          <w:lang w:val="en-US" w:eastAsia="zh-CN"/>
        </w:rPr>
        <w:t>改造对象</w:t>
      </w:r>
      <w:r>
        <w:rPr>
          <w:rFonts w:hint="eastAsia" w:cs="仿宋_GB2312"/>
          <w:kern w:val="1"/>
          <w:sz w:val="32"/>
          <w:szCs w:val="22"/>
          <w:lang w:val="en-US" w:eastAsia="zh-CN"/>
        </w:rPr>
        <w:t>选取的依据、标准、过程</w:t>
      </w:r>
      <w:r>
        <w:rPr>
          <w:rFonts w:hint="eastAsia" w:hAnsi="黑体" w:cs="Times New Roman"/>
          <w:sz w:val="32"/>
          <w:szCs w:val="32"/>
          <w:lang w:val="en-US" w:eastAsia="zh-CN"/>
        </w:rPr>
        <w:t>”等内容的公开。在执行层面，应积极拓宽公众知晓信息的渠道，除政府门户网站和社区公告栏等传统渠道外，可加强对政府公众号、视频号等新媒体工具的应用，对决策过程进行更清晰的公开和说明，例如集中说明前期调研的主要结论、本次选择优先改造小区的标准和理由、改造内容的确定是基于何种考量、为何有些需求在现阶段无法满足等，进而提高施策透明度，也能更大程度获取群众最广泛的理解和支持。</w:t>
      </w:r>
    </w:p>
    <w:p>
      <w:pPr>
        <w:ind w:firstLine="560"/>
        <w:rPr>
          <w:rFonts w:hint="default" w:hAnsi="黑体" w:eastAsia="仿宋_GB2312" w:cs="Times New Roman"/>
          <w:sz w:val="32"/>
          <w:szCs w:val="32"/>
          <w:lang w:val="en-US" w:eastAsia="zh-CN"/>
        </w:rPr>
      </w:pPr>
      <w:r>
        <w:rPr>
          <w:rFonts w:hint="eastAsia" w:hAnsi="黑体" w:cs="Times New Roman"/>
          <w:b/>
          <w:bCs/>
          <w:sz w:val="32"/>
          <w:szCs w:val="32"/>
          <w:lang w:val="en-US" w:eastAsia="zh-CN"/>
        </w:rPr>
        <w:t>4.加强合同签订监管</w:t>
      </w:r>
      <w:r>
        <w:rPr>
          <w:rFonts w:hint="eastAsia" w:hAnsi="黑体" w:cs="Times New Roman"/>
          <w:b/>
          <w:bCs/>
          <w:sz w:val="32"/>
          <w:szCs w:val="32"/>
          <w:lang w:eastAsia="zh-CN"/>
        </w:rPr>
        <w:t>，</w:t>
      </w:r>
      <w:r>
        <w:rPr>
          <w:rFonts w:hint="eastAsia" w:hAnsi="黑体" w:cs="Times New Roman"/>
          <w:b/>
          <w:bCs/>
          <w:sz w:val="32"/>
          <w:szCs w:val="32"/>
          <w:lang w:val="en-US" w:eastAsia="zh-CN"/>
        </w:rPr>
        <w:t>提升合同内容规范性</w:t>
      </w:r>
    </w:p>
    <w:p>
      <w:pPr>
        <w:ind w:firstLine="560"/>
        <w:rPr>
          <w:rFonts w:hint="eastAsia" w:hAnsi="黑体" w:cs="Times New Roman"/>
          <w:b/>
          <w:bCs/>
          <w:sz w:val="32"/>
          <w:szCs w:val="32"/>
          <w:lang w:val="en-US" w:eastAsia="zh-CN"/>
        </w:rPr>
      </w:pPr>
      <w:r>
        <w:rPr>
          <w:rFonts w:hint="eastAsia" w:hAnsi="黑体" w:cs="Times New Roman"/>
          <w:sz w:val="32"/>
          <w:szCs w:val="32"/>
        </w:rPr>
        <w:t>建议项目单位加强</w:t>
      </w:r>
      <w:r>
        <w:rPr>
          <w:rFonts w:hint="eastAsia" w:hAnsi="黑体" w:cs="Times New Roman"/>
          <w:sz w:val="32"/>
          <w:szCs w:val="32"/>
          <w:lang w:val="en-US" w:eastAsia="zh-CN"/>
        </w:rPr>
        <w:t>对养老机构与保险公司</w:t>
      </w:r>
      <w:r>
        <w:rPr>
          <w:rFonts w:hint="eastAsia" w:hAnsi="黑体" w:cs="Times New Roman"/>
          <w:sz w:val="32"/>
          <w:szCs w:val="32"/>
        </w:rPr>
        <w:t>合同</w:t>
      </w:r>
      <w:r>
        <w:rPr>
          <w:rFonts w:hint="eastAsia" w:hAnsi="黑体" w:cs="Times New Roman"/>
          <w:sz w:val="32"/>
          <w:szCs w:val="32"/>
          <w:lang w:val="en-US" w:eastAsia="zh-CN"/>
        </w:rPr>
        <w:t>签订的合规性监管，并加强</w:t>
      </w:r>
      <w:r>
        <w:rPr>
          <w:rFonts w:hint="eastAsia" w:hAnsi="黑体" w:cs="Times New Roman"/>
          <w:sz w:val="32"/>
          <w:szCs w:val="32"/>
        </w:rPr>
        <w:t>《中华人民共和国民法典》（合同编）</w:t>
      </w:r>
      <w:r>
        <w:rPr>
          <w:rFonts w:hint="eastAsia" w:hAnsi="黑体" w:cs="Times New Roman"/>
          <w:sz w:val="32"/>
          <w:szCs w:val="32"/>
          <w:lang w:val="en-US" w:eastAsia="zh-CN"/>
        </w:rPr>
        <w:t>内容的学习</w:t>
      </w:r>
      <w:r>
        <w:rPr>
          <w:rFonts w:hint="eastAsia" w:hAnsi="黑体" w:cs="Times New Roman"/>
          <w:sz w:val="32"/>
          <w:szCs w:val="32"/>
        </w:rPr>
        <w:t>。在后续签订</w:t>
      </w:r>
      <w:r>
        <w:rPr>
          <w:rFonts w:hint="eastAsia" w:hAnsi="黑体" w:cs="Times New Roman"/>
          <w:sz w:val="32"/>
          <w:szCs w:val="32"/>
          <w:lang w:val="en-US" w:eastAsia="zh-CN"/>
        </w:rPr>
        <w:t>相关</w:t>
      </w:r>
      <w:r>
        <w:rPr>
          <w:rFonts w:hint="eastAsia" w:hAnsi="黑体" w:cs="Times New Roman"/>
          <w:sz w:val="32"/>
          <w:szCs w:val="32"/>
        </w:rPr>
        <w:t>合同时，</w:t>
      </w:r>
      <w:r>
        <w:rPr>
          <w:rFonts w:hint="eastAsia" w:hAnsi="黑体" w:cs="Times New Roman"/>
          <w:sz w:val="32"/>
          <w:szCs w:val="32"/>
          <w:lang w:val="en-US" w:eastAsia="zh-CN"/>
        </w:rPr>
        <w:t>重视</w:t>
      </w:r>
      <w:r>
        <w:rPr>
          <w:rFonts w:hint="eastAsia" w:hAnsi="黑体" w:cs="Times New Roman"/>
          <w:sz w:val="32"/>
          <w:szCs w:val="32"/>
        </w:rPr>
        <w:t>完善</w:t>
      </w:r>
      <w:r>
        <w:rPr>
          <w:rFonts w:hint="eastAsia" w:hAnsi="黑体" w:cs="Times New Roman"/>
          <w:sz w:val="32"/>
          <w:szCs w:val="32"/>
          <w:lang w:val="en-US" w:eastAsia="zh-CN"/>
        </w:rPr>
        <w:t>签订日期等必需的</w:t>
      </w:r>
      <w:r>
        <w:rPr>
          <w:rFonts w:hint="eastAsia" w:hAnsi="黑体" w:cs="Times New Roman"/>
          <w:sz w:val="32"/>
          <w:szCs w:val="32"/>
        </w:rPr>
        <w:t>合同要素，明确双方权责，减少合同签订不规范带来的法律隐患。</w:t>
      </w:r>
    </w:p>
    <w:p>
      <w:pPr>
        <w:ind w:firstLine="560"/>
        <w:rPr>
          <w:rFonts w:hint="default" w:hAnsi="黑体" w:cs="Times New Roman"/>
          <w:b/>
          <w:bCs/>
          <w:sz w:val="32"/>
          <w:szCs w:val="32"/>
          <w:lang w:val="en-US" w:eastAsia="zh-CN"/>
        </w:rPr>
      </w:pPr>
      <w:r>
        <w:rPr>
          <w:rFonts w:hint="eastAsia" w:hAnsi="黑体" w:cs="Times New Roman"/>
          <w:b/>
          <w:bCs/>
          <w:sz w:val="32"/>
          <w:szCs w:val="32"/>
          <w:lang w:val="en-US" w:eastAsia="zh-CN"/>
        </w:rPr>
        <w:t>5.明确内部分工，提高填报质量</w:t>
      </w:r>
    </w:p>
    <w:p>
      <w:pPr>
        <w:ind w:firstLine="560"/>
        <w:rPr>
          <w:rFonts w:hint="default" w:hAnsi="黑体" w:cs="Times New Roman"/>
          <w:sz w:val="32"/>
          <w:szCs w:val="32"/>
          <w:lang w:val="en-US" w:eastAsia="zh-CN"/>
        </w:rPr>
      </w:pPr>
      <w:r>
        <w:rPr>
          <w:rFonts w:hint="eastAsia" w:hAnsi="黑体" w:cs="Times New Roman"/>
          <w:sz w:val="32"/>
          <w:szCs w:val="32"/>
        </w:rPr>
        <w:t>建议项目</w:t>
      </w:r>
      <w:r>
        <w:rPr>
          <w:rFonts w:hint="eastAsia" w:hAnsi="黑体" w:cs="Times New Roman"/>
          <w:sz w:val="32"/>
          <w:szCs w:val="32"/>
          <w:lang w:val="en-US" w:eastAsia="zh-CN"/>
        </w:rPr>
        <w:t>单位加强绩效目标填报规范性文件的学习，同时在年初填报目标时，加强业务科室和财务科室的配合，由业务科室提供明确的量化目标数据，由财务科室参照填报规范，转化成合理明确的绩效指标，提高绩效目标填报质量。</w:t>
      </w:r>
    </w:p>
    <w:p>
      <w:pPr>
        <w:pStyle w:val="3"/>
        <w:rPr>
          <w:rFonts w:hAnsi="黑体" w:cs="Times New Roman"/>
          <w:sz w:val="32"/>
          <w:szCs w:val="32"/>
        </w:rPr>
      </w:pPr>
      <w:bookmarkStart w:id="81" w:name="_Toc19964"/>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四</w:t>
      </w:r>
      <w:r>
        <w:rPr>
          <w:rFonts w:hint="eastAsia" w:ascii="方正楷体_GB2312" w:hAnsi="方正楷体_GB2312" w:eastAsia="方正楷体_GB2312" w:cs="方正楷体_GB2312"/>
          <w:sz w:val="32"/>
          <w:szCs w:val="32"/>
        </w:rPr>
        <w:t>）</w:t>
      </w:r>
      <w:r>
        <w:rPr>
          <w:rFonts w:hint="eastAsia" w:ascii="方正楷体_GB2312" w:hAnsi="方正楷体_GB2312" w:eastAsia="方正楷体_GB2312" w:cs="方正楷体_GB2312"/>
          <w:sz w:val="32"/>
          <w:szCs w:val="32"/>
          <w:lang w:val="en-US" w:eastAsia="zh-CN"/>
        </w:rPr>
        <w:t>其他</w:t>
      </w:r>
      <w:r>
        <w:rPr>
          <w:rFonts w:hint="eastAsia" w:ascii="方正楷体_GB2312" w:hAnsi="方正楷体_GB2312" w:eastAsia="方正楷体_GB2312" w:cs="方正楷体_GB2312"/>
          <w:sz w:val="32"/>
          <w:szCs w:val="32"/>
        </w:rPr>
        <w:t>建议</w:t>
      </w:r>
      <w:bookmarkEnd w:id="81"/>
    </w:p>
    <w:p>
      <w:pPr>
        <w:ind w:firstLine="560"/>
        <w:rPr>
          <w:rFonts w:hint="default" w:hAnsi="黑体" w:cs="Times New Roman"/>
          <w:sz w:val="32"/>
          <w:szCs w:val="32"/>
          <w:lang w:val="en-US"/>
        </w:rPr>
      </w:pPr>
      <w:r>
        <w:rPr>
          <w:rFonts w:hint="eastAsia" w:hAnsi="黑体" w:cs="Times New Roman"/>
          <w:b/>
          <w:bCs/>
          <w:sz w:val="32"/>
          <w:szCs w:val="32"/>
          <w:lang w:val="en-US" w:eastAsia="zh-CN"/>
        </w:rPr>
        <w:t>提升审价审计工作效率</w:t>
      </w:r>
      <w:r>
        <w:rPr>
          <w:rFonts w:hint="eastAsia" w:hAnsi="黑体" w:cs="Times New Roman"/>
          <w:b/>
          <w:bCs/>
          <w:sz w:val="32"/>
          <w:szCs w:val="32"/>
          <w:lang w:eastAsia="zh-CN"/>
        </w:rPr>
        <w:t>，</w:t>
      </w:r>
      <w:r>
        <w:rPr>
          <w:rFonts w:hint="eastAsia" w:hAnsi="黑体" w:cs="Times New Roman"/>
          <w:b/>
          <w:bCs/>
          <w:sz w:val="32"/>
          <w:szCs w:val="32"/>
          <w:lang w:val="en-US" w:eastAsia="zh-CN"/>
        </w:rPr>
        <w:t>探索以奖代补可行性</w:t>
      </w:r>
    </w:p>
    <w:p>
      <w:pPr>
        <w:ind w:firstLine="560"/>
        <w:rPr>
          <w:rFonts w:hint="eastAsia" w:hAnsi="黑体" w:cs="Times New Roman"/>
          <w:sz w:val="32"/>
          <w:szCs w:val="32"/>
          <w:lang w:val="en-US" w:eastAsia="zh-CN"/>
        </w:rPr>
      </w:pPr>
      <w:r>
        <w:rPr>
          <w:rFonts w:hint="eastAsia" w:hAnsi="黑体" w:cs="Times New Roman"/>
          <w:sz w:val="32"/>
          <w:szCs w:val="32"/>
          <w:lang w:val="en-US" w:eastAsia="zh-CN"/>
        </w:rPr>
        <w:t>本项目各项工程全部完成竣工验收的时间是2021年9月22日，但截至本报告定稿，各子项目刚刚完成审价工作，整个审价工作持续时间接近20个月，后续还将开展审计工作，两项工作合计所花费的时间过于漫长，效率低下。而由于本项目的市级补贴资金将在完成审价审计工作的基础上与区完成清算，故审价审计工作的低效也直接延缓了市级补贴资金的到位，客观上降低了财政资金的运转效率。</w:t>
      </w:r>
    </w:p>
    <w:p>
      <w:pPr>
        <w:ind w:firstLine="560"/>
        <w:rPr>
          <w:rFonts w:hint="default" w:hAnsi="黑体" w:cs="Times New Roman"/>
          <w:sz w:val="32"/>
          <w:szCs w:val="32"/>
          <w:highlight w:val="yellow"/>
          <w:lang w:val="en-US" w:eastAsia="zh-CN"/>
        </w:rPr>
      </w:pPr>
      <w:r>
        <w:rPr>
          <w:rFonts w:hint="eastAsia" w:hAnsi="黑体" w:cs="Times New Roman"/>
          <w:sz w:val="32"/>
          <w:szCs w:val="32"/>
          <w:lang w:val="en-US" w:eastAsia="zh-CN"/>
        </w:rPr>
        <w:t>究其原因，一方面是由于本项目财权与事权的不匹配，其使得基层政府推进项目清算的积极性不高，客观上影响了执行速度；另一方面，主管部门对基层政府的项目推进时间节点和效率未有明确约束</w:t>
      </w:r>
      <w:r>
        <w:rPr>
          <w:rFonts w:hint="eastAsia" w:hAnsi="黑体" w:cs="Times New Roman"/>
          <w:sz w:val="32"/>
          <w:szCs w:val="32"/>
          <w:highlight w:val="none"/>
          <w:lang w:val="en-US" w:eastAsia="zh-CN"/>
        </w:rPr>
        <w:t>。</w:t>
      </w:r>
    </w:p>
    <w:p>
      <w:pPr>
        <w:ind w:left="0" w:leftChars="0" w:firstLine="640" w:firstLineChars="200"/>
        <w:rPr>
          <w:rFonts w:hint="eastAsia" w:hAnsi="黑体" w:cs="Times New Roman"/>
          <w:sz w:val="32"/>
          <w:szCs w:val="32"/>
        </w:rPr>
        <w:sectPr>
          <w:pgSz w:w="11906" w:h="16838"/>
          <w:pgMar w:top="1440" w:right="1797" w:bottom="1440" w:left="1797" w:header="851" w:footer="567" w:gutter="0"/>
          <w:cols w:space="720" w:num="1"/>
          <w:docGrid w:linePitch="381" w:charSpace="0"/>
        </w:sectPr>
      </w:pPr>
      <w:r>
        <w:rPr>
          <w:rFonts w:hint="eastAsia" w:hAnsi="黑体" w:cs="Times New Roman"/>
          <w:sz w:val="32"/>
          <w:szCs w:val="32"/>
          <w:lang w:val="en-US" w:eastAsia="zh-CN"/>
        </w:rPr>
        <w:t>基于以上事实，建议区级有关部门探索以奖代补模式的可行性，将美丽家园改造项目的资金分担模式由区级直接承担，变为乡镇先行承担，完成审价审计工作后，再以奖补的形式完成区镇结算，以此减轻区级财政压力，提高基层政府的工作积极性。另一方面，在制定相关奖补政策时，可以一并增加对项目竣工验收、审价审计工作的时效性要求，建议审价审计工作在项目完成竣工验收后最多不超过1年时间内完成，以此提高项目的整体执行效率。</w:t>
      </w:r>
    </w:p>
    <w:p>
      <w:pPr>
        <w:spacing w:line="480" w:lineRule="exact"/>
        <w:ind w:right="87" w:rightChars="31" w:firstLine="0" w:firstLineChars="0"/>
        <w:jc w:val="both"/>
        <w:rPr>
          <w:rFonts w:hint="default"/>
          <w:lang w:val="en-US" w:eastAsia="zh-CN"/>
        </w:rPr>
      </w:pPr>
      <w:bookmarkStart w:id="82" w:name="_GoBack"/>
      <w:bookmarkEnd w:id="82"/>
    </w:p>
    <w:sectPr>
      <w:headerReference r:id="rId15" w:type="default"/>
      <w:footerReference r:id="rId16" w:type="default"/>
      <w:pgSz w:w="11906" w:h="16838"/>
      <w:pgMar w:top="1440" w:right="1797" w:bottom="1985" w:left="179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ADA9FA00-30F1-4A64-B3B2-6AC82DC24351}"/>
  </w:font>
  <w:font w:name="黑体">
    <w:panose1 w:val="02010609060101010101"/>
    <w:charset w:val="86"/>
    <w:family w:val="auto"/>
    <w:pitch w:val="default"/>
    <w:sig w:usb0="800002BF" w:usb1="38CF7CFA" w:usb2="00000016" w:usb3="00000000" w:csb0="00040001" w:csb1="00000000"/>
    <w:embedRegular r:id="rId2" w:fontKey="{0FE29D36-CDDD-4763-A014-CF8C3E9043DE}"/>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3" w:fontKey="{311AB9B0-F507-4581-8724-4F62E06CDA1D}"/>
  </w:font>
  <w:font w:name="仿宋_GB2312">
    <w:panose1 w:val="02010609030101010101"/>
    <w:charset w:val="86"/>
    <w:family w:val="modern"/>
    <w:pitch w:val="default"/>
    <w:sig w:usb0="00000001" w:usb1="080E0000" w:usb2="00000000" w:usb3="00000000" w:csb0="00040000" w:csb1="00000000"/>
    <w:embedRegular r:id="rId4" w:fontKey="{3947D237-ED38-4618-8137-3958AD83E948}"/>
  </w:font>
  <w:font w:name="Simang">
    <w:altName w:val="宋体"/>
    <w:panose1 w:val="00000000000000000000"/>
    <w:charset w:val="86"/>
    <w:family w:val="auto"/>
    <w:pitch w:val="default"/>
    <w:sig w:usb0="00000000" w:usb1="00000000" w:usb2="00000010" w:usb3="00000000" w:csb0="00040000" w:csb1="00000000"/>
    <w:embedRegular r:id="rId5" w:fontKey="{6E72F778-9E3E-49DD-995E-8F8A814BC221}"/>
  </w:font>
  <w:font w:name="等线 Light">
    <w:altName w:val="宋体"/>
    <w:panose1 w:val="02010600030101010101"/>
    <w:charset w:val="86"/>
    <w:family w:val="auto"/>
    <w:pitch w:val="default"/>
    <w:sig w:usb0="00000000" w:usb1="00000000" w:usb2="00000016" w:usb3="00000000" w:csb0="0004000F" w:csb1="00000000"/>
  </w:font>
  <w:font w:name="Verdana">
    <w:panose1 w:val="020B0604030504040204"/>
    <w:charset w:val="00"/>
    <w:family w:val="swiss"/>
    <w:pitch w:val="default"/>
    <w:sig w:usb0="A10006FF" w:usb1="4000205B" w:usb2="00000010" w:usb3="00000000" w:csb0="2000019F" w:csb1="00000000"/>
  </w:font>
  <w:font w:name="仿宋">
    <w:panose1 w:val="02010609060101010101"/>
    <w:charset w:val="86"/>
    <w:family w:val="modern"/>
    <w:pitch w:val="default"/>
    <w:sig w:usb0="800002BF" w:usb1="38CF7CFA" w:usb2="00000016" w:usb3="00000000" w:csb0="00040001" w:csb1="00000000"/>
    <w:embedRegular r:id="rId6" w:fontKey="{07E8D58D-6399-4B81-824F-EBBEDC0FA916}"/>
  </w:font>
  <w:font w:name="Microsoft JhengHei">
    <w:panose1 w:val="020B0604030504040204"/>
    <w:charset w:val="88"/>
    <w:family w:val="swiss"/>
    <w:pitch w:val="default"/>
    <w:sig w:usb0="00000087" w:usb1="28AF4000" w:usb2="00000016" w:usb3="00000000" w:csb0="00100009" w:csb1="00000000"/>
    <w:embedRegular r:id="rId7" w:fontKey="{A4AB9EAF-9F9B-4C50-8F9D-8B5359ED0EDD}"/>
  </w:font>
  <w:font w:name="等线">
    <w:panose1 w:val="02010600030101010101"/>
    <w:charset w:val="86"/>
    <w:family w:val="auto"/>
    <w:pitch w:val="default"/>
    <w:sig w:usb0="00000000" w:usb1="00000000" w:usb2="00000000" w:usb3="00000000" w:csb0="00000000" w:csb1="00000000"/>
    <w:embedRegular r:id="rId8" w:fontKey="{0BAE0E3B-5664-4223-BA39-739539DB75EA}"/>
  </w:font>
  <w:font w:name="方正楷体_GB2312">
    <w:panose1 w:val="02000000000000000000"/>
    <w:charset w:val="86"/>
    <w:family w:val="auto"/>
    <w:pitch w:val="default"/>
    <w:sig w:usb0="00000000" w:usb1="00000000" w:usb2="00000000" w:usb3="00000000" w:csb0="00000000" w:csb1="00000000"/>
    <w:embedRegular r:id="rId9" w:fontKey="{9AB0B32D-C217-45F3-A052-E12FD200B424}"/>
  </w:font>
  <w:font w:name="Arial Unicode MS">
    <w:altName w:val="宋体"/>
    <w:panose1 w:val="020B0604020202020204"/>
    <w:charset w:val="86"/>
    <w:family w:val="swiss"/>
    <w:pitch w:val="default"/>
    <w:sig w:usb0="00000000" w:usb1="00000000" w:usb2="0000003F" w:usb3="00000000" w:csb0="603F01FF" w:csb1="FFFF0000"/>
    <w:embedRegular r:id="rId10" w:fontKey="{B4EB6A2B-68DE-469A-B403-1F44D9E90239}"/>
  </w:font>
  <w:font w:name="Malgun Gothic">
    <w:panose1 w:val="020B0503020000020004"/>
    <w:charset w:val="81"/>
    <w:family w:val="swiss"/>
    <w:pitch w:val="default"/>
    <w:sig w:usb0="900002AF" w:usb1="01D77CFB" w:usb2="00000012" w:usb3="00000000" w:csb0="00080001" w:csb1="00000000"/>
    <w:embedRegular r:id="rId11" w:fontKey="{EFA0AE3B-A5C3-41FB-99E4-2315F2B47E3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5643428"/>
    </w:sdtPr>
    <w:sdtContent>
      <w:p>
        <w:pPr>
          <w:pStyle w:val="20"/>
          <w:ind w:firstLine="360"/>
          <w:jc w:val="center"/>
        </w:pPr>
        <w:r>
          <w:fldChar w:fldCharType="begin"/>
        </w:r>
        <w:r>
          <w:instrText xml:space="preserve">PAGE   \* MERGEFORMAT</w:instrText>
        </w:r>
        <w:r>
          <w:fldChar w:fldCharType="separate"/>
        </w:r>
        <w:r>
          <w:rPr>
            <w:lang w:val="zh-CN"/>
          </w:rPr>
          <w:t>28</w:t>
        </w:r>
        <w:r>
          <w:rPr>
            <w:lang w:val="zh-CN"/>
          </w:rPr>
          <w:fldChar w:fldCharType="end"/>
        </w:r>
      </w:p>
    </w:sdtContent>
  </w:sdt>
  <w:p>
    <w:pPr>
      <w:pStyle w:val="20"/>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ind w:firstLine="360"/>
      <w:jc w:val="right"/>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G4+dosVAgAAFQQAAA4AAAAAAAAA&#10;AQAgAAAAHwEAAGRycy9lMm9Eb2MueG1sUEsFBgAAAAAGAAYAWQEAAKYFAAAAAA==&#10;">
              <v:fill on="f" focussize="0,0"/>
              <v:stroke on="f" weight="0.5pt"/>
              <v:imagedata o:title=""/>
              <o:lock v:ext="edit" aspectratio="f"/>
              <v:textbox inset="0mm,0mm,0mm,0mm" style="mso-fit-shape-to-text:t;">
                <w:txbxContent>
                  <w:p>
                    <w:pPr>
                      <w:pStyle w:val="2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62866130"/>
    </w:sdtPr>
    <w:sdtContent>
      <w:p>
        <w:pPr>
          <w:pStyle w:val="20"/>
          <w:ind w:firstLine="360"/>
          <w:jc w:val="center"/>
        </w:pPr>
        <w:r>
          <w:fldChar w:fldCharType="begin"/>
        </w:r>
        <w:r>
          <w:instrText xml:space="preserve">PAGE   \* MERGEFORMAT</w:instrText>
        </w:r>
        <w:r>
          <w:fldChar w:fldCharType="separate"/>
        </w:r>
        <w:r>
          <w:rPr>
            <w:lang w:val="zh-CN"/>
          </w:rPr>
          <w:t>19</w:t>
        </w:r>
        <w:r>
          <w:fldChar w:fldCharType="end"/>
        </w:r>
      </w:p>
    </w:sdtContent>
  </w:sdt>
  <w:p>
    <w:pPr>
      <w:pStyle w:val="20"/>
      <w:ind w:firstLine="360"/>
      <w:jc w:val="righ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framePr w:wrap="around" w:vAnchor="text" w:hAnchor="margin" w:xAlign="center" w:y="1"/>
      <w:ind w:firstLine="360"/>
      <w:rPr>
        <w:rStyle w:val="32"/>
      </w:rPr>
    </w:pPr>
    <w:r>
      <w:rPr>
        <w:rStyle w:val="32"/>
      </w:rPr>
      <w:fldChar w:fldCharType="begin"/>
    </w:r>
    <w:r>
      <w:rPr>
        <w:rStyle w:val="32"/>
      </w:rPr>
      <w:instrText xml:space="preserve">PAGE  </w:instrText>
    </w:r>
    <w:r>
      <w:rPr>
        <w:rStyle w:val="32"/>
      </w:rPr>
      <w:fldChar w:fldCharType="separate"/>
    </w:r>
    <w:r>
      <w:rPr>
        <w:rStyle w:val="32"/>
      </w:rPr>
      <w:t>42</w:t>
    </w:r>
    <w:r>
      <w:rPr>
        <w:rStyle w:val="32"/>
      </w:rPr>
      <w:fldChar w:fldCharType="end"/>
    </w:r>
  </w:p>
  <w:p>
    <w:pPr>
      <w:pStyle w:val="20"/>
      <w:ind w:left="280" w:right="280" w:firstLine="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id="0">
    <w:p>
      <w:pPr>
        <w:jc w:val="both"/>
        <w:rPr>
          <w:rFonts w:ascii="仿宋_GB2312" w:hAnsi="等线" w:eastAsia="仿宋_GB2312" w:cs="宋体"/>
          <w:color w:val="000000"/>
          <w:kern w:val="2"/>
          <w:sz w:val="21"/>
          <w:szCs w:val="21"/>
          <w:lang w:val="en-US" w:eastAsia="zh-CN" w:bidi="ar-SA"/>
        </w:rPr>
      </w:pPr>
      <w:r>
        <w:rPr>
          <w:rFonts w:ascii="仿宋_GB2312" w:hAnsi="等线" w:eastAsia="仿宋_GB2312" w:cs="宋体"/>
          <w:color w:val="000000"/>
          <w:kern w:val="2"/>
          <w:sz w:val="21"/>
          <w:szCs w:val="21"/>
          <w:lang w:val="en-US" w:eastAsia="zh-CN" w:bidi="ar-SA"/>
        </w:rPr>
        <w:footnoteRef/>
      </w:r>
      <w:r>
        <w:rPr>
          <w:rFonts w:ascii="仿宋_GB2312" w:hAnsi="等线" w:eastAsia="仿宋_GB2312" w:cs="宋体"/>
          <w:color w:val="000000"/>
          <w:kern w:val="2"/>
          <w:sz w:val="21"/>
          <w:szCs w:val="21"/>
          <w:lang w:val="en-US" w:eastAsia="zh-CN" w:bidi="ar-SA"/>
        </w:rPr>
        <w:t xml:space="preserve"> </w:t>
      </w:r>
      <w:r>
        <w:rPr>
          <w:rFonts w:hint="eastAsia" w:ascii="仿宋_GB2312" w:hAnsi="等线" w:eastAsia="仿宋_GB2312" w:cs="宋体"/>
          <w:color w:val="000000"/>
          <w:kern w:val="2"/>
          <w:sz w:val="21"/>
          <w:szCs w:val="21"/>
          <w:lang w:val="en-US" w:eastAsia="zh-CN" w:bidi="ar-SA"/>
        </w:rPr>
        <w:t>绩效得分90（含）-</w:t>
      </w:r>
      <w:r>
        <w:rPr>
          <w:rFonts w:ascii="仿宋_GB2312" w:hAnsi="等线" w:eastAsia="仿宋_GB2312" w:cs="宋体"/>
          <w:color w:val="000000"/>
          <w:kern w:val="2"/>
          <w:sz w:val="21"/>
          <w:szCs w:val="21"/>
          <w:lang w:val="en-US" w:eastAsia="zh-CN" w:bidi="ar-SA"/>
        </w:rPr>
        <w:t>100</w:t>
      </w:r>
      <w:r>
        <w:rPr>
          <w:rFonts w:hint="eastAsia" w:ascii="仿宋_GB2312" w:hAnsi="等线" w:eastAsia="仿宋_GB2312" w:cs="宋体"/>
          <w:color w:val="000000"/>
          <w:kern w:val="2"/>
          <w:sz w:val="21"/>
          <w:szCs w:val="21"/>
          <w:lang w:val="en-US" w:eastAsia="zh-CN" w:bidi="ar-SA"/>
        </w:rPr>
        <w:t>分以上为“优”，</w:t>
      </w:r>
      <w:r>
        <w:rPr>
          <w:rFonts w:ascii="仿宋_GB2312" w:hAnsi="等线" w:eastAsia="仿宋_GB2312" w:cs="宋体"/>
          <w:color w:val="000000"/>
          <w:kern w:val="2"/>
          <w:sz w:val="21"/>
          <w:szCs w:val="21"/>
          <w:lang w:val="en-US" w:eastAsia="zh-CN" w:bidi="ar-SA"/>
        </w:rPr>
        <w:t>80</w:t>
      </w:r>
      <w:r>
        <w:rPr>
          <w:rFonts w:hint="eastAsia" w:ascii="仿宋_GB2312" w:hAnsi="等线" w:eastAsia="仿宋_GB2312" w:cs="宋体"/>
          <w:color w:val="000000"/>
          <w:kern w:val="2"/>
          <w:sz w:val="21"/>
          <w:szCs w:val="21"/>
          <w:lang w:val="en-US" w:eastAsia="zh-CN" w:bidi="ar-SA"/>
        </w:rPr>
        <w:t>（含）-90分为“良”，60（含）-</w:t>
      </w:r>
      <w:r>
        <w:rPr>
          <w:rFonts w:ascii="仿宋_GB2312" w:hAnsi="等线" w:eastAsia="仿宋_GB2312" w:cs="宋体"/>
          <w:color w:val="000000"/>
          <w:kern w:val="2"/>
          <w:sz w:val="21"/>
          <w:szCs w:val="21"/>
          <w:lang w:val="en-US" w:eastAsia="zh-CN" w:bidi="ar-SA"/>
        </w:rPr>
        <w:t>80</w:t>
      </w:r>
      <w:r>
        <w:rPr>
          <w:rFonts w:hint="eastAsia" w:ascii="仿宋_GB2312" w:hAnsi="等线" w:eastAsia="仿宋_GB2312" w:cs="宋体"/>
          <w:color w:val="000000"/>
          <w:kern w:val="2"/>
          <w:sz w:val="21"/>
          <w:szCs w:val="21"/>
          <w:lang w:val="en-US" w:eastAsia="zh-CN" w:bidi="ar-SA"/>
        </w:rPr>
        <w:t>分为“中”，60分以下为“差”。</w:t>
      </w:r>
    </w:p>
  </w:footnote>
  <w:footnote w:id="1">
    <w:p>
      <w:pPr>
        <w:pStyle w:val="24"/>
        <w:snapToGrid w:val="0"/>
        <w:rPr>
          <w:rFonts w:hint="default" w:eastAsia="Simang"/>
          <w:lang w:val="en-US" w:eastAsia="zh-CN"/>
        </w:rPr>
      </w:pPr>
      <w:r>
        <w:rPr>
          <w:rStyle w:val="36"/>
        </w:rPr>
        <w:footnoteRef/>
      </w:r>
      <w:r>
        <w:t xml:space="preserve"> </w:t>
      </w:r>
      <w:r>
        <w:rPr>
          <w:rFonts w:hint="eastAsia"/>
          <w:lang w:val="en-US" w:eastAsia="zh-CN"/>
        </w:rPr>
        <w:t>COD指化学需氧量，是在一定的条件下，采用一定的强氧化剂处理水样时，所消耗的氧化剂量。如果cod质量浓度偏低的污水进入污水厂处理，不但加重了污水厂运行负担，还将破坏污泥活性，并影响污水生物处理系统运行效能。</w:t>
      </w:r>
    </w:p>
  </w:footnote>
  <w:footnote w:id="2">
    <w:p>
      <w:pPr>
        <w:pStyle w:val="107"/>
        <w:rPr>
          <w:rFonts w:ascii="仿宋_GB2312" w:hAnsi="等线" w:eastAsia="仿宋_GB2312" w:cs="宋体"/>
          <w:color w:val="000000"/>
        </w:rPr>
      </w:pPr>
      <w:r>
        <w:rPr>
          <w:rFonts w:ascii="仿宋_GB2312" w:hAnsi="等线" w:eastAsia="仿宋_GB2312" w:cs="宋体"/>
          <w:color w:val="000000"/>
        </w:rPr>
        <w:footnoteRef/>
      </w:r>
      <w:r>
        <w:rPr>
          <w:rFonts w:ascii="仿宋_GB2312" w:hAnsi="等线" w:eastAsia="仿宋_GB2312" w:cs="宋体"/>
          <w:color w:val="000000"/>
        </w:rPr>
        <w:t xml:space="preserve"> </w:t>
      </w:r>
      <w:r>
        <w:rPr>
          <w:rFonts w:hint="eastAsia" w:ascii="仿宋_GB2312" w:hAnsi="等线" w:eastAsia="仿宋_GB2312" w:cs="宋体"/>
          <w:color w:val="000000"/>
        </w:rPr>
        <w:t>绩效得分90（含）-</w:t>
      </w:r>
      <w:r>
        <w:rPr>
          <w:rFonts w:ascii="仿宋_GB2312" w:hAnsi="等线" w:eastAsia="仿宋_GB2312" w:cs="宋体"/>
          <w:color w:val="000000"/>
        </w:rPr>
        <w:t>100</w:t>
      </w:r>
      <w:r>
        <w:rPr>
          <w:rFonts w:hint="eastAsia" w:ascii="仿宋_GB2312" w:hAnsi="等线" w:eastAsia="仿宋_GB2312" w:cs="宋体"/>
          <w:color w:val="000000"/>
        </w:rPr>
        <w:t>分以上为“优”，</w:t>
      </w:r>
      <w:r>
        <w:rPr>
          <w:rFonts w:ascii="仿宋_GB2312" w:hAnsi="等线" w:eastAsia="仿宋_GB2312" w:cs="宋体"/>
          <w:color w:val="000000"/>
        </w:rPr>
        <w:t>80</w:t>
      </w:r>
      <w:r>
        <w:rPr>
          <w:rFonts w:hint="eastAsia" w:ascii="仿宋_GB2312" w:hAnsi="等线" w:eastAsia="仿宋_GB2312" w:cs="宋体"/>
          <w:color w:val="000000"/>
        </w:rPr>
        <w:t>（含）-90分为“良”，60（含）-</w:t>
      </w:r>
      <w:r>
        <w:rPr>
          <w:rFonts w:ascii="仿宋_GB2312" w:hAnsi="等线" w:eastAsia="仿宋_GB2312" w:cs="宋体"/>
          <w:color w:val="000000"/>
        </w:rPr>
        <w:t>80</w:t>
      </w:r>
      <w:r>
        <w:rPr>
          <w:rFonts w:hint="eastAsia" w:ascii="仿宋_GB2312" w:hAnsi="等线" w:eastAsia="仿宋_GB2312" w:cs="宋体"/>
          <w:color w:val="000000"/>
        </w:rPr>
        <w:t>分为“中”，60分以下为“差”。</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560"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left="280" w:right="280" w:firstLine="5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right="280" w:firstLine="420"/>
      <w:jc w:val="center"/>
      <w:rPr>
        <w:sz w:val="21"/>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3713C4"/>
    <w:multiLevelType w:val="multilevel"/>
    <w:tmpl w:val="4C3713C4"/>
    <w:lvl w:ilvl="0" w:tentative="0">
      <w:start w:val="1"/>
      <w:numFmt w:val="bullet"/>
      <w:suff w:val="nothing"/>
      <w:lvlText w:val=""/>
      <w:lvlJc w:val="left"/>
      <w:pPr>
        <w:ind w:left="980" w:hanging="420"/>
      </w:pPr>
      <w:rPr>
        <w:rFonts w:hint="default" w:ascii="Wingdings" w:hAnsi="Wingdings"/>
      </w:rPr>
    </w:lvl>
    <w:lvl w:ilvl="1" w:tentative="0">
      <w:start w:val="1"/>
      <w:numFmt w:val="bullet"/>
      <w:lvlText w:val=""/>
      <w:lvlJc w:val="left"/>
      <w:pPr>
        <w:ind w:left="1400" w:hanging="420"/>
      </w:pPr>
      <w:rPr>
        <w:rFonts w:hint="default" w:ascii="Wingdings" w:hAnsi="Wingdings"/>
      </w:rPr>
    </w:lvl>
    <w:lvl w:ilvl="2" w:tentative="0">
      <w:start w:val="1"/>
      <w:numFmt w:val="bullet"/>
      <w:lvlText w:val=""/>
      <w:lvlJc w:val="left"/>
      <w:pPr>
        <w:ind w:left="1820" w:hanging="420"/>
      </w:pPr>
      <w:rPr>
        <w:rFonts w:hint="default" w:ascii="Wingdings" w:hAnsi="Wingdings"/>
      </w:rPr>
    </w:lvl>
    <w:lvl w:ilvl="3" w:tentative="0">
      <w:start w:val="1"/>
      <w:numFmt w:val="bullet"/>
      <w:lvlText w:val=""/>
      <w:lvlJc w:val="left"/>
      <w:pPr>
        <w:ind w:left="2240" w:hanging="420"/>
      </w:pPr>
      <w:rPr>
        <w:rFonts w:hint="default" w:ascii="Wingdings" w:hAnsi="Wingdings"/>
      </w:rPr>
    </w:lvl>
    <w:lvl w:ilvl="4" w:tentative="0">
      <w:start w:val="1"/>
      <w:numFmt w:val="bullet"/>
      <w:lvlText w:val=""/>
      <w:lvlJc w:val="left"/>
      <w:pPr>
        <w:ind w:left="2660" w:hanging="420"/>
      </w:pPr>
      <w:rPr>
        <w:rFonts w:hint="default" w:ascii="Wingdings" w:hAnsi="Wingdings"/>
      </w:rPr>
    </w:lvl>
    <w:lvl w:ilvl="5" w:tentative="0">
      <w:start w:val="1"/>
      <w:numFmt w:val="bullet"/>
      <w:lvlText w:val=""/>
      <w:lvlJc w:val="left"/>
      <w:pPr>
        <w:ind w:left="3080" w:hanging="420"/>
      </w:pPr>
      <w:rPr>
        <w:rFonts w:hint="default" w:ascii="Wingdings" w:hAnsi="Wingdings"/>
      </w:rPr>
    </w:lvl>
    <w:lvl w:ilvl="6" w:tentative="0">
      <w:start w:val="1"/>
      <w:numFmt w:val="bullet"/>
      <w:lvlText w:val=""/>
      <w:lvlJc w:val="left"/>
      <w:pPr>
        <w:ind w:left="3500" w:hanging="420"/>
      </w:pPr>
      <w:rPr>
        <w:rFonts w:hint="default" w:ascii="Wingdings" w:hAnsi="Wingdings"/>
      </w:rPr>
    </w:lvl>
    <w:lvl w:ilvl="7" w:tentative="0">
      <w:start w:val="1"/>
      <w:numFmt w:val="bullet"/>
      <w:lvlText w:val=""/>
      <w:lvlJc w:val="left"/>
      <w:pPr>
        <w:ind w:left="3920" w:hanging="420"/>
      </w:pPr>
      <w:rPr>
        <w:rFonts w:hint="default" w:ascii="Wingdings" w:hAnsi="Wingdings"/>
      </w:rPr>
    </w:lvl>
    <w:lvl w:ilvl="8" w:tentative="0">
      <w:start w:val="1"/>
      <w:numFmt w:val="bullet"/>
      <w:lvlText w:val=""/>
      <w:lvlJc w:val="left"/>
      <w:pPr>
        <w:ind w:left="434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saveSubsetFonts/>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40"/>
  <w:drawingGridVerticalSpacing w:val="381"/>
  <w:displayHorizontalDrawingGridEvery w:val="1"/>
  <w:displayVerticalDrawingGridEvery w:val="1"/>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U0ZTRlNThhYTRiMzVjYmY3NTdhNGJiNWViZWI3NmIifQ=="/>
  </w:docVars>
  <w:rsids>
    <w:rsidRoot w:val="00172A27"/>
    <w:rsid w:val="00000470"/>
    <w:rsid w:val="00000ADB"/>
    <w:rsid w:val="00001834"/>
    <w:rsid w:val="0000288D"/>
    <w:rsid w:val="00002BB1"/>
    <w:rsid w:val="0000410D"/>
    <w:rsid w:val="00005909"/>
    <w:rsid w:val="00005D23"/>
    <w:rsid w:val="00006418"/>
    <w:rsid w:val="000065F2"/>
    <w:rsid w:val="0000674F"/>
    <w:rsid w:val="00007F5B"/>
    <w:rsid w:val="0001005A"/>
    <w:rsid w:val="0001165B"/>
    <w:rsid w:val="00011920"/>
    <w:rsid w:val="00012141"/>
    <w:rsid w:val="00012222"/>
    <w:rsid w:val="00012FC8"/>
    <w:rsid w:val="00013DC2"/>
    <w:rsid w:val="000140DC"/>
    <w:rsid w:val="000143DF"/>
    <w:rsid w:val="000145C0"/>
    <w:rsid w:val="00014847"/>
    <w:rsid w:val="00015074"/>
    <w:rsid w:val="00015164"/>
    <w:rsid w:val="00015BCC"/>
    <w:rsid w:val="00016934"/>
    <w:rsid w:val="000175E1"/>
    <w:rsid w:val="000200CB"/>
    <w:rsid w:val="00020A23"/>
    <w:rsid w:val="00020A4F"/>
    <w:rsid w:val="00021880"/>
    <w:rsid w:val="00021CC3"/>
    <w:rsid w:val="00021D8E"/>
    <w:rsid w:val="00022335"/>
    <w:rsid w:val="000225F4"/>
    <w:rsid w:val="0002275C"/>
    <w:rsid w:val="000227DE"/>
    <w:rsid w:val="00022E66"/>
    <w:rsid w:val="000240B2"/>
    <w:rsid w:val="00024988"/>
    <w:rsid w:val="00024F07"/>
    <w:rsid w:val="000258BD"/>
    <w:rsid w:val="00026C12"/>
    <w:rsid w:val="00026FBB"/>
    <w:rsid w:val="00026FD7"/>
    <w:rsid w:val="00027CA2"/>
    <w:rsid w:val="00031035"/>
    <w:rsid w:val="00031693"/>
    <w:rsid w:val="0003308A"/>
    <w:rsid w:val="0003308E"/>
    <w:rsid w:val="00033245"/>
    <w:rsid w:val="00033587"/>
    <w:rsid w:val="000337F1"/>
    <w:rsid w:val="00034095"/>
    <w:rsid w:val="000342AE"/>
    <w:rsid w:val="00034F2D"/>
    <w:rsid w:val="0003522B"/>
    <w:rsid w:val="00035315"/>
    <w:rsid w:val="00035440"/>
    <w:rsid w:val="000354B5"/>
    <w:rsid w:val="000356D3"/>
    <w:rsid w:val="00036252"/>
    <w:rsid w:val="000363AC"/>
    <w:rsid w:val="00036774"/>
    <w:rsid w:val="000374CB"/>
    <w:rsid w:val="0004093D"/>
    <w:rsid w:val="00040E43"/>
    <w:rsid w:val="00041F0E"/>
    <w:rsid w:val="00042D7D"/>
    <w:rsid w:val="00042F95"/>
    <w:rsid w:val="00043FEC"/>
    <w:rsid w:val="00045C80"/>
    <w:rsid w:val="000464B3"/>
    <w:rsid w:val="0004737D"/>
    <w:rsid w:val="000476BF"/>
    <w:rsid w:val="00050052"/>
    <w:rsid w:val="00050BAD"/>
    <w:rsid w:val="000513B0"/>
    <w:rsid w:val="00051E22"/>
    <w:rsid w:val="00051F3E"/>
    <w:rsid w:val="00052012"/>
    <w:rsid w:val="00052F33"/>
    <w:rsid w:val="00054AFA"/>
    <w:rsid w:val="00054D04"/>
    <w:rsid w:val="0005510A"/>
    <w:rsid w:val="0005542D"/>
    <w:rsid w:val="00055953"/>
    <w:rsid w:val="00056367"/>
    <w:rsid w:val="00057258"/>
    <w:rsid w:val="00060BDB"/>
    <w:rsid w:val="00061553"/>
    <w:rsid w:val="00062001"/>
    <w:rsid w:val="00063879"/>
    <w:rsid w:val="00065857"/>
    <w:rsid w:val="0006719B"/>
    <w:rsid w:val="0006778F"/>
    <w:rsid w:val="00070153"/>
    <w:rsid w:val="0007057D"/>
    <w:rsid w:val="0007065C"/>
    <w:rsid w:val="00071119"/>
    <w:rsid w:val="000715D0"/>
    <w:rsid w:val="0007223C"/>
    <w:rsid w:val="0007228E"/>
    <w:rsid w:val="00072A93"/>
    <w:rsid w:val="00074A57"/>
    <w:rsid w:val="000765E9"/>
    <w:rsid w:val="000768B3"/>
    <w:rsid w:val="00076996"/>
    <w:rsid w:val="0008168D"/>
    <w:rsid w:val="00081B84"/>
    <w:rsid w:val="000826D6"/>
    <w:rsid w:val="0008339E"/>
    <w:rsid w:val="00083826"/>
    <w:rsid w:val="00083D63"/>
    <w:rsid w:val="000849EB"/>
    <w:rsid w:val="00085E38"/>
    <w:rsid w:val="00086605"/>
    <w:rsid w:val="00086831"/>
    <w:rsid w:val="000868BE"/>
    <w:rsid w:val="00086ACD"/>
    <w:rsid w:val="00087F74"/>
    <w:rsid w:val="00090122"/>
    <w:rsid w:val="0009038C"/>
    <w:rsid w:val="00090A23"/>
    <w:rsid w:val="0009104F"/>
    <w:rsid w:val="00091191"/>
    <w:rsid w:val="00091D4A"/>
    <w:rsid w:val="0009363C"/>
    <w:rsid w:val="0009441B"/>
    <w:rsid w:val="00094C19"/>
    <w:rsid w:val="00095130"/>
    <w:rsid w:val="000951A0"/>
    <w:rsid w:val="00095E99"/>
    <w:rsid w:val="00095F36"/>
    <w:rsid w:val="000965EB"/>
    <w:rsid w:val="00096925"/>
    <w:rsid w:val="00096EC9"/>
    <w:rsid w:val="00096FE6"/>
    <w:rsid w:val="000A007E"/>
    <w:rsid w:val="000A2247"/>
    <w:rsid w:val="000A254B"/>
    <w:rsid w:val="000A2744"/>
    <w:rsid w:val="000A4196"/>
    <w:rsid w:val="000A4818"/>
    <w:rsid w:val="000A4F85"/>
    <w:rsid w:val="000A4FD1"/>
    <w:rsid w:val="000A53E0"/>
    <w:rsid w:val="000A5420"/>
    <w:rsid w:val="000A546D"/>
    <w:rsid w:val="000A5C76"/>
    <w:rsid w:val="000A5D62"/>
    <w:rsid w:val="000A7FED"/>
    <w:rsid w:val="000B037A"/>
    <w:rsid w:val="000B06D8"/>
    <w:rsid w:val="000B1A75"/>
    <w:rsid w:val="000B1AC0"/>
    <w:rsid w:val="000B3D0B"/>
    <w:rsid w:val="000B45FC"/>
    <w:rsid w:val="000B47AB"/>
    <w:rsid w:val="000B4C41"/>
    <w:rsid w:val="000B5071"/>
    <w:rsid w:val="000B6888"/>
    <w:rsid w:val="000B6A95"/>
    <w:rsid w:val="000B7055"/>
    <w:rsid w:val="000B71C2"/>
    <w:rsid w:val="000B7DF0"/>
    <w:rsid w:val="000C0ACB"/>
    <w:rsid w:val="000C1082"/>
    <w:rsid w:val="000C1B09"/>
    <w:rsid w:val="000C3A06"/>
    <w:rsid w:val="000C3C6C"/>
    <w:rsid w:val="000C4E60"/>
    <w:rsid w:val="000C4E68"/>
    <w:rsid w:val="000C7393"/>
    <w:rsid w:val="000C767F"/>
    <w:rsid w:val="000C7DCF"/>
    <w:rsid w:val="000D09D8"/>
    <w:rsid w:val="000D143A"/>
    <w:rsid w:val="000D30A1"/>
    <w:rsid w:val="000D389D"/>
    <w:rsid w:val="000D3974"/>
    <w:rsid w:val="000D3B65"/>
    <w:rsid w:val="000D3C67"/>
    <w:rsid w:val="000D3D0B"/>
    <w:rsid w:val="000D3E7C"/>
    <w:rsid w:val="000D3FB7"/>
    <w:rsid w:val="000D425B"/>
    <w:rsid w:val="000D42D5"/>
    <w:rsid w:val="000D50A9"/>
    <w:rsid w:val="000D555A"/>
    <w:rsid w:val="000D6332"/>
    <w:rsid w:val="000D657A"/>
    <w:rsid w:val="000D680A"/>
    <w:rsid w:val="000D6CA2"/>
    <w:rsid w:val="000D6F85"/>
    <w:rsid w:val="000D700E"/>
    <w:rsid w:val="000D7689"/>
    <w:rsid w:val="000E0991"/>
    <w:rsid w:val="000E0BF3"/>
    <w:rsid w:val="000E12A2"/>
    <w:rsid w:val="000E14D0"/>
    <w:rsid w:val="000E23D5"/>
    <w:rsid w:val="000E2E11"/>
    <w:rsid w:val="000E3A61"/>
    <w:rsid w:val="000E431A"/>
    <w:rsid w:val="000E4908"/>
    <w:rsid w:val="000E4BB3"/>
    <w:rsid w:val="000E4C8C"/>
    <w:rsid w:val="000E4CE1"/>
    <w:rsid w:val="000E72B5"/>
    <w:rsid w:val="000E7621"/>
    <w:rsid w:val="000E7884"/>
    <w:rsid w:val="000F24CD"/>
    <w:rsid w:val="000F2996"/>
    <w:rsid w:val="000F2AF5"/>
    <w:rsid w:val="000F444B"/>
    <w:rsid w:val="000F46BB"/>
    <w:rsid w:val="000F4D33"/>
    <w:rsid w:val="000F5A7D"/>
    <w:rsid w:val="000F5B14"/>
    <w:rsid w:val="000F7B32"/>
    <w:rsid w:val="000F7C99"/>
    <w:rsid w:val="0010128B"/>
    <w:rsid w:val="00101389"/>
    <w:rsid w:val="00101788"/>
    <w:rsid w:val="00103119"/>
    <w:rsid w:val="00103134"/>
    <w:rsid w:val="0010320D"/>
    <w:rsid w:val="00104018"/>
    <w:rsid w:val="001054DF"/>
    <w:rsid w:val="0010764B"/>
    <w:rsid w:val="00107B32"/>
    <w:rsid w:val="00107CBF"/>
    <w:rsid w:val="00110546"/>
    <w:rsid w:val="00110AA2"/>
    <w:rsid w:val="0011161B"/>
    <w:rsid w:val="001116D4"/>
    <w:rsid w:val="00111D4E"/>
    <w:rsid w:val="00112179"/>
    <w:rsid w:val="00112365"/>
    <w:rsid w:val="001123BD"/>
    <w:rsid w:val="00113888"/>
    <w:rsid w:val="00113DFE"/>
    <w:rsid w:val="0011416D"/>
    <w:rsid w:val="0011595D"/>
    <w:rsid w:val="0011618C"/>
    <w:rsid w:val="00116C58"/>
    <w:rsid w:val="00117053"/>
    <w:rsid w:val="001177BE"/>
    <w:rsid w:val="00117AA7"/>
    <w:rsid w:val="001207E9"/>
    <w:rsid w:val="001215B2"/>
    <w:rsid w:val="0012166D"/>
    <w:rsid w:val="0012172B"/>
    <w:rsid w:val="0012246F"/>
    <w:rsid w:val="00123341"/>
    <w:rsid w:val="00123988"/>
    <w:rsid w:val="00123B12"/>
    <w:rsid w:val="00124181"/>
    <w:rsid w:val="00124F28"/>
    <w:rsid w:val="0012524C"/>
    <w:rsid w:val="00125287"/>
    <w:rsid w:val="001257D7"/>
    <w:rsid w:val="00126153"/>
    <w:rsid w:val="0012640B"/>
    <w:rsid w:val="00127326"/>
    <w:rsid w:val="00127CD2"/>
    <w:rsid w:val="0013014D"/>
    <w:rsid w:val="00130226"/>
    <w:rsid w:val="001307F2"/>
    <w:rsid w:val="00130E50"/>
    <w:rsid w:val="00130EAC"/>
    <w:rsid w:val="00131A73"/>
    <w:rsid w:val="0013213E"/>
    <w:rsid w:val="00132398"/>
    <w:rsid w:val="0013257C"/>
    <w:rsid w:val="00132EAF"/>
    <w:rsid w:val="00133054"/>
    <w:rsid w:val="00133567"/>
    <w:rsid w:val="00134CA1"/>
    <w:rsid w:val="001353BC"/>
    <w:rsid w:val="001356A2"/>
    <w:rsid w:val="00136CBC"/>
    <w:rsid w:val="001379FA"/>
    <w:rsid w:val="00137B31"/>
    <w:rsid w:val="001407D4"/>
    <w:rsid w:val="00140F31"/>
    <w:rsid w:val="00141088"/>
    <w:rsid w:val="00141539"/>
    <w:rsid w:val="00141A4B"/>
    <w:rsid w:val="00141EE5"/>
    <w:rsid w:val="00142900"/>
    <w:rsid w:val="00142DC0"/>
    <w:rsid w:val="001447FC"/>
    <w:rsid w:val="00144EE9"/>
    <w:rsid w:val="00144F31"/>
    <w:rsid w:val="00145004"/>
    <w:rsid w:val="00146D46"/>
    <w:rsid w:val="00146FFC"/>
    <w:rsid w:val="00147FBA"/>
    <w:rsid w:val="00152723"/>
    <w:rsid w:val="001543AB"/>
    <w:rsid w:val="001548FB"/>
    <w:rsid w:val="00154C82"/>
    <w:rsid w:val="00156683"/>
    <w:rsid w:val="00156CA1"/>
    <w:rsid w:val="00156DB6"/>
    <w:rsid w:val="001570CB"/>
    <w:rsid w:val="00157445"/>
    <w:rsid w:val="001579C1"/>
    <w:rsid w:val="001608EC"/>
    <w:rsid w:val="00160CC2"/>
    <w:rsid w:val="0016105A"/>
    <w:rsid w:val="001613C0"/>
    <w:rsid w:val="0016181E"/>
    <w:rsid w:val="001619DD"/>
    <w:rsid w:val="00161C65"/>
    <w:rsid w:val="00161F25"/>
    <w:rsid w:val="001620D8"/>
    <w:rsid w:val="00162F78"/>
    <w:rsid w:val="001639E1"/>
    <w:rsid w:val="00163EFB"/>
    <w:rsid w:val="001646FB"/>
    <w:rsid w:val="00164B29"/>
    <w:rsid w:val="00165054"/>
    <w:rsid w:val="00165CA8"/>
    <w:rsid w:val="00166880"/>
    <w:rsid w:val="00167405"/>
    <w:rsid w:val="00167621"/>
    <w:rsid w:val="00167885"/>
    <w:rsid w:val="00167A2A"/>
    <w:rsid w:val="001700A5"/>
    <w:rsid w:val="00170836"/>
    <w:rsid w:val="00170894"/>
    <w:rsid w:val="00170A2C"/>
    <w:rsid w:val="00171206"/>
    <w:rsid w:val="0017156C"/>
    <w:rsid w:val="001715B0"/>
    <w:rsid w:val="001730EC"/>
    <w:rsid w:val="0017446A"/>
    <w:rsid w:val="00174C68"/>
    <w:rsid w:val="00174EA4"/>
    <w:rsid w:val="0017593B"/>
    <w:rsid w:val="00176570"/>
    <w:rsid w:val="001775DD"/>
    <w:rsid w:val="0017771A"/>
    <w:rsid w:val="00180490"/>
    <w:rsid w:val="00180C9D"/>
    <w:rsid w:val="001811C4"/>
    <w:rsid w:val="00182BB1"/>
    <w:rsid w:val="00183F59"/>
    <w:rsid w:val="001841BE"/>
    <w:rsid w:val="001841C2"/>
    <w:rsid w:val="00184479"/>
    <w:rsid w:val="00184569"/>
    <w:rsid w:val="0018553B"/>
    <w:rsid w:val="001857F8"/>
    <w:rsid w:val="00186805"/>
    <w:rsid w:val="00186DDB"/>
    <w:rsid w:val="00187276"/>
    <w:rsid w:val="00187412"/>
    <w:rsid w:val="0018775D"/>
    <w:rsid w:val="00187CF1"/>
    <w:rsid w:val="001909C6"/>
    <w:rsid w:val="001914FF"/>
    <w:rsid w:val="00191B20"/>
    <w:rsid w:val="001920F7"/>
    <w:rsid w:val="0019288F"/>
    <w:rsid w:val="00193F35"/>
    <w:rsid w:val="0019410B"/>
    <w:rsid w:val="001945D7"/>
    <w:rsid w:val="00194A25"/>
    <w:rsid w:val="00194B50"/>
    <w:rsid w:val="00194C09"/>
    <w:rsid w:val="00194CAC"/>
    <w:rsid w:val="0019543D"/>
    <w:rsid w:val="001957D3"/>
    <w:rsid w:val="00196760"/>
    <w:rsid w:val="0019717C"/>
    <w:rsid w:val="00197BFE"/>
    <w:rsid w:val="00197F05"/>
    <w:rsid w:val="001A0364"/>
    <w:rsid w:val="001A0624"/>
    <w:rsid w:val="001A142E"/>
    <w:rsid w:val="001A17A9"/>
    <w:rsid w:val="001A191C"/>
    <w:rsid w:val="001A1E40"/>
    <w:rsid w:val="001A24DD"/>
    <w:rsid w:val="001A2565"/>
    <w:rsid w:val="001A2DBD"/>
    <w:rsid w:val="001A3733"/>
    <w:rsid w:val="001A3783"/>
    <w:rsid w:val="001A47B3"/>
    <w:rsid w:val="001A483E"/>
    <w:rsid w:val="001A5282"/>
    <w:rsid w:val="001A5CD8"/>
    <w:rsid w:val="001A5DE6"/>
    <w:rsid w:val="001A638F"/>
    <w:rsid w:val="001A6C9C"/>
    <w:rsid w:val="001A7607"/>
    <w:rsid w:val="001A7A8E"/>
    <w:rsid w:val="001A7AA5"/>
    <w:rsid w:val="001A7C7F"/>
    <w:rsid w:val="001B02A9"/>
    <w:rsid w:val="001B0401"/>
    <w:rsid w:val="001B0B8B"/>
    <w:rsid w:val="001B15B3"/>
    <w:rsid w:val="001B161F"/>
    <w:rsid w:val="001B1DCC"/>
    <w:rsid w:val="001B3950"/>
    <w:rsid w:val="001B4729"/>
    <w:rsid w:val="001B5083"/>
    <w:rsid w:val="001B5EAA"/>
    <w:rsid w:val="001B6126"/>
    <w:rsid w:val="001B7328"/>
    <w:rsid w:val="001C0D07"/>
    <w:rsid w:val="001C142E"/>
    <w:rsid w:val="001C1A9C"/>
    <w:rsid w:val="001C2339"/>
    <w:rsid w:val="001C2524"/>
    <w:rsid w:val="001C4A69"/>
    <w:rsid w:val="001C4C77"/>
    <w:rsid w:val="001C4D86"/>
    <w:rsid w:val="001C5116"/>
    <w:rsid w:val="001C5762"/>
    <w:rsid w:val="001C576F"/>
    <w:rsid w:val="001C62A7"/>
    <w:rsid w:val="001C6FB1"/>
    <w:rsid w:val="001C7197"/>
    <w:rsid w:val="001C7A93"/>
    <w:rsid w:val="001D16E1"/>
    <w:rsid w:val="001D1C91"/>
    <w:rsid w:val="001D449E"/>
    <w:rsid w:val="001D597D"/>
    <w:rsid w:val="001D5A6B"/>
    <w:rsid w:val="001D5D8F"/>
    <w:rsid w:val="001E003E"/>
    <w:rsid w:val="001E13FB"/>
    <w:rsid w:val="001E1475"/>
    <w:rsid w:val="001E147E"/>
    <w:rsid w:val="001E18C2"/>
    <w:rsid w:val="001E1B0A"/>
    <w:rsid w:val="001E37CD"/>
    <w:rsid w:val="001E3CF6"/>
    <w:rsid w:val="001E3F9F"/>
    <w:rsid w:val="001E591E"/>
    <w:rsid w:val="001E5925"/>
    <w:rsid w:val="001E6CD2"/>
    <w:rsid w:val="001F050E"/>
    <w:rsid w:val="001F1D8D"/>
    <w:rsid w:val="001F23E9"/>
    <w:rsid w:val="001F33B0"/>
    <w:rsid w:val="001F3506"/>
    <w:rsid w:val="001F36FD"/>
    <w:rsid w:val="001F3FB7"/>
    <w:rsid w:val="001F4547"/>
    <w:rsid w:val="001F470B"/>
    <w:rsid w:val="001F4B24"/>
    <w:rsid w:val="001F4C3A"/>
    <w:rsid w:val="001F4D48"/>
    <w:rsid w:val="001F4E2E"/>
    <w:rsid w:val="001F52E8"/>
    <w:rsid w:val="00200EE9"/>
    <w:rsid w:val="002019FE"/>
    <w:rsid w:val="00201E0E"/>
    <w:rsid w:val="0020229A"/>
    <w:rsid w:val="00202494"/>
    <w:rsid w:val="00202526"/>
    <w:rsid w:val="002029E4"/>
    <w:rsid w:val="00203585"/>
    <w:rsid w:val="002039F0"/>
    <w:rsid w:val="00204ACC"/>
    <w:rsid w:val="00204DD1"/>
    <w:rsid w:val="00204E14"/>
    <w:rsid w:val="00205C54"/>
    <w:rsid w:val="002063AA"/>
    <w:rsid w:val="00206517"/>
    <w:rsid w:val="002067E5"/>
    <w:rsid w:val="00206CE7"/>
    <w:rsid w:val="00210351"/>
    <w:rsid w:val="00210AFD"/>
    <w:rsid w:val="0021204E"/>
    <w:rsid w:val="002126B1"/>
    <w:rsid w:val="00212E72"/>
    <w:rsid w:val="00212F40"/>
    <w:rsid w:val="00213956"/>
    <w:rsid w:val="00213AAC"/>
    <w:rsid w:val="002146F8"/>
    <w:rsid w:val="00214D4E"/>
    <w:rsid w:val="00214FB1"/>
    <w:rsid w:val="00216097"/>
    <w:rsid w:val="00216986"/>
    <w:rsid w:val="00216BCA"/>
    <w:rsid w:val="0021728E"/>
    <w:rsid w:val="00217891"/>
    <w:rsid w:val="00217D72"/>
    <w:rsid w:val="002200E6"/>
    <w:rsid w:val="00220BBC"/>
    <w:rsid w:val="00220FE9"/>
    <w:rsid w:val="0022111A"/>
    <w:rsid w:val="002213F5"/>
    <w:rsid w:val="00222005"/>
    <w:rsid w:val="00222338"/>
    <w:rsid w:val="002224D0"/>
    <w:rsid w:val="00223292"/>
    <w:rsid w:val="002233FF"/>
    <w:rsid w:val="00223773"/>
    <w:rsid w:val="00223ACD"/>
    <w:rsid w:val="00223B22"/>
    <w:rsid w:val="00223DD1"/>
    <w:rsid w:val="00225DC2"/>
    <w:rsid w:val="0022625C"/>
    <w:rsid w:val="002263E2"/>
    <w:rsid w:val="00226CA0"/>
    <w:rsid w:val="00226CB2"/>
    <w:rsid w:val="0022753D"/>
    <w:rsid w:val="0023003E"/>
    <w:rsid w:val="00230434"/>
    <w:rsid w:val="00230862"/>
    <w:rsid w:val="00230DDA"/>
    <w:rsid w:val="00231A06"/>
    <w:rsid w:val="00231BA3"/>
    <w:rsid w:val="00231EFE"/>
    <w:rsid w:val="0023244E"/>
    <w:rsid w:val="002326BB"/>
    <w:rsid w:val="00232CA9"/>
    <w:rsid w:val="0023320A"/>
    <w:rsid w:val="00233379"/>
    <w:rsid w:val="00234145"/>
    <w:rsid w:val="00234D28"/>
    <w:rsid w:val="002356F5"/>
    <w:rsid w:val="00235907"/>
    <w:rsid w:val="00235AB4"/>
    <w:rsid w:val="00235DC7"/>
    <w:rsid w:val="00236D18"/>
    <w:rsid w:val="0023742D"/>
    <w:rsid w:val="00237A0B"/>
    <w:rsid w:val="00240E1F"/>
    <w:rsid w:val="00241031"/>
    <w:rsid w:val="0024123F"/>
    <w:rsid w:val="00241714"/>
    <w:rsid w:val="00242512"/>
    <w:rsid w:val="00242618"/>
    <w:rsid w:val="002427AA"/>
    <w:rsid w:val="00243377"/>
    <w:rsid w:val="002435B7"/>
    <w:rsid w:val="00243970"/>
    <w:rsid w:val="00243F80"/>
    <w:rsid w:val="00243F9E"/>
    <w:rsid w:val="002441AD"/>
    <w:rsid w:val="002449B7"/>
    <w:rsid w:val="00245277"/>
    <w:rsid w:val="00245BA1"/>
    <w:rsid w:val="00246093"/>
    <w:rsid w:val="00246573"/>
    <w:rsid w:val="00246A2C"/>
    <w:rsid w:val="00246B9D"/>
    <w:rsid w:val="00246C68"/>
    <w:rsid w:val="00247061"/>
    <w:rsid w:val="00247132"/>
    <w:rsid w:val="0024771D"/>
    <w:rsid w:val="002507B3"/>
    <w:rsid w:val="00250D0A"/>
    <w:rsid w:val="002515E1"/>
    <w:rsid w:val="00251F20"/>
    <w:rsid w:val="00252B73"/>
    <w:rsid w:val="00252BC5"/>
    <w:rsid w:val="00254DB9"/>
    <w:rsid w:val="002551B7"/>
    <w:rsid w:val="0025546A"/>
    <w:rsid w:val="00255D0F"/>
    <w:rsid w:val="002562CB"/>
    <w:rsid w:val="002568BA"/>
    <w:rsid w:val="0025694D"/>
    <w:rsid w:val="00256A1E"/>
    <w:rsid w:val="00256A36"/>
    <w:rsid w:val="0025750E"/>
    <w:rsid w:val="002577A4"/>
    <w:rsid w:val="00257FED"/>
    <w:rsid w:val="0026020C"/>
    <w:rsid w:val="0026091B"/>
    <w:rsid w:val="0026100D"/>
    <w:rsid w:val="0026372B"/>
    <w:rsid w:val="00263761"/>
    <w:rsid w:val="00263C9F"/>
    <w:rsid w:val="00263DCC"/>
    <w:rsid w:val="00263E4E"/>
    <w:rsid w:val="0026467B"/>
    <w:rsid w:val="0026475D"/>
    <w:rsid w:val="0026497E"/>
    <w:rsid w:val="00265113"/>
    <w:rsid w:val="00265ADE"/>
    <w:rsid w:val="00266249"/>
    <w:rsid w:val="00266C0C"/>
    <w:rsid w:val="00266D79"/>
    <w:rsid w:val="00267148"/>
    <w:rsid w:val="00267800"/>
    <w:rsid w:val="00267CD0"/>
    <w:rsid w:val="0027037E"/>
    <w:rsid w:val="0027313B"/>
    <w:rsid w:val="00273E8B"/>
    <w:rsid w:val="002745CB"/>
    <w:rsid w:val="0027472C"/>
    <w:rsid w:val="00274B26"/>
    <w:rsid w:val="00276115"/>
    <w:rsid w:val="00276ABE"/>
    <w:rsid w:val="002772A5"/>
    <w:rsid w:val="00277B8D"/>
    <w:rsid w:val="00280B4D"/>
    <w:rsid w:val="0028106B"/>
    <w:rsid w:val="00281470"/>
    <w:rsid w:val="00281511"/>
    <w:rsid w:val="002816E8"/>
    <w:rsid w:val="00281BA0"/>
    <w:rsid w:val="00281E46"/>
    <w:rsid w:val="002821DD"/>
    <w:rsid w:val="00282CA0"/>
    <w:rsid w:val="00283809"/>
    <w:rsid w:val="00283919"/>
    <w:rsid w:val="00283B28"/>
    <w:rsid w:val="002841E9"/>
    <w:rsid w:val="00284271"/>
    <w:rsid w:val="002843AF"/>
    <w:rsid w:val="002844BB"/>
    <w:rsid w:val="00284C1D"/>
    <w:rsid w:val="00284FC8"/>
    <w:rsid w:val="00285845"/>
    <w:rsid w:val="00285A62"/>
    <w:rsid w:val="002866F2"/>
    <w:rsid w:val="0028741E"/>
    <w:rsid w:val="002879CE"/>
    <w:rsid w:val="00287C3E"/>
    <w:rsid w:val="002900D7"/>
    <w:rsid w:val="00290C20"/>
    <w:rsid w:val="002923C0"/>
    <w:rsid w:val="00292D29"/>
    <w:rsid w:val="0029354F"/>
    <w:rsid w:val="00293EB4"/>
    <w:rsid w:val="00293FD3"/>
    <w:rsid w:val="00294420"/>
    <w:rsid w:val="00294B88"/>
    <w:rsid w:val="00295113"/>
    <w:rsid w:val="00295A42"/>
    <w:rsid w:val="00296D05"/>
    <w:rsid w:val="002971F4"/>
    <w:rsid w:val="002A0031"/>
    <w:rsid w:val="002A0281"/>
    <w:rsid w:val="002A03FC"/>
    <w:rsid w:val="002A06DB"/>
    <w:rsid w:val="002A0AA5"/>
    <w:rsid w:val="002A1988"/>
    <w:rsid w:val="002A19B1"/>
    <w:rsid w:val="002A31E8"/>
    <w:rsid w:val="002A3D9C"/>
    <w:rsid w:val="002A4340"/>
    <w:rsid w:val="002A4532"/>
    <w:rsid w:val="002A4A89"/>
    <w:rsid w:val="002A5853"/>
    <w:rsid w:val="002A5881"/>
    <w:rsid w:val="002A6CCD"/>
    <w:rsid w:val="002A6EF4"/>
    <w:rsid w:val="002A7063"/>
    <w:rsid w:val="002A7AFE"/>
    <w:rsid w:val="002B0242"/>
    <w:rsid w:val="002B0A32"/>
    <w:rsid w:val="002B0AE9"/>
    <w:rsid w:val="002B226A"/>
    <w:rsid w:val="002B2449"/>
    <w:rsid w:val="002B2F12"/>
    <w:rsid w:val="002B3756"/>
    <w:rsid w:val="002B4D9A"/>
    <w:rsid w:val="002B4EDD"/>
    <w:rsid w:val="002B5A5A"/>
    <w:rsid w:val="002B76C5"/>
    <w:rsid w:val="002C054B"/>
    <w:rsid w:val="002C0633"/>
    <w:rsid w:val="002C370D"/>
    <w:rsid w:val="002C42AB"/>
    <w:rsid w:val="002C59EF"/>
    <w:rsid w:val="002C64C7"/>
    <w:rsid w:val="002C6F7D"/>
    <w:rsid w:val="002C77B8"/>
    <w:rsid w:val="002D00FB"/>
    <w:rsid w:val="002D0A08"/>
    <w:rsid w:val="002D0E0F"/>
    <w:rsid w:val="002D1922"/>
    <w:rsid w:val="002D2397"/>
    <w:rsid w:val="002D256C"/>
    <w:rsid w:val="002D2937"/>
    <w:rsid w:val="002D2BEA"/>
    <w:rsid w:val="002D3CC2"/>
    <w:rsid w:val="002D4945"/>
    <w:rsid w:val="002D4B4C"/>
    <w:rsid w:val="002D5104"/>
    <w:rsid w:val="002D5B0D"/>
    <w:rsid w:val="002D67A4"/>
    <w:rsid w:val="002E0045"/>
    <w:rsid w:val="002E0053"/>
    <w:rsid w:val="002E0120"/>
    <w:rsid w:val="002E2B04"/>
    <w:rsid w:val="002E2BDB"/>
    <w:rsid w:val="002E2C74"/>
    <w:rsid w:val="002E4F8D"/>
    <w:rsid w:val="002E5039"/>
    <w:rsid w:val="002E53DE"/>
    <w:rsid w:val="002E62B5"/>
    <w:rsid w:val="002E6DA5"/>
    <w:rsid w:val="002E6E40"/>
    <w:rsid w:val="002E7FD5"/>
    <w:rsid w:val="002F02DC"/>
    <w:rsid w:val="002F0881"/>
    <w:rsid w:val="002F12A0"/>
    <w:rsid w:val="002F13D4"/>
    <w:rsid w:val="002F1F8E"/>
    <w:rsid w:val="002F2006"/>
    <w:rsid w:val="002F22ED"/>
    <w:rsid w:val="002F2D03"/>
    <w:rsid w:val="002F2D18"/>
    <w:rsid w:val="002F3109"/>
    <w:rsid w:val="002F3444"/>
    <w:rsid w:val="002F665A"/>
    <w:rsid w:val="002F6F02"/>
    <w:rsid w:val="002F7A55"/>
    <w:rsid w:val="002F7B31"/>
    <w:rsid w:val="00300222"/>
    <w:rsid w:val="00300489"/>
    <w:rsid w:val="003008EA"/>
    <w:rsid w:val="00300CB9"/>
    <w:rsid w:val="00301C12"/>
    <w:rsid w:val="00302FA5"/>
    <w:rsid w:val="003039D1"/>
    <w:rsid w:val="00303D6E"/>
    <w:rsid w:val="00303EEB"/>
    <w:rsid w:val="0030447C"/>
    <w:rsid w:val="0030455F"/>
    <w:rsid w:val="003052CF"/>
    <w:rsid w:val="00305839"/>
    <w:rsid w:val="00305AD9"/>
    <w:rsid w:val="00306F33"/>
    <w:rsid w:val="0030724D"/>
    <w:rsid w:val="00307654"/>
    <w:rsid w:val="00307EE6"/>
    <w:rsid w:val="00307F87"/>
    <w:rsid w:val="0031041C"/>
    <w:rsid w:val="003106A7"/>
    <w:rsid w:val="003114B2"/>
    <w:rsid w:val="0031155B"/>
    <w:rsid w:val="00311828"/>
    <w:rsid w:val="0031274C"/>
    <w:rsid w:val="003128AA"/>
    <w:rsid w:val="00312C87"/>
    <w:rsid w:val="00313288"/>
    <w:rsid w:val="00313A39"/>
    <w:rsid w:val="00313A79"/>
    <w:rsid w:val="00313E3B"/>
    <w:rsid w:val="0031430E"/>
    <w:rsid w:val="003144E5"/>
    <w:rsid w:val="00316210"/>
    <w:rsid w:val="00316379"/>
    <w:rsid w:val="0031655C"/>
    <w:rsid w:val="003179D0"/>
    <w:rsid w:val="00317F31"/>
    <w:rsid w:val="00317FF5"/>
    <w:rsid w:val="003200EC"/>
    <w:rsid w:val="0032066F"/>
    <w:rsid w:val="00320E82"/>
    <w:rsid w:val="00320F00"/>
    <w:rsid w:val="00320FB5"/>
    <w:rsid w:val="0032171F"/>
    <w:rsid w:val="00322D7A"/>
    <w:rsid w:val="00323B55"/>
    <w:rsid w:val="003242D0"/>
    <w:rsid w:val="003250C5"/>
    <w:rsid w:val="003252CB"/>
    <w:rsid w:val="0032554E"/>
    <w:rsid w:val="00325DD8"/>
    <w:rsid w:val="003262E1"/>
    <w:rsid w:val="00326421"/>
    <w:rsid w:val="00326493"/>
    <w:rsid w:val="00327A0E"/>
    <w:rsid w:val="0033153D"/>
    <w:rsid w:val="0033197C"/>
    <w:rsid w:val="00331CFB"/>
    <w:rsid w:val="003336B5"/>
    <w:rsid w:val="00333E36"/>
    <w:rsid w:val="00334973"/>
    <w:rsid w:val="00335078"/>
    <w:rsid w:val="0033532D"/>
    <w:rsid w:val="00335A97"/>
    <w:rsid w:val="00335FAD"/>
    <w:rsid w:val="00336005"/>
    <w:rsid w:val="00336999"/>
    <w:rsid w:val="003369F3"/>
    <w:rsid w:val="00337F5B"/>
    <w:rsid w:val="0034052F"/>
    <w:rsid w:val="00340708"/>
    <w:rsid w:val="00340A9B"/>
    <w:rsid w:val="00340F8C"/>
    <w:rsid w:val="00341253"/>
    <w:rsid w:val="00341538"/>
    <w:rsid w:val="00341685"/>
    <w:rsid w:val="00341D8B"/>
    <w:rsid w:val="003424DB"/>
    <w:rsid w:val="00342F06"/>
    <w:rsid w:val="0034321E"/>
    <w:rsid w:val="00343ADB"/>
    <w:rsid w:val="00343CF6"/>
    <w:rsid w:val="00345CD5"/>
    <w:rsid w:val="0034613C"/>
    <w:rsid w:val="00346533"/>
    <w:rsid w:val="00346D78"/>
    <w:rsid w:val="00346DBB"/>
    <w:rsid w:val="00347050"/>
    <w:rsid w:val="00347DF2"/>
    <w:rsid w:val="00347F2B"/>
    <w:rsid w:val="003501FC"/>
    <w:rsid w:val="003504E4"/>
    <w:rsid w:val="003514BE"/>
    <w:rsid w:val="00351695"/>
    <w:rsid w:val="00351DDA"/>
    <w:rsid w:val="00352D55"/>
    <w:rsid w:val="00353C1D"/>
    <w:rsid w:val="0035402F"/>
    <w:rsid w:val="00355191"/>
    <w:rsid w:val="003564CA"/>
    <w:rsid w:val="00356DF2"/>
    <w:rsid w:val="00356EF4"/>
    <w:rsid w:val="003609F3"/>
    <w:rsid w:val="00360ACD"/>
    <w:rsid w:val="00362A2B"/>
    <w:rsid w:val="0036300F"/>
    <w:rsid w:val="0036336D"/>
    <w:rsid w:val="003638A5"/>
    <w:rsid w:val="003643C3"/>
    <w:rsid w:val="003661E9"/>
    <w:rsid w:val="00366453"/>
    <w:rsid w:val="00366AFA"/>
    <w:rsid w:val="00367068"/>
    <w:rsid w:val="00367731"/>
    <w:rsid w:val="00367B01"/>
    <w:rsid w:val="00370193"/>
    <w:rsid w:val="00370548"/>
    <w:rsid w:val="00371114"/>
    <w:rsid w:val="00371433"/>
    <w:rsid w:val="00372259"/>
    <w:rsid w:val="003725EF"/>
    <w:rsid w:val="00372D3F"/>
    <w:rsid w:val="00372F68"/>
    <w:rsid w:val="00372FEC"/>
    <w:rsid w:val="003738D9"/>
    <w:rsid w:val="00374C48"/>
    <w:rsid w:val="00376C08"/>
    <w:rsid w:val="00377644"/>
    <w:rsid w:val="00377FFD"/>
    <w:rsid w:val="00382016"/>
    <w:rsid w:val="00382059"/>
    <w:rsid w:val="00382B84"/>
    <w:rsid w:val="00382F78"/>
    <w:rsid w:val="003831F9"/>
    <w:rsid w:val="00384184"/>
    <w:rsid w:val="0038496E"/>
    <w:rsid w:val="00384A15"/>
    <w:rsid w:val="00386830"/>
    <w:rsid w:val="00386B25"/>
    <w:rsid w:val="00386B68"/>
    <w:rsid w:val="0039032A"/>
    <w:rsid w:val="00390A12"/>
    <w:rsid w:val="0039115D"/>
    <w:rsid w:val="003925D9"/>
    <w:rsid w:val="003929DE"/>
    <w:rsid w:val="00392BDA"/>
    <w:rsid w:val="00393930"/>
    <w:rsid w:val="00393F8A"/>
    <w:rsid w:val="0039468E"/>
    <w:rsid w:val="003958FC"/>
    <w:rsid w:val="00396AE7"/>
    <w:rsid w:val="00396D8A"/>
    <w:rsid w:val="003972F8"/>
    <w:rsid w:val="00397504"/>
    <w:rsid w:val="003A037A"/>
    <w:rsid w:val="003A0F4A"/>
    <w:rsid w:val="003A1F07"/>
    <w:rsid w:val="003A2005"/>
    <w:rsid w:val="003A20D8"/>
    <w:rsid w:val="003A2718"/>
    <w:rsid w:val="003A312F"/>
    <w:rsid w:val="003A34B2"/>
    <w:rsid w:val="003A35CE"/>
    <w:rsid w:val="003A3910"/>
    <w:rsid w:val="003A3DCB"/>
    <w:rsid w:val="003A6534"/>
    <w:rsid w:val="003A722B"/>
    <w:rsid w:val="003A7A84"/>
    <w:rsid w:val="003B1176"/>
    <w:rsid w:val="003B1602"/>
    <w:rsid w:val="003B2DAC"/>
    <w:rsid w:val="003B3004"/>
    <w:rsid w:val="003B32AF"/>
    <w:rsid w:val="003B32EA"/>
    <w:rsid w:val="003B34B3"/>
    <w:rsid w:val="003B37C8"/>
    <w:rsid w:val="003B3BC1"/>
    <w:rsid w:val="003B5461"/>
    <w:rsid w:val="003B54A5"/>
    <w:rsid w:val="003B637B"/>
    <w:rsid w:val="003B68B9"/>
    <w:rsid w:val="003B7DBD"/>
    <w:rsid w:val="003C0553"/>
    <w:rsid w:val="003C09D7"/>
    <w:rsid w:val="003C11EC"/>
    <w:rsid w:val="003C193D"/>
    <w:rsid w:val="003C1FAC"/>
    <w:rsid w:val="003C2E1F"/>
    <w:rsid w:val="003C3BA1"/>
    <w:rsid w:val="003C50B3"/>
    <w:rsid w:val="003C535B"/>
    <w:rsid w:val="003C6109"/>
    <w:rsid w:val="003C6142"/>
    <w:rsid w:val="003C63E7"/>
    <w:rsid w:val="003C6C77"/>
    <w:rsid w:val="003C70D9"/>
    <w:rsid w:val="003C78D0"/>
    <w:rsid w:val="003D01B6"/>
    <w:rsid w:val="003D1199"/>
    <w:rsid w:val="003D1DD3"/>
    <w:rsid w:val="003D1F61"/>
    <w:rsid w:val="003D2254"/>
    <w:rsid w:val="003D2841"/>
    <w:rsid w:val="003D2D2D"/>
    <w:rsid w:val="003D2FB9"/>
    <w:rsid w:val="003D3325"/>
    <w:rsid w:val="003D3A45"/>
    <w:rsid w:val="003D458E"/>
    <w:rsid w:val="003D4ABC"/>
    <w:rsid w:val="003D503C"/>
    <w:rsid w:val="003D50D8"/>
    <w:rsid w:val="003D6146"/>
    <w:rsid w:val="003D644C"/>
    <w:rsid w:val="003D681A"/>
    <w:rsid w:val="003D714C"/>
    <w:rsid w:val="003D730C"/>
    <w:rsid w:val="003D7EF0"/>
    <w:rsid w:val="003E00B0"/>
    <w:rsid w:val="003E0696"/>
    <w:rsid w:val="003E06C5"/>
    <w:rsid w:val="003E0C9B"/>
    <w:rsid w:val="003E26A9"/>
    <w:rsid w:val="003E31F9"/>
    <w:rsid w:val="003E3270"/>
    <w:rsid w:val="003E3481"/>
    <w:rsid w:val="003E38D8"/>
    <w:rsid w:val="003E4787"/>
    <w:rsid w:val="003E4919"/>
    <w:rsid w:val="003E4A57"/>
    <w:rsid w:val="003E5974"/>
    <w:rsid w:val="003E59E3"/>
    <w:rsid w:val="003E5AA2"/>
    <w:rsid w:val="003E60FA"/>
    <w:rsid w:val="003E646D"/>
    <w:rsid w:val="003E6ACA"/>
    <w:rsid w:val="003E7299"/>
    <w:rsid w:val="003E7AA1"/>
    <w:rsid w:val="003E7CC8"/>
    <w:rsid w:val="003F0E34"/>
    <w:rsid w:val="003F0EE1"/>
    <w:rsid w:val="003F175E"/>
    <w:rsid w:val="003F2345"/>
    <w:rsid w:val="003F2666"/>
    <w:rsid w:val="003F2737"/>
    <w:rsid w:val="003F28B1"/>
    <w:rsid w:val="003F3458"/>
    <w:rsid w:val="003F4B5D"/>
    <w:rsid w:val="003F4D9C"/>
    <w:rsid w:val="003F788E"/>
    <w:rsid w:val="003F7C52"/>
    <w:rsid w:val="003F7EA7"/>
    <w:rsid w:val="004007CF"/>
    <w:rsid w:val="00400EA2"/>
    <w:rsid w:val="0040151A"/>
    <w:rsid w:val="00401D54"/>
    <w:rsid w:val="00402397"/>
    <w:rsid w:val="004023D6"/>
    <w:rsid w:val="00402460"/>
    <w:rsid w:val="00402E0F"/>
    <w:rsid w:val="00404FD9"/>
    <w:rsid w:val="00405650"/>
    <w:rsid w:val="00405794"/>
    <w:rsid w:val="00405AD9"/>
    <w:rsid w:val="004064FF"/>
    <w:rsid w:val="00407151"/>
    <w:rsid w:val="00407BA2"/>
    <w:rsid w:val="00410528"/>
    <w:rsid w:val="00410BB4"/>
    <w:rsid w:val="00411379"/>
    <w:rsid w:val="00411E88"/>
    <w:rsid w:val="00411EAB"/>
    <w:rsid w:val="00412591"/>
    <w:rsid w:val="004125AF"/>
    <w:rsid w:val="004129AC"/>
    <w:rsid w:val="00413255"/>
    <w:rsid w:val="004134FA"/>
    <w:rsid w:val="00413CF1"/>
    <w:rsid w:val="00414E09"/>
    <w:rsid w:val="00416929"/>
    <w:rsid w:val="00416EBE"/>
    <w:rsid w:val="004175AA"/>
    <w:rsid w:val="00417867"/>
    <w:rsid w:val="0042237B"/>
    <w:rsid w:val="004226CC"/>
    <w:rsid w:val="004228CE"/>
    <w:rsid w:val="00423136"/>
    <w:rsid w:val="00423FDB"/>
    <w:rsid w:val="00424959"/>
    <w:rsid w:val="00424F6D"/>
    <w:rsid w:val="00425521"/>
    <w:rsid w:val="004255FE"/>
    <w:rsid w:val="004256AC"/>
    <w:rsid w:val="00425B3B"/>
    <w:rsid w:val="00425DE2"/>
    <w:rsid w:val="00425F95"/>
    <w:rsid w:val="00426892"/>
    <w:rsid w:val="00426CF5"/>
    <w:rsid w:val="00427211"/>
    <w:rsid w:val="0042733A"/>
    <w:rsid w:val="0042747A"/>
    <w:rsid w:val="004276D0"/>
    <w:rsid w:val="004312E3"/>
    <w:rsid w:val="00431333"/>
    <w:rsid w:val="004321AF"/>
    <w:rsid w:val="00432A92"/>
    <w:rsid w:val="00432B86"/>
    <w:rsid w:val="00432FF1"/>
    <w:rsid w:val="004345DA"/>
    <w:rsid w:val="00434938"/>
    <w:rsid w:val="00434D62"/>
    <w:rsid w:val="004351F1"/>
    <w:rsid w:val="004352C9"/>
    <w:rsid w:val="0043591B"/>
    <w:rsid w:val="00435AF8"/>
    <w:rsid w:val="00436A05"/>
    <w:rsid w:val="00436C8A"/>
    <w:rsid w:val="00436EA4"/>
    <w:rsid w:val="00436F8C"/>
    <w:rsid w:val="00437009"/>
    <w:rsid w:val="00437083"/>
    <w:rsid w:val="00437306"/>
    <w:rsid w:val="00440350"/>
    <w:rsid w:val="004407B1"/>
    <w:rsid w:val="0044093A"/>
    <w:rsid w:val="00440C83"/>
    <w:rsid w:val="00441059"/>
    <w:rsid w:val="004414B4"/>
    <w:rsid w:val="00441DA9"/>
    <w:rsid w:val="004424B2"/>
    <w:rsid w:val="004429A8"/>
    <w:rsid w:val="00442F87"/>
    <w:rsid w:val="004443C3"/>
    <w:rsid w:val="004446B7"/>
    <w:rsid w:val="004453BD"/>
    <w:rsid w:val="004455A4"/>
    <w:rsid w:val="00445F1D"/>
    <w:rsid w:val="004460F3"/>
    <w:rsid w:val="004466C9"/>
    <w:rsid w:val="004468DA"/>
    <w:rsid w:val="004504D8"/>
    <w:rsid w:val="004504EF"/>
    <w:rsid w:val="00451207"/>
    <w:rsid w:val="0045245C"/>
    <w:rsid w:val="00452472"/>
    <w:rsid w:val="0045298D"/>
    <w:rsid w:val="0045412C"/>
    <w:rsid w:val="0045530A"/>
    <w:rsid w:val="0045572F"/>
    <w:rsid w:val="00455D70"/>
    <w:rsid w:val="00456A24"/>
    <w:rsid w:val="00457587"/>
    <w:rsid w:val="00457C4A"/>
    <w:rsid w:val="00457FB6"/>
    <w:rsid w:val="00460196"/>
    <w:rsid w:val="00460460"/>
    <w:rsid w:val="00460DE4"/>
    <w:rsid w:val="0046184C"/>
    <w:rsid w:val="004625A9"/>
    <w:rsid w:val="00462D71"/>
    <w:rsid w:val="00463081"/>
    <w:rsid w:val="0046344D"/>
    <w:rsid w:val="004634CD"/>
    <w:rsid w:val="00463646"/>
    <w:rsid w:val="00463B16"/>
    <w:rsid w:val="00463C1C"/>
    <w:rsid w:val="00463F3E"/>
    <w:rsid w:val="0046478D"/>
    <w:rsid w:val="00465B4C"/>
    <w:rsid w:val="0046667F"/>
    <w:rsid w:val="00466DB0"/>
    <w:rsid w:val="0046772F"/>
    <w:rsid w:val="004677EE"/>
    <w:rsid w:val="00467875"/>
    <w:rsid w:val="00467A62"/>
    <w:rsid w:val="00467FC4"/>
    <w:rsid w:val="004706C6"/>
    <w:rsid w:val="00470A5A"/>
    <w:rsid w:val="00470FD6"/>
    <w:rsid w:val="00471155"/>
    <w:rsid w:val="004715FF"/>
    <w:rsid w:val="004729F5"/>
    <w:rsid w:val="00472FE7"/>
    <w:rsid w:val="004733DD"/>
    <w:rsid w:val="0047372B"/>
    <w:rsid w:val="004739F8"/>
    <w:rsid w:val="00473FB7"/>
    <w:rsid w:val="0047453B"/>
    <w:rsid w:val="00474563"/>
    <w:rsid w:val="004749A4"/>
    <w:rsid w:val="00474E8B"/>
    <w:rsid w:val="0047589A"/>
    <w:rsid w:val="004759B6"/>
    <w:rsid w:val="00475C9B"/>
    <w:rsid w:val="00475DF6"/>
    <w:rsid w:val="004762BA"/>
    <w:rsid w:val="004764C1"/>
    <w:rsid w:val="0047662C"/>
    <w:rsid w:val="00476CA7"/>
    <w:rsid w:val="00477B18"/>
    <w:rsid w:val="00477B5B"/>
    <w:rsid w:val="004800D6"/>
    <w:rsid w:val="004801CC"/>
    <w:rsid w:val="004803A3"/>
    <w:rsid w:val="00480EF8"/>
    <w:rsid w:val="00481E9E"/>
    <w:rsid w:val="00482EB4"/>
    <w:rsid w:val="00483F01"/>
    <w:rsid w:val="0048434B"/>
    <w:rsid w:val="0048442C"/>
    <w:rsid w:val="00484A5D"/>
    <w:rsid w:val="00484DC2"/>
    <w:rsid w:val="00485186"/>
    <w:rsid w:val="00485F2A"/>
    <w:rsid w:val="0048757F"/>
    <w:rsid w:val="004912B9"/>
    <w:rsid w:val="00491CE1"/>
    <w:rsid w:val="0049241B"/>
    <w:rsid w:val="00492EDE"/>
    <w:rsid w:val="0049322E"/>
    <w:rsid w:val="0049429C"/>
    <w:rsid w:val="00494EAB"/>
    <w:rsid w:val="004955F3"/>
    <w:rsid w:val="00496324"/>
    <w:rsid w:val="0049639A"/>
    <w:rsid w:val="004979B8"/>
    <w:rsid w:val="00497EAC"/>
    <w:rsid w:val="00497F65"/>
    <w:rsid w:val="004A0CBD"/>
    <w:rsid w:val="004A12A7"/>
    <w:rsid w:val="004A1915"/>
    <w:rsid w:val="004A1F6C"/>
    <w:rsid w:val="004A257D"/>
    <w:rsid w:val="004A27C6"/>
    <w:rsid w:val="004A3620"/>
    <w:rsid w:val="004A3E48"/>
    <w:rsid w:val="004A47DF"/>
    <w:rsid w:val="004A5071"/>
    <w:rsid w:val="004A5C89"/>
    <w:rsid w:val="004A7E6A"/>
    <w:rsid w:val="004A7F90"/>
    <w:rsid w:val="004B0AC0"/>
    <w:rsid w:val="004B0F2F"/>
    <w:rsid w:val="004B12A0"/>
    <w:rsid w:val="004B14BC"/>
    <w:rsid w:val="004B2583"/>
    <w:rsid w:val="004B3036"/>
    <w:rsid w:val="004B3594"/>
    <w:rsid w:val="004B3FA3"/>
    <w:rsid w:val="004B4A31"/>
    <w:rsid w:val="004B4A68"/>
    <w:rsid w:val="004B4B12"/>
    <w:rsid w:val="004B50CB"/>
    <w:rsid w:val="004B5656"/>
    <w:rsid w:val="004B5B5F"/>
    <w:rsid w:val="004B6705"/>
    <w:rsid w:val="004B6C67"/>
    <w:rsid w:val="004C0048"/>
    <w:rsid w:val="004C12C5"/>
    <w:rsid w:val="004C1622"/>
    <w:rsid w:val="004C17F2"/>
    <w:rsid w:val="004C1FC1"/>
    <w:rsid w:val="004C2E86"/>
    <w:rsid w:val="004C2F9E"/>
    <w:rsid w:val="004C3EB8"/>
    <w:rsid w:val="004C419E"/>
    <w:rsid w:val="004C4323"/>
    <w:rsid w:val="004C4848"/>
    <w:rsid w:val="004C490C"/>
    <w:rsid w:val="004C52AA"/>
    <w:rsid w:val="004C53C4"/>
    <w:rsid w:val="004C5748"/>
    <w:rsid w:val="004C57EB"/>
    <w:rsid w:val="004C63F0"/>
    <w:rsid w:val="004C6868"/>
    <w:rsid w:val="004C7842"/>
    <w:rsid w:val="004C79F8"/>
    <w:rsid w:val="004D0197"/>
    <w:rsid w:val="004D0A50"/>
    <w:rsid w:val="004D0E4E"/>
    <w:rsid w:val="004D1203"/>
    <w:rsid w:val="004D1D16"/>
    <w:rsid w:val="004D27D4"/>
    <w:rsid w:val="004D34A3"/>
    <w:rsid w:val="004D3773"/>
    <w:rsid w:val="004D3A18"/>
    <w:rsid w:val="004D4B01"/>
    <w:rsid w:val="004D5981"/>
    <w:rsid w:val="004D63A9"/>
    <w:rsid w:val="004D76D7"/>
    <w:rsid w:val="004D771C"/>
    <w:rsid w:val="004E1038"/>
    <w:rsid w:val="004E239D"/>
    <w:rsid w:val="004E29DD"/>
    <w:rsid w:val="004E39DD"/>
    <w:rsid w:val="004E4E69"/>
    <w:rsid w:val="004E5295"/>
    <w:rsid w:val="004F018B"/>
    <w:rsid w:val="004F01E0"/>
    <w:rsid w:val="004F0D8C"/>
    <w:rsid w:val="004F0FFF"/>
    <w:rsid w:val="004F11FB"/>
    <w:rsid w:val="004F3516"/>
    <w:rsid w:val="004F413E"/>
    <w:rsid w:val="004F4BE6"/>
    <w:rsid w:val="004F53D8"/>
    <w:rsid w:val="004F5927"/>
    <w:rsid w:val="004F5C7E"/>
    <w:rsid w:val="004F7078"/>
    <w:rsid w:val="0050117B"/>
    <w:rsid w:val="005017D9"/>
    <w:rsid w:val="00501F9F"/>
    <w:rsid w:val="0050234D"/>
    <w:rsid w:val="005023B4"/>
    <w:rsid w:val="00502B4A"/>
    <w:rsid w:val="005042D0"/>
    <w:rsid w:val="00504407"/>
    <w:rsid w:val="00504C07"/>
    <w:rsid w:val="005052CB"/>
    <w:rsid w:val="00505759"/>
    <w:rsid w:val="005066B4"/>
    <w:rsid w:val="00507091"/>
    <w:rsid w:val="00507262"/>
    <w:rsid w:val="005077F4"/>
    <w:rsid w:val="00510A89"/>
    <w:rsid w:val="005116F0"/>
    <w:rsid w:val="00512B95"/>
    <w:rsid w:val="00513121"/>
    <w:rsid w:val="00513203"/>
    <w:rsid w:val="00514874"/>
    <w:rsid w:val="0051545A"/>
    <w:rsid w:val="00515B8A"/>
    <w:rsid w:val="00515D64"/>
    <w:rsid w:val="005163BA"/>
    <w:rsid w:val="005166B5"/>
    <w:rsid w:val="00516BC8"/>
    <w:rsid w:val="00516F13"/>
    <w:rsid w:val="005170D4"/>
    <w:rsid w:val="0051790C"/>
    <w:rsid w:val="00521286"/>
    <w:rsid w:val="00522299"/>
    <w:rsid w:val="005224C9"/>
    <w:rsid w:val="005232F9"/>
    <w:rsid w:val="005233B7"/>
    <w:rsid w:val="00524024"/>
    <w:rsid w:val="0052416D"/>
    <w:rsid w:val="00524223"/>
    <w:rsid w:val="00524896"/>
    <w:rsid w:val="005255CA"/>
    <w:rsid w:val="005256A2"/>
    <w:rsid w:val="00525872"/>
    <w:rsid w:val="00525950"/>
    <w:rsid w:val="00525DE2"/>
    <w:rsid w:val="00525E56"/>
    <w:rsid w:val="0052619B"/>
    <w:rsid w:val="00526B43"/>
    <w:rsid w:val="00527116"/>
    <w:rsid w:val="00527436"/>
    <w:rsid w:val="005274DD"/>
    <w:rsid w:val="005277B4"/>
    <w:rsid w:val="00527BAA"/>
    <w:rsid w:val="00530AD6"/>
    <w:rsid w:val="00530F45"/>
    <w:rsid w:val="00530F72"/>
    <w:rsid w:val="005319C4"/>
    <w:rsid w:val="00532DBD"/>
    <w:rsid w:val="00533427"/>
    <w:rsid w:val="005338AF"/>
    <w:rsid w:val="00534023"/>
    <w:rsid w:val="00534579"/>
    <w:rsid w:val="00535EB2"/>
    <w:rsid w:val="00537319"/>
    <w:rsid w:val="00540174"/>
    <w:rsid w:val="00540872"/>
    <w:rsid w:val="00540E75"/>
    <w:rsid w:val="00541758"/>
    <w:rsid w:val="00541E91"/>
    <w:rsid w:val="005423E9"/>
    <w:rsid w:val="00543178"/>
    <w:rsid w:val="00544736"/>
    <w:rsid w:val="00544A8A"/>
    <w:rsid w:val="00544AB1"/>
    <w:rsid w:val="00546907"/>
    <w:rsid w:val="00546AD1"/>
    <w:rsid w:val="0054799D"/>
    <w:rsid w:val="00547A17"/>
    <w:rsid w:val="00547F83"/>
    <w:rsid w:val="0055042F"/>
    <w:rsid w:val="00551001"/>
    <w:rsid w:val="00551A36"/>
    <w:rsid w:val="00551AD6"/>
    <w:rsid w:val="00551D36"/>
    <w:rsid w:val="005520DD"/>
    <w:rsid w:val="00552381"/>
    <w:rsid w:val="00552445"/>
    <w:rsid w:val="00552448"/>
    <w:rsid w:val="00552CB5"/>
    <w:rsid w:val="00553AC4"/>
    <w:rsid w:val="00554819"/>
    <w:rsid w:val="00554D31"/>
    <w:rsid w:val="005559D6"/>
    <w:rsid w:val="00555E7E"/>
    <w:rsid w:val="00556EE0"/>
    <w:rsid w:val="00560A1C"/>
    <w:rsid w:val="00560B69"/>
    <w:rsid w:val="00560D5F"/>
    <w:rsid w:val="0056116B"/>
    <w:rsid w:val="0056249B"/>
    <w:rsid w:val="005636C2"/>
    <w:rsid w:val="00563BA5"/>
    <w:rsid w:val="00564C56"/>
    <w:rsid w:val="00564D11"/>
    <w:rsid w:val="00564F97"/>
    <w:rsid w:val="00565410"/>
    <w:rsid w:val="00565B78"/>
    <w:rsid w:val="00565E9F"/>
    <w:rsid w:val="005661DE"/>
    <w:rsid w:val="00566561"/>
    <w:rsid w:val="005667EC"/>
    <w:rsid w:val="00567BB4"/>
    <w:rsid w:val="0057070A"/>
    <w:rsid w:val="0057288E"/>
    <w:rsid w:val="00572A01"/>
    <w:rsid w:val="005730B7"/>
    <w:rsid w:val="00573226"/>
    <w:rsid w:val="00573F56"/>
    <w:rsid w:val="0057412B"/>
    <w:rsid w:val="0057550B"/>
    <w:rsid w:val="005755DE"/>
    <w:rsid w:val="0057656A"/>
    <w:rsid w:val="005766AB"/>
    <w:rsid w:val="00582055"/>
    <w:rsid w:val="0058262F"/>
    <w:rsid w:val="00582E89"/>
    <w:rsid w:val="005842DA"/>
    <w:rsid w:val="005848AC"/>
    <w:rsid w:val="005850FD"/>
    <w:rsid w:val="00585798"/>
    <w:rsid w:val="005859E5"/>
    <w:rsid w:val="005860E0"/>
    <w:rsid w:val="005869B6"/>
    <w:rsid w:val="00586EA1"/>
    <w:rsid w:val="005871B3"/>
    <w:rsid w:val="005871CC"/>
    <w:rsid w:val="00587361"/>
    <w:rsid w:val="00587A5D"/>
    <w:rsid w:val="00590583"/>
    <w:rsid w:val="00590B7C"/>
    <w:rsid w:val="00590FB7"/>
    <w:rsid w:val="00591324"/>
    <w:rsid w:val="00591A46"/>
    <w:rsid w:val="00591F79"/>
    <w:rsid w:val="00592682"/>
    <w:rsid w:val="00592F2B"/>
    <w:rsid w:val="00593CC6"/>
    <w:rsid w:val="005944E4"/>
    <w:rsid w:val="00594545"/>
    <w:rsid w:val="00596A38"/>
    <w:rsid w:val="0059711C"/>
    <w:rsid w:val="0059789D"/>
    <w:rsid w:val="005A16C5"/>
    <w:rsid w:val="005A1934"/>
    <w:rsid w:val="005A1A72"/>
    <w:rsid w:val="005A27DF"/>
    <w:rsid w:val="005A2892"/>
    <w:rsid w:val="005A28CA"/>
    <w:rsid w:val="005A2C77"/>
    <w:rsid w:val="005A35CC"/>
    <w:rsid w:val="005A36E0"/>
    <w:rsid w:val="005A4B72"/>
    <w:rsid w:val="005A4F66"/>
    <w:rsid w:val="005A5AAC"/>
    <w:rsid w:val="005A6807"/>
    <w:rsid w:val="005A6DE2"/>
    <w:rsid w:val="005A7221"/>
    <w:rsid w:val="005A76FC"/>
    <w:rsid w:val="005B11B2"/>
    <w:rsid w:val="005B1526"/>
    <w:rsid w:val="005B15EA"/>
    <w:rsid w:val="005B27B3"/>
    <w:rsid w:val="005B27D3"/>
    <w:rsid w:val="005B2884"/>
    <w:rsid w:val="005B32CF"/>
    <w:rsid w:val="005B33AC"/>
    <w:rsid w:val="005B3F30"/>
    <w:rsid w:val="005B431D"/>
    <w:rsid w:val="005B488A"/>
    <w:rsid w:val="005B4E47"/>
    <w:rsid w:val="005B530B"/>
    <w:rsid w:val="005B59CE"/>
    <w:rsid w:val="005B5E59"/>
    <w:rsid w:val="005B6C09"/>
    <w:rsid w:val="005B6C84"/>
    <w:rsid w:val="005B701E"/>
    <w:rsid w:val="005B781E"/>
    <w:rsid w:val="005B7E42"/>
    <w:rsid w:val="005C0096"/>
    <w:rsid w:val="005C0431"/>
    <w:rsid w:val="005C1128"/>
    <w:rsid w:val="005C1209"/>
    <w:rsid w:val="005C13D0"/>
    <w:rsid w:val="005C1442"/>
    <w:rsid w:val="005C1763"/>
    <w:rsid w:val="005C1EEA"/>
    <w:rsid w:val="005C2CAF"/>
    <w:rsid w:val="005C2EBB"/>
    <w:rsid w:val="005C3EBD"/>
    <w:rsid w:val="005C511F"/>
    <w:rsid w:val="005C530D"/>
    <w:rsid w:val="005C58B5"/>
    <w:rsid w:val="005C65DD"/>
    <w:rsid w:val="005C6DB3"/>
    <w:rsid w:val="005C743E"/>
    <w:rsid w:val="005C782A"/>
    <w:rsid w:val="005D0D79"/>
    <w:rsid w:val="005D0E70"/>
    <w:rsid w:val="005D1239"/>
    <w:rsid w:val="005D1983"/>
    <w:rsid w:val="005D20A5"/>
    <w:rsid w:val="005D25D2"/>
    <w:rsid w:val="005D51DC"/>
    <w:rsid w:val="005D5599"/>
    <w:rsid w:val="005D5F32"/>
    <w:rsid w:val="005D60E6"/>
    <w:rsid w:val="005D6221"/>
    <w:rsid w:val="005D6B7E"/>
    <w:rsid w:val="005D7CFB"/>
    <w:rsid w:val="005E0A88"/>
    <w:rsid w:val="005E12B8"/>
    <w:rsid w:val="005E1BF8"/>
    <w:rsid w:val="005E1CC0"/>
    <w:rsid w:val="005E209A"/>
    <w:rsid w:val="005E3A10"/>
    <w:rsid w:val="005E4693"/>
    <w:rsid w:val="005E785D"/>
    <w:rsid w:val="005E7BB1"/>
    <w:rsid w:val="005F03BA"/>
    <w:rsid w:val="005F03FD"/>
    <w:rsid w:val="005F0AE7"/>
    <w:rsid w:val="005F14BD"/>
    <w:rsid w:val="005F181F"/>
    <w:rsid w:val="005F2E6F"/>
    <w:rsid w:val="005F338C"/>
    <w:rsid w:val="005F3AF4"/>
    <w:rsid w:val="005F416A"/>
    <w:rsid w:val="005F4BCE"/>
    <w:rsid w:val="005F58B4"/>
    <w:rsid w:val="005F6071"/>
    <w:rsid w:val="005F60B7"/>
    <w:rsid w:val="005F6149"/>
    <w:rsid w:val="005F69E2"/>
    <w:rsid w:val="005F72A4"/>
    <w:rsid w:val="0060082B"/>
    <w:rsid w:val="00600DD4"/>
    <w:rsid w:val="0060105E"/>
    <w:rsid w:val="006011F7"/>
    <w:rsid w:val="00601662"/>
    <w:rsid w:val="006021DA"/>
    <w:rsid w:val="0060269F"/>
    <w:rsid w:val="00602F22"/>
    <w:rsid w:val="00603F8B"/>
    <w:rsid w:val="00604EAD"/>
    <w:rsid w:val="00606180"/>
    <w:rsid w:val="006061AA"/>
    <w:rsid w:val="00607290"/>
    <w:rsid w:val="00607DD2"/>
    <w:rsid w:val="00607E40"/>
    <w:rsid w:val="006109E7"/>
    <w:rsid w:val="00611482"/>
    <w:rsid w:val="00612374"/>
    <w:rsid w:val="006126B0"/>
    <w:rsid w:val="00612AFC"/>
    <w:rsid w:val="0061366C"/>
    <w:rsid w:val="00613B6A"/>
    <w:rsid w:val="00613CCA"/>
    <w:rsid w:val="006142EB"/>
    <w:rsid w:val="00616838"/>
    <w:rsid w:val="0061739A"/>
    <w:rsid w:val="006175AE"/>
    <w:rsid w:val="0062013B"/>
    <w:rsid w:val="0062019F"/>
    <w:rsid w:val="0062063D"/>
    <w:rsid w:val="0062131C"/>
    <w:rsid w:val="006221E3"/>
    <w:rsid w:val="00622206"/>
    <w:rsid w:val="00622409"/>
    <w:rsid w:val="006233BB"/>
    <w:rsid w:val="006235F0"/>
    <w:rsid w:val="006241A3"/>
    <w:rsid w:val="00624ADA"/>
    <w:rsid w:val="00624EBA"/>
    <w:rsid w:val="00625D8F"/>
    <w:rsid w:val="00626BC0"/>
    <w:rsid w:val="006272E9"/>
    <w:rsid w:val="006275DC"/>
    <w:rsid w:val="00627A8F"/>
    <w:rsid w:val="0063002A"/>
    <w:rsid w:val="006300CA"/>
    <w:rsid w:val="00630381"/>
    <w:rsid w:val="00631236"/>
    <w:rsid w:val="0063199A"/>
    <w:rsid w:val="006321BE"/>
    <w:rsid w:val="006324FA"/>
    <w:rsid w:val="00634E92"/>
    <w:rsid w:val="00635F48"/>
    <w:rsid w:val="006367FC"/>
    <w:rsid w:val="0064045C"/>
    <w:rsid w:val="00641C7D"/>
    <w:rsid w:val="006426BA"/>
    <w:rsid w:val="00643CBE"/>
    <w:rsid w:val="006452C5"/>
    <w:rsid w:val="006452CA"/>
    <w:rsid w:val="00645E16"/>
    <w:rsid w:val="00646753"/>
    <w:rsid w:val="006469BE"/>
    <w:rsid w:val="00646A88"/>
    <w:rsid w:val="006474B7"/>
    <w:rsid w:val="006476ED"/>
    <w:rsid w:val="0064788F"/>
    <w:rsid w:val="006500E1"/>
    <w:rsid w:val="00650814"/>
    <w:rsid w:val="00651F32"/>
    <w:rsid w:val="00651F8F"/>
    <w:rsid w:val="00652216"/>
    <w:rsid w:val="00652691"/>
    <w:rsid w:val="00652DBA"/>
    <w:rsid w:val="006530BB"/>
    <w:rsid w:val="00654832"/>
    <w:rsid w:val="0065499D"/>
    <w:rsid w:val="00654A59"/>
    <w:rsid w:val="00654B50"/>
    <w:rsid w:val="00655633"/>
    <w:rsid w:val="00655F63"/>
    <w:rsid w:val="00656793"/>
    <w:rsid w:val="00657AC3"/>
    <w:rsid w:val="00657AEB"/>
    <w:rsid w:val="00660C0F"/>
    <w:rsid w:val="00660E19"/>
    <w:rsid w:val="00660F44"/>
    <w:rsid w:val="00661321"/>
    <w:rsid w:val="0066156F"/>
    <w:rsid w:val="0066177D"/>
    <w:rsid w:val="00661783"/>
    <w:rsid w:val="00661882"/>
    <w:rsid w:val="00662084"/>
    <w:rsid w:val="006622FB"/>
    <w:rsid w:val="006634C4"/>
    <w:rsid w:val="00663C87"/>
    <w:rsid w:val="006655DD"/>
    <w:rsid w:val="00665696"/>
    <w:rsid w:val="0066609A"/>
    <w:rsid w:val="00666813"/>
    <w:rsid w:val="006703C2"/>
    <w:rsid w:val="00670566"/>
    <w:rsid w:val="00670F44"/>
    <w:rsid w:val="0067205D"/>
    <w:rsid w:val="00672119"/>
    <w:rsid w:val="00672346"/>
    <w:rsid w:val="0067287E"/>
    <w:rsid w:val="00672CE2"/>
    <w:rsid w:val="006736A9"/>
    <w:rsid w:val="00673D94"/>
    <w:rsid w:val="006740E6"/>
    <w:rsid w:val="0067441F"/>
    <w:rsid w:val="006748B1"/>
    <w:rsid w:val="0067577A"/>
    <w:rsid w:val="00676A4F"/>
    <w:rsid w:val="00676B44"/>
    <w:rsid w:val="00676EA2"/>
    <w:rsid w:val="00677BCB"/>
    <w:rsid w:val="00677F1A"/>
    <w:rsid w:val="00680147"/>
    <w:rsid w:val="00680A77"/>
    <w:rsid w:val="00680EE5"/>
    <w:rsid w:val="0068174D"/>
    <w:rsid w:val="00682242"/>
    <w:rsid w:val="00683302"/>
    <w:rsid w:val="00683F50"/>
    <w:rsid w:val="006844DD"/>
    <w:rsid w:val="006846C9"/>
    <w:rsid w:val="00684BB7"/>
    <w:rsid w:val="00684DB6"/>
    <w:rsid w:val="006867AC"/>
    <w:rsid w:val="00686EA9"/>
    <w:rsid w:val="00687991"/>
    <w:rsid w:val="0069069C"/>
    <w:rsid w:val="00690A0F"/>
    <w:rsid w:val="00690AE4"/>
    <w:rsid w:val="00690EB5"/>
    <w:rsid w:val="006918C5"/>
    <w:rsid w:val="00692A48"/>
    <w:rsid w:val="00693A84"/>
    <w:rsid w:val="0069414C"/>
    <w:rsid w:val="006945A7"/>
    <w:rsid w:val="00694799"/>
    <w:rsid w:val="00694897"/>
    <w:rsid w:val="00695635"/>
    <w:rsid w:val="006967F7"/>
    <w:rsid w:val="006977B6"/>
    <w:rsid w:val="00697D04"/>
    <w:rsid w:val="006A0A62"/>
    <w:rsid w:val="006A1ABF"/>
    <w:rsid w:val="006A2DE2"/>
    <w:rsid w:val="006A3C58"/>
    <w:rsid w:val="006A4634"/>
    <w:rsid w:val="006A481B"/>
    <w:rsid w:val="006A4F1F"/>
    <w:rsid w:val="006A5251"/>
    <w:rsid w:val="006A60A3"/>
    <w:rsid w:val="006A7B24"/>
    <w:rsid w:val="006A7DFC"/>
    <w:rsid w:val="006B0290"/>
    <w:rsid w:val="006B082D"/>
    <w:rsid w:val="006B0F1B"/>
    <w:rsid w:val="006B1094"/>
    <w:rsid w:val="006B1234"/>
    <w:rsid w:val="006B1373"/>
    <w:rsid w:val="006B19A7"/>
    <w:rsid w:val="006B267B"/>
    <w:rsid w:val="006B36A4"/>
    <w:rsid w:val="006B3F24"/>
    <w:rsid w:val="006B4C67"/>
    <w:rsid w:val="006B5536"/>
    <w:rsid w:val="006B5BCB"/>
    <w:rsid w:val="006B5CCE"/>
    <w:rsid w:val="006B6BB7"/>
    <w:rsid w:val="006B72C2"/>
    <w:rsid w:val="006C020F"/>
    <w:rsid w:val="006C03ED"/>
    <w:rsid w:val="006C0E45"/>
    <w:rsid w:val="006C23AC"/>
    <w:rsid w:val="006C275F"/>
    <w:rsid w:val="006C3669"/>
    <w:rsid w:val="006C4183"/>
    <w:rsid w:val="006C44B7"/>
    <w:rsid w:val="006C4F9F"/>
    <w:rsid w:val="006C6BB3"/>
    <w:rsid w:val="006C6D63"/>
    <w:rsid w:val="006D023F"/>
    <w:rsid w:val="006D0518"/>
    <w:rsid w:val="006D0A07"/>
    <w:rsid w:val="006D1B63"/>
    <w:rsid w:val="006D1D9F"/>
    <w:rsid w:val="006D32AA"/>
    <w:rsid w:val="006D43BE"/>
    <w:rsid w:val="006D49A6"/>
    <w:rsid w:val="006D553F"/>
    <w:rsid w:val="006D5933"/>
    <w:rsid w:val="006D6587"/>
    <w:rsid w:val="006D67AD"/>
    <w:rsid w:val="006D725E"/>
    <w:rsid w:val="006D7E8E"/>
    <w:rsid w:val="006E0070"/>
    <w:rsid w:val="006E00C1"/>
    <w:rsid w:val="006E02D8"/>
    <w:rsid w:val="006E0493"/>
    <w:rsid w:val="006E18AB"/>
    <w:rsid w:val="006E229D"/>
    <w:rsid w:val="006E4509"/>
    <w:rsid w:val="006E50BF"/>
    <w:rsid w:val="006E5536"/>
    <w:rsid w:val="006E5E5A"/>
    <w:rsid w:val="006E639B"/>
    <w:rsid w:val="006E661D"/>
    <w:rsid w:val="006E6AFC"/>
    <w:rsid w:val="006F0DD6"/>
    <w:rsid w:val="006F167A"/>
    <w:rsid w:val="006F1F41"/>
    <w:rsid w:val="006F25A8"/>
    <w:rsid w:val="006F2A3D"/>
    <w:rsid w:val="006F2FAF"/>
    <w:rsid w:val="006F3142"/>
    <w:rsid w:val="006F3528"/>
    <w:rsid w:val="006F36D2"/>
    <w:rsid w:val="006F3860"/>
    <w:rsid w:val="006F4B9F"/>
    <w:rsid w:val="006F5CA5"/>
    <w:rsid w:val="006F5F4F"/>
    <w:rsid w:val="006F633A"/>
    <w:rsid w:val="006F6676"/>
    <w:rsid w:val="006F7107"/>
    <w:rsid w:val="006F749A"/>
    <w:rsid w:val="006F7BBF"/>
    <w:rsid w:val="00700308"/>
    <w:rsid w:val="007012D7"/>
    <w:rsid w:val="00701331"/>
    <w:rsid w:val="007013C4"/>
    <w:rsid w:val="007016C2"/>
    <w:rsid w:val="00701E09"/>
    <w:rsid w:val="00702508"/>
    <w:rsid w:val="007026D2"/>
    <w:rsid w:val="00703755"/>
    <w:rsid w:val="00704BDF"/>
    <w:rsid w:val="007054B9"/>
    <w:rsid w:val="007058AA"/>
    <w:rsid w:val="007060D7"/>
    <w:rsid w:val="0070642A"/>
    <w:rsid w:val="00706EB5"/>
    <w:rsid w:val="00707274"/>
    <w:rsid w:val="007075D3"/>
    <w:rsid w:val="00707A90"/>
    <w:rsid w:val="00707B14"/>
    <w:rsid w:val="00707D4E"/>
    <w:rsid w:val="00710420"/>
    <w:rsid w:val="007104F3"/>
    <w:rsid w:val="007107ED"/>
    <w:rsid w:val="00710955"/>
    <w:rsid w:val="00710A71"/>
    <w:rsid w:val="00711424"/>
    <w:rsid w:val="007117D1"/>
    <w:rsid w:val="00711BE3"/>
    <w:rsid w:val="00711CB0"/>
    <w:rsid w:val="007128E4"/>
    <w:rsid w:val="00712E7C"/>
    <w:rsid w:val="00713359"/>
    <w:rsid w:val="0071490E"/>
    <w:rsid w:val="00714D3C"/>
    <w:rsid w:val="00715EB0"/>
    <w:rsid w:val="007161BC"/>
    <w:rsid w:val="007172DD"/>
    <w:rsid w:val="007173E3"/>
    <w:rsid w:val="00717A71"/>
    <w:rsid w:val="00721304"/>
    <w:rsid w:val="00722558"/>
    <w:rsid w:val="00722577"/>
    <w:rsid w:val="00722665"/>
    <w:rsid w:val="00723233"/>
    <w:rsid w:val="00723508"/>
    <w:rsid w:val="007239D3"/>
    <w:rsid w:val="0072449F"/>
    <w:rsid w:val="00724AF1"/>
    <w:rsid w:val="00724B5A"/>
    <w:rsid w:val="00724FCB"/>
    <w:rsid w:val="00726E34"/>
    <w:rsid w:val="0072762B"/>
    <w:rsid w:val="00727BAE"/>
    <w:rsid w:val="0073036D"/>
    <w:rsid w:val="00730831"/>
    <w:rsid w:val="00731968"/>
    <w:rsid w:val="00731B9E"/>
    <w:rsid w:val="00731E42"/>
    <w:rsid w:val="007354AE"/>
    <w:rsid w:val="007357C7"/>
    <w:rsid w:val="00735992"/>
    <w:rsid w:val="00735E16"/>
    <w:rsid w:val="007367BC"/>
    <w:rsid w:val="00736EB8"/>
    <w:rsid w:val="00736FF1"/>
    <w:rsid w:val="0073780B"/>
    <w:rsid w:val="00737891"/>
    <w:rsid w:val="00741285"/>
    <w:rsid w:val="00741633"/>
    <w:rsid w:val="00741A8E"/>
    <w:rsid w:val="0074271A"/>
    <w:rsid w:val="0074297C"/>
    <w:rsid w:val="00743079"/>
    <w:rsid w:val="00743A76"/>
    <w:rsid w:val="00744275"/>
    <w:rsid w:val="007444D6"/>
    <w:rsid w:val="007448E2"/>
    <w:rsid w:val="007452AB"/>
    <w:rsid w:val="0074559B"/>
    <w:rsid w:val="00745898"/>
    <w:rsid w:val="0074745E"/>
    <w:rsid w:val="00750641"/>
    <w:rsid w:val="00751464"/>
    <w:rsid w:val="00751A90"/>
    <w:rsid w:val="00751BB3"/>
    <w:rsid w:val="007520AD"/>
    <w:rsid w:val="0075312C"/>
    <w:rsid w:val="007533E9"/>
    <w:rsid w:val="007535B9"/>
    <w:rsid w:val="00754C2C"/>
    <w:rsid w:val="007555B8"/>
    <w:rsid w:val="00755754"/>
    <w:rsid w:val="0075606E"/>
    <w:rsid w:val="007565D6"/>
    <w:rsid w:val="00756AEB"/>
    <w:rsid w:val="00756B4E"/>
    <w:rsid w:val="00757FCD"/>
    <w:rsid w:val="00760AE3"/>
    <w:rsid w:val="00761291"/>
    <w:rsid w:val="007616A7"/>
    <w:rsid w:val="00761894"/>
    <w:rsid w:val="00762AE0"/>
    <w:rsid w:val="00762DC4"/>
    <w:rsid w:val="007631E8"/>
    <w:rsid w:val="0076320C"/>
    <w:rsid w:val="00763485"/>
    <w:rsid w:val="00763AF8"/>
    <w:rsid w:val="007644A0"/>
    <w:rsid w:val="0076484E"/>
    <w:rsid w:val="00764B70"/>
    <w:rsid w:val="007654F8"/>
    <w:rsid w:val="00765C2F"/>
    <w:rsid w:val="00765C44"/>
    <w:rsid w:val="00765DFD"/>
    <w:rsid w:val="00765E15"/>
    <w:rsid w:val="007661B9"/>
    <w:rsid w:val="007672E1"/>
    <w:rsid w:val="00770C78"/>
    <w:rsid w:val="0077100B"/>
    <w:rsid w:val="00771111"/>
    <w:rsid w:val="007713DC"/>
    <w:rsid w:val="00771482"/>
    <w:rsid w:val="00771762"/>
    <w:rsid w:val="00772A20"/>
    <w:rsid w:val="00772B5D"/>
    <w:rsid w:val="00773658"/>
    <w:rsid w:val="007739CF"/>
    <w:rsid w:val="0077420D"/>
    <w:rsid w:val="00774867"/>
    <w:rsid w:val="00774C30"/>
    <w:rsid w:val="00775A9B"/>
    <w:rsid w:val="00775B01"/>
    <w:rsid w:val="00776531"/>
    <w:rsid w:val="00776564"/>
    <w:rsid w:val="007801E6"/>
    <w:rsid w:val="0078052B"/>
    <w:rsid w:val="00781427"/>
    <w:rsid w:val="007815E9"/>
    <w:rsid w:val="00783314"/>
    <w:rsid w:val="007836EE"/>
    <w:rsid w:val="00783B3B"/>
    <w:rsid w:val="00783FE2"/>
    <w:rsid w:val="0078448F"/>
    <w:rsid w:val="00784C68"/>
    <w:rsid w:val="00784DB8"/>
    <w:rsid w:val="00785E3F"/>
    <w:rsid w:val="0078614F"/>
    <w:rsid w:val="007861F9"/>
    <w:rsid w:val="007863E7"/>
    <w:rsid w:val="007866F0"/>
    <w:rsid w:val="00786B1C"/>
    <w:rsid w:val="007872FA"/>
    <w:rsid w:val="00787D01"/>
    <w:rsid w:val="00791F7C"/>
    <w:rsid w:val="0079272D"/>
    <w:rsid w:val="00793276"/>
    <w:rsid w:val="00793443"/>
    <w:rsid w:val="00793ABA"/>
    <w:rsid w:val="00794B7E"/>
    <w:rsid w:val="00794CFB"/>
    <w:rsid w:val="00794DEF"/>
    <w:rsid w:val="00794F1A"/>
    <w:rsid w:val="0079612E"/>
    <w:rsid w:val="00796220"/>
    <w:rsid w:val="007966E1"/>
    <w:rsid w:val="00796EEF"/>
    <w:rsid w:val="007A0594"/>
    <w:rsid w:val="007A0A43"/>
    <w:rsid w:val="007A10C5"/>
    <w:rsid w:val="007A2623"/>
    <w:rsid w:val="007A37BD"/>
    <w:rsid w:val="007A3E49"/>
    <w:rsid w:val="007A3E6C"/>
    <w:rsid w:val="007A42A2"/>
    <w:rsid w:val="007A43E8"/>
    <w:rsid w:val="007A4C8A"/>
    <w:rsid w:val="007A5634"/>
    <w:rsid w:val="007A572B"/>
    <w:rsid w:val="007A5C32"/>
    <w:rsid w:val="007A6474"/>
    <w:rsid w:val="007A6821"/>
    <w:rsid w:val="007A6ECD"/>
    <w:rsid w:val="007A7A4C"/>
    <w:rsid w:val="007B02C2"/>
    <w:rsid w:val="007B08C0"/>
    <w:rsid w:val="007B13DB"/>
    <w:rsid w:val="007B151F"/>
    <w:rsid w:val="007B2AAC"/>
    <w:rsid w:val="007B3866"/>
    <w:rsid w:val="007B4164"/>
    <w:rsid w:val="007B460C"/>
    <w:rsid w:val="007B4F1E"/>
    <w:rsid w:val="007B514F"/>
    <w:rsid w:val="007B56E7"/>
    <w:rsid w:val="007B57F2"/>
    <w:rsid w:val="007B588C"/>
    <w:rsid w:val="007B6195"/>
    <w:rsid w:val="007B726E"/>
    <w:rsid w:val="007B782D"/>
    <w:rsid w:val="007B7E6E"/>
    <w:rsid w:val="007C0A62"/>
    <w:rsid w:val="007C0D40"/>
    <w:rsid w:val="007C15B3"/>
    <w:rsid w:val="007C1DBA"/>
    <w:rsid w:val="007C2345"/>
    <w:rsid w:val="007C244D"/>
    <w:rsid w:val="007C25D3"/>
    <w:rsid w:val="007C2A96"/>
    <w:rsid w:val="007C2CFF"/>
    <w:rsid w:val="007C3B3A"/>
    <w:rsid w:val="007C401C"/>
    <w:rsid w:val="007C435C"/>
    <w:rsid w:val="007C52C1"/>
    <w:rsid w:val="007C5A42"/>
    <w:rsid w:val="007C5AEA"/>
    <w:rsid w:val="007C6195"/>
    <w:rsid w:val="007C662A"/>
    <w:rsid w:val="007C696B"/>
    <w:rsid w:val="007C7168"/>
    <w:rsid w:val="007C77D8"/>
    <w:rsid w:val="007C7958"/>
    <w:rsid w:val="007D049B"/>
    <w:rsid w:val="007D160D"/>
    <w:rsid w:val="007D16C2"/>
    <w:rsid w:val="007D29A7"/>
    <w:rsid w:val="007D32CD"/>
    <w:rsid w:val="007D397F"/>
    <w:rsid w:val="007D3B3A"/>
    <w:rsid w:val="007D3F4A"/>
    <w:rsid w:val="007D4523"/>
    <w:rsid w:val="007D47DB"/>
    <w:rsid w:val="007D4A38"/>
    <w:rsid w:val="007D4E9A"/>
    <w:rsid w:val="007D6F5C"/>
    <w:rsid w:val="007D7164"/>
    <w:rsid w:val="007D792F"/>
    <w:rsid w:val="007D7A36"/>
    <w:rsid w:val="007E01BA"/>
    <w:rsid w:val="007E041A"/>
    <w:rsid w:val="007E0BEF"/>
    <w:rsid w:val="007E1398"/>
    <w:rsid w:val="007E20B3"/>
    <w:rsid w:val="007E27DA"/>
    <w:rsid w:val="007E280F"/>
    <w:rsid w:val="007E2821"/>
    <w:rsid w:val="007E54FF"/>
    <w:rsid w:val="007E5D5C"/>
    <w:rsid w:val="007E6262"/>
    <w:rsid w:val="007E6F26"/>
    <w:rsid w:val="007E773C"/>
    <w:rsid w:val="007F084C"/>
    <w:rsid w:val="007F1433"/>
    <w:rsid w:val="007F147B"/>
    <w:rsid w:val="007F1BF7"/>
    <w:rsid w:val="007F1D6F"/>
    <w:rsid w:val="007F2535"/>
    <w:rsid w:val="007F26EE"/>
    <w:rsid w:val="007F3144"/>
    <w:rsid w:val="007F33B6"/>
    <w:rsid w:val="007F41E9"/>
    <w:rsid w:val="007F4278"/>
    <w:rsid w:val="007F47B6"/>
    <w:rsid w:val="007F4CD4"/>
    <w:rsid w:val="007F4F88"/>
    <w:rsid w:val="007F51B0"/>
    <w:rsid w:val="007F5D08"/>
    <w:rsid w:val="008007D8"/>
    <w:rsid w:val="00800A42"/>
    <w:rsid w:val="00801342"/>
    <w:rsid w:val="008018ED"/>
    <w:rsid w:val="00801B6A"/>
    <w:rsid w:val="00801C55"/>
    <w:rsid w:val="00802037"/>
    <w:rsid w:val="008025EC"/>
    <w:rsid w:val="0080262F"/>
    <w:rsid w:val="008027B5"/>
    <w:rsid w:val="0080304C"/>
    <w:rsid w:val="00803947"/>
    <w:rsid w:val="00803DBB"/>
    <w:rsid w:val="008043F3"/>
    <w:rsid w:val="008046EF"/>
    <w:rsid w:val="00804729"/>
    <w:rsid w:val="00804852"/>
    <w:rsid w:val="008053CF"/>
    <w:rsid w:val="00805BB8"/>
    <w:rsid w:val="00806947"/>
    <w:rsid w:val="008070D4"/>
    <w:rsid w:val="00810327"/>
    <w:rsid w:val="00810421"/>
    <w:rsid w:val="008104AB"/>
    <w:rsid w:val="00810687"/>
    <w:rsid w:val="00810CAE"/>
    <w:rsid w:val="00811F28"/>
    <w:rsid w:val="00811F8D"/>
    <w:rsid w:val="00813B34"/>
    <w:rsid w:val="00813B82"/>
    <w:rsid w:val="00813F2B"/>
    <w:rsid w:val="0081421F"/>
    <w:rsid w:val="00814906"/>
    <w:rsid w:val="00814D4E"/>
    <w:rsid w:val="008151D8"/>
    <w:rsid w:val="00815DBD"/>
    <w:rsid w:val="00816876"/>
    <w:rsid w:val="00816AC4"/>
    <w:rsid w:val="00816D91"/>
    <w:rsid w:val="00817370"/>
    <w:rsid w:val="00817E8E"/>
    <w:rsid w:val="0082036D"/>
    <w:rsid w:val="00820532"/>
    <w:rsid w:val="00821190"/>
    <w:rsid w:val="00821C86"/>
    <w:rsid w:val="00822546"/>
    <w:rsid w:val="008225A1"/>
    <w:rsid w:val="0082278C"/>
    <w:rsid w:val="00823209"/>
    <w:rsid w:val="0082373C"/>
    <w:rsid w:val="00823C36"/>
    <w:rsid w:val="008253A4"/>
    <w:rsid w:val="008254B1"/>
    <w:rsid w:val="00826789"/>
    <w:rsid w:val="00826B5A"/>
    <w:rsid w:val="008272B8"/>
    <w:rsid w:val="0082730D"/>
    <w:rsid w:val="00827698"/>
    <w:rsid w:val="0083102B"/>
    <w:rsid w:val="00831638"/>
    <w:rsid w:val="008318A8"/>
    <w:rsid w:val="00831906"/>
    <w:rsid w:val="00831D11"/>
    <w:rsid w:val="00832E57"/>
    <w:rsid w:val="00833074"/>
    <w:rsid w:val="00833572"/>
    <w:rsid w:val="008365E9"/>
    <w:rsid w:val="00837C59"/>
    <w:rsid w:val="008401FA"/>
    <w:rsid w:val="00840442"/>
    <w:rsid w:val="00840756"/>
    <w:rsid w:val="00841429"/>
    <w:rsid w:val="00842240"/>
    <w:rsid w:val="00842F2F"/>
    <w:rsid w:val="00844253"/>
    <w:rsid w:val="00846753"/>
    <w:rsid w:val="00847442"/>
    <w:rsid w:val="00850112"/>
    <w:rsid w:val="008514E1"/>
    <w:rsid w:val="0085189F"/>
    <w:rsid w:val="00851ADC"/>
    <w:rsid w:val="00851AF3"/>
    <w:rsid w:val="008530DB"/>
    <w:rsid w:val="008539F5"/>
    <w:rsid w:val="00853D2A"/>
    <w:rsid w:val="00854EF5"/>
    <w:rsid w:val="008558A4"/>
    <w:rsid w:val="008559BA"/>
    <w:rsid w:val="00855D1D"/>
    <w:rsid w:val="00856AEC"/>
    <w:rsid w:val="00857563"/>
    <w:rsid w:val="0086006E"/>
    <w:rsid w:val="00860292"/>
    <w:rsid w:val="0086053E"/>
    <w:rsid w:val="00861503"/>
    <w:rsid w:val="00861A5E"/>
    <w:rsid w:val="00862142"/>
    <w:rsid w:val="00863ACE"/>
    <w:rsid w:val="00863B1F"/>
    <w:rsid w:val="00864FA7"/>
    <w:rsid w:val="00865C23"/>
    <w:rsid w:val="00865D35"/>
    <w:rsid w:val="00870D20"/>
    <w:rsid w:val="00871460"/>
    <w:rsid w:val="00871503"/>
    <w:rsid w:val="00871B36"/>
    <w:rsid w:val="0087223E"/>
    <w:rsid w:val="0087350E"/>
    <w:rsid w:val="00873516"/>
    <w:rsid w:val="00873C3C"/>
    <w:rsid w:val="008740C5"/>
    <w:rsid w:val="00874455"/>
    <w:rsid w:val="008757C5"/>
    <w:rsid w:val="0087670A"/>
    <w:rsid w:val="008815D1"/>
    <w:rsid w:val="00882CC7"/>
    <w:rsid w:val="008838DE"/>
    <w:rsid w:val="00883AEE"/>
    <w:rsid w:val="00884931"/>
    <w:rsid w:val="00884EE0"/>
    <w:rsid w:val="00884FF8"/>
    <w:rsid w:val="00885793"/>
    <w:rsid w:val="00885EF8"/>
    <w:rsid w:val="00886151"/>
    <w:rsid w:val="00886730"/>
    <w:rsid w:val="008903B0"/>
    <w:rsid w:val="0089170E"/>
    <w:rsid w:val="00891BD2"/>
    <w:rsid w:val="00892143"/>
    <w:rsid w:val="008929B6"/>
    <w:rsid w:val="00892DD3"/>
    <w:rsid w:val="008939ED"/>
    <w:rsid w:val="0089531B"/>
    <w:rsid w:val="00895D39"/>
    <w:rsid w:val="00897040"/>
    <w:rsid w:val="008971ED"/>
    <w:rsid w:val="008974D4"/>
    <w:rsid w:val="00897541"/>
    <w:rsid w:val="00897566"/>
    <w:rsid w:val="00897DDE"/>
    <w:rsid w:val="00897EB8"/>
    <w:rsid w:val="008A17CC"/>
    <w:rsid w:val="008A2074"/>
    <w:rsid w:val="008A2188"/>
    <w:rsid w:val="008A2C9E"/>
    <w:rsid w:val="008A38C2"/>
    <w:rsid w:val="008A46DD"/>
    <w:rsid w:val="008A4F64"/>
    <w:rsid w:val="008A5C02"/>
    <w:rsid w:val="008A6CFD"/>
    <w:rsid w:val="008A6E34"/>
    <w:rsid w:val="008A7752"/>
    <w:rsid w:val="008A7B09"/>
    <w:rsid w:val="008B0A23"/>
    <w:rsid w:val="008B1A7B"/>
    <w:rsid w:val="008B23AE"/>
    <w:rsid w:val="008B28DD"/>
    <w:rsid w:val="008B2C5C"/>
    <w:rsid w:val="008B332E"/>
    <w:rsid w:val="008B525E"/>
    <w:rsid w:val="008B57EC"/>
    <w:rsid w:val="008B678A"/>
    <w:rsid w:val="008B70E7"/>
    <w:rsid w:val="008B733E"/>
    <w:rsid w:val="008B7C4E"/>
    <w:rsid w:val="008C0172"/>
    <w:rsid w:val="008C0C2B"/>
    <w:rsid w:val="008C12C8"/>
    <w:rsid w:val="008C15BD"/>
    <w:rsid w:val="008C1609"/>
    <w:rsid w:val="008C2446"/>
    <w:rsid w:val="008C26C5"/>
    <w:rsid w:val="008C2CCF"/>
    <w:rsid w:val="008C3726"/>
    <w:rsid w:val="008C38EE"/>
    <w:rsid w:val="008C4264"/>
    <w:rsid w:val="008C4F23"/>
    <w:rsid w:val="008C552C"/>
    <w:rsid w:val="008C599A"/>
    <w:rsid w:val="008C6732"/>
    <w:rsid w:val="008C6FD3"/>
    <w:rsid w:val="008C74B0"/>
    <w:rsid w:val="008C788C"/>
    <w:rsid w:val="008C7EE4"/>
    <w:rsid w:val="008D020E"/>
    <w:rsid w:val="008D0D33"/>
    <w:rsid w:val="008D2F3D"/>
    <w:rsid w:val="008D3DE4"/>
    <w:rsid w:val="008D44CA"/>
    <w:rsid w:val="008D4BCC"/>
    <w:rsid w:val="008D4F30"/>
    <w:rsid w:val="008D6D5C"/>
    <w:rsid w:val="008D7409"/>
    <w:rsid w:val="008D7473"/>
    <w:rsid w:val="008D7517"/>
    <w:rsid w:val="008D7835"/>
    <w:rsid w:val="008E08BE"/>
    <w:rsid w:val="008E08FA"/>
    <w:rsid w:val="008E166E"/>
    <w:rsid w:val="008E2777"/>
    <w:rsid w:val="008E2AD4"/>
    <w:rsid w:val="008E319B"/>
    <w:rsid w:val="008E3353"/>
    <w:rsid w:val="008E3DB6"/>
    <w:rsid w:val="008E43E2"/>
    <w:rsid w:val="008E4D82"/>
    <w:rsid w:val="008E4DDF"/>
    <w:rsid w:val="008E5716"/>
    <w:rsid w:val="008E5B74"/>
    <w:rsid w:val="008E5DBD"/>
    <w:rsid w:val="008E5F26"/>
    <w:rsid w:val="008E6EF3"/>
    <w:rsid w:val="008F070E"/>
    <w:rsid w:val="008F0846"/>
    <w:rsid w:val="008F0C06"/>
    <w:rsid w:val="008F15D4"/>
    <w:rsid w:val="008F1E36"/>
    <w:rsid w:val="008F20E7"/>
    <w:rsid w:val="008F2152"/>
    <w:rsid w:val="008F339A"/>
    <w:rsid w:val="008F383C"/>
    <w:rsid w:val="008F5959"/>
    <w:rsid w:val="008F6397"/>
    <w:rsid w:val="008F6541"/>
    <w:rsid w:val="008F65D0"/>
    <w:rsid w:val="008F68D2"/>
    <w:rsid w:val="008F6DF6"/>
    <w:rsid w:val="008F6EF4"/>
    <w:rsid w:val="009007D3"/>
    <w:rsid w:val="00901B34"/>
    <w:rsid w:val="00901DA0"/>
    <w:rsid w:val="00901FC1"/>
    <w:rsid w:val="009020F4"/>
    <w:rsid w:val="009022C6"/>
    <w:rsid w:val="00903DFD"/>
    <w:rsid w:val="00905101"/>
    <w:rsid w:val="00905666"/>
    <w:rsid w:val="00906945"/>
    <w:rsid w:val="0090739B"/>
    <w:rsid w:val="009075AF"/>
    <w:rsid w:val="0090763D"/>
    <w:rsid w:val="00910EE5"/>
    <w:rsid w:val="009117C6"/>
    <w:rsid w:val="00911E29"/>
    <w:rsid w:val="00912FE1"/>
    <w:rsid w:val="00913033"/>
    <w:rsid w:val="00913956"/>
    <w:rsid w:val="00914148"/>
    <w:rsid w:val="009144ED"/>
    <w:rsid w:val="0091515B"/>
    <w:rsid w:val="00915745"/>
    <w:rsid w:val="00916814"/>
    <w:rsid w:val="00916CEE"/>
    <w:rsid w:val="009172E6"/>
    <w:rsid w:val="0092003C"/>
    <w:rsid w:val="00920F5A"/>
    <w:rsid w:val="00921A56"/>
    <w:rsid w:val="00923AB6"/>
    <w:rsid w:val="00923E7A"/>
    <w:rsid w:val="00924209"/>
    <w:rsid w:val="0092497F"/>
    <w:rsid w:val="00925663"/>
    <w:rsid w:val="00925B84"/>
    <w:rsid w:val="009265F7"/>
    <w:rsid w:val="00926BB7"/>
    <w:rsid w:val="009303A4"/>
    <w:rsid w:val="00930951"/>
    <w:rsid w:val="00931813"/>
    <w:rsid w:val="00931CBF"/>
    <w:rsid w:val="00932014"/>
    <w:rsid w:val="00932803"/>
    <w:rsid w:val="00932A78"/>
    <w:rsid w:val="00932D60"/>
    <w:rsid w:val="009335A2"/>
    <w:rsid w:val="00934B51"/>
    <w:rsid w:val="00934E21"/>
    <w:rsid w:val="00935EBF"/>
    <w:rsid w:val="00936C91"/>
    <w:rsid w:val="00936E33"/>
    <w:rsid w:val="0093754C"/>
    <w:rsid w:val="00937EBA"/>
    <w:rsid w:val="009406BB"/>
    <w:rsid w:val="0094175E"/>
    <w:rsid w:val="0094254F"/>
    <w:rsid w:val="00942AF3"/>
    <w:rsid w:val="00942B72"/>
    <w:rsid w:val="009433AC"/>
    <w:rsid w:val="00943731"/>
    <w:rsid w:val="0094377B"/>
    <w:rsid w:val="00944A3B"/>
    <w:rsid w:val="0094530F"/>
    <w:rsid w:val="00945D34"/>
    <w:rsid w:val="00945EFE"/>
    <w:rsid w:val="00950735"/>
    <w:rsid w:val="00951121"/>
    <w:rsid w:val="0095183D"/>
    <w:rsid w:val="00952E25"/>
    <w:rsid w:val="0095346A"/>
    <w:rsid w:val="00953E80"/>
    <w:rsid w:val="009546B3"/>
    <w:rsid w:val="00954AD1"/>
    <w:rsid w:val="00956BA5"/>
    <w:rsid w:val="00957022"/>
    <w:rsid w:val="009579D0"/>
    <w:rsid w:val="00961DCD"/>
    <w:rsid w:val="00962FFF"/>
    <w:rsid w:val="00963028"/>
    <w:rsid w:val="0096328C"/>
    <w:rsid w:val="00963438"/>
    <w:rsid w:val="0096362C"/>
    <w:rsid w:val="00963704"/>
    <w:rsid w:val="00963FF2"/>
    <w:rsid w:val="00967B6E"/>
    <w:rsid w:val="009700FB"/>
    <w:rsid w:val="00970504"/>
    <w:rsid w:val="00970CE6"/>
    <w:rsid w:val="00970D04"/>
    <w:rsid w:val="00972B88"/>
    <w:rsid w:val="009730EE"/>
    <w:rsid w:val="009733F5"/>
    <w:rsid w:val="00973449"/>
    <w:rsid w:val="0097360E"/>
    <w:rsid w:val="00973755"/>
    <w:rsid w:val="009745E6"/>
    <w:rsid w:val="009747A8"/>
    <w:rsid w:val="009747D5"/>
    <w:rsid w:val="009750C6"/>
    <w:rsid w:val="009753F7"/>
    <w:rsid w:val="00975724"/>
    <w:rsid w:val="00975ACA"/>
    <w:rsid w:val="00975F36"/>
    <w:rsid w:val="00976954"/>
    <w:rsid w:val="00976957"/>
    <w:rsid w:val="00977146"/>
    <w:rsid w:val="00977A9E"/>
    <w:rsid w:val="00977FF3"/>
    <w:rsid w:val="009806DB"/>
    <w:rsid w:val="0098125E"/>
    <w:rsid w:val="0098185B"/>
    <w:rsid w:val="00981C4E"/>
    <w:rsid w:val="00981F29"/>
    <w:rsid w:val="00982F5C"/>
    <w:rsid w:val="00983059"/>
    <w:rsid w:val="00983198"/>
    <w:rsid w:val="00984B73"/>
    <w:rsid w:val="00984C63"/>
    <w:rsid w:val="00985CC3"/>
    <w:rsid w:val="00986387"/>
    <w:rsid w:val="009866DE"/>
    <w:rsid w:val="00987C96"/>
    <w:rsid w:val="00990157"/>
    <w:rsid w:val="009908A8"/>
    <w:rsid w:val="00990C10"/>
    <w:rsid w:val="009924FB"/>
    <w:rsid w:val="0099413E"/>
    <w:rsid w:val="00994617"/>
    <w:rsid w:val="00994DE6"/>
    <w:rsid w:val="00995F06"/>
    <w:rsid w:val="009961F4"/>
    <w:rsid w:val="00996B3F"/>
    <w:rsid w:val="009971FA"/>
    <w:rsid w:val="009A091B"/>
    <w:rsid w:val="009A0A6D"/>
    <w:rsid w:val="009A0E1C"/>
    <w:rsid w:val="009A199E"/>
    <w:rsid w:val="009A1CEB"/>
    <w:rsid w:val="009A28DE"/>
    <w:rsid w:val="009A2D9F"/>
    <w:rsid w:val="009A38A2"/>
    <w:rsid w:val="009A3B91"/>
    <w:rsid w:val="009A5186"/>
    <w:rsid w:val="009A5329"/>
    <w:rsid w:val="009A5760"/>
    <w:rsid w:val="009A579E"/>
    <w:rsid w:val="009A5DE9"/>
    <w:rsid w:val="009A5EDB"/>
    <w:rsid w:val="009A63C0"/>
    <w:rsid w:val="009A64D9"/>
    <w:rsid w:val="009A6A86"/>
    <w:rsid w:val="009A745B"/>
    <w:rsid w:val="009B01FC"/>
    <w:rsid w:val="009B0423"/>
    <w:rsid w:val="009B0C89"/>
    <w:rsid w:val="009B0E47"/>
    <w:rsid w:val="009B0ED9"/>
    <w:rsid w:val="009B202D"/>
    <w:rsid w:val="009B2684"/>
    <w:rsid w:val="009B3032"/>
    <w:rsid w:val="009B39CC"/>
    <w:rsid w:val="009B3CBC"/>
    <w:rsid w:val="009B43FC"/>
    <w:rsid w:val="009B4891"/>
    <w:rsid w:val="009B48BB"/>
    <w:rsid w:val="009B4D82"/>
    <w:rsid w:val="009B642B"/>
    <w:rsid w:val="009B72FA"/>
    <w:rsid w:val="009B798F"/>
    <w:rsid w:val="009B7A06"/>
    <w:rsid w:val="009C063B"/>
    <w:rsid w:val="009C07B6"/>
    <w:rsid w:val="009C0CEB"/>
    <w:rsid w:val="009C120B"/>
    <w:rsid w:val="009C14BB"/>
    <w:rsid w:val="009C1588"/>
    <w:rsid w:val="009C3183"/>
    <w:rsid w:val="009C319C"/>
    <w:rsid w:val="009C5EF8"/>
    <w:rsid w:val="009C616F"/>
    <w:rsid w:val="009C7224"/>
    <w:rsid w:val="009C74EF"/>
    <w:rsid w:val="009C7641"/>
    <w:rsid w:val="009D00F8"/>
    <w:rsid w:val="009D010A"/>
    <w:rsid w:val="009D01D4"/>
    <w:rsid w:val="009D024A"/>
    <w:rsid w:val="009D2022"/>
    <w:rsid w:val="009D227B"/>
    <w:rsid w:val="009D2FE0"/>
    <w:rsid w:val="009D368C"/>
    <w:rsid w:val="009D40FC"/>
    <w:rsid w:val="009D478D"/>
    <w:rsid w:val="009D5246"/>
    <w:rsid w:val="009D5AC8"/>
    <w:rsid w:val="009D5BB5"/>
    <w:rsid w:val="009D7018"/>
    <w:rsid w:val="009E031E"/>
    <w:rsid w:val="009E0AAA"/>
    <w:rsid w:val="009E2B0D"/>
    <w:rsid w:val="009E40A6"/>
    <w:rsid w:val="009E4C08"/>
    <w:rsid w:val="009E4C4D"/>
    <w:rsid w:val="009E4CE0"/>
    <w:rsid w:val="009E5203"/>
    <w:rsid w:val="009E5D32"/>
    <w:rsid w:val="009E5D83"/>
    <w:rsid w:val="009E7344"/>
    <w:rsid w:val="009E75F2"/>
    <w:rsid w:val="009F0231"/>
    <w:rsid w:val="009F070C"/>
    <w:rsid w:val="009F0D25"/>
    <w:rsid w:val="009F0E6F"/>
    <w:rsid w:val="009F2B6D"/>
    <w:rsid w:val="009F5565"/>
    <w:rsid w:val="009F5581"/>
    <w:rsid w:val="009F6798"/>
    <w:rsid w:val="009F6858"/>
    <w:rsid w:val="009F7EB9"/>
    <w:rsid w:val="00A000CA"/>
    <w:rsid w:val="00A0072E"/>
    <w:rsid w:val="00A007A4"/>
    <w:rsid w:val="00A0121C"/>
    <w:rsid w:val="00A01351"/>
    <w:rsid w:val="00A014DB"/>
    <w:rsid w:val="00A017C9"/>
    <w:rsid w:val="00A01BEA"/>
    <w:rsid w:val="00A024A0"/>
    <w:rsid w:val="00A02BE9"/>
    <w:rsid w:val="00A034AE"/>
    <w:rsid w:val="00A03586"/>
    <w:rsid w:val="00A05596"/>
    <w:rsid w:val="00A0606B"/>
    <w:rsid w:val="00A06745"/>
    <w:rsid w:val="00A06DF5"/>
    <w:rsid w:val="00A0759D"/>
    <w:rsid w:val="00A07678"/>
    <w:rsid w:val="00A11049"/>
    <w:rsid w:val="00A1112A"/>
    <w:rsid w:val="00A1162B"/>
    <w:rsid w:val="00A1182A"/>
    <w:rsid w:val="00A11BCF"/>
    <w:rsid w:val="00A122D0"/>
    <w:rsid w:val="00A12590"/>
    <w:rsid w:val="00A13326"/>
    <w:rsid w:val="00A13707"/>
    <w:rsid w:val="00A13EB9"/>
    <w:rsid w:val="00A14C4D"/>
    <w:rsid w:val="00A15169"/>
    <w:rsid w:val="00A15554"/>
    <w:rsid w:val="00A1586B"/>
    <w:rsid w:val="00A1586E"/>
    <w:rsid w:val="00A1602D"/>
    <w:rsid w:val="00A1674C"/>
    <w:rsid w:val="00A1743E"/>
    <w:rsid w:val="00A17ACE"/>
    <w:rsid w:val="00A201B9"/>
    <w:rsid w:val="00A205AA"/>
    <w:rsid w:val="00A21805"/>
    <w:rsid w:val="00A21FE3"/>
    <w:rsid w:val="00A23008"/>
    <w:rsid w:val="00A24DAE"/>
    <w:rsid w:val="00A25D12"/>
    <w:rsid w:val="00A26090"/>
    <w:rsid w:val="00A261DF"/>
    <w:rsid w:val="00A273B2"/>
    <w:rsid w:val="00A273B6"/>
    <w:rsid w:val="00A2741E"/>
    <w:rsid w:val="00A30144"/>
    <w:rsid w:val="00A305C2"/>
    <w:rsid w:val="00A30A5A"/>
    <w:rsid w:val="00A31EC0"/>
    <w:rsid w:val="00A320F4"/>
    <w:rsid w:val="00A32D45"/>
    <w:rsid w:val="00A32FA0"/>
    <w:rsid w:val="00A331B0"/>
    <w:rsid w:val="00A331C2"/>
    <w:rsid w:val="00A335DD"/>
    <w:rsid w:val="00A33702"/>
    <w:rsid w:val="00A33C4C"/>
    <w:rsid w:val="00A33D7D"/>
    <w:rsid w:val="00A3406F"/>
    <w:rsid w:val="00A340D3"/>
    <w:rsid w:val="00A3417A"/>
    <w:rsid w:val="00A34582"/>
    <w:rsid w:val="00A34E96"/>
    <w:rsid w:val="00A35268"/>
    <w:rsid w:val="00A36F7F"/>
    <w:rsid w:val="00A37344"/>
    <w:rsid w:val="00A3746B"/>
    <w:rsid w:val="00A37A2C"/>
    <w:rsid w:val="00A4068E"/>
    <w:rsid w:val="00A4200E"/>
    <w:rsid w:val="00A42761"/>
    <w:rsid w:val="00A42D4C"/>
    <w:rsid w:val="00A44BAC"/>
    <w:rsid w:val="00A44C0F"/>
    <w:rsid w:val="00A458EE"/>
    <w:rsid w:val="00A45B37"/>
    <w:rsid w:val="00A460DC"/>
    <w:rsid w:val="00A473E1"/>
    <w:rsid w:val="00A475BC"/>
    <w:rsid w:val="00A50DEE"/>
    <w:rsid w:val="00A5107A"/>
    <w:rsid w:val="00A52159"/>
    <w:rsid w:val="00A522AF"/>
    <w:rsid w:val="00A528C7"/>
    <w:rsid w:val="00A52CAA"/>
    <w:rsid w:val="00A54427"/>
    <w:rsid w:val="00A54B40"/>
    <w:rsid w:val="00A54FF3"/>
    <w:rsid w:val="00A551B6"/>
    <w:rsid w:val="00A553ED"/>
    <w:rsid w:val="00A55F79"/>
    <w:rsid w:val="00A5610B"/>
    <w:rsid w:val="00A57BBF"/>
    <w:rsid w:val="00A57C49"/>
    <w:rsid w:val="00A60749"/>
    <w:rsid w:val="00A6399B"/>
    <w:rsid w:val="00A64518"/>
    <w:rsid w:val="00A64576"/>
    <w:rsid w:val="00A64CE4"/>
    <w:rsid w:val="00A650F6"/>
    <w:rsid w:val="00A66766"/>
    <w:rsid w:val="00A67141"/>
    <w:rsid w:val="00A676C2"/>
    <w:rsid w:val="00A70130"/>
    <w:rsid w:val="00A708E9"/>
    <w:rsid w:val="00A70A3B"/>
    <w:rsid w:val="00A70D99"/>
    <w:rsid w:val="00A71F4D"/>
    <w:rsid w:val="00A72CF0"/>
    <w:rsid w:val="00A733C6"/>
    <w:rsid w:val="00A734BA"/>
    <w:rsid w:val="00A73DB5"/>
    <w:rsid w:val="00A749D1"/>
    <w:rsid w:val="00A74D78"/>
    <w:rsid w:val="00A751DB"/>
    <w:rsid w:val="00A75635"/>
    <w:rsid w:val="00A7662C"/>
    <w:rsid w:val="00A80C4F"/>
    <w:rsid w:val="00A8134B"/>
    <w:rsid w:val="00A817DF"/>
    <w:rsid w:val="00A81822"/>
    <w:rsid w:val="00A8365E"/>
    <w:rsid w:val="00A8474A"/>
    <w:rsid w:val="00A84B53"/>
    <w:rsid w:val="00A8501C"/>
    <w:rsid w:val="00A85297"/>
    <w:rsid w:val="00A874F8"/>
    <w:rsid w:val="00A877FA"/>
    <w:rsid w:val="00A90171"/>
    <w:rsid w:val="00A9026E"/>
    <w:rsid w:val="00A909E9"/>
    <w:rsid w:val="00A90D02"/>
    <w:rsid w:val="00A915BF"/>
    <w:rsid w:val="00A91BEB"/>
    <w:rsid w:val="00A923AD"/>
    <w:rsid w:val="00A92970"/>
    <w:rsid w:val="00A92F53"/>
    <w:rsid w:val="00A9313B"/>
    <w:rsid w:val="00A94588"/>
    <w:rsid w:val="00A95D10"/>
    <w:rsid w:val="00A9668A"/>
    <w:rsid w:val="00A96DA2"/>
    <w:rsid w:val="00A96DCB"/>
    <w:rsid w:val="00A972F4"/>
    <w:rsid w:val="00A9768F"/>
    <w:rsid w:val="00A97939"/>
    <w:rsid w:val="00A97A1D"/>
    <w:rsid w:val="00A97BEC"/>
    <w:rsid w:val="00A97F0F"/>
    <w:rsid w:val="00AA06F2"/>
    <w:rsid w:val="00AA0734"/>
    <w:rsid w:val="00AA0C86"/>
    <w:rsid w:val="00AA118A"/>
    <w:rsid w:val="00AA1397"/>
    <w:rsid w:val="00AA14AD"/>
    <w:rsid w:val="00AA1D13"/>
    <w:rsid w:val="00AA2FAE"/>
    <w:rsid w:val="00AA38D8"/>
    <w:rsid w:val="00AA3979"/>
    <w:rsid w:val="00AA4714"/>
    <w:rsid w:val="00AA4C60"/>
    <w:rsid w:val="00AA538D"/>
    <w:rsid w:val="00AA5BBD"/>
    <w:rsid w:val="00AA7345"/>
    <w:rsid w:val="00AA7565"/>
    <w:rsid w:val="00AA7952"/>
    <w:rsid w:val="00AA7AB1"/>
    <w:rsid w:val="00AA7D7A"/>
    <w:rsid w:val="00AB058B"/>
    <w:rsid w:val="00AB2081"/>
    <w:rsid w:val="00AB3373"/>
    <w:rsid w:val="00AB3F8D"/>
    <w:rsid w:val="00AB4AB9"/>
    <w:rsid w:val="00AB4D8B"/>
    <w:rsid w:val="00AB5956"/>
    <w:rsid w:val="00AB67C1"/>
    <w:rsid w:val="00AB69FD"/>
    <w:rsid w:val="00AB6BCD"/>
    <w:rsid w:val="00AB7237"/>
    <w:rsid w:val="00AB73DE"/>
    <w:rsid w:val="00AB7423"/>
    <w:rsid w:val="00AC29F5"/>
    <w:rsid w:val="00AC33E2"/>
    <w:rsid w:val="00AC40AD"/>
    <w:rsid w:val="00AC426C"/>
    <w:rsid w:val="00AC478A"/>
    <w:rsid w:val="00AC47FC"/>
    <w:rsid w:val="00AC5004"/>
    <w:rsid w:val="00AC59B4"/>
    <w:rsid w:val="00AC6127"/>
    <w:rsid w:val="00AC6396"/>
    <w:rsid w:val="00AC6DBA"/>
    <w:rsid w:val="00AD0C91"/>
    <w:rsid w:val="00AD14C0"/>
    <w:rsid w:val="00AD1C8A"/>
    <w:rsid w:val="00AD2B59"/>
    <w:rsid w:val="00AD34AB"/>
    <w:rsid w:val="00AD3DEC"/>
    <w:rsid w:val="00AD406D"/>
    <w:rsid w:val="00AD4FCF"/>
    <w:rsid w:val="00AD507B"/>
    <w:rsid w:val="00AD67DF"/>
    <w:rsid w:val="00AD6E9D"/>
    <w:rsid w:val="00AD6EF4"/>
    <w:rsid w:val="00AD7561"/>
    <w:rsid w:val="00AD7626"/>
    <w:rsid w:val="00AE02BB"/>
    <w:rsid w:val="00AE0595"/>
    <w:rsid w:val="00AE11AC"/>
    <w:rsid w:val="00AE1CDE"/>
    <w:rsid w:val="00AE2807"/>
    <w:rsid w:val="00AE2CF2"/>
    <w:rsid w:val="00AE2F82"/>
    <w:rsid w:val="00AE3981"/>
    <w:rsid w:val="00AE3B5C"/>
    <w:rsid w:val="00AE3BDF"/>
    <w:rsid w:val="00AE50F3"/>
    <w:rsid w:val="00AE5932"/>
    <w:rsid w:val="00AE5C6B"/>
    <w:rsid w:val="00AE689D"/>
    <w:rsid w:val="00AE6F42"/>
    <w:rsid w:val="00AE7743"/>
    <w:rsid w:val="00AE778A"/>
    <w:rsid w:val="00AF01AA"/>
    <w:rsid w:val="00AF0DAF"/>
    <w:rsid w:val="00AF1D6F"/>
    <w:rsid w:val="00AF2198"/>
    <w:rsid w:val="00AF26CE"/>
    <w:rsid w:val="00AF303E"/>
    <w:rsid w:val="00AF32FC"/>
    <w:rsid w:val="00AF4E48"/>
    <w:rsid w:val="00AF4EE4"/>
    <w:rsid w:val="00AF614F"/>
    <w:rsid w:val="00AF6E5A"/>
    <w:rsid w:val="00AF7C72"/>
    <w:rsid w:val="00B00382"/>
    <w:rsid w:val="00B003A8"/>
    <w:rsid w:val="00B00FD2"/>
    <w:rsid w:val="00B014F4"/>
    <w:rsid w:val="00B023F3"/>
    <w:rsid w:val="00B049C9"/>
    <w:rsid w:val="00B05A94"/>
    <w:rsid w:val="00B06282"/>
    <w:rsid w:val="00B06829"/>
    <w:rsid w:val="00B07E8D"/>
    <w:rsid w:val="00B10859"/>
    <w:rsid w:val="00B11066"/>
    <w:rsid w:val="00B111FB"/>
    <w:rsid w:val="00B116D7"/>
    <w:rsid w:val="00B127ED"/>
    <w:rsid w:val="00B13484"/>
    <w:rsid w:val="00B143DE"/>
    <w:rsid w:val="00B14E55"/>
    <w:rsid w:val="00B1502C"/>
    <w:rsid w:val="00B16362"/>
    <w:rsid w:val="00B163AA"/>
    <w:rsid w:val="00B165F3"/>
    <w:rsid w:val="00B17473"/>
    <w:rsid w:val="00B17EE5"/>
    <w:rsid w:val="00B21A71"/>
    <w:rsid w:val="00B2212D"/>
    <w:rsid w:val="00B2286E"/>
    <w:rsid w:val="00B23383"/>
    <w:rsid w:val="00B236F7"/>
    <w:rsid w:val="00B2598D"/>
    <w:rsid w:val="00B25A63"/>
    <w:rsid w:val="00B26DBB"/>
    <w:rsid w:val="00B26F4D"/>
    <w:rsid w:val="00B270F7"/>
    <w:rsid w:val="00B27848"/>
    <w:rsid w:val="00B30286"/>
    <w:rsid w:val="00B30483"/>
    <w:rsid w:val="00B306C3"/>
    <w:rsid w:val="00B30A74"/>
    <w:rsid w:val="00B30AD6"/>
    <w:rsid w:val="00B31058"/>
    <w:rsid w:val="00B3297C"/>
    <w:rsid w:val="00B34F9C"/>
    <w:rsid w:val="00B35915"/>
    <w:rsid w:val="00B35F0D"/>
    <w:rsid w:val="00B3691C"/>
    <w:rsid w:val="00B36AA4"/>
    <w:rsid w:val="00B36EF4"/>
    <w:rsid w:val="00B37828"/>
    <w:rsid w:val="00B37AD7"/>
    <w:rsid w:val="00B37B19"/>
    <w:rsid w:val="00B37C30"/>
    <w:rsid w:val="00B37DBF"/>
    <w:rsid w:val="00B40E2B"/>
    <w:rsid w:val="00B41675"/>
    <w:rsid w:val="00B42246"/>
    <w:rsid w:val="00B423C4"/>
    <w:rsid w:val="00B425D4"/>
    <w:rsid w:val="00B43F18"/>
    <w:rsid w:val="00B44A45"/>
    <w:rsid w:val="00B44F74"/>
    <w:rsid w:val="00B461FF"/>
    <w:rsid w:val="00B469C0"/>
    <w:rsid w:val="00B473D0"/>
    <w:rsid w:val="00B50288"/>
    <w:rsid w:val="00B5049F"/>
    <w:rsid w:val="00B50BD7"/>
    <w:rsid w:val="00B50CBD"/>
    <w:rsid w:val="00B5168C"/>
    <w:rsid w:val="00B5183E"/>
    <w:rsid w:val="00B5195E"/>
    <w:rsid w:val="00B5353B"/>
    <w:rsid w:val="00B5375A"/>
    <w:rsid w:val="00B537A5"/>
    <w:rsid w:val="00B540FF"/>
    <w:rsid w:val="00B54261"/>
    <w:rsid w:val="00B54DDD"/>
    <w:rsid w:val="00B54EFF"/>
    <w:rsid w:val="00B56179"/>
    <w:rsid w:val="00B56254"/>
    <w:rsid w:val="00B56565"/>
    <w:rsid w:val="00B567B9"/>
    <w:rsid w:val="00B56F7A"/>
    <w:rsid w:val="00B6098F"/>
    <w:rsid w:val="00B61352"/>
    <w:rsid w:val="00B61D0F"/>
    <w:rsid w:val="00B624C6"/>
    <w:rsid w:val="00B629AF"/>
    <w:rsid w:val="00B63378"/>
    <w:rsid w:val="00B643FB"/>
    <w:rsid w:val="00B644E9"/>
    <w:rsid w:val="00B64737"/>
    <w:rsid w:val="00B64A8A"/>
    <w:rsid w:val="00B65138"/>
    <w:rsid w:val="00B65143"/>
    <w:rsid w:val="00B66154"/>
    <w:rsid w:val="00B676F1"/>
    <w:rsid w:val="00B6793D"/>
    <w:rsid w:val="00B67A60"/>
    <w:rsid w:val="00B70936"/>
    <w:rsid w:val="00B7113E"/>
    <w:rsid w:val="00B71F20"/>
    <w:rsid w:val="00B7213F"/>
    <w:rsid w:val="00B7294A"/>
    <w:rsid w:val="00B72D9B"/>
    <w:rsid w:val="00B73491"/>
    <w:rsid w:val="00B73811"/>
    <w:rsid w:val="00B73A75"/>
    <w:rsid w:val="00B74114"/>
    <w:rsid w:val="00B7443B"/>
    <w:rsid w:val="00B7457E"/>
    <w:rsid w:val="00B745F2"/>
    <w:rsid w:val="00B74764"/>
    <w:rsid w:val="00B74BBF"/>
    <w:rsid w:val="00B756CE"/>
    <w:rsid w:val="00B80EF1"/>
    <w:rsid w:val="00B81458"/>
    <w:rsid w:val="00B8283F"/>
    <w:rsid w:val="00B82BCF"/>
    <w:rsid w:val="00B82DF4"/>
    <w:rsid w:val="00B82FE9"/>
    <w:rsid w:val="00B83CA6"/>
    <w:rsid w:val="00B84444"/>
    <w:rsid w:val="00B84B03"/>
    <w:rsid w:val="00B85E8E"/>
    <w:rsid w:val="00B86185"/>
    <w:rsid w:val="00B87604"/>
    <w:rsid w:val="00B8774F"/>
    <w:rsid w:val="00B87DB3"/>
    <w:rsid w:val="00B915DC"/>
    <w:rsid w:val="00B92009"/>
    <w:rsid w:val="00B9215D"/>
    <w:rsid w:val="00B924CD"/>
    <w:rsid w:val="00B926F6"/>
    <w:rsid w:val="00B937E1"/>
    <w:rsid w:val="00B93A0B"/>
    <w:rsid w:val="00B942F9"/>
    <w:rsid w:val="00B95A95"/>
    <w:rsid w:val="00B96D50"/>
    <w:rsid w:val="00B97ABC"/>
    <w:rsid w:val="00BA072E"/>
    <w:rsid w:val="00BA087A"/>
    <w:rsid w:val="00BA3402"/>
    <w:rsid w:val="00BA4816"/>
    <w:rsid w:val="00BA4D86"/>
    <w:rsid w:val="00BA534B"/>
    <w:rsid w:val="00BA5C3B"/>
    <w:rsid w:val="00BA6032"/>
    <w:rsid w:val="00BA6157"/>
    <w:rsid w:val="00BA7829"/>
    <w:rsid w:val="00BA7885"/>
    <w:rsid w:val="00BA7AC2"/>
    <w:rsid w:val="00BA7B6D"/>
    <w:rsid w:val="00BB1A24"/>
    <w:rsid w:val="00BB1F87"/>
    <w:rsid w:val="00BB45FC"/>
    <w:rsid w:val="00BB4B04"/>
    <w:rsid w:val="00BB6BE0"/>
    <w:rsid w:val="00BC0D37"/>
    <w:rsid w:val="00BC12BB"/>
    <w:rsid w:val="00BC15C9"/>
    <w:rsid w:val="00BC38E4"/>
    <w:rsid w:val="00BC48EF"/>
    <w:rsid w:val="00BC5842"/>
    <w:rsid w:val="00BD05B6"/>
    <w:rsid w:val="00BD0BF0"/>
    <w:rsid w:val="00BD0E82"/>
    <w:rsid w:val="00BD2AC4"/>
    <w:rsid w:val="00BD2AF5"/>
    <w:rsid w:val="00BD3D36"/>
    <w:rsid w:val="00BD4ACE"/>
    <w:rsid w:val="00BD4C15"/>
    <w:rsid w:val="00BD5846"/>
    <w:rsid w:val="00BD60B1"/>
    <w:rsid w:val="00BD6E41"/>
    <w:rsid w:val="00BD7CAA"/>
    <w:rsid w:val="00BD7EC9"/>
    <w:rsid w:val="00BE0111"/>
    <w:rsid w:val="00BE0B70"/>
    <w:rsid w:val="00BE0D67"/>
    <w:rsid w:val="00BE0EEC"/>
    <w:rsid w:val="00BE1D88"/>
    <w:rsid w:val="00BE2006"/>
    <w:rsid w:val="00BE266C"/>
    <w:rsid w:val="00BE2A5A"/>
    <w:rsid w:val="00BE2E84"/>
    <w:rsid w:val="00BE3C5D"/>
    <w:rsid w:val="00BE4016"/>
    <w:rsid w:val="00BE4214"/>
    <w:rsid w:val="00BE48C9"/>
    <w:rsid w:val="00BE4BFF"/>
    <w:rsid w:val="00BE4D27"/>
    <w:rsid w:val="00BE5EC2"/>
    <w:rsid w:val="00BE6367"/>
    <w:rsid w:val="00BE7803"/>
    <w:rsid w:val="00BF0B12"/>
    <w:rsid w:val="00BF1916"/>
    <w:rsid w:val="00BF2BF1"/>
    <w:rsid w:val="00BF4002"/>
    <w:rsid w:val="00BF56B6"/>
    <w:rsid w:val="00BF5ECC"/>
    <w:rsid w:val="00BF60C8"/>
    <w:rsid w:val="00BF67EE"/>
    <w:rsid w:val="00BF717C"/>
    <w:rsid w:val="00BF7473"/>
    <w:rsid w:val="00C003C6"/>
    <w:rsid w:val="00C0044D"/>
    <w:rsid w:val="00C00FA9"/>
    <w:rsid w:val="00C016BD"/>
    <w:rsid w:val="00C017A9"/>
    <w:rsid w:val="00C01B17"/>
    <w:rsid w:val="00C030C2"/>
    <w:rsid w:val="00C035F9"/>
    <w:rsid w:val="00C039CC"/>
    <w:rsid w:val="00C03F30"/>
    <w:rsid w:val="00C05FF6"/>
    <w:rsid w:val="00C06AAB"/>
    <w:rsid w:val="00C075E4"/>
    <w:rsid w:val="00C07B61"/>
    <w:rsid w:val="00C1000C"/>
    <w:rsid w:val="00C10252"/>
    <w:rsid w:val="00C102D0"/>
    <w:rsid w:val="00C1073B"/>
    <w:rsid w:val="00C10AC0"/>
    <w:rsid w:val="00C10ECC"/>
    <w:rsid w:val="00C11117"/>
    <w:rsid w:val="00C11E15"/>
    <w:rsid w:val="00C12687"/>
    <w:rsid w:val="00C127BD"/>
    <w:rsid w:val="00C1344F"/>
    <w:rsid w:val="00C13CC4"/>
    <w:rsid w:val="00C14711"/>
    <w:rsid w:val="00C1484B"/>
    <w:rsid w:val="00C148AC"/>
    <w:rsid w:val="00C1531F"/>
    <w:rsid w:val="00C15467"/>
    <w:rsid w:val="00C15F97"/>
    <w:rsid w:val="00C1658C"/>
    <w:rsid w:val="00C172E2"/>
    <w:rsid w:val="00C17701"/>
    <w:rsid w:val="00C20D21"/>
    <w:rsid w:val="00C217DA"/>
    <w:rsid w:val="00C21F90"/>
    <w:rsid w:val="00C2274D"/>
    <w:rsid w:val="00C231B7"/>
    <w:rsid w:val="00C239A3"/>
    <w:rsid w:val="00C246BC"/>
    <w:rsid w:val="00C24DA0"/>
    <w:rsid w:val="00C24DC8"/>
    <w:rsid w:val="00C24E82"/>
    <w:rsid w:val="00C2696D"/>
    <w:rsid w:val="00C27055"/>
    <w:rsid w:val="00C272BD"/>
    <w:rsid w:val="00C2785D"/>
    <w:rsid w:val="00C27D7D"/>
    <w:rsid w:val="00C30227"/>
    <w:rsid w:val="00C30363"/>
    <w:rsid w:val="00C3350E"/>
    <w:rsid w:val="00C33908"/>
    <w:rsid w:val="00C33F4E"/>
    <w:rsid w:val="00C34C98"/>
    <w:rsid w:val="00C357E5"/>
    <w:rsid w:val="00C358AE"/>
    <w:rsid w:val="00C35965"/>
    <w:rsid w:val="00C36005"/>
    <w:rsid w:val="00C412F7"/>
    <w:rsid w:val="00C4135F"/>
    <w:rsid w:val="00C41569"/>
    <w:rsid w:val="00C415B5"/>
    <w:rsid w:val="00C43AA6"/>
    <w:rsid w:val="00C442B7"/>
    <w:rsid w:val="00C44751"/>
    <w:rsid w:val="00C447C5"/>
    <w:rsid w:val="00C44BB5"/>
    <w:rsid w:val="00C45E44"/>
    <w:rsid w:val="00C468DF"/>
    <w:rsid w:val="00C46BCA"/>
    <w:rsid w:val="00C46E12"/>
    <w:rsid w:val="00C52A0C"/>
    <w:rsid w:val="00C52A6D"/>
    <w:rsid w:val="00C52D89"/>
    <w:rsid w:val="00C53080"/>
    <w:rsid w:val="00C534D4"/>
    <w:rsid w:val="00C537E7"/>
    <w:rsid w:val="00C54127"/>
    <w:rsid w:val="00C545FE"/>
    <w:rsid w:val="00C54E81"/>
    <w:rsid w:val="00C54F25"/>
    <w:rsid w:val="00C56100"/>
    <w:rsid w:val="00C567F9"/>
    <w:rsid w:val="00C5722A"/>
    <w:rsid w:val="00C5733A"/>
    <w:rsid w:val="00C608C3"/>
    <w:rsid w:val="00C60EF6"/>
    <w:rsid w:val="00C6165F"/>
    <w:rsid w:val="00C61A04"/>
    <w:rsid w:val="00C627CA"/>
    <w:rsid w:val="00C627F8"/>
    <w:rsid w:val="00C62A20"/>
    <w:rsid w:val="00C65863"/>
    <w:rsid w:val="00C65EEF"/>
    <w:rsid w:val="00C66579"/>
    <w:rsid w:val="00C66C7C"/>
    <w:rsid w:val="00C70184"/>
    <w:rsid w:val="00C7083B"/>
    <w:rsid w:val="00C70BDC"/>
    <w:rsid w:val="00C71B5C"/>
    <w:rsid w:val="00C71BFD"/>
    <w:rsid w:val="00C720A8"/>
    <w:rsid w:val="00C73167"/>
    <w:rsid w:val="00C73A1D"/>
    <w:rsid w:val="00C74B2B"/>
    <w:rsid w:val="00C74B8B"/>
    <w:rsid w:val="00C75AB2"/>
    <w:rsid w:val="00C76EBE"/>
    <w:rsid w:val="00C7749C"/>
    <w:rsid w:val="00C7795B"/>
    <w:rsid w:val="00C77BCF"/>
    <w:rsid w:val="00C77F33"/>
    <w:rsid w:val="00C8007F"/>
    <w:rsid w:val="00C802FE"/>
    <w:rsid w:val="00C80A7F"/>
    <w:rsid w:val="00C80F7B"/>
    <w:rsid w:val="00C816AB"/>
    <w:rsid w:val="00C82BF6"/>
    <w:rsid w:val="00C82C2F"/>
    <w:rsid w:val="00C82ED4"/>
    <w:rsid w:val="00C8347A"/>
    <w:rsid w:val="00C837FC"/>
    <w:rsid w:val="00C84BAA"/>
    <w:rsid w:val="00C857F7"/>
    <w:rsid w:val="00C8580A"/>
    <w:rsid w:val="00C85CBE"/>
    <w:rsid w:val="00C8645C"/>
    <w:rsid w:val="00C86CB9"/>
    <w:rsid w:val="00C87B1F"/>
    <w:rsid w:val="00C90213"/>
    <w:rsid w:val="00C90E13"/>
    <w:rsid w:val="00C92FA9"/>
    <w:rsid w:val="00C94155"/>
    <w:rsid w:val="00C9509D"/>
    <w:rsid w:val="00C959B7"/>
    <w:rsid w:val="00C9604B"/>
    <w:rsid w:val="00C961BF"/>
    <w:rsid w:val="00C96D5A"/>
    <w:rsid w:val="00CA0494"/>
    <w:rsid w:val="00CA0741"/>
    <w:rsid w:val="00CA075C"/>
    <w:rsid w:val="00CA16E0"/>
    <w:rsid w:val="00CA2E67"/>
    <w:rsid w:val="00CA3BA5"/>
    <w:rsid w:val="00CA3C96"/>
    <w:rsid w:val="00CA3ED7"/>
    <w:rsid w:val="00CA3F00"/>
    <w:rsid w:val="00CA42D1"/>
    <w:rsid w:val="00CA45B4"/>
    <w:rsid w:val="00CA46A4"/>
    <w:rsid w:val="00CA49F5"/>
    <w:rsid w:val="00CA4C6A"/>
    <w:rsid w:val="00CA4E0C"/>
    <w:rsid w:val="00CA5097"/>
    <w:rsid w:val="00CA5BB9"/>
    <w:rsid w:val="00CA6D17"/>
    <w:rsid w:val="00CA7265"/>
    <w:rsid w:val="00CA7558"/>
    <w:rsid w:val="00CB0078"/>
    <w:rsid w:val="00CB04CA"/>
    <w:rsid w:val="00CB0B61"/>
    <w:rsid w:val="00CB2BF2"/>
    <w:rsid w:val="00CB305E"/>
    <w:rsid w:val="00CB33E9"/>
    <w:rsid w:val="00CB363B"/>
    <w:rsid w:val="00CB3782"/>
    <w:rsid w:val="00CB4414"/>
    <w:rsid w:val="00CB4D45"/>
    <w:rsid w:val="00CB4E7D"/>
    <w:rsid w:val="00CB5CB3"/>
    <w:rsid w:val="00CB6D29"/>
    <w:rsid w:val="00CC0328"/>
    <w:rsid w:val="00CC0371"/>
    <w:rsid w:val="00CC1473"/>
    <w:rsid w:val="00CC152D"/>
    <w:rsid w:val="00CC2356"/>
    <w:rsid w:val="00CC29C5"/>
    <w:rsid w:val="00CC498E"/>
    <w:rsid w:val="00CC5854"/>
    <w:rsid w:val="00CC6082"/>
    <w:rsid w:val="00CC646A"/>
    <w:rsid w:val="00CC64AD"/>
    <w:rsid w:val="00CC6A75"/>
    <w:rsid w:val="00CC7A59"/>
    <w:rsid w:val="00CD0DC4"/>
    <w:rsid w:val="00CD274E"/>
    <w:rsid w:val="00CD29BA"/>
    <w:rsid w:val="00CD2AF4"/>
    <w:rsid w:val="00CD366E"/>
    <w:rsid w:val="00CD3D5F"/>
    <w:rsid w:val="00CD4882"/>
    <w:rsid w:val="00CD489C"/>
    <w:rsid w:val="00CD4AF1"/>
    <w:rsid w:val="00CD54A7"/>
    <w:rsid w:val="00CD5938"/>
    <w:rsid w:val="00CD59A5"/>
    <w:rsid w:val="00CD6209"/>
    <w:rsid w:val="00CD64EE"/>
    <w:rsid w:val="00CD6805"/>
    <w:rsid w:val="00CD69B5"/>
    <w:rsid w:val="00CD7110"/>
    <w:rsid w:val="00CD7114"/>
    <w:rsid w:val="00CD74EC"/>
    <w:rsid w:val="00CD77EA"/>
    <w:rsid w:val="00CE00C3"/>
    <w:rsid w:val="00CE0171"/>
    <w:rsid w:val="00CE04B0"/>
    <w:rsid w:val="00CE0A84"/>
    <w:rsid w:val="00CE1446"/>
    <w:rsid w:val="00CE2B06"/>
    <w:rsid w:val="00CE31B0"/>
    <w:rsid w:val="00CE3254"/>
    <w:rsid w:val="00CE3BF0"/>
    <w:rsid w:val="00CE3BFE"/>
    <w:rsid w:val="00CE3DC8"/>
    <w:rsid w:val="00CE3ED1"/>
    <w:rsid w:val="00CE4F23"/>
    <w:rsid w:val="00CE569E"/>
    <w:rsid w:val="00CE5F8A"/>
    <w:rsid w:val="00CE60F1"/>
    <w:rsid w:val="00CE61C3"/>
    <w:rsid w:val="00CE676F"/>
    <w:rsid w:val="00CF03CD"/>
    <w:rsid w:val="00CF0706"/>
    <w:rsid w:val="00CF081D"/>
    <w:rsid w:val="00CF0B3C"/>
    <w:rsid w:val="00CF0C3D"/>
    <w:rsid w:val="00CF212C"/>
    <w:rsid w:val="00CF2290"/>
    <w:rsid w:val="00CF2A13"/>
    <w:rsid w:val="00CF2ACF"/>
    <w:rsid w:val="00CF42D2"/>
    <w:rsid w:val="00CF4BF7"/>
    <w:rsid w:val="00CF4C25"/>
    <w:rsid w:val="00CF4E7B"/>
    <w:rsid w:val="00CF53BA"/>
    <w:rsid w:val="00CF6A9A"/>
    <w:rsid w:val="00CF773F"/>
    <w:rsid w:val="00CF77FF"/>
    <w:rsid w:val="00CF7D9B"/>
    <w:rsid w:val="00D006B9"/>
    <w:rsid w:val="00D00B94"/>
    <w:rsid w:val="00D01721"/>
    <w:rsid w:val="00D02907"/>
    <w:rsid w:val="00D02E7B"/>
    <w:rsid w:val="00D034D1"/>
    <w:rsid w:val="00D03512"/>
    <w:rsid w:val="00D04401"/>
    <w:rsid w:val="00D056BE"/>
    <w:rsid w:val="00D07AF4"/>
    <w:rsid w:val="00D07DEF"/>
    <w:rsid w:val="00D10991"/>
    <w:rsid w:val="00D11DF8"/>
    <w:rsid w:val="00D12320"/>
    <w:rsid w:val="00D12492"/>
    <w:rsid w:val="00D1253B"/>
    <w:rsid w:val="00D13123"/>
    <w:rsid w:val="00D13B43"/>
    <w:rsid w:val="00D1437C"/>
    <w:rsid w:val="00D14E38"/>
    <w:rsid w:val="00D15163"/>
    <w:rsid w:val="00D15335"/>
    <w:rsid w:val="00D15897"/>
    <w:rsid w:val="00D169CA"/>
    <w:rsid w:val="00D16BA1"/>
    <w:rsid w:val="00D16D2B"/>
    <w:rsid w:val="00D16E7E"/>
    <w:rsid w:val="00D1788A"/>
    <w:rsid w:val="00D17B5E"/>
    <w:rsid w:val="00D17C60"/>
    <w:rsid w:val="00D203E8"/>
    <w:rsid w:val="00D21EAA"/>
    <w:rsid w:val="00D22BE4"/>
    <w:rsid w:val="00D23216"/>
    <w:rsid w:val="00D23952"/>
    <w:rsid w:val="00D25F6D"/>
    <w:rsid w:val="00D263CE"/>
    <w:rsid w:val="00D27734"/>
    <w:rsid w:val="00D27811"/>
    <w:rsid w:val="00D309C2"/>
    <w:rsid w:val="00D3108F"/>
    <w:rsid w:val="00D312A4"/>
    <w:rsid w:val="00D313B0"/>
    <w:rsid w:val="00D3144A"/>
    <w:rsid w:val="00D31CD5"/>
    <w:rsid w:val="00D3253C"/>
    <w:rsid w:val="00D327CF"/>
    <w:rsid w:val="00D338CB"/>
    <w:rsid w:val="00D33A21"/>
    <w:rsid w:val="00D33DD0"/>
    <w:rsid w:val="00D3593B"/>
    <w:rsid w:val="00D35C76"/>
    <w:rsid w:val="00D35E16"/>
    <w:rsid w:val="00D3613E"/>
    <w:rsid w:val="00D375CD"/>
    <w:rsid w:val="00D3767C"/>
    <w:rsid w:val="00D377EA"/>
    <w:rsid w:val="00D41A62"/>
    <w:rsid w:val="00D4259D"/>
    <w:rsid w:val="00D42727"/>
    <w:rsid w:val="00D42748"/>
    <w:rsid w:val="00D42C56"/>
    <w:rsid w:val="00D42C9C"/>
    <w:rsid w:val="00D42F7B"/>
    <w:rsid w:val="00D43089"/>
    <w:rsid w:val="00D433DB"/>
    <w:rsid w:val="00D43658"/>
    <w:rsid w:val="00D4404E"/>
    <w:rsid w:val="00D45531"/>
    <w:rsid w:val="00D45991"/>
    <w:rsid w:val="00D464EC"/>
    <w:rsid w:val="00D46C45"/>
    <w:rsid w:val="00D46F2F"/>
    <w:rsid w:val="00D46F9B"/>
    <w:rsid w:val="00D473BF"/>
    <w:rsid w:val="00D47FD0"/>
    <w:rsid w:val="00D50412"/>
    <w:rsid w:val="00D50654"/>
    <w:rsid w:val="00D50D1A"/>
    <w:rsid w:val="00D50FBE"/>
    <w:rsid w:val="00D5122E"/>
    <w:rsid w:val="00D51B28"/>
    <w:rsid w:val="00D52867"/>
    <w:rsid w:val="00D52C88"/>
    <w:rsid w:val="00D52D7F"/>
    <w:rsid w:val="00D53183"/>
    <w:rsid w:val="00D53D93"/>
    <w:rsid w:val="00D53E92"/>
    <w:rsid w:val="00D53E9B"/>
    <w:rsid w:val="00D5463F"/>
    <w:rsid w:val="00D55347"/>
    <w:rsid w:val="00D55767"/>
    <w:rsid w:val="00D55DAE"/>
    <w:rsid w:val="00D562E0"/>
    <w:rsid w:val="00D563F8"/>
    <w:rsid w:val="00D56996"/>
    <w:rsid w:val="00D56B7A"/>
    <w:rsid w:val="00D57184"/>
    <w:rsid w:val="00D57E40"/>
    <w:rsid w:val="00D6181F"/>
    <w:rsid w:val="00D6191E"/>
    <w:rsid w:val="00D63106"/>
    <w:rsid w:val="00D649E8"/>
    <w:rsid w:val="00D64A3F"/>
    <w:rsid w:val="00D658D7"/>
    <w:rsid w:val="00D662C0"/>
    <w:rsid w:val="00D67DDF"/>
    <w:rsid w:val="00D70629"/>
    <w:rsid w:val="00D70D6D"/>
    <w:rsid w:val="00D70DA9"/>
    <w:rsid w:val="00D7139A"/>
    <w:rsid w:val="00D7233F"/>
    <w:rsid w:val="00D72D4F"/>
    <w:rsid w:val="00D770E7"/>
    <w:rsid w:val="00D778A0"/>
    <w:rsid w:val="00D77BBC"/>
    <w:rsid w:val="00D80408"/>
    <w:rsid w:val="00D810A4"/>
    <w:rsid w:val="00D81CB8"/>
    <w:rsid w:val="00D829BE"/>
    <w:rsid w:val="00D82F9B"/>
    <w:rsid w:val="00D831B2"/>
    <w:rsid w:val="00D84DEE"/>
    <w:rsid w:val="00D856D6"/>
    <w:rsid w:val="00D85B85"/>
    <w:rsid w:val="00D864D2"/>
    <w:rsid w:val="00D86B68"/>
    <w:rsid w:val="00D86D4B"/>
    <w:rsid w:val="00D86E08"/>
    <w:rsid w:val="00D87764"/>
    <w:rsid w:val="00D87CFD"/>
    <w:rsid w:val="00D904C7"/>
    <w:rsid w:val="00D908BF"/>
    <w:rsid w:val="00D90FDB"/>
    <w:rsid w:val="00D912E6"/>
    <w:rsid w:val="00D92B2C"/>
    <w:rsid w:val="00D92C32"/>
    <w:rsid w:val="00D9425E"/>
    <w:rsid w:val="00D94F3A"/>
    <w:rsid w:val="00D955BF"/>
    <w:rsid w:val="00D95787"/>
    <w:rsid w:val="00D958BE"/>
    <w:rsid w:val="00D959E6"/>
    <w:rsid w:val="00D95C51"/>
    <w:rsid w:val="00D95DD1"/>
    <w:rsid w:val="00D96CDC"/>
    <w:rsid w:val="00D96DFF"/>
    <w:rsid w:val="00D96F8D"/>
    <w:rsid w:val="00D97D3A"/>
    <w:rsid w:val="00DA0A8A"/>
    <w:rsid w:val="00DA0E8E"/>
    <w:rsid w:val="00DA16DD"/>
    <w:rsid w:val="00DA1AF3"/>
    <w:rsid w:val="00DA25A3"/>
    <w:rsid w:val="00DA2B09"/>
    <w:rsid w:val="00DA31A6"/>
    <w:rsid w:val="00DA3C3B"/>
    <w:rsid w:val="00DA3EA9"/>
    <w:rsid w:val="00DA436C"/>
    <w:rsid w:val="00DA450B"/>
    <w:rsid w:val="00DA474F"/>
    <w:rsid w:val="00DA481D"/>
    <w:rsid w:val="00DA4951"/>
    <w:rsid w:val="00DA4B1F"/>
    <w:rsid w:val="00DA50C5"/>
    <w:rsid w:val="00DA617D"/>
    <w:rsid w:val="00DA7401"/>
    <w:rsid w:val="00DA7DE5"/>
    <w:rsid w:val="00DB0545"/>
    <w:rsid w:val="00DB0C61"/>
    <w:rsid w:val="00DB0DCF"/>
    <w:rsid w:val="00DB11D0"/>
    <w:rsid w:val="00DB33A9"/>
    <w:rsid w:val="00DB33E7"/>
    <w:rsid w:val="00DB39E1"/>
    <w:rsid w:val="00DB4239"/>
    <w:rsid w:val="00DB4BB1"/>
    <w:rsid w:val="00DB5B86"/>
    <w:rsid w:val="00DB6540"/>
    <w:rsid w:val="00DB6968"/>
    <w:rsid w:val="00DB6BD3"/>
    <w:rsid w:val="00DB7181"/>
    <w:rsid w:val="00DB753A"/>
    <w:rsid w:val="00DB7ECF"/>
    <w:rsid w:val="00DC081C"/>
    <w:rsid w:val="00DC0AD3"/>
    <w:rsid w:val="00DC13CE"/>
    <w:rsid w:val="00DC1D59"/>
    <w:rsid w:val="00DC1E64"/>
    <w:rsid w:val="00DC2ED3"/>
    <w:rsid w:val="00DD00BF"/>
    <w:rsid w:val="00DD0211"/>
    <w:rsid w:val="00DD0383"/>
    <w:rsid w:val="00DD06FC"/>
    <w:rsid w:val="00DD078D"/>
    <w:rsid w:val="00DD084D"/>
    <w:rsid w:val="00DD168F"/>
    <w:rsid w:val="00DD1774"/>
    <w:rsid w:val="00DD197B"/>
    <w:rsid w:val="00DD2C2F"/>
    <w:rsid w:val="00DD2FBB"/>
    <w:rsid w:val="00DD301C"/>
    <w:rsid w:val="00DD33B8"/>
    <w:rsid w:val="00DD3B92"/>
    <w:rsid w:val="00DD423C"/>
    <w:rsid w:val="00DD64B3"/>
    <w:rsid w:val="00DD65D1"/>
    <w:rsid w:val="00DD6918"/>
    <w:rsid w:val="00DD7163"/>
    <w:rsid w:val="00DD7194"/>
    <w:rsid w:val="00DD76AE"/>
    <w:rsid w:val="00DE0285"/>
    <w:rsid w:val="00DE0B1B"/>
    <w:rsid w:val="00DE0DDB"/>
    <w:rsid w:val="00DE16AB"/>
    <w:rsid w:val="00DE1846"/>
    <w:rsid w:val="00DE197E"/>
    <w:rsid w:val="00DE1D03"/>
    <w:rsid w:val="00DE1D1E"/>
    <w:rsid w:val="00DE39C1"/>
    <w:rsid w:val="00DE42F5"/>
    <w:rsid w:val="00DE49CF"/>
    <w:rsid w:val="00DE4D9E"/>
    <w:rsid w:val="00DE54ED"/>
    <w:rsid w:val="00DE5EC3"/>
    <w:rsid w:val="00DE6512"/>
    <w:rsid w:val="00DE6D71"/>
    <w:rsid w:val="00DE6F09"/>
    <w:rsid w:val="00DE711B"/>
    <w:rsid w:val="00DE7A52"/>
    <w:rsid w:val="00DF15CB"/>
    <w:rsid w:val="00DF1878"/>
    <w:rsid w:val="00DF1C0E"/>
    <w:rsid w:val="00DF201C"/>
    <w:rsid w:val="00DF21D0"/>
    <w:rsid w:val="00DF2B63"/>
    <w:rsid w:val="00DF2C72"/>
    <w:rsid w:val="00DF3628"/>
    <w:rsid w:val="00DF3AAF"/>
    <w:rsid w:val="00DF45FB"/>
    <w:rsid w:val="00DF48FE"/>
    <w:rsid w:val="00DF4D88"/>
    <w:rsid w:val="00DF4F2D"/>
    <w:rsid w:val="00DF517D"/>
    <w:rsid w:val="00DF5B32"/>
    <w:rsid w:val="00DF5D0F"/>
    <w:rsid w:val="00DF5FBB"/>
    <w:rsid w:val="00DF5FFC"/>
    <w:rsid w:val="00DF622B"/>
    <w:rsid w:val="00DF6C56"/>
    <w:rsid w:val="00DF6F4D"/>
    <w:rsid w:val="00DF7246"/>
    <w:rsid w:val="00DF7BB3"/>
    <w:rsid w:val="00E00E58"/>
    <w:rsid w:val="00E01001"/>
    <w:rsid w:val="00E0189B"/>
    <w:rsid w:val="00E03935"/>
    <w:rsid w:val="00E03D42"/>
    <w:rsid w:val="00E04909"/>
    <w:rsid w:val="00E053B2"/>
    <w:rsid w:val="00E054BE"/>
    <w:rsid w:val="00E05CD8"/>
    <w:rsid w:val="00E05FE2"/>
    <w:rsid w:val="00E0669D"/>
    <w:rsid w:val="00E06A60"/>
    <w:rsid w:val="00E06AB0"/>
    <w:rsid w:val="00E06BDB"/>
    <w:rsid w:val="00E07278"/>
    <w:rsid w:val="00E07C08"/>
    <w:rsid w:val="00E10686"/>
    <w:rsid w:val="00E10D0D"/>
    <w:rsid w:val="00E10F19"/>
    <w:rsid w:val="00E1179E"/>
    <w:rsid w:val="00E11D2C"/>
    <w:rsid w:val="00E12533"/>
    <w:rsid w:val="00E127C2"/>
    <w:rsid w:val="00E1292D"/>
    <w:rsid w:val="00E14057"/>
    <w:rsid w:val="00E141FA"/>
    <w:rsid w:val="00E14B1B"/>
    <w:rsid w:val="00E15120"/>
    <w:rsid w:val="00E16111"/>
    <w:rsid w:val="00E1623B"/>
    <w:rsid w:val="00E16C40"/>
    <w:rsid w:val="00E16DFE"/>
    <w:rsid w:val="00E17DB0"/>
    <w:rsid w:val="00E200DE"/>
    <w:rsid w:val="00E2010A"/>
    <w:rsid w:val="00E2121A"/>
    <w:rsid w:val="00E21A05"/>
    <w:rsid w:val="00E228FA"/>
    <w:rsid w:val="00E22A55"/>
    <w:rsid w:val="00E2383C"/>
    <w:rsid w:val="00E23F41"/>
    <w:rsid w:val="00E24224"/>
    <w:rsid w:val="00E251D4"/>
    <w:rsid w:val="00E253BE"/>
    <w:rsid w:val="00E27FC1"/>
    <w:rsid w:val="00E3048B"/>
    <w:rsid w:val="00E3053F"/>
    <w:rsid w:val="00E308DF"/>
    <w:rsid w:val="00E314E6"/>
    <w:rsid w:val="00E329B6"/>
    <w:rsid w:val="00E33369"/>
    <w:rsid w:val="00E33F2A"/>
    <w:rsid w:val="00E341F0"/>
    <w:rsid w:val="00E3424F"/>
    <w:rsid w:val="00E343C5"/>
    <w:rsid w:val="00E36C36"/>
    <w:rsid w:val="00E40069"/>
    <w:rsid w:val="00E40549"/>
    <w:rsid w:val="00E416E2"/>
    <w:rsid w:val="00E418C2"/>
    <w:rsid w:val="00E4193B"/>
    <w:rsid w:val="00E41CDA"/>
    <w:rsid w:val="00E41F1F"/>
    <w:rsid w:val="00E426BD"/>
    <w:rsid w:val="00E42E32"/>
    <w:rsid w:val="00E4364B"/>
    <w:rsid w:val="00E43CDB"/>
    <w:rsid w:val="00E43FFC"/>
    <w:rsid w:val="00E44344"/>
    <w:rsid w:val="00E445DF"/>
    <w:rsid w:val="00E44679"/>
    <w:rsid w:val="00E45142"/>
    <w:rsid w:val="00E47C52"/>
    <w:rsid w:val="00E5030F"/>
    <w:rsid w:val="00E50AB0"/>
    <w:rsid w:val="00E5194C"/>
    <w:rsid w:val="00E53F0F"/>
    <w:rsid w:val="00E5400C"/>
    <w:rsid w:val="00E54458"/>
    <w:rsid w:val="00E5483A"/>
    <w:rsid w:val="00E54A8F"/>
    <w:rsid w:val="00E54FCB"/>
    <w:rsid w:val="00E559E5"/>
    <w:rsid w:val="00E55EA4"/>
    <w:rsid w:val="00E56DA3"/>
    <w:rsid w:val="00E5770D"/>
    <w:rsid w:val="00E578AC"/>
    <w:rsid w:val="00E578CF"/>
    <w:rsid w:val="00E57A5D"/>
    <w:rsid w:val="00E57C01"/>
    <w:rsid w:val="00E601A9"/>
    <w:rsid w:val="00E606D0"/>
    <w:rsid w:val="00E60B84"/>
    <w:rsid w:val="00E6165E"/>
    <w:rsid w:val="00E620CF"/>
    <w:rsid w:val="00E626E5"/>
    <w:rsid w:val="00E62BB6"/>
    <w:rsid w:val="00E63FC2"/>
    <w:rsid w:val="00E6489F"/>
    <w:rsid w:val="00E64AE2"/>
    <w:rsid w:val="00E65471"/>
    <w:rsid w:val="00E656C9"/>
    <w:rsid w:val="00E65D22"/>
    <w:rsid w:val="00E662C0"/>
    <w:rsid w:val="00E67059"/>
    <w:rsid w:val="00E67A8F"/>
    <w:rsid w:val="00E7083F"/>
    <w:rsid w:val="00E71412"/>
    <w:rsid w:val="00E71B37"/>
    <w:rsid w:val="00E71CC3"/>
    <w:rsid w:val="00E720EC"/>
    <w:rsid w:val="00E72B7E"/>
    <w:rsid w:val="00E73126"/>
    <w:rsid w:val="00E73E13"/>
    <w:rsid w:val="00E73E38"/>
    <w:rsid w:val="00E73FD2"/>
    <w:rsid w:val="00E7503B"/>
    <w:rsid w:val="00E75419"/>
    <w:rsid w:val="00E759C7"/>
    <w:rsid w:val="00E75BC0"/>
    <w:rsid w:val="00E77042"/>
    <w:rsid w:val="00E77106"/>
    <w:rsid w:val="00E80279"/>
    <w:rsid w:val="00E805C6"/>
    <w:rsid w:val="00E80F48"/>
    <w:rsid w:val="00E8143F"/>
    <w:rsid w:val="00E815FB"/>
    <w:rsid w:val="00E8183E"/>
    <w:rsid w:val="00E83133"/>
    <w:rsid w:val="00E83694"/>
    <w:rsid w:val="00E83734"/>
    <w:rsid w:val="00E83AED"/>
    <w:rsid w:val="00E84A62"/>
    <w:rsid w:val="00E857BD"/>
    <w:rsid w:val="00E85C4F"/>
    <w:rsid w:val="00E8682A"/>
    <w:rsid w:val="00E875D2"/>
    <w:rsid w:val="00E87D41"/>
    <w:rsid w:val="00E90CAA"/>
    <w:rsid w:val="00E911F8"/>
    <w:rsid w:val="00E913C8"/>
    <w:rsid w:val="00E92CA9"/>
    <w:rsid w:val="00E93551"/>
    <w:rsid w:val="00E956E4"/>
    <w:rsid w:val="00E95A34"/>
    <w:rsid w:val="00E963E6"/>
    <w:rsid w:val="00E973E8"/>
    <w:rsid w:val="00EA0C01"/>
    <w:rsid w:val="00EA115F"/>
    <w:rsid w:val="00EA1868"/>
    <w:rsid w:val="00EA189F"/>
    <w:rsid w:val="00EA1E08"/>
    <w:rsid w:val="00EA22BB"/>
    <w:rsid w:val="00EA2577"/>
    <w:rsid w:val="00EA327A"/>
    <w:rsid w:val="00EA33C0"/>
    <w:rsid w:val="00EA34FB"/>
    <w:rsid w:val="00EA37D7"/>
    <w:rsid w:val="00EA3D3F"/>
    <w:rsid w:val="00EA3D8E"/>
    <w:rsid w:val="00EA3F2D"/>
    <w:rsid w:val="00EA5DD9"/>
    <w:rsid w:val="00EA5FC8"/>
    <w:rsid w:val="00EA6129"/>
    <w:rsid w:val="00EA6B3F"/>
    <w:rsid w:val="00EA7382"/>
    <w:rsid w:val="00EA76EC"/>
    <w:rsid w:val="00EA7D4A"/>
    <w:rsid w:val="00EB0D22"/>
    <w:rsid w:val="00EB1233"/>
    <w:rsid w:val="00EB19C0"/>
    <w:rsid w:val="00EB1A8B"/>
    <w:rsid w:val="00EB1C8E"/>
    <w:rsid w:val="00EB24DE"/>
    <w:rsid w:val="00EB2AFC"/>
    <w:rsid w:val="00EB3497"/>
    <w:rsid w:val="00EB380A"/>
    <w:rsid w:val="00EB40DA"/>
    <w:rsid w:val="00EB424F"/>
    <w:rsid w:val="00EB464B"/>
    <w:rsid w:val="00EB6BB0"/>
    <w:rsid w:val="00EB6D8A"/>
    <w:rsid w:val="00EB6DF4"/>
    <w:rsid w:val="00EB7130"/>
    <w:rsid w:val="00EB7933"/>
    <w:rsid w:val="00EC020C"/>
    <w:rsid w:val="00EC097C"/>
    <w:rsid w:val="00EC1288"/>
    <w:rsid w:val="00EC2106"/>
    <w:rsid w:val="00EC39BF"/>
    <w:rsid w:val="00EC3E68"/>
    <w:rsid w:val="00EC44CC"/>
    <w:rsid w:val="00EC48C2"/>
    <w:rsid w:val="00EC4CA2"/>
    <w:rsid w:val="00EC56B6"/>
    <w:rsid w:val="00EC6C9A"/>
    <w:rsid w:val="00EC700B"/>
    <w:rsid w:val="00EC77AC"/>
    <w:rsid w:val="00EC7C5A"/>
    <w:rsid w:val="00EC7F22"/>
    <w:rsid w:val="00ED097B"/>
    <w:rsid w:val="00ED0BB1"/>
    <w:rsid w:val="00ED11B7"/>
    <w:rsid w:val="00ED19A2"/>
    <w:rsid w:val="00ED1AC4"/>
    <w:rsid w:val="00ED1FBC"/>
    <w:rsid w:val="00ED220B"/>
    <w:rsid w:val="00ED2948"/>
    <w:rsid w:val="00ED35CE"/>
    <w:rsid w:val="00ED4172"/>
    <w:rsid w:val="00ED44C6"/>
    <w:rsid w:val="00ED4D2C"/>
    <w:rsid w:val="00ED5E71"/>
    <w:rsid w:val="00ED67D7"/>
    <w:rsid w:val="00ED6821"/>
    <w:rsid w:val="00ED7233"/>
    <w:rsid w:val="00ED7C47"/>
    <w:rsid w:val="00ED7FA2"/>
    <w:rsid w:val="00EE0163"/>
    <w:rsid w:val="00EE07C1"/>
    <w:rsid w:val="00EE119A"/>
    <w:rsid w:val="00EE1492"/>
    <w:rsid w:val="00EE2354"/>
    <w:rsid w:val="00EE23A2"/>
    <w:rsid w:val="00EE293C"/>
    <w:rsid w:val="00EE3544"/>
    <w:rsid w:val="00EE429B"/>
    <w:rsid w:val="00EE4F50"/>
    <w:rsid w:val="00EE5733"/>
    <w:rsid w:val="00EE72F4"/>
    <w:rsid w:val="00EF0DAA"/>
    <w:rsid w:val="00EF0DE4"/>
    <w:rsid w:val="00EF1053"/>
    <w:rsid w:val="00EF205A"/>
    <w:rsid w:val="00EF3257"/>
    <w:rsid w:val="00EF34C3"/>
    <w:rsid w:val="00EF35DB"/>
    <w:rsid w:val="00EF3DFC"/>
    <w:rsid w:val="00EF4AE7"/>
    <w:rsid w:val="00EF4FD4"/>
    <w:rsid w:val="00EF64EA"/>
    <w:rsid w:val="00EF726F"/>
    <w:rsid w:val="00EF7BAD"/>
    <w:rsid w:val="00EF7C85"/>
    <w:rsid w:val="00F00681"/>
    <w:rsid w:val="00F00A01"/>
    <w:rsid w:val="00F011D3"/>
    <w:rsid w:val="00F01594"/>
    <w:rsid w:val="00F01A17"/>
    <w:rsid w:val="00F01C9F"/>
    <w:rsid w:val="00F022DA"/>
    <w:rsid w:val="00F02815"/>
    <w:rsid w:val="00F028FA"/>
    <w:rsid w:val="00F02F5A"/>
    <w:rsid w:val="00F037CB"/>
    <w:rsid w:val="00F03B2F"/>
    <w:rsid w:val="00F041BC"/>
    <w:rsid w:val="00F04411"/>
    <w:rsid w:val="00F049AB"/>
    <w:rsid w:val="00F04CD9"/>
    <w:rsid w:val="00F04D52"/>
    <w:rsid w:val="00F05BC2"/>
    <w:rsid w:val="00F064C1"/>
    <w:rsid w:val="00F0782E"/>
    <w:rsid w:val="00F07CCF"/>
    <w:rsid w:val="00F10870"/>
    <w:rsid w:val="00F1127E"/>
    <w:rsid w:val="00F114D1"/>
    <w:rsid w:val="00F12117"/>
    <w:rsid w:val="00F122B4"/>
    <w:rsid w:val="00F13154"/>
    <w:rsid w:val="00F15B66"/>
    <w:rsid w:val="00F15DAF"/>
    <w:rsid w:val="00F15E30"/>
    <w:rsid w:val="00F165DD"/>
    <w:rsid w:val="00F20B23"/>
    <w:rsid w:val="00F20B95"/>
    <w:rsid w:val="00F20D09"/>
    <w:rsid w:val="00F219F0"/>
    <w:rsid w:val="00F22AEF"/>
    <w:rsid w:val="00F22D02"/>
    <w:rsid w:val="00F24D0C"/>
    <w:rsid w:val="00F250EA"/>
    <w:rsid w:val="00F264B5"/>
    <w:rsid w:val="00F26BFD"/>
    <w:rsid w:val="00F26FDF"/>
    <w:rsid w:val="00F27307"/>
    <w:rsid w:val="00F278C6"/>
    <w:rsid w:val="00F31F6B"/>
    <w:rsid w:val="00F320B8"/>
    <w:rsid w:val="00F33A2C"/>
    <w:rsid w:val="00F341F1"/>
    <w:rsid w:val="00F34F81"/>
    <w:rsid w:val="00F351AF"/>
    <w:rsid w:val="00F3563C"/>
    <w:rsid w:val="00F35744"/>
    <w:rsid w:val="00F357FB"/>
    <w:rsid w:val="00F35CFE"/>
    <w:rsid w:val="00F36FA0"/>
    <w:rsid w:val="00F37E85"/>
    <w:rsid w:val="00F40354"/>
    <w:rsid w:val="00F413A3"/>
    <w:rsid w:val="00F41A9E"/>
    <w:rsid w:val="00F42652"/>
    <w:rsid w:val="00F42A11"/>
    <w:rsid w:val="00F42E85"/>
    <w:rsid w:val="00F43497"/>
    <w:rsid w:val="00F4397C"/>
    <w:rsid w:val="00F43A57"/>
    <w:rsid w:val="00F43E33"/>
    <w:rsid w:val="00F43F02"/>
    <w:rsid w:val="00F450AB"/>
    <w:rsid w:val="00F47770"/>
    <w:rsid w:val="00F47A6D"/>
    <w:rsid w:val="00F51539"/>
    <w:rsid w:val="00F5156C"/>
    <w:rsid w:val="00F51B52"/>
    <w:rsid w:val="00F52B39"/>
    <w:rsid w:val="00F52F27"/>
    <w:rsid w:val="00F534D5"/>
    <w:rsid w:val="00F535B8"/>
    <w:rsid w:val="00F537E7"/>
    <w:rsid w:val="00F53EFF"/>
    <w:rsid w:val="00F54240"/>
    <w:rsid w:val="00F54667"/>
    <w:rsid w:val="00F5472F"/>
    <w:rsid w:val="00F547ED"/>
    <w:rsid w:val="00F54DD8"/>
    <w:rsid w:val="00F54ECC"/>
    <w:rsid w:val="00F553F0"/>
    <w:rsid w:val="00F55B4E"/>
    <w:rsid w:val="00F560E7"/>
    <w:rsid w:val="00F5655B"/>
    <w:rsid w:val="00F56634"/>
    <w:rsid w:val="00F569CA"/>
    <w:rsid w:val="00F57142"/>
    <w:rsid w:val="00F61539"/>
    <w:rsid w:val="00F6308E"/>
    <w:rsid w:val="00F63207"/>
    <w:rsid w:val="00F63E06"/>
    <w:rsid w:val="00F66FAB"/>
    <w:rsid w:val="00F67187"/>
    <w:rsid w:val="00F67357"/>
    <w:rsid w:val="00F673D8"/>
    <w:rsid w:val="00F678FA"/>
    <w:rsid w:val="00F7216D"/>
    <w:rsid w:val="00F72D79"/>
    <w:rsid w:val="00F72F90"/>
    <w:rsid w:val="00F732C0"/>
    <w:rsid w:val="00F73350"/>
    <w:rsid w:val="00F7456A"/>
    <w:rsid w:val="00F74C49"/>
    <w:rsid w:val="00F751E1"/>
    <w:rsid w:val="00F75A0E"/>
    <w:rsid w:val="00F75BCA"/>
    <w:rsid w:val="00F76073"/>
    <w:rsid w:val="00F7785B"/>
    <w:rsid w:val="00F778C2"/>
    <w:rsid w:val="00F813E8"/>
    <w:rsid w:val="00F8173D"/>
    <w:rsid w:val="00F81D62"/>
    <w:rsid w:val="00F83CE9"/>
    <w:rsid w:val="00F8446D"/>
    <w:rsid w:val="00F84D0D"/>
    <w:rsid w:val="00F84D5F"/>
    <w:rsid w:val="00F851D8"/>
    <w:rsid w:val="00F85626"/>
    <w:rsid w:val="00F8586E"/>
    <w:rsid w:val="00F87280"/>
    <w:rsid w:val="00F879F6"/>
    <w:rsid w:val="00F87D11"/>
    <w:rsid w:val="00F90630"/>
    <w:rsid w:val="00F9084D"/>
    <w:rsid w:val="00F91013"/>
    <w:rsid w:val="00F914B4"/>
    <w:rsid w:val="00F9157A"/>
    <w:rsid w:val="00F91635"/>
    <w:rsid w:val="00F91DA1"/>
    <w:rsid w:val="00F92365"/>
    <w:rsid w:val="00F92C8E"/>
    <w:rsid w:val="00F92F71"/>
    <w:rsid w:val="00F94279"/>
    <w:rsid w:val="00F95350"/>
    <w:rsid w:val="00F95407"/>
    <w:rsid w:val="00F969FD"/>
    <w:rsid w:val="00F97174"/>
    <w:rsid w:val="00F9776C"/>
    <w:rsid w:val="00FA0172"/>
    <w:rsid w:val="00FA07BE"/>
    <w:rsid w:val="00FA191F"/>
    <w:rsid w:val="00FA1B12"/>
    <w:rsid w:val="00FA2CF9"/>
    <w:rsid w:val="00FA31BB"/>
    <w:rsid w:val="00FA3356"/>
    <w:rsid w:val="00FA38F0"/>
    <w:rsid w:val="00FA4636"/>
    <w:rsid w:val="00FA4960"/>
    <w:rsid w:val="00FA5044"/>
    <w:rsid w:val="00FA53B7"/>
    <w:rsid w:val="00FA59B8"/>
    <w:rsid w:val="00FA619D"/>
    <w:rsid w:val="00FA636F"/>
    <w:rsid w:val="00FA6A93"/>
    <w:rsid w:val="00FA76E4"/>
    <w:rsid w:val="00FA7859"/>
    <w:rsid w:val="00FA7CD5"/>
    <w:rsid w:val="00FA7EBC"/>
    <w:rsid w:val="00FB24F9"/>
    <w:rsid w:val="00FB3A0A"/>
    <w:rsid w:val="00FB3BA7"/>
    <w:rsid w:val="00FB4264"/>
    <w:rsid w:val="00FB46D6"/>
    <w:rsid w:val="00FB4725"/>
    <w:rsid w:val="00FB6996"/>
    <w:rsid w:val="00FB7283"/>
    <w:rsid w:val="00FC0BFA"/>
    <w:rsid w:val="00FC0FA4"/>
    <w:rsid w:val="00FC1FC3"/>
    <w:rsid w:val="00FC2337"/>
    <w:rsid w:val="00FC23F1"/>
    <w:rsid w:val="00FC2A30"/>
    <w:rsid w:val="00FC3283"/>
    <w:rsid w:val="00FC34A6"/>
    <w:rsid w:val="00FC3654"/>
    <w:rsid w:val="00FC43EB"/>
    <w:rsid w:val="00FC45EC"/>
    <w:rsid w:val="00FC59BE"/>
    <w:rsid w:val="00FC5B8E"/>
    <w:rsid w:val="00FC61AA"/>
    <w:rsid w:val="00FC64F2"/>
    <w:rsid w:val="00FC76C9"/>
    <w:rsid w:val="00FC7BC2"/>
    <w:rsid w:val="00FD0569"/>
    <w:rsid w:val="00FD0D9C"/>
    <w:rsid w:val="00FD0F78"/>
    <w:rsid w:val="00FD1284"/>
    <w:rsid w:val="00FD12E0"/>
    <w:rsid w:val="00FD1671"/>
    <w:rsid w:val="00FD22BB"/>
    <w:rsid w:val="00FD246C"/>
    <w:rsid w:val="00FD3B39"/>
    <w:rsid w:val="00FD400E"/>
    <w:rsid w:val="00FD42BE"/>
    <w:rsid w:val="00FD4981"/>
    <w:rsid w:val="00FD5391"/>
    <w:rsid w:val="00FD54E3"/>
    <w:rsid w:val="00FD557B"/>
    <w:rsid w:val="00FD638C"/>
    <w:rsid w:val="00FD6760"/>
    <w:rsid w:val="00FD6AC2"/>
    <w:rsid w:val="00FD7D69"/>
    <w:rsid w:val="00FE01D1"/>
    <w:rsid w:val="00FE045D"/>
    <w:rsid w:val="00FE0576"/>
    <w:rsid w:val="00FE0636"/>
    <w:rsid w:val="00FE0B3D"/>
    <w:rsid w:val="00FE17BA"/>
    <w:rsid w:val="00FE2112"/>
    <w:rsid w:val="00FE250D"/>
    <w:rsid w:val="00FE28C0"/>
    <w:rsid w:val="00FE34B1"/>
    <w:rsid w:val="00FE3908"/>
    <w:rsid w:val="00FE3A92"/>
    <w:rsid w:val="00FE3F47"/>
    <w:rsid w:val="00FE4224"/>
    <w:rsid w:val="00FE4596"/>
    <w:rsid w:val="00FE45AE"/>
    <w:rsid w:val="00FE45B1"/>
    <w:rsid w:val="00FE511D"/>
    <w:rsid w:val="00FE5735"/>
    <w:rsid w:val="00FE57EB"/>
    <w:rsid w:val="00FE5E74"/>
    <w:rsid w:val="00FE601C"/>
    <w:rsid w:val="00FE6064"/>
    <w:rsid w:val="00FE6449"/>
    <w:rsid w:val="00FE71F8"/>
    <w:rsid w:val="00FE7501"/>
    <w:rsid w:val="00FF1AC1"/>
    <w:rsid w:val="00FF1B19"/>
    <w:rsid w:val="00FF2DEA"/>
    <w:rsid w:val="00FF3568"/>
    <w:rsid w:val="00FF38B0"/>
    <w:rsid w:val="00FF429A"/>
    <w:rsid w:val="00FF4414"/>
    <w:rsid w:val="00FF65EE"/>
    <w:rsid w:val="00FF65EF"/>
    <w:rsid w:val="00FF6B76"/>
    <w:rsid w:val="00FF723C"/>
    <w:rsid w:val="00FF777B"/>
    <w:rsid w:val="00FF7E7C"/>
    <w:rsid w:val="01397196"/>
    <w:rsid w:val="01BD5608"/>
    <w:rsid w:val="020D05DC"/>
    <w:rsid w:val="021B32D1"/>
    <w:rsid w:val="02557E8A"/>
    <w:rsid w:val="026715B5"/>
    <w:rsid w:val="026F03BE"/>
    <w:rsid w:val="029027B3"/>
    <w:rsid w:val="02A44F89"/>
    <w:rsid w:val="02AC4631"/>
    <w:rsid w:val="02B23A93"/>
    <w:rsid w:val="02B7079C"/>
    <w:rsid w:val="03003C4C"/>
    <w:rsid w:val="03070B42"/>
    <w:rsid w:val="03167814"/>
    <w:rsid w:val="033864EF"/>
    <w:rsid w:val="03392E1A"/>
    <w:rsid w:val="03457A63"/>
    <w:rsid w:val="03677D63"/>
    <w:rsid w:val="036D0F55"/>
    <w:rsid w:val="03826207"/>
    <w:rsid w:val="03917118"/>
    <w:rsid w:val="03A73C2D"/>
    <w:rsid w:val="03D8086D"/>
    <w:rsid w:val="03E660EF"/>
    <w:rsid w:val="03FB275C"/>
    <w:rsid w:val="045A2A2B"/>
    <w:rsid w:val="045A507D"/>
    <w:rsid w:val="04667B74"/>
    <w:rsid w:val="04906721"/>
    <w:rsid w:val="04E45466"/>
    <w:rsid w:val="04F52FC0"/>
    <w:rsid w:val="05401427"/>
    <w:rsid w:val="05AF3F66"/>
    <w:rsid w:val="05F05A4E"/>
    <w:rsid w:val="0614392D"/>
    <w:rsid w:val="064C3AF2"/>
    <w:rsid w:val="0698581F"/>
    <w:rsid w:val="069F0796"/>
    <w:rsid w:val="06C13B3D"/>
    <w:rsid w:val="06C62F02"/>
    <w:rsid w:val="06F21F49"/>
    <w:rsid w:val="070E48A8"/>
    <w:rsid w:val="07150DF1"/>
    <w:rsid w:val="07425BC7"/>
    <w:rsid w:val="074E2754"/>
    <w:rsid w:val="075254CB"/>
    <w:rsid w:val="07566962"/>
    <w:rsid w:val="07E47F6B"/>
    <w:rsid w:val="08060F5A"/>
    <w:rsid w:val="08170338"/>
    <w:rsid w:val="084B44AB"/>
    <w:rsid w:val="08563208"/>
    <w:rsid w:val="08575606"/>
    <w:rsid w:val="085B7B46"/>
    <w:rsid w:val="08A41020"/>
    <w:rsid w:val="08AD2F43"/>
    <w:rsid w:val="08BA27E6"/>
    <w:rsid w:val="08C4266F"/>
    <w:rsid w:val="08D71031"/>
    <w:rsid w:val="08EF133D"/>
    <w:rsid w:val="09272174"/>
    <w:rsid w:val="093F2E32"/>
    <w:rsid w:val="094605A2"/>
    <w:rsid w:val="098C4A66"/>
    <w:rsid w:val="09E954E3"/>
    <w:rsid w:val="09EE6DB3"/>
    <w:rsid w:val="09FA476C"/>
    <w:rsid w:val="0A131D2D"/>
    <w:rsid w:val="0A195D40"/>
    <w:rsid w:val="0A2066A7"/>
    <w:rsid w:val="0A6937F7"/>
    <w:rsid w:val="0A9E3551"/>
    <w:rsid w:val="0ADE3BB0"/>
    <w:rsid w:val="0AF41D09"/>
    <w:rsid w:val="0AFD64D2"/>
    <w:rsid w:val="0B181AB8"/>
    <w:rsid w:val="0B187154"/>
    <w:rsid w:val="0B5C737F"/>
    <w:rsid w:val="0B5D195B"/>
    <w:rsid w:val="0B862124"/>
    <w:rsid w:val="0B8A6DD7"/>
    <w:rsid w:val="0BEF326D"/>
    <w:rsid w:val="0C49148C"/>
    <w:rsid w:val="0C7D717F"/>
    <w:rsid w:val="0C986C84"/>
    <w:rsid w:val="0CCE1D10"/>
    <w:rsid w:val="0CE03189"/>
    <w:rsid w:val="0CE53BCA"/>
    <w:rsid w:val="0CF67A03"/>
    <w:rsid w:val="0CF76B4F"/>
    <w:rsid w:val="0CFB6BAA"/>
    <w:rsid w:val="0D054EA3"/>
    <w:rsid w:val="0D4030B3"/>
    <w:rsid w:val="0DA2103B"/>
    <w:rsid w:val="0DA21596"/>
    <w:rsid w:val="0DA90493"/>
    <w:rsid w:val="0DC36108"/>
    <w:rsid w:val="0DC76433"/>
    <w:rsid w:val="0DCC025E"/>
    <w:rsid w:val="0DE0615D"/>
    <w:rsid w:val="0DEF33DF"/>
    <w:rsid w:val="0DF11B05"/>
    <w:rsid w:val="0DFD3590"/>
    <w:rsid w:val="0E076C23"/>
    <w:rsid w:val="0E1D08A6"/>
    <w:rsid w:val="0E3D4D82"/>
    <w:rsid w:val="0E507ACD"/>
    <w:rsid w:val="0E570419"/>
    <w:rsid w:val="0E5E6E78"/>
    <w:rsid w:val="0E5F7588"/>
    <w:rsid w:val="0E78718C"/>
    <w:rsid w:val="0E822395"/>
    <w:rsid w:val="0E843374"/>
    <w:rsid w:val="0E8C0B6E"/>
    <w:rsid w:val="0EAC1E22"/>
    <w:rsid w:val="0EC15B16"/>
    <w:rsid w:val="0F414886"/>
    <w:rsid w:val="0F457D9C"/>
    <w:rsid w:val="0F5F2A20"/>
    <w:rsid w:val="0F6A025C"/>
    <w:rsid w:val="0F8E50B8"/>
    <w:rsid w:val="0F9442F7"/>
    <w:rsid w:val="10427C1A"/>
    <w:rsid w:val="104528F8"/>
    <w:rsid w:val="104963F7"/>
    <w:rsid w:val="106B0434"/>
    <w:rsid w:val="108B0D18"/>
    <w:rsid w:val="10AE4078"/>
    <w:rsid w:val="10CA16F8"/>
    <w:rsid w:val="10D62A53"/>
    <w:rsid w:val="11045E1A"/>
    <w:rsid w:val="114F2A06"/>
    <w:rsid w:val="11576797"/>
    <w:rsid w:val="117D4B05"/>
    <w:rsid w:val="11841BEE"/>
    <w:rsid w:val="119F5AB5"/>
    <w:rsid w:val="11B22B1F"/>
    <w:rsid w:val="11B95B91"/>
    <w:rsid w:val="12602851"/>
    <w:rsid w:val="12816D69"/>
    <w:rsid w:val="129657A6"/>
    <w:rsid w:val="12A87120"/>
    <w:rsid w:val="12D5639B"/>
    <w:rsid w:val="12E32BAE"/>
    <w:rsid w:val="12F6758E"/>
    <w:rsid w:val="130A569B"/>
    <w:rsid w:val="13151E20"/>
    <w:rsid w:val="13236715"/>
    <w:rsid w:val="132D151F"/>
    <w:rsid w:val="132E5047"/>
    <w:rsid w:val="13320CF2"/>
    <w:rsid w:val="13890707"/>
    <w:rsid w:val="139D67AC"/>
    <w:rsid w:val="140C4DA5"/>
    <w:rsid w:val="141471EA"/>
    <w:rsid w:val="142E2A80"/>
    <w:rsid w:val="14861ABA"/>
    <w:rsid w:val="14AB078A"/>
    <w:rsid w:val="14C90984"/>
    <w:rsid w:val="152333AC"/>
    <w:rsid w:val="153225E2"/>
    <w:rsid w:val="154B447A"/>
    <w:rsid w:val="159B2DE0"/>
    <w:rsid w:val="159C2A6D"/>
    <w:rsid w:val="15AB279F"/>
    <w:rsid w:val="15C01DC0"/>
    <w:rsid w:val="15F5496F"/>
    <w:rsid w:val="15FD26F9"/>
    <w:rsid w:val="161B63F7"/>
    <w:rsid w:val="161E1A3F"/>
    <w:rsid w:val="163E5060"/>
    <w:rsid w:val="167C7241"/>
    <w:rsid w:val="169074B0"/>
    <w:rsid w:val="16A17737"/>
    <w:rsid w:val="16DF3088"/>
    <w:rsid w:val="173F2C62"/>
    <w:rsid w:val="17643BE0"/>
    <w:rsid w:val="17742506"/>
    <w:rsid w:val="178048B2"/>
    <w:rsid w:val="17875802"/>
    <w:rsid w:val="17C2723E"/>
    <w:rsid w:val="17E7651D"/>
    <w:rsid w:val="18022FB5"/>
    <w:rsid w:val="18477663"/>
    <w:rsid w:val="18687C6B"/>
    <w:rsid w:val="187B20D8"/>
    <w:rsid w:val="188F74A9"/>
    <w:rsid w:val="18A118CF"/>
    <w:rsid w:val="18C864D5"/>
    <w:rsid w:val="18FB6460"/>
    <w:rsid w:val="18FF4051"/>
    <w:rsid w:val="19210C9F"/>
    <w:rsid w:val="196D36B1"/>
    <w:rsid w:val="19755596"/>
    <w:rsid w:val="19C134DC"/>
    <w:rsid w:val="19C34E1D"/>
    <w:rsid w:val="19C479B8"/>
    <w:rsid w:val="19FE7B98"/>
    <w:rsid w:val="1A184CB4"/>
    <w:rsid w:val="1A282709"/>
    <w:rsid w:val="1A3520BC"/>
    <w:rsid w:val="1A804366"/>
    <w:rsid w:val="1A971F0E"/>
    <w:rsid w:val="1ACE017F"/>
    <w:rsid w:val="1AD93A76"/>
    <w:rsid w:val="1B06728D"/>
    <w:rsid w:val="1B0F7E6B"/>
    <w:rsid w:val="1B1A622D"/>
    <w:rsid w:val="1B3361E5"/>
    <w:rsid w:val="1B9F6196"/>
    <w:rsid w:val="1BA411C2"/>
    <w:rsid w:val="1BAD5FE6"/>
    <w:rsid w:val="1BEF6BF8"/>
    <w:rsid w:val="1C125AA3"/>
    <w:rsid w:val="1C317222"/>
    <w:rsid w:val="1C5B0151"/>
    <w:rsid w:val="1C673348"/>
    <w:rsid w:val="1C915D6A"/>
    <w:rsid w:val="1CA74034"/>
    <w:rsid w:val="1CA843A4"/>
    <w:rsid w:val="1CB92C2F"/>
    <w:rsid w:val="1CC04EA5"/>
    <w:rsid w:val="1CE60FA2"/>
    <w:rsid w:val="1D226CD0"/>
    <w:rsid w:val="1D3F2F87"/>
    <w:rsid w:val="1D5B6CBC"/>
    <w:rsid w:val="1D5E5513"/>
    <w:rsid w:val="1D643539"/>
    <w:rsid w:val="1D6E143E"/>
    <w:rsid w:val="1D734828"/>
    <w:rsid w:val="1D8111DB"/>
    <w:rsid w:val="1DA533FF"/>
    <w:rsid w:val="1DC913BC"/>
    <w:rsid w:val="1DDF2836"/>
    <w:rsid w:val="1DED3C2C"/>
    <w:rsid w:val="1E1F4D29"/>
    <w:rsid w:val="1E3F345A"/>
    <w:rsid w:val="1E402EE2"/>
    <w:rsid w:val="1E5505BA"/>
    <w:rsid w:val="1E8709C8"/>
    <w:rsid w:val="1EAA0791"/>
    <w:rsid w:val="1EC11A03"/>
    <w:rsid w:val="1EEC1662"/>
    <w:rsid w:val="1EFF6ADB"/>
    <w:rsid w:val="1F1B690A"/>
    <w:rsid w:val="1F286A98"/>
    <w:rsid w:val="1F2B0442"/>
    <w:rsid w:val="1F4A79F0"/>
    <w:rsid w:val="1F5A78CD"/>
    <w:rsid w:val="1F614156"/>
    <w:rsid w:val="1F7E0E8E"/>
    <w:rsid w:val="1F9579EB"/>
    <w:rsid w:val="1FC643C8"/>
    <w:rsid w:val="1FC9026D"/>
    <w:rsid w:val="1FDA36F5"/>
    <w:rsid w:val="202D1DEC"/>
    <w:rsid w:val="20893E93"/>
    <w:rsid w:val="20901CE0"/>
    <w:rsid w:val="20BA77B4"/>
    <w:rsid w:val="20D014B4"/>
    <w:rsid w:val="20DA25AA"/>
    <w:rsid w:val="20F621DE"/>
    <w:rsid w:val="213A3B59"/>
    <w:rsid w:val="21700A07"/>
    <w:rsid w:val="21954351"/>
    <w:rsid w:val="219F1015"/>
    <w:rsid w:val="21C51D48"/>
    <w:rsid w:val="21D14D6E"/>
    <w:rsid w:val="22065BA0"/>
    <w:rsid w:val="222310D6"/>
    <w:rsid w:val="224B4528"/>
    <w:rsid w:val="226C35F1"/>
    <w:rsid w:val="227730ED"/>
    <w:rsid w:val="227D2693"/>
    <w:rsid w:val="229E480A"/>
    <w:rsid w:val="22DF19A0"/>
    <w:rsid w:val="22E5186B"/>
    <w:rsid w:val="23316059"/>
    <w:rsid w:val="23357D9B"/>
    <w:rsid w:val="23584EF5"/>
    <w:rsid w:val="237E4E24"/>
    <w:rsid w:val="23867F9F"/>
    <w:rsid w:val="23E22CF5"/>
    <w:rsid w:val="24771887"/>
    <w:rsid w:val="24D6241C"/>
    <w:rsid w:val="24E86EA5"/>
    <w:rsid w:val="24EB0437"/>
    <w:rsid w:val="252F5CBE"/>
    <w:rsid w:val="256C2A6E"/>
    <w:rsid w:val="259C08CF"/>
    <w:rsid w:val="25A61150"/>
    <w:rsid w:val="25AF6735"/>
    <w:rsid w:val="25B421BE"/>
    <w:rsid w:val="25C7239A"/>
    <w:rsid w:val="25DF5C81"/>
    <w:rsid w:val="25F759AC"/>
    <w:rsid w:val="26084C7C"/>
    <w:rsid w:val="263D38A6"/>
    <w:rsid w:val="264964E5"/>
    <w:rsid w:val="264E6CB2"/>
    <w:rsid w:val="26603AFB"/>
    <w:rsid w:val="267F3849"/>
    <w:rsid w:val="26B020F8"/>
    <w:rsid w:val="26B91CE3"/>
    <w:rsid w:val="26C244CB"/>
    <w:rsid w:val="26D064B7"/>
    <w:rsid w:val="26D16809"/>
    <w:rsid w:val="26D56C2D"/>
    <w:rsid w:val="26EB1523"/>
    <w:rsid w:val="26F70A5D"/>
    <w:rsid w:val="27005B64"/>
    <w:rsid w:val="270D5D6B"/>
    <w:rsid w:val="272322CF"/>
    <w:rsid w:val="274511F9"/>
    <w:rsid w:val="27883591"/>
    <w:rsid w:val="278C289E"/>
    <w:rsid w:val="279A4EC5"/>
    <w:rsid w:val="27A0399E"/>
    <w:rsid w:val="27B1122C"/>
    <w:rsid w:val="27C836A9"/>
    <w:rsid w:val="27D53B2A"/>
    <w:rsid w:val="287D6E94"/>
    <w:rsid w:val="288D32D1"/>
    <w:rsid w:val="28DC1917"/>
    <w:rsid w:val="28EE663C"/>
    <w:rsid w:val="28F45921"/>
    <w:rsid w:val="28FB0F40"/>
    <w:rsid w:val="293D5EEC"/>
    <w:rsid w:val="29560F77"/>
    <w:rsid w:val="29763EBB"/>
    <w:rsid w:val="29DF4395"/>
    <w:rsid w:val="2A7B29EF"/>
    <w:rsid w:val="2A9249A3"/>
    <w:rsid w:val="2AEA1E2E"/>
    <w:rsid w:val="2B211BBC"/>
    <w:rsid w:val="2B723E4F"/>
    <w:rsid w:val="2B7D3C2B"/>
    <w:rsid w:val="2BE86D31"/>
    <w:rsid w:val="2C430468"/>
    <w:rsid w:val="2C4E095E"/>
    <w:rsid w:val="2C532E03"/>
    <w:rsid w:val="2C556985"/>
    <w:rsid w:val="2C810D50"/>
    <w:rsid w:val="2C9E19E3"/>
    <w:rsid w:val="2CF62D01"/>
    <w:rsid w:val="2D044A01"/>
    <w:rsid w:val="2D161825"/>
    <w:rsid w:val="2D1939BD"/>
    <w:rsid w:val="2D614CDF"/>
    <w:rsid w:val="2D671A9C"/>
    <w:rsid w:val="2D861F6F"/>
    <w:rsid w:val="2D9502C7"/>
    <w:rsid w:val="2DA502D5"/>
    <w:rsid w:val="2DC85889"/>
    <w:rsid w:val="2DC93154"/>
    <w:rsid w:val="2DCA6ECC"/>
    <w:rsid w:val="2DD3554F"/>
    <w:rsid w:val="2DEF09D6"/>
    <w:rsid w:val="2E160363"/>
    <w:rsid w:val="2E293CB8"/>
    <w:rsid w:val="2E33248F"/>
    <w:rsid w:val="2E475DF2"/>
    <w:rsid w:val="2E545220"/>
    <w:rsid w:val="2E5C09C2"/>
    <w:rsid w:val="2EB07DE2"/>
    <w:rsid w:val="2EFC4E63"/>
    <w:rsid w:val="2F072B27"/>
    <w:rsid w:val="2F0E3A34"/>
    <w:rsid w:val="2F3B208A"/>
    <w:rsid w:val="2F3E5851"/>
    <w:rsid w:val="2F54283B"/>
    <w:rsid w:val="2F5A7D94"/>
    <w:rsid w:val="2F7414A9"/>
    <w:rsid w:val="2F9920E9"/>
    <w:rsid w:val="2FAB145D"/>
    <w:rsid w:val="2FD1746D"/>
    <w:rsid w:val="308019C8"/>
    <w:rsid w:val="30CE3344"/>
    <w:rsid w:val="30CE34F1"/>
    <w:rsid w:val="30DD24C1"/>
    <w:rsid w:val="30F32973"/>
    <w:rsid w:val="31126EF9"/>
    <w:rsid w:val="31175971"/>
    <w:rsid w:val="318B6E5A"/>
    <w:rsid w:val="318F0210"/>
    <w:rsid w:val="31C544F4"/>
    <w:rsid w:val="32083E57"/>
    <w:rsid w:val="320D1F16"/>
    <w:rsid w:val="3227669B"/>
    <w:rsid w:val="322A3D1C"/>
    <w:rsid w:val="3245389A"/>
    <w:rsid w:val="324E77AD"/>
    <w:rsid w:val="32AB590C"/>
    <w:rsid w:val="32B86F9A"/>
    <w:rsid w:val="32DB5A88"/>
    <w:rsid w:val="32E62367"/>
    <w:rsid w:val="337D1F7E"/>
    <w:rsid w:val="33973882"/>
    <w:rsid w:val="33A24CED"/>
    <w:rsid w:val="33D71AE1"/>
    <w:rsid w:val="34287CCA"/>
    <w:rsid w:val="34290525"/>
    <w:rsid w:val="34C60F09"/>
    <w:rsid w:val="352E7EEA"/>
    <w:rsid w:val="35950F0C"/>
    <w:rsid w:val="35FE649D"/>
    <w:rsid w:val="36084697"/>
    <w:rsid w:val="36261AFB"/>
    <w:rsid w:val="365633DC"/>
    <w:rsid w:val="36706DD9"/>
    <w:rsid w:val="3685634F"/>
    <w:rsid w:val="369416CB"/>
    <w:rsid w:val="36A5704D"/>
    <w:rsid w:val="36BD5820"/>
    <w:rsid w:val="36D729B2"/>
    <w:rsid w:val="36FD2C4D"/>
    <w:rsid w:val="37153CCA"/>
    <w:rsid w:val="378A51E7"/>
    <w:rsid w:val="37BE5942"/>
    <w:rsid w:val="37D66D1B"/>
    <w:rsid w:val="38066D52"/>
    <w:rsid w:val="388035E5"/>
    <w:rsid w:val="3890045F"/>
    <w:rsid w:val="39266781"/>
    <w:rsid w:val="398A4DAF"/>
    <w:rsid w:val="39E06018"/>
    <w:rsid w:val="39F826C8"/>
    <w:rsid w:val="3A5603CE"/>
    <w:rsid w:val="3A86775D"/>
    <w:rsid w:val="3A904658"/>
    <w:rsid w:val="3AE83341"/>
    <w:rsid w:val="3B136FAC"/>
    <w:rsid w:val="3B36642C"/>
    <w:rsid w:val="3B856238"/>
    <w:rsid w:val="3BA16488"/>
    <w:rsid w:val="3BA51D81"/>
    <w:rsid w:val="3BB856DF"/>
    <w:rsid w:val="3BC0680B"/>
    <w:rsid w:val="3C0C03A5"/>
    <w:rsid w:val="3C283CCF"/>
    <w:rsid w:val="3C374C30"/>
    <w:rsid w:val="3C5114ED"/>
    <w:rsid w:val="3C5A3B8E"/>
    <w:rsid w:val="3C7540BD"/>
    <w:rsid w:val="3D042B50"/>
    <w:rsid w:val="3D203CF5"/>
    <w:rsid w:val="3D2C1CB9"/>
    <w:rsid w:val="3DAE53BC"/>
    <w:rsid w:val="3DBF1E71"/>
    <w:rsid w:val="3DC5407C"/>
    <w:rsid w:val="3DD05BD6"/>
    <w:rsid w:val="3DF6563E"/>
    <w:rsid w:val="3E003E79"/>
    <w:rsid w:val="3E332D69"/>
    <w:rsid w:val="3E3A4F1F"/>
    <w:rsid w:val="3E507DE7"/>
    <w:rsid w:val="3E895FE7"/>
    <w:rsid w:val="3E933846"/>
    <w:rsid w:val="3EDA2CC6"/>
    <w:rsid w:val="3EED3CC3"/>
    <w:rsid w:val="3F0C10F2"/>
    <w:rsid w:val="3F1C161C"/>
    <w:rsid w:val="3F4803EF"/>
    <w:rsid w:val="3F816789"/>
    <w:rsid w:val="3F891DC9"/>
    <w:rsid w:val="3F981507"/>
    <w:rsid w:val="3FBF06B3"/>
    <w:rsid w:val="3FE302AC"/>
    <w:rsid w:val="3FEB6194"/>
    <w:rsid w:val="400E49F6"/>
    <w:rsid w:val="40240CDD"/>
    <w:rsid w:val="404B791B"/>
    <w:rsid w:val="40A26319"/>
    <w:rsid w:val="40BA1986"/>
    <w:rsid w:val="40C202B1"/>
    <w:rsid w:val="40C75132"/>
    <w:rsid w:val="40CE45AD"/>
    <w:rsid w:val="40ED050C"/>
    <w:rsid w:val="412465F7"/>
    <w:rsid w:val="412A078B"/>
    <w:rsid w:val="413E3E8D"/>
    <w:rsid w:val="41596E4F"/>
    <w:rsid w:val="41635215"/>
    <w:rsid w:val="4180170D"/>
    <w:rsid w:val="418231AF"/>
    <w:rsid w:val="41894952"/>
    <w:rsid w:val="41DE0D99"/>
    <w:rsid w:val="41E32DC2"/>
    <w:rsid w:val="42303838"/>
    <w:rsid w:val="4254611F"/>
    <w:rsid w:val="425B1DD5"/>
    <w:rsid w:val="425E3E4E"/>
    <w:rsid w:val="42E501E0"/>
    <w:rsid w:val="43044BDB"/>
    <w:rsid w:val="43187044"/>
    <w:rsid w:val="43233EC9"/>
    <w:rsid w:val="432A0F09"/>
    <w:rsid w:val="432B54FD"/>
    <w:rsid w:val="434F5A51"/>
    <w:rsid w:val="439030B2"/>
    <w:rsid w:val="43B83A98"/>
    <w:rsid w:val="43DE5EAD"/>
    <w:rsid w:val="43E61472"/>
    <w:rsid w:val="440740F1"/>
    <w:rsid w:val="44131FA3"/>
    <w:rsid w:val="44140A9E"/>
    <w:rsid w:val="44676AFA"/>
    <w:rsid w:val="45217119"/>
    <w:rsid w:val="45257B97"/>
    <w:rsid w:val="456A5E02"/>
    <w:rsid w:val="457808D7"/>
    <w:rsid w:val="45965998"/>
    <w:rsid w:val="45B35215"/>
    <w:rsid w:val="45CB508E"/>
    <w:rsid w:val="45D46BAF"/>
    <w:rsid w:val="46004564"/>
    <w:rsid w:val="46661462"/>
    <w:rsid w:val="46730185"/>
    <w:rsid w:val="469A029F"/>
    <w:rsid w:val="46A20344"/>
    <w:rsid w:val="46A46564"/>
    <w:rsid w:val="46B06807"/>
    <w:rsid w:val="46C21562"/>
    <w:rsid w:val="46C339BE"/>
    <w:rsid w:val="46CC017A"/>
    <w:rsid w:val="46DD4D58"/>
    <w:rsid w:val="46E634A0"/>
    <w:rsid w:val="46FC2626"/>
    <w:rsid w:val="470C587E"/>
    <w:rsid w:val="47576F68"/>
    <w:rsid w:val="47652E8A"/>
    <w:rsid w:val="478723EC"/>
    <w:rsid w:val="47A752F3"/>
    <w:rsid w:val="47AB512F"/>
    <w:rsid w:val="47C472E4"/>
    <w:rsid w:val="47C604F4"/>
    <w:rsid w:val="481F2C2E"/>
    <w:rsid w:val="482C02E3"/>
    <w:rsid w:val="484821E2"/>
    <w:rsid w:val="485D052D"/>
    <w:rsid w:val="487737AC"/>
    <w:rsid w:val="4882300A"/>
    <w:rsid w:val="48AC136B"/>
    <w:rsid w:val="490A2976"/>
    <w:rsid w:val="494A6586"/>
    <w:rsid w:val="49667ACF"/>
    <w:rsid w:val="496F2EF0"/>
    <w:rsid w:val="49785C5A"/>
    <w:rsid w:val="49842B76"/>
    <w:rsid w:val="49D0254C"/>
    <w:rsid w:val="49EB1BD5"/>
    <w:rsid w:val="4A011F51"/>
    <w:rsid w:val="4A2F3EE7"/>
    <w:rsid w:val="4A337E24"/>
    <w:rsid w:val="4A8058E3"/>
    <w:rsid w:val="4AA740AD"/>
    <w:rsid w:val="4B4550E2"/>
    <w:rsid w:val="4B6C0FBC"/>
    <w:rsid w:val="4BC0573E"/>
    <w:rsid w:val="4BDD7346"/>
    <w:rsid w:val="4C322CD5"/>
    <w:rsid w:val="4C4C5DE3"/>
    <w:rsid w:val="4C50663B"/>
    <w:rsid w:val="4C571FA5"/>
    <w:rsid w:val="4C904591"/>
    <w:rsid w:val="4CEB3D53"/>
    <w:rsid w:val="4D427AFA"/>
    <w:rsid w:val="4D7A4288"/>
    <w:rsid w:val="4D8520C9"/>
    <w:rsid w:val="4D861306"/>
    <w:rsid w:val="4D97365B"/>
    <w:rsid w:val="4DD67448"/>
    <w:rsid w:val="4DF473BE"/>
    <w:rsid w:val="4E520EE3"/>
    <w:rsid w:val="4E647E8A"/>
    <w:rsid w:val="4E696776"/>
    <w:rsid w:val="4E6B7D0D"/>
    <w:rsid w:val="4E7F298B"/>
    <w:rsid w:val="4F3348FE"/>
    <w:rsid w:val="4FB43578"/>
    <w:rsid w:val="4FBC1632"/>
    <w:rsid w:val="4FFE361C"/>
    <w:rsid w:val="501E6ED7"/>
    <w:rsid w:val="504B084D"/>
    <w:rsid w:val="50B1290E"/>
    <w:rsid w:val="50BE6B5C"/>
    <w:rsid w:val="50C57977"/>
    <w:rsid w:val="50D939F7"/>
    <w:rsid w:val="50DA10F4"/>
    <w:rsid w:val="50E412B7"/>
    <w:rsid w:val="50EC3089"/>
    <w:rsid w:val="50EF6333"/>
    <w:rsid w:val="50F85BED"/>
    <w:rsid w:val="51075407"/>
    <w:rsid w:val="51112585"/>
    <w:rsid w:val="511C3697"/>
    <w:rsid w:val="51302B3F"/>
    <w:rsid w:val="518276D7"/>
    <w:rsid w:val="518F05FD"/>
    <w:rsid w:val="51BA35A0"/>
    <w:rsid w:val="51F10DCE"/>
    <w:rsid w:val="52253C6F"/>
    <w:rsid w:val="52636769"/>
    <w:rsid w:val="52901199"/>
    <w:rsid w:val="52F07493"/>
    <w:rsid w:val="53193519"/>
    <w:rsid w:val="531E73FE"/>
    <w:rsid w:val="533878F6"/>
    <w:rsid w:val="539102A1"/>
    <w:rsid w:val="53A01DCE"/>
    <w:rsid w:val="53BA0524"/>
    <w:rsid w:val="54002076"/>
    <w:rsid w:val="54022F41"/>
    <w:rsid w:val="5423331E"/>
    <w:rsid w:val="54570750"/>
    <w:rsid w:val="5482532E"/>
    <w:rsid w:val="54AF6952"/>
    <w:rsid w:val="54D844F6"/>
    <w:rsid w:val="55205C0D"/>
    <w:rsid w:val="5535696F"/>
    <w:rsid w:val="55614DC3"/>
    <w:rsid w:val="55B174DE"/>
    <w:rsid w:val="5611442B"/>
    <w:rsid w:val="564B52D3"/>
    <w:rsid w:val="566925D4"/>
    <w:rsid w:val="56A23794"/>
    <w:rsid w:val="56A60D35"/>
    <w:rsid w:val="56F16519"/>
    <w:rsid w:val="572309DB"/>
    <w:rsid w:val="57527D35"/>
    <w:rsid w:val="575E7753"/>
    <w:rsid w:val="57621579"/>
    <w:rsid w:val="57953D61"/>
    <w:rsid w:val="57960E14"/>
    <w:rsid w:val="579637F7"/>
    <w:rsid w:val="57A159AA"/>
    <w:rsid w:val="57AA6D10"/>
    <w:rsid w:val="57C953D7"/>
    <w:rsid w:val="57D422E0"/>
    <w:rsid w:val="58EA6842"/>
    <w:rsid w:val="592B385B"/>
    <w:rsid w:val="59306172"/>
    <w:rsid w:val="596863A2"/>
    <w:rsid w:val="59A75AF3"/>
    <w:rsid w:val="59BD036C"/>
    <w:rsid w:val="59C67CE7"/>
    <w:rsid w:val="59D07B79"/>
    <w:rsid w:val="59EB1BFA"/>
    <w:rsid w:val="5A343C8F"/>
    <w:rsid w:val="5A517EA9"/>
    <w:rsid w:val="5A5771A5"/>
    <w:rsid w:val="5A8965B8"/>
    <w:rsid w:val="5A8C2158"/>
    <w:rsid w:val="5AB430B9"/>
    <w:rsid w:val="5ABC5786"/>
    <w:rsid w:val="5ACA284E"/>
    <w:rsid w:val="5ADA4313"/>
    <w:rsid w:val="5AF64196"/>
    <w:rsid w:val="5B8E00AC"/>
    <w:rsid w:val="5BA225F7"/>
    <w:rsid w:val="5BBF6383"/>
    <w:rsid w:val="5BC166DD"/>
    <w:rsid w:val="5BDF7777"/>
    <w:rsid w:val="5C0E68FE"/>
    <w:rsid w:val="5C124074"/>
    <w:rsid w:val="5C424F74"/>
    <w:rsid w:val="5C633178"/>
    <w:rsid w:val="5CA43532"/>
    <w:rsid w:val="5CBB09D5"/>
    <w:rsid w:val="5CDA204A"/>
    <w:rsid w:val="5CE115DB"/>
    <w:rsid w:val="5CE870EC"/>
    <w:rsid w:val="5CEF739E"/>
    <w:rsid w:val="5D2A08C1"/>
    <w:rsid w:val="5D2A15EE"/>
    <w:rsid w:val="5D7C1C4F"/>
    <w:rsid w:val="5D9A7B0C"/>
    <w:rsid w:val="5D9E6BD1"/>
    <w:rsid w:val="5DE36C98"/>
    <w:rsid w:val="5E0B4767"/>
    <w:rsid w:val="5E3720EB"/>
    <w:rsid w:val="5E6E761B"/>
    <w:rsid w:val="5E976E38"/>
    <w:rsid w:val="5EC51909"/>
    <w:rsid w:val="5EDE1DE5"/>
    <w:rsid w:val="5F2B4D06"/>
    <w:rsid w:val="5F82462F"/>
    <w:rsid w:val="5F8B40F4"/>
    <w:rsid w:val="5FA7154D"/>
    <w:rsid w:val="5FBA7B2C"/>
    <w:rsid w:val="5FC93F0C"/>
    <w:rsid w:val="5FD21409"/>
    <w:rsid w:val="60067040"/>
    <w:rsid w:val="600C1F82"/>
    <w:rsid w:val="601A5980"/>
    <w:rsid w:val="604D3802"/>
    <w:rsid w:val="6054297B"/>
    <w:rsid w:val="609127A3"/>
    <w:rsid w:val="60A028E8"/>
    <w:rsid w:val="60AE6198"/>
    <w:rsid w:val="60C56359"/>
    <w:rsid w:val="60E11B03"/>
    <w:rsid w:val="612813CF"/>
    <w:rsid w:val="61884A0D"/>
    <w:rsid w:val="61AE5BE1"/>
    <w:rsid w:val="61B73C23"/>
    <w:rsid w:val="61DA0784"/>
    <w:rsid w:val="61F54A57"/>
    <w:rsid w:val="61F97FCF"/>
    <w:rsid w:val="620A15C5"/>
    <w:rsid w:val="620B0936"/>
    <w:rsid w:val="624026FB"/>
    <w:rsid w:val="624A734E"/>
    <w:rsid w:val="625A6426"/>
    <w:rsid w:val="626A3744"/>
    <w:rsid w:val="626D7CE5"/>
    <w:rsid w:val="629B3047"/>
    <w:rsid w:val="62AE3675"/>
    <w:rsid w:val="62C531E2"/>
    <w:rsid w:val="63125151"/>
    <w:rsid w:val="632919C3"/>
    <w:rsid w:val="63450F1F"/>
    <w:rsid w:val="638E799C"/>
    <w:rsid w:val="63AD1A92"/>
    <w:rsid w:val="63B773AF"/>
    <w:rsid w:val="63D363D3"/>
    <w:rsid w:val="63F21907"/>
    <w:rsid w:val="6404541E"/>
    <w:rsid w:val="64154D1A"/>
    <w:rsid w:val="642060E4"/>
    <w:rsid w:val="64A56577"/>
    <w:rsid w:val="64A648A8"/>
    <w:rsid w:val="64DB4988"/>
    <w:rsid w:val="64E002A0"/>
    <w:rsid w:val="651B2FF3"/>
    <w:rsid w:val="6553419D"/>
    <w:rsid w:val="65604308"/>
    <w:rsid w:val="65700B0B"/>
    <w:rsid w:val="65A02A1D"/>
    <w:rsid w:val="65A37328"/>
    <w:rsid w:val="65C0345F"/>
    <w:rsid w:val="65DA1603"/>
    <w:rsid w:val="65DB22B9"/>
    <w:rsid w:val="660F6271"/>
    <w:rsid w:val="666905F6"/>
    <w:rsid w:val="666D493C"/>
    <w:rsid w:val="66847BEE"/>
    <w:rsid w:val="66AD5D56"/>
    <w:rsid w:val="66AF7149"/>
    <w:rsid w:val="66B2435D"/>
    <w:rsid w:val="66C4146B"/>
    <w:rsid w:val="66E04CC5"/>
    <w:rsid w:val="66E3037E"/>
    <w:rsid w:val="67044650"/>
    <w:rsid w:val="670810B5"/>
    <w:rsid w:val="673A6B41"/>
    <w:rsid w:val="67667C06"/>
    <w:rsid w:val="67697AC2"/>
    <w:rsid w:val="678A7955"/>
    <w:rsid w:val="67B02055"/>
    <w:rsid w:val="67B46125"/>
    <w:rsid w:val="67CD302C"/>
    <w:rsid w:val="67EA727A"/>
    <w:rsid w:val="680227E3"/>
    <w:rsid w:val="68076CD5"/>
    <w:rsid w:val="683A0C71"/>
    <w:rsid w:val="683F26AC"/>
    <w:rsid w:val="684026AA"/>
    <w:rsid w:val="686314D3"/>
    <w:rsid w:val="687C4343"/>
    <w:rsid w:val="6896164E"/>
    <w:rsid w:val="68964E22"/>
    <w:rsid w:val="68C17612"/>
    <w:rsid w:val="68D72712"/>
    <w:rsid w:val="68F975E9"/>
    <w:rsid w:val="690E21F6"/>
    <w:rsid w:val="696760E2"/>
    <w:rsid w:val="69D30F81"/>
    <w:rsid w:val="6A3E3434"/>
    <w:rsid w:val="6A4E61B3"/>
    <w:rsid w:val="6AB332C9"/>
    <w:rsid w:val="6AF34582"/>
    <w:rsid w:val="6AFD7243"/>
    <w:rsid w:val="6B2813CA"/>
    <w:rsid w:val="6B342FAA"/>
    <w:rsid w:val="6B7032C8"/>
    <w:rsid w:val="6B7A1677"/>
    <w:rsid w:val="6BA7592A"/>
    <w:rsid w:val="6BAF3C4D"/>
    <w:rsid w:val="6BBE0F0C"/>
    <w:rsid w:val="6BC739DC"/>
    <w:rsid w:val="6BF36565"/>
    <w:rsid w:val="6BF609AF"/>
    <w:rsid w:val="6C131E4E"/>
    <w:rsid w:val="6C1A3795"/>
    <w:rsid w:val="6C29248B"/>
    <w:rsid w:val="6C312BEB"/>
    <w:rsid w:val="6C346700"/>
    <w:rsid w:val="6C464E52"/>
    <w:rsid w:val="6CC06802"/>
    <w:rsid w:val="6CD55BC4"/>
    <w:rsid w:val="6D2D5806"/>
    <w:rsid w:val="6D471A43"/>
    <w:rsid w:val="6D526667"/>
    <w:rsid w:val="6D534EEB"/>
    <w:rsid w:val="6D553A23"/>
    <w:rsid w:val="6D6A620F"/>
    <w:rsid w:val="6DAC22A7"/>
    <w:rsid w:val="6DAE2170"/>
    <w:rsid w:val="6DB86EFD"/>
    <w:rsid w:val="6E2D1662"/>
    <w:rsid w:val="6E371594"/>
    <w:rsid w:val="6E566540"/>
    <w:rsid w:val="6ECE2008"/>
    <w:rsid w:val="6ED81666"/>
    <w:rsid w:val="6F325BB0"/>
    <w:rsid w:val="6F631830"/>
    <w:rsid w:val="6F8C4257"/>
    <w:rsid w:val="6FA44A8E"/>
    <w:rsid w:val="6FCD36D6"/>
    <w:rsid w:val="6FD54C70"/>
    <w:rsid w:val="6FE13097"/>
    <w:rsid w:val="70206C4C"/>
    <w:rsid w:val="705A56A8"/>
    <w:rsid w:val="705F2085"/>
    <w:rsid w:val="70615B55"/>
    <w:rsid w:val="70893AA1"/>
    <w:rsid w:val="70AD48BF"/>
    <w:rsid w:val="710F4EB1"/>
    <w:rsid w:val="714268A8"/>
    <w:rsid w:val="715332D4"/>
    <w:rsid w:val="71A11566"/>
    <w:rsid w:val="71E44F22"/>
    <w:rsid w:val="71ED1CEC"/>
    <w:rsid w:val="71FF7969"/>
    <w:rsid w:val="720D1ADA"/>
    <w:rsid w:val="7210005D"/>
    <w:rsid w:val="722453E2"/>
    <w:rsid w:val="726A724A"/>
    <w:rsid w:val="7285474D"/>
    <w:rsid w:val="72866DD6"/>
    <w:rsid w:val="729619B9"/>
    <w:rsid w:val="72B23590"/>
    <w:rsid w:val="72ED6A0B"/>
    <w:rsid w:val="72F10039"/>
    <w:rsid w:val="730A536A"/>
    <w:rsid w:val="7334290B"/>
    <w:rsid w:val="734B2482"/>
    <w:rsid w:val="73555EBD"/>
    <w:rsid w:val="736519AF"/>
    <w:rsid w:val="748B5D9A"/>
    <w:rsid w:val="749606D3"/>
    <w:rsid w:val="74B901F7"/>
    <w:rsid w:val="74BE4F00"/>
    <w:rsid w:val="74E81F89"/>
    <w:rsid w:val="74EA1049"/>
    <w:rsid w:val="751F4720"/>
    <w:rsid w:val="75405B50"/>
    <w:rsid w:val="754E0E15"/>
    <w:rsid w:val="7589350C"/>
    <w:rsid w:val="7593525D"/>
    <w:rsid w:val="759451D7"/>
    <w:rsid w:val="76412F05"/>
    <w:rsid w:val="764F3097"/>
    <w:rsid w:val="76AB01D5"/>
    <w:rsid w:val="76F919C7"/>
    <w:rsid w:val="77081DCC"/>
    <w:rsid w:val="770F40DE"/>
    <w:rsid w:val="77455BCB"/>
    <w:rsid w:val="77BD4B56"/>
    <w:rsid w:val="77DD6A1E"/>
    <w:rsid w:val="78722E78"/>
    <w:rsid w:val="78960C53"/>
    <w:rsid w:val="78A90C20"/>
    <w:rsid w:val="78B94E86"/>
    <w:rsid w:val="78D21631"/>
    <w:rsid w:val="78E226A7"/>
    <w:rsid w:val="790465D0"/>
    <w:rsid w:val="79200D1B"/>
    <w:rsid w:val="79925281"/>
    <w:rsid w:val="799534B7"/>
    <w:rsid w:val="79BE45E1"/>
    <w:rsid w:val="7A0A7100"/>
    <w:rsid w:val="7A2F52E9"/>
    <w:rsid w:val="7A66206A"/>
    <w:rsid w:val="7A9C0875"/>
    <w:rsid w:val="7AA77E9D"/>
    <w:rsid w:val="7AB672DE"/>
    <w:rsid w:val="7AC643F6"/>
    <w:rsid w:val="7AFB05F8"/>
    <w:rsid w:val="7B2D1817"/>
    <w:rsid w:val="7B2D4469"/>
    <w:rsid w:val="7B3D7962"/>
    <w:rsid w:val="7B666D90"/>
    <w:rsid w:val="7B857D1C"/>
    <w:rsid w:val="7BC255C5"/>
    <w:rsid w:val="7BC661A6"/>
    <w:rsid w:val="7C325B99"/>
    <w:rsid w:val="7C4D5B1D"/>
    <w:rsid w:val="7C5654E5"/>
    <w:rsid w:val="7C6A0419"/>
    <w:rsid w:val="7CA11F69"/>
    <w:rsid w:val="7CA83501"/>
    <w:rsid w:val="7CFE2D07"/>
    <w:rsid w:val="7D055F67"/>
    <w:rsid w:val="7D40198C"/>
    <w:rsid w:val="7D737F59"/>
    <w:rsid w:val="7D8344FC"/>
    <w:rsid w:val="7E076724"/>
    <w:rsid w:val="7E0F0B38"/>
    <w:rsid w:val="7E2378FA"/>
    <w:rsid w:val="7E4C4F44"/>
    <w:rsid w:val="7E57241E"/>
    <w:rsid w:val="7E7B46F7"/>
    <w:rsid w:val="7EAE3264"/>
    <w:rsid w:val="7EBF544A"/>
    <w:rsid w:val="7F087428"/>
    <w:rsid w:val="7F0A623D"/>
    <w:rsid w:val="7F41299D"/>
    <w:rsid w:val="7F78200B"/>
    <w:rsid w:val="7F8D2BC0"/>
    <w:rsid w:val="7F9E009F"/>
    <w:rsid w:val="7FC819E6"/>
    <w:rsid w:val="7FEB1B17"/>
    <w:rsid w:val="7FEF4239"/>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iPriority="9" w:name="heading 4" w:locked="1"/>
    <w:lsdException w:qFormat="1" w:unhideWhenUsed="0" w:uiPriority="99" w:semiHidden="0" w:name="heading 5"/>
    <w:lsdException w:qFormat="1" w:unhideWhenUsed="0" w:uiPriority="99" w:semiHidden="0" w:name="heading 6"/>
    <w:lsdException w:qFormat="1" w:unhideWhenUsed="0" w:uiPriority="99" w:semiHidden="0" w:name="heading 7"/>
    <w:lsdException w:qFormat="1" w:uiPriority="9" w:name="heading 8" w:locked="1"/>
    <w:lsdException w:qFormat="1" w:uiPriority="9" w:name="heading 9" w:locked="1"/>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qFormat="1" w:unhideWhenUsed="0" w:uiPriority="39" w:semiHidden="0" w:name="toc 1"/>
    <w:lsdException w:qFormat="1" w:unhideWhenUsed="0" w:uiPriority="3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uiPriority="99" w:name="Normal Indent" w:locked="1"/>
    <w:lsdException w:qFormat="1" w:unhideWhenUsed="0" w:uiPriority="0" w:semiHidden="0" w:name="footnote text"/>
    <w:lsdException w:qFormat="1" w:unhideWhenUsed="0" w:uiPriority="99" w:name="annotation text"/>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qFormat="1" w:unhideWhenUsed="0" w:uiPriority="0" w:semiHidden="0" w:name="footnote reference"/>
    <w:lsdException w:qFormat="1" w:unhideWhenUsed="0" w:uiPriority="99" w:name="annotation reference"/>
    <w:lsdException w:uiPriority="99" w:name="line number" w:locked="1"/>
    <w:lsdException w:qFormat="1" w:unhideWhenUsed="0" w:uiPriority="99" w:semiHidden="0" w:name="page number"/>
    <w:lsdException w:qFormat="1" w:uiPriority="99" w:name="endnote reference" w:locked="1"/>
    <w:lsdException w:qFormat="1" w:uiPriority="99" w:name="endnote text" w:locked="1"/>
    <w:lsdException w:uiPriority="99" w:name="table of authorities" w:locked="1"/>
    <w:lsdException w:uiPriority="99" w:name="macro" w:locked="1"/>
    <w:lsdException w:uiPriority="99" w:name="toa heading" w:locked="1"/>
    <w:lsdException w:uiPriority="99" w:name="List" w:locked="1"/>
    <w:lsdException w:uiPriority="99" w:name="List Bullet" w:locked="1"/>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99" w:semiHidden="0" w:name="Title"/>
    <w:lsdException w:uiPriority="99" w:name="Closing" w:locked="1"/>
    <w:lsdException w:uiPriority="99" w:name="Signature" w:locked="1"/>
    <w:lsdException w:qFormat="1" w:uiPriority="1" w:name="Default Paragraph Font"/>
    <w:lsdException w:qFormat="1" w:unhideWhenUsed="0" w:uiPriority="99" w:semiHidden="0" w:name="Body Text"/>
    <w:lsdException w:uiPriority="99" w:name="Body Text Indent" w:locked="1"/>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11" w:semiHidden="0" w:name="Subtitle" w:locked="1"/>
    <w:lsdException w:uiPriority="99" w:name="Salutation" w:locked="1"/>
    <w:lsdException w:qFormat="1" w:unhideWhenUsed="0" w:uiPriority="99" w:semiHidden="0" w:name="Date"/>
    <w:lsdException w:uiPriority="99" w:name="Body Text First Indent" w:locked="1"/>
    <w:lsdException w:uiPriority="99" w:name="Body Text First Indent 2" w:locked="1"/>
    <w:lsdException w:uiPriority="99" w:name="Note Heading" w:locked="1"/>
    <w:lsdException w:uiPriority="99" w:name="Body Text 2" w:locked="1"/>
    <w:lsdException w:uiPriority="99" w:name="Body Text 3" w:locked="1"/>
    <w:lsdException w:qFormat="1" w:unhideWhenUsed="0" w:uiPriority="99" w:semiHidden="0" w:name="Body Text Indent 2"/>
    <w:lsdException w:uiPriority="99" w:name="Body Text Indent 3" w:locked="1"/>
    <w:lsdException w:uiPriority="99" w:name="Block Text" w:locked="1"/>
    <w:lsdException w:qFormat="1" w:unhideWhenUsed="0" w:uiPriority="99" w:semiHidden="0" w:name="Hyperlink"/>
    <w:lsdException w:qFormat="1" w:unhideWhenUsed="0" w:uiPriority="99" w:semiHidden="0" w:name="FollowedHyperlink"/>
    <w:lsdException w:qFormat="1" w:unhideWhenUsed="0" w:uiPriority="22" w:semiHidden="0" w:name="Strong" w:locked="1"/>
    <w:lsdException w:qFormat="1" w:unhideWhenUsed="0" w:uiPriority="20" w:semiHidden="0" w:name="Emphasis" w:locked="1"/>
    <w:lsdException w:qFormat="1" w:unhideWhenUsed="0" w:uiPriority="99" w:semiHidden="0" w:name="Document Map"/>
    <w:lsdException w:uiPriority="99" w:name="Plain Text" w:locked="1"/>
    <w:lsdException w:uiPriority="99" w:name="E-mail Signature" w:locked="1"/>
    <w:lsdException w:qFormat="1" w:uiPriority="99" w:name="Normal (Web)" w:locked="1"/>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uiPriority="99" w:name="HTML Preformatted" w:locked="1"/>
    <w:lsdException w:uiPriority="99" w:name="HTML Sample" w:locked="1"/>
    <w:lsdException w:uiPriority="99" w:name="HTML Typewriter" w:locked="1"/>
    <w:lsdException w:uiPriority="99" w:name="HTML Variable" w:locked="1"/>
    <w:lsdException w:qFormat="1" w:uiPriority="99" w:name="Normal Table"/>
    <w:lsdException w:qFormat="1" w:unhideWhenUsed="0" w:uiPriority="99" w:name="annotation subject"/>
    <w:lsdException w:uiPriority="99" w:name="Table Simple 1" w:locked="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qFormat="1"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00" w:lineRule="exact"/>
      <w:ind w:firstLine="200" w:firstLineChars="200"/>
      <w:contextualSpacing/>
      <w:jc w:val="both"/>
    </w:pPr>
    <w:rPr>
      <w:rFonts w:ascii="仿宋_GB2312" w:hAnsi="仿宋_GB2312" w:eastAsia="仿宋_GB2312" w:cs="仿宋_GB2312"/>
      <w:kern w:val="2"/>
      <w:sz w:val="28"/>
      <w:szCs w:val="28"/>
      <w:lang w:val="en-US" w:eastAsia="zh-CN" w:bidi="ar-SA"/>
    </w:rPr>
  </w:style>
  <w:style w:type="paragraph" w:styleId="2">
    <w:name w:val="heading 1"/>
    <w:basedOn w:val="1"/>
    <w:next w:val="1"/>
    <w:link w:val="39"/>
    <w:qFormat/>
    <w:uiPriority w:val="99"/>
    <w:pPr>
      <w:keepNext/>
      <w:keepLines/>
      <w:spacing w:after="120"/>
      <w:ind w:right="87" w:rightChars="31" w:firstLine="0" w:firstLineChars="0"/>
      <w:outlineLvl w:val="0"/>
    </w:pPr>
    <w:rPr>
      <w:rFonts w:cs="Times New Roman"/>
      <w:b/>
      <w:bCs/>
      <w:kern w:val="44"/>
      <w:sz w:val="30"/>
      <w:szCs w:val="30"/>
    </w:rPr>
  </w:style>
  <w:style w:type="paragraph" w:styleId="3">
    <w:name w:val="heading 2"/>
    <w:basedOn w:val="2"/>
    <w:next w:val="1"/>
    <w:link w:val="40"/>
    <w:qFormat/>
    <w:uiPriority w:val="99"/>
    <w:pPr>
      <w:spacing w:after="0"/>
      <w:ind w:right="0" w:rightChars="0" w:firstLine="602" w:firstLineChars="200"/>
      <w:outlineLvl w:val="1"/>
    </w:pPr>
    <w:rPr>
      <w:bCs w:val="0"/>
    </w:rPr>
  </w:style>
  <w:style w:type="paragraph" w:styleId="4">
    <w:name w:val="heading 3"/>
    <w:basedOn w:val="1"/>
    <w:next w:val="1"/>
    <w:link w:val="41"/>
    <w:qFormat/>
    <w:uiPriority w:val="99"/>
    <w:pPr>
      <w:keepNext/>
      <w:keepLines/>
      <w:spacing w:before="260" w:after="260" w:line="416" w:lineRule="auto"/>
      <w:outlineLvl w:val="2"/>
    </w:pPr>
    <w:rPr>
      <w:rFonts w:ascii="Times New Roman" w:hAnsi="Times New Roman" w:eastAsia="Simang" w:cs="Times New Roman"/>
      <w:b/>
      <w:bCs/>
      <w:sz w:val="32"/>
      <w:szCs w:val="32"/>
    </w:rPr>
  </w:style>
  <w:style w:type="paragraph" w:styleId="5">
    <w:name w:val="heading 5"/>
    <w:basedOn w:val="1"/>
    <w:next w:val="1"/>
    <w:link w:val="42"/>
    <w:qFormat/>
    <w:uiPriority w:val="99"/>
    <w:pPr>
      <w:keepNext/>
      <w:keepLines/>
      <w:spacing w:before="280" w:after="290" w:line="376" w:lineRule="atLeast"/>
      <w:outlineLvl w:val="4"/>
    </w:pPr>
    <w:rPr>
      <w:b/>
      <w:bCs/>
    </w:rPr>
  </w:style>
  <w:style w:type="paragraph" w:styleId="6">
    <w:name w:val="heading 6"/>
    <w:basedOn w:val="1"/>
    <w:next w:val="1"/>
    <w:link w:val="43"/>
    <w:qFormat/>
    <w:uiPriority w:val="99"/>
    <w:pPr>
      <w:keepNext/>
      <w:keepLines/>
      <w:spacing w:before="240" w:after="64" w:line="320" w:lineRule="atLeast"/>
      <w:outlineLvl w:val="5"/>
    </w:pPr>
    <w:rPr>
      <w:rFonts w:ascii="等线 Light" w:hAnsi="等线 Light" w:eastAsia="等线 Light" w:cs="Times New Roman"/>
      <w:b/>
      <w:bCs/>
      <w:sz w:val="24"/>
      <w:szCs w:val="24"/>
    </w:rPr>
  </w:style>
  <w:style w:type="paragraph" w:styleId="7">
    <w:name w:val="heading 7"/>
    <w:basedOn w:val="1"/>
    <w:next w:val="1"/>
    <w:link w:val="44"/>
    <w:qFormat/>
    <w:uiPriority w:val="99"/>
    <w:pPr>
      <w:keepNext/>
      <w:keepLines/>
      <w:spacing w:before="240" w:after="64" w:line="320" w:lineRule="atLeast"/>
      <w:outlineLvl w:val="6"/>
    </w:pPr>
    <w:rPr>
      <w:b/>
      <w:bCs/>
      <w:sz w:val="24"/>
      <w:szCs w:val="24"/>
    </w:rPr>
  </w:style>
  <w:style w:type="character" w:default="1" w:styleId="30">
    <w:name w:val="Default Paragraph Font"/>
    <w:semiHidden/>
    <w:unhideWhenUsed/>
    <w:qFormat/>
    <w:uiPriority w:val="1"/>
  </w:style>
  <w:style w:type="table" w:default="1" w:styleId="37">
    <w:name w:val="Normal Table"/>
    <w:semiHidden/>
    <w:unhideWhenUsed/>
    <w:qFormat/>
    <w:uiPriority w:val="99"/>
    <w:tblPr>
      <w:tblLayout w:type="fixed"/>
      <w:tblCellMar>
        <w:top w:w="0" w:type="dxa"/>
        <w:left w:w="108" w:type="dxa"/>
        <w:bottom w:w="0" w:type="dxa"/>
        <w:right w:w="108" w:type="dxa"/>
      </w:tblCellMar>
    </w:tblPr>
  </w:style>
  <w:style w:type="paragraph" w:styleId="8">
    <w:name w:val="annotation subject"/>
    <w:basedOn w:val="9"/>
    <w:next w:val="9"/>
    <w:link w:val="92"/>
    <w:semiHidden/>
    <w:qFormat/>
    <w:uiPriority w:val="99"/>
    <w:rPr>
      <w:b/>
      <w:bCs/>
    </w:rPr>
  </w:style>
  <w:style w:type="paragraph" w:styleId="9">
    <w:name w:val="annotation text"/>
    <w:basedOn w:val="1"/>
    <w:link w:val="91"/>
    <w:semiHidden/>
    <w:qFormat/>
    <w:uiPriority w:val="99"/>
    <w:pPr>
      <w:jc w:val="left"/>
    </w:pPr>
  </w:style>
  <w:style w:type="paragraph" w:styleId="10">
    <w:name w:val="toc 7"/>
    <w:basedOn w:val="1"/>
    <w:next w:val="1"/>
    <w:qFormat/>
    <w:uiPriority w:val="99"/>
    <w:pPr>
      <w:ind w:left="1680"/>
    </w:pPr>
  </w:style>
  <w:style w:type="paragraph" w:styleId="11">
    <w:name w:val="Document Map"/>
    <w:basedOn w:val="1"/>
    <w:link w:val="89"/>
    <w:qFormat/>
    <w:uiPriority w:val="99"/>
    <w:rPr>
      <w:rFonts w:ascii="Simang" w:hAnsi="Times New Roman" w:eastAsia="Simang" w:cs="Times New Roman"/>
      <w:sz w:val="24"/>
      <w:szCs w:val="24"/>
    </w:rPr>
  </w:style>
  <w:style w:type="paragraph" w:styleId="12">
    <w:name w:val="Body Text"/>
    <w:basedOn w:val="1"/>
    <w:link w:val="50"/>
    <w:qFormat/>
    <w:uiPriority w:val="99"/>
    <w:rPr>
      <w:rFonts w:ascii="Calibri" w:hAnsi="Calibri" w:eastAsia="Simang" w:cs="Times New Roman"/>
      <w:sz w:val="24"/>
      <w:szCs w:val="20"/>
    </w:rPr>
  </w:style>
  <w:style w:type="paragraph" w:styleId="13">
    <w:name w:val="toc 5"/>
    <w:basedOn w:val="1"/>
    <w:next w:val="1"/>
    <w:qFormat/>
    <w:uiPriority w:val="99"/>
    <w:pPr>
      <w:ind w:left="1120"/>
    </w:pPr>
  </w:style>
  <w:style w:type="paragraph" w:styleId="14">
    <w:name w:val="toc 3"/>
    <w:basedOn w:val="1"/>
    <w:next w:val="1"/>
    <w:qFormat/>
    <w:uiPriority w:val="99"/>
    <w:pPr>
      <w:ind w:left="560"/>
    </w:pPr>
  </w:style>
  <w:style w:type="paragraph" w:styleId="15">
    <w:name w:val="toc 8"/>
    <w:basedOn w:val="1"/>
    <w:next w:val="1"/>
    <w:qFormat/>
    <w:uiPriority w:val="99"/>
    <w:pPr>
      <w:ind w:left="1960"/>
    </w:pPr>
  </w:style>
  <w:style w:type="paragraph" w:styleId="16">
    <w:name w:val="Date"/>
    <w:basedOn w:val="1"/>
    <w:next w:val="1"/>
    <w:link w:val="61"/>
    <w:qFormat/>
    <w:uiPriority w:val="99"/>
    <w:pPr>
      <w:ind w:left="100" w:leftChars="2500"/>
    </w:pPr>
    <w:rPr>
      <w:rFonts w:ascii="Times New Roman" w:hAnsi="Times New Roman" w:eastAsia="Simang" w:cs="Times New Roman"/>
      <w:sz w:val="21"/>
      <w:szCs w:val="24"/>
    </w:rPr>
  </w:style>
  <w:style w:type="paragraph" w:styleId="17">
    <w:name w:val="Body Text Indent 2"/>
    <w:basedOn w:val="1"/>
    <w:link w:val="54"/>
    <w:qFormat/>
    <w:uiPriority w:val="99"/>
    <w:pPr>
      <w:spacing w:line="480" w:lineRule="auto"/>
      <w:ind w:left="420" w:leftChars="200"/>
    </w:pPr>
    <w:rPr>
      <w:rFonts w:ascii="Calibri" w:hAnsi="Calibri" w:eastAsia="Simang" w:cs="Times New Roman"/>
      <w:sz w:val="24"/>
      <w:szCs w:val="20"/>
    </w:rPr>
  </w:style>
  <w:style w:type="paragraph" w:styleId="18">
    <w:name w:val="endnote text"/>
    <w:basedOn w:val="1"/>
    <w:link w:val="97"/>
    <w:semiHidden/>
    <w:unhideWhenUsed/>
    <w:qFormat/>
    <w:locked/>
    <w:uiPriority w:val="99"/>
    <w:pPr>
      <w:snapToGrid w:val="0"/>
      <w:jc w:val="left"/>
    </w:pPr>
  </w:style>
  <w:style w:type="paragraph" w:styleId="19">
    <w:name w:val="Balloon Text"/>
    <w:basedOn w:val="1"/>
    <w:link w:val="53"/>
    <w:semiHidden/>
    <w:qFormat/>
    <w:uiPriority w:val="99"/>
    <w:rPr>
      <w:sz w:val="18"/>
      <w:szCs w:val="18"/>
    </w:rPr>
  </w:style>
  <w:style w:type="paragraph" w:styleId="20">
    <w:name w:val="footer"/>
    <w:basedOn w:val="1"/>
    <w:link w:val="52"/>
    <w:qFormat/>
    <w:uiPriority w:val="99"/>
    <w:pPr>
      <w:tabs>
        <w:tab w:val="center" w:pos="4153"/>
        <w:tab w:val="right" w:pos="8306"/>
      </w:tabs>
      <w:snapToGrid w:val="0"/>
      <w:jc w:val="left"/>
    </w:pPr>
    <w:rPr>
      <w:rFonts w:ascii="Times New Roman" w:hAnsi="Times New Roman" w:eastAsia="Simang" w:cs="Times New Roman"/>
      <w:sz w:val="18"/>
      <w:szCs w:val="20"/>
    </w:rPr>
  </w:style>
  <w:style w:type="paragraph" w:styleId="21">
    <w:name w:val="header"/>
    <w:basedOn w:val="1"/>
    <w:link w:val="51"/>
    <w:qFormat/>
    <w:uiPriority w:val="99"/>
    <w:pPr>
      <w:pBdr>
        <w:bottom w:val="single" w:color="auto" w:sz="6" w:space="1"/>
      </w:pBdr>
      <w:tabs>
        <w:tab w:val="center" w:pos="4153"/>
        <w:tab w:val="right" w:pos="8306"/>
      </w:tabs>
      <w:snapToGrid w:val="0"/>
      <w:jc w:val="center"/>
    </w:pPr>
    <w:rPr>
      <w:rFonts w:ascii="Times New Roman" w:hAnsi="Times New Roman" w:eastAsia="Simang" w:cs="Times New Roman"/>
      <w:sz w:val="18"/>
      <w:szCs w:val="20"/>
    </w:rPr>
  </w:style>
  <w:style w:type="paragraph" w:styleId="22">
    <w:name w:val="toc 1"/>
    <w:basedOn w:val="1"/>
    <w:next w:val="1"/>
    <w:qFormat/>
    <w:uiPriority w:val="39"/>
    <w:pPr>
      <w:ind w:firstLine="0" w:firstLineChars="0"/>
    </w:pPr>
  </w:style>
  <w:style w:type="paragraph" w:styleId="23">
    <w:name w:val="toc 4"/>
    <w:basedOn w:val="1"/>
    <w:next w:val="1"/>
    <w:qFormat/>
    <w:uiPriority w:val="99"/>
    <w:pPr>
      <w:ind w:left="840"/>
    </w:pPr>
  </w:style>
  <w:style w:type="paragraph" w:styleId="24">
    <w:name w:val="footnote text"/>
    <w:basedOn w:val="1"/>
    <w:link w:val="60"/>
    <w:qFormat/>
    <w:uiPriority w:val="0"/>
    <w:pPr>
      <w:snapToGrid w:val="0"/>
      <w:jc w:val="left"/>
    </w:pPr>
    <w:rPr>
      <w:rFonts w:ascii="Times New Roman" w:hAnsi="Times New Roman" w:eastAsia="Simang" w:cs="Times New Roman"/>
      <w:sz w:val="18"/>
      <w:szCs w:val="18"/>
    </w:rPr>
  </w:style>
  <w:style w:type="paragraph" w:styleId="25">
    <w:name w:val="toc 6"/>
    <w:basedOn w:val="1"/>
    <w:next w:val="1"/>
    <w:qFormat/>
    <w:uiPriority w:val="99"/>
    <w:pPr>
      <w:ind w:left="1400"/>
    </w:pPr>
  </w:style>
  <w:style w:type="paragraph" w:styleId="26">
    <w:name w:val="toc 2"/>
    <w:basedOn w:val="1"/>
    <w:next w:val="1"/>
    <w:qFormat/>
    <w:uiPriority w:val="39"/>
  </w:style>
  <w:style w:type="paragraph" w:styleId="27">
    <w:name w:val="toc 9"/>
    <w:basedOn w:val="1"/>
    <w:next w:val="1"/>
    <w:qFormat/>
    <w:uiPriority w:val="99"/>
    <w:pPr>
      <w:ind w:left="2240"/>
    </w:pPr>
  </w:style>
  <w:style w:type="paragraph" w:styleId="28">
    <w:name w:val="Normal (Web)"/>
    <w:basedOn w:val="1"/>
    <w:semiHidden/>
    <w:unhideWhenUsed/>
    <w:qFormat/>
    <w:locked/>
    <w:uiPriority w:val="99"/>
    <w:pPr>
      <w:widowControl/>
      <w:spacing w:before="100" w:beforeAutospacing="1" w:after="100" w:afterAutospacing="1" w:line="240" w:lineRule="auto"/>
      <w:ind w:firstLine="0" w:firstLineChars="0"/>
      <w:contextualSpacing w:val="0"/>
      <w:jc w:val="left"/>
    </w:pPr>
    <w:rPr>
      <w:rFonts w:ascii="宋体" w:hAnsi="宋体" w:eastAsia="宋体" w:cs="宋体"/>
      <w:kern w:val="0"/>
      <w:sz w:val="24"/>
      <w:szCs w:val="24"/>
    </w:rPr>
  </w:style>
  <w:style w:type="paragraph" w:styleId="29">
    <w:name w:val="Title"/>
    <w:basedOn w:val="1"/>
    <w:next w:val="1"/>
    <w:link w:val="90"/>
    <w:qFormat/>
    <w:uiPriority w:val="99"/>
    <w:pPr>
      <w:spacing w:before="240" w:after="60"/>
      <w:jc w:val="left"/>
      <w:outlineLvl w:val="0"/>
    </w:pPr>
    <w:rPr>
      <w:b/>
      <w:bCs/>
      <w:sz w:val="32"/>
      <w:szCs w:val="32"/>
    </w:rPr>
  </w:style>
  <w:style w:type="character" w:styleId="31">
    <w:name w:val="endnote reference"/>
    <w:basedOn w:val="30"/>
    <w:semiHidden/>
    <w:unhideWhenUsed/>
    <w:qFormat/>
    <w:locked/>
    <w:uiPriority w:val="99"/>
    <w:rPr>
      <w:vertAlign w:val="superscript"/>
    </w:rPr>
  </w:style>
  <w:style w:type="character" w:styleId="32">
    <w:name w:val="page number"/>
    <w:qFormat/>
    <w:uiPriority w:val="99"/>
    <w:rPr>
      <w:rFonts w:cs="Times New Roman"/>
    </w:rPr>
  </w:style>
  <w:style w:type="character" w:styleId="33">
    <w:name w:val="FollowedHyperlink"/>
    <w:qFormat/>
    <w:uiPriority w:val="99"/>
    <w:rPr>
      <w:rFonts w:cs="Times New Roman"/>
      <w:color w:val="800080"/>
      <w:u w:val="single"/>
    </w:rPr>
  </w:style>
  <w:style w:type="character" w:styleId="34">
    <w:name w:val="Hyperlink"/>
    <w:qFormat/>
    <w:uiPriority w:val="99"/>
    <w:rPr>
      <w:rFonts w:cs="Times New Roman"/>
      <w:color w:val="0000FF"/>
      <w:u w:val="single"/>
    </w:rPr>
  </w:style>
  <w:style w:type="character" w:styleId="35">
    <w:name w:val="annotation reference"/>
    <w:semiHidden/>
    <w:qFormat/>
    <w:uiPriority w:val="99"/>
    <w:rPr>
      <w:rFonts w:cs="Times New Roman"/>
      <w:sz w:val="21"/>
      <w:szCs w:val="21"/>
    </w:rPr>
  </w:style>
  <w:style w:type="character" w:styleId="36">
    <w:name w:val="footnote reference"/>
    <w:basedOn w:val="30"/>
    <w:qFormat/>
    <w:uiPriority w:val="0"/>
    <w:rPr>
      <w:rFonts w:cs="Times New Roman"/>
      <w:vertAlign w:val="superscript"/>
    </w:rPr>
  </w:style>
  <w:style w:type="table" w:styleId="38">
    <w:name w:val="Table Grid"/>
    <w:basedOn w:val="37"/>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tcPr>
      <w:tcBorders>
        <w:top w:val="single" w:color="auto" w:sz="4" w:space="0"/>
        <w:left w:val="single" w:color="auto" w:sz="4" w:space="0"/>
        <w:bottom w:val="single" w:color="auto" w:sz="4" w:space="0"/>
        <w:right w:val="single" w:color="auto" w:sz="4" w:space="0"/>
      </w:tcBorders>
    </w:tcPr>
  </w:style>
  <w:style w:type="character" w:customStyle="1" w:styleId="39">
    <w:name w:val="标题 1 字符"/>
    <w:link w:val="2"/>
    <w:qFormat/>
    <w:locked/>
    <w:uiPriority w:val="99"/>
    <w:rPr>
      <w:rFonts w:ascii="仿宋_GB2312" w:hAnsi="仿宋_GB2312" w:eastAsia="仿宋_GB2312"/>
      <w:b/>
      <w:bCs/>
      <w:kern w:val="44"/>
      <w:sz w:val="30"/>
      <w:szCs w:val="30"/>
    </w:rPr>
  </w:style>
  <w:style w:type="character" w:customStyle="1" w:styleId="40">
    <w:name w:val="标题 2 字符"/>
    <w:link w:val="3"/>
    <w:qFormat/>
    <w:locked/>
    <w:uiPriority w:val="99"/>
    <w:rPr>
      <w:rFonts w:ascii="仿宋_GB2312" w:hAnsi="仿宋_GB2312" w:eastAsia="仿宋_GB2312"/>
      <w:b/>
      <w:kern w:val="44"/>
      <w:sz w:val="30"/>
      <w:szCs w:val="30"/>
    </w:rPr>
  </w:style>
  <w:style w:type="character" w:customStyle="1" w:styleId="41">
    <w:name w:val="标题 3 字符"/>
    <w:link w:val="4"/>
    <w:semiHidden/>
    <w:qFormat/>
    <w:locked/>
    <w:uiPriority w:val="99"/>
    <w:rPr>
      <w:rFonts w:cs="Times New Roman"/>
      <w:b/>
      <w:kern w:val="2"/>
      <w:sz w:val="32"/>
    </w:rPr>
  </w:style>
  <w:style w:type="character" w:customStyle="1" w:styleId="42">
    <w:name w:val="标题 5 字符"/>
    <w:link w:val="5"/>
    <w:semiHidden/>
    <w:qFormat/>
    <w:locked/>
    <w:uiPriority w:val="99"/>
    <w:rPr>
      <w:rFonts w:ascii="仿宋_GB2312" w:hAnsi="仿宋_GB2312" w:eastAsia="仿宋_GB2312" w:cs="仿宋_GB2312"/>
      <w:b/>
      <w:bCs/>
      <w:kern w:val="2"/>
      <w:sz w:val="28"/>
      <w:szCs w:val="28"/>
    </w:rPr>
  </w:style>
  <w:style w:type="character" w:customStyle="1" w:styleId="43">
    <w:name w:val="标题 6 字符"/>
    <w:link w:val="6"/>
    <w:semiHidden/>
    <w:qFormat/>
    <w:locked/>
    <w:uiPriority w:val="99"/>
    <w:rPr>
      <w:rFonts w:ascii="等线 Light" w:hAnsi="等线 Light" w:eastAsia="等线 Light" w:cs="Times New Roman"/>
      <w:b/>
      <w:bCs/>
      <w:kern w:val="2"/>
      <w:sz w:val="24"/>
      <w:szCs w:val="24"/>
    </w:rPr>
  </w:style>
  <w:style w:type="character" w:customStyle="1" w:styleId="44">
    <w:name w:val="标题 7 字符"/>
    <w:link w:val="7"/>
    <w:semiHidden/>
    <w:qFormat/>
    <w:locked/>
    <w:uiPriority w:val="99"/>
    <w:rPr>
      <w:rFonts w:ascii="仿宋_GB2312" w:hAnsi="仿宋_GB2312" w:eastAsia="仿宋_GB2312" w:cs="仿宋_GB2312"/>
      <w:b/>
      <w:bCs/>
      <w:kern w:val="2"/>
      <w:sz w:val="24"/>
      <w:szCs w:val="24"/>
    </w:rPr>
  </w:style>
  <w:style w:type="character" w:customStyle="1" w:styleId="45">
    <w:name w:val="apple-converted-space"/>
    <w:qFormat/>
    <w:uiPriority w:val="99"/>
    <w:rPr>
      <w:rFonts w:cs="Times New Roman"/>
    </w:rPr>
  </w:style>
  <w:style w:type="character" w:customStyle="1" w:styleId="46">
    <w:name w:val="Body Text Indent 2 Char"/>
    <w:qFormat/>
    <w:locked/>
    <w:uiPriority w:val="99"/>
    <w:rPr>
      <w:rFonts w:ascii="Calibri" w:hAnsi="Calibri" w:eastAsia="Simang"/>
      <w:kern w:val="2"/>
      <w:sz w:val="24"/>
    </w:rPr>
  </w:style>
  <w:style w:type="character" w:customStyle="1" w:styleId="47">
    <w:name w:val="Body Text Char"/>
    <w:qFormat/>
    <w:locked/>
    <w:uiPriority w:val="99"/>
    <w:rPr>
      <w:rFonts w:ascii="Calibri" w:hAnsi="Calibri" w:eastAsia="Simang"/>
      <w:kern w:val="2"/>
      <w:sz w:val="24"/>
    </w:rPr>
  </w:style>
  <w:style w:type="character" w:customStyle="1" w:styleId="48">
    <w:name w:val="Footer Char"/>
    <w:qFormat/>
    <w:locked/>
    <w:uiPriority w:val="99"/>
    <w:rPr>
      <w:kern w:val="2"/>
      <w:sz w:val="18"/>
    </w:rPr>
  </w:style>
  <w:style w:type="character" w:customStyle="1" w:styleId="49">
    <w:name w:val="Header Char"/>
    <w:qFormat/>
    <w:locked/>
    <w:uiPriority w:val="99"/>
    <w:rPr>
      <w:kern w:val="2"/>
      <w:sz w:val="18"/>
    </w:rPr>
  </w:style>
  <w:style w:type="character" w:customStyle="1" w:styleId="50">
    <w:name w:val="正文文本 字符"/>
    <w:link w:val="12"/>
    <w:semiHidden/>
    <w:qFormat/>
    <w:locked/>
    <w:uiPriority w:val="99"/>
    <w:rPr>
      <w:rFonts w:ascii="仿宋_GB2312" w:hAnsi="仿宋_GB2312" w:eastAsia="仿宋_GB2312" w:cs="仿宋_GB2312"/>
      <w:sz w:val="28"/>
      <w:szCs w:val="28"/>
    </w:rPr>
  </w:style>
  <w:style w:type="character" w:customStyle="1" w:styleId="51">
    <w:name w:val="页眉 字符"/>
    <w:link w:val="21"/>
    <w:semiHidden/>
    <w:qFormat/>
    <w:locked/>
    <w:uiPriority w:val="99"/>
    <w:rPr>
      <w:rFonts w:ascii="仿宋_GB2312" w:hAnsi="仿宋_GB2312" w:eastAsia="仿宋_GB2312" w:cs="仿宋_GB2312"/>
      <w:sz w:val="18"/>
      <w:szCs w:val="18"/>
    </w:rPr>
  </w:style>
  <w:style w:type="character" w:customStyle="1" w:styleId="52">
    <w:name w:val="页脚 字符"/>
    <w:link w:val="20"/>
    <w:qFormat/>
    <w:locked/>
    <w:uiPriority w:val="99"/>
    <w:rPr>
      <w:rFonts w:ascii="仿宋_GB2312" w:hAnsi="仿宋_GB2312" w:eastAsia="仿宋_GB2312" w:cs="仿宋_GB2312"/>
      <w:sz w:val="18"/>
      <w:szCs w:val="18"/>
    </w:rPr>
  </w:style>
  <w:style w:type="character" w:customStyle="1" w:styleId="53">
    <w:name w:val="批注框文本 字符"/>
    <w:link w:val="19"/>
    <w:semiHidden/>
    <w:qFormat/>
    <w:locked/>
    <w:uiPriority w:val="99"/>
    <w:rPr>
      <w:rFonts w:ascii="仿宋_GB2312" w:hAnsi="仿宋_GB2312" w:eastAsia="仿宋_GB2312" w:cs="仿宋_GB2312"/>
      <w:sz w:val="2"/>
    </w:rPr>
  </w:style>
  <w:style w:type="character" w:customStyle="1" w:styleId="54">
    <w:name w:val="正文文本缩进 2 字符"/>
    <w:link w:val="17"/>
    <w:semiHidden/>
    <w:qFormat/>
    <w:locked/>
    <w:uiPriority w:val="99"/>
    <w:rPr>
      <w:rFonts w:ascii="仿宋_GB2312" w:hAnsi="仿宋_GB2312" w:eastAsia="仿宋_GB2312" w:cs="仿宋_GB2312"/>
      <w:sz w:val="28"/>
      <w:szCs w:val="28"/>
    </w:rPr>
  </w:style>
  <w:style w:type="paragraph" w:customStyle="1" w:styleId="55">
    <w:name w:val="Char Char Char Char Char Char Char"/>
    <w:basedOn w:val="1"/>
    <w:qFormat/>
    <w:uiPriority w:val="99"/>
    <w:rPr>
      <w:sz w:val="30"/>
      <w:szCs w:val="21"/>
    </w:rPr>
  </w:style>
  <w:style w:type="paragraph" w:customStyle="1" w:styleId="56">
    <w:name w:val="Char"/>
    <w:basedOn w:val="1"/>
    <w:next w:val="1"/>
    <w:qFormat/>
    <w:uiPriority w:val="99"/>
    <w:pPr>
      <w:widowControl/>
      <w:spacing w:after="160" w:line="240" w:lineRule="exact"/>
      <w:jc w:val="left"/>
    </w:pPr>
    <w:rPr>
      <w:rFonts w:ascii="Verdana" w:hAnsi="Verdana"/>
      <w:kern w:val="0"/>
      <w:sz w:val="20"/>
      <w:szCs w:val="20"/>
      <w:lang w:eastAsia="en-US"/>
    </w:rPr>
  </w:style>
  <w:style w:type="paragraph" w:styleId="57">
    <w:name w:val="List Paragraph"/>
    <w:basedOn w:val="1"/>
    <w:qFormat/>
    <w:uiPriority w:val="99"/>
    <w:pPr>
      <w:ind w:firstLine="420"/>
    </w:pPr>
    <w:rPr>
      <w:rFonts w:ascii="Calibri" w:hAnsi="Calibri" w:cs="Calibri"/>
      <w:szCs w:val="21"/>
    </w:rPr>
  </w:style>
  <w:style w:type="paragraph" w:customStyle="1" w:styleId="58">
    <w:name w:val="Char Char2 Char Char Char Char Char Char Char Char Char Char Char Char"/>
    <w:basedOn w:val="1"/>
    <w:qFormat/>
    <w:uiPriority w:val="99"/>
    <w:rPr>
      <w:rFonts w:ascii="Arial" w:hAnsi="Arial" w:cs="Arial"/>
      <w:sz w:val="20"/>
      <w:szCs w:val="20"/>
    </w:rPr>
  </w:style>
  <w:style w:type="paragraph" w:customStyle="1" w:styleId="59">
    <w:name w:val="_Style 3"/>
    <w:basedOn w:val="1"/>
    <w:qFormat/>
    <w:uiPriority w:val="99"/>
    <w:pPr>
      <w:ind w:firstLine="420"/>
    </w:pPr>
    <w:rPr>
      <w:rFonts w:ascii="Calibri" w:hAnsi="Calibri" w:cs="Calibri"/>
      <w:szCs w:val="21"/>
    </w:rPr>
  </w:style>
  <w:style w:type="character" w:customStyle="1" w:styleId="60">
    <w:name w:val="脚注文本 字符1"/>
    <w:link w:val="24"/>
    <w:qFormat/>
    <w:locked/>
    <w:uiPriority w:val="99"/>
    <w:rPr>
      <w:rFonts w:cs="Times New Roman"/>
      <w:kern w:val="2"/>
      <w:sz w:val="18"/>
    </w:rPr>
  </w:style>
  <w:style w:type="character" w:customStyle="1" w:styleId="61">
    <w:name w:val="日期 字符"/>
    <w:link w:val="16"/>
    <w:qFormat/>
    <w:locked/>
    <w:uiPriority w:val="99"/>
    <w:rPr>
      <w:rFonts w:cs="Times New Roman"/>
      <w:kern w:val="2"/>
      <w:sz w:val="24"/>
    </w:rPr>
  </w:style>
  <w:style w:type="paragraph" w:customStyle="1" w:styleId="62">
    <w:name w:val="font0"/>
    <w:basedOn w:val="1"/>
    <w:qFormat/>
    <w:uiPriority w:val="99"/>
    <w:pPr>
      <w:widowControl/>
      <w:spacing w:before="100" w:beforeAutospacing="1" w:after="100" w:afterAutospacing="1"/>
      <w:jc w:val="left"/>
    </w:pPr>
    <w:rPr>
      <w:rFonts w:ascii="Simang" w:hAnsi="Simang" w:cs="Simang"/>
      <w:kern w:val="0"/>
      <w:sz w:val="24"/>
    </w:rPr>
  </w:style>
  <w:style w:type="paragraph" w:customStyle="1" w:styleId="63">
    <w:name w:val="font5"/>
    <w:basedOn w:val="1"/>
    <w:qFormat/>
    <w:uiPriority w:val="99"/>
    <w:pPr>
      <w:widowControl/>
      <w:spacing w:before="100" w:beforeAutospacing="1" w:after="100" w:afterAutospacing="1"/>
      <w:jc w:val="left"/>
    </w:pPr>
    <w:rPr>
      <w:rFonts w:ascii="Simang" w:hAnsi="Simang" w:cs="Simang"/>
      <w:kern w:val="0"/>
      <w:sz w:val="18"/>
      <w:szCs w:val="18"/>
    </w:rPr>
  </w:style>
  <w:style w:type="paragraph" w:customStyle="1" w:styleId="64">
    <w:name w:val="xl67"/>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65">
    <w:name w:val="xl68"/>
    <w:basedOn w:val="1"/>
    <w:qFormat/>
    <w:uiPriority w:val="99"/>
    <w:pPr>
      <w:widowControl/>
      <w:spacing w:before="100" w:beforeAutospacing="1" w:after="100" w:afterAutospacing="1"/>
      <w:jc w:val="left"/>
    </w:pPr>
    <w:rPr>
      <w:rFonts w:ascii="Simang" w:hAnsi="Simang" w:cs="Simang"/>
      <w:b/>
      <w:bCs/>
      <w:kern w:val="0"/>
      <w:sz w:val="24"/>
    </w:rPr>
  </w:style>
  <w:style w:type="paragraph" w:customStyle="1" w:styleId="66">
    <w:name w:val="xl69"/>
    <w:basedOn w:val="1"/>
    <w:qFormat/>
    <w:uiPriority w:val="99"/>
    <w:pPr>
      <w:widowControl/>
      <w:spacing w:before="100" w:beforeAutospacing="1" w:after="100" w:afterAutospacing="1"/>
      <w:jc w:val="left"/>
    </w:pPr>
    <w:rPr>
      <w:rFonts w:ascii="Simang" w:hAnsi="Simang" w:cs="Simang"/>
      <w:kern w:val="0"/>
      <w:sz w:val="18"/>
      <w:szCs w:val="18"/>
    </w:rPr>
  </w:style>
  <w:style w:type="paragraph" w:customStyle="1" w:styleId="67">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24"/>
    </w:rPr>
  </w:style>
  <w:style w:type="paragraph" w:customStyle="1" w:styleId="68">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18"/>
      <w:szCs w:val="18"/>
    </w:rPr>
  </w:style>
  <w:style w:type="paragraph" w:customStyle="1" w:styleId="69">
    <w:name w:val="xl72"/>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0">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1">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Simang" w:hAnsi="Simang" w:cs="Simang"/>
      <w:kern w:val="0"/>
      <w:sz w:val="24"/>
    </w:rPr>
  </w:style>
  <w:style w:type="paragraph" w:customStyle="1" w:styleId="72">
    <w:name w:val="xl75"/>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3">
    <w:name w:val="xl76"/>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Simang" w:hAnsi="Simang" w:cs="Simang"/>
      <w:kern w:val="0"/>
      <w:sz w:val="20"/>
      <w:szCs w:val="20"/>
    </w:rPr>
  </w:style>
  <w:style w:type="paragraph" w:customStyle="1" w:styleId="74">
    <w:name w:val="xl77"/>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Simang" w:hAnsi="Simang" w:cs="Simang"/>
      <w:kern w:val="0"/>
      <w:sz w:val="32"/>
      <w:szCs w:val="32"/>
    </w:rPr>
  </w:style>
  <w:style w:type="paragraph" w:customStyle="1" w:styleId="75">
    <w:name w:val="xl7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Simang" w:hAnsi="Simang" w:cs="Simang"/>
      <w:kern w:val="0"/>
      <w:sz w:val="32"/>
      <w:szCs w:val="32"/>
    </w:rPr>
  </w:style>
  <w:style w:type="paragraph" w:customStyle="1" w:styleId="76">
    <w:name w:val="xl7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32"/>
      <w:szCs w:val="32"/>
    </w:rPr>
  </w:style>
  <w:style w:type="paragraph" w:customStyle="1" w:styleId="77">
    <w:name w:val="xl8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Simang" w:hAnsi="Simang" w:cs="Simang"/>
      <w:kern w:val="0"/>
      <w:sz w:val="32"/>
      <w:szCs w:val="32"/>
    </w:rPr>
  </w:style>
  <w:style w:type="paragraph" w:customStyle="1" w:styleId="78">
    <w:name w:val="xl8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Simang" w:hAnsi="Simang" w:cs="Simang"/>
      <w:kern w:val="0"/>
      <w:sz w:val="24"/>
    </w:rPr>
  </w:style>
  <w:style w:type="paragraph" w:customStyle="1" w:styleId="79">
    <w:name w:val="xl82"/>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Simang" w:hAnsi="Simang" w:cs="Simang"/>
      <w:kern w:val="0"/>
      <w:sz w:val="32"/>
      <w:szCs w:val="32"/>
    </w:rPr>
  </w:style>
  <w:style w:type="paragraph" w:customStyle="1" w:styleId="80">
    <w:name w:val="xl83"/>
    <w:basedOn w:val="1"/>
    <w:qFormat/>
    <w:uiPriority w:val="99"/>
    <w:pPr>
      <w:widowControl/>
      <w:pBdr>
        <w:top w:val="single" w:color="auto" w:sz="4" w:space="0"/>
        <w:bottom w:val="single" w:color="auto" w:sz="4" w:space="0"/>
      </w:pBdr>
      <w:spacing w:before="100" w:beforeAutospacing="1" w:after="100" w:afterAutospacing="1"/>
      <w:jc w:val="center"/>
    </w:pPr>
    <w:rPr>
      <w:rFonts w:ascii="Simang" w:hAnsi="Simang" w:cs="Simang"/>
      <w:kern w:val="0"/>
      <w:sz w:val="32"/>
      <w:szCs w:val="32"/>
    </w:rPr>
  </w:style>
  <w:style w:type="paragraph" w:customStyle="1" w:styleId="81">
    <w:name w:val="xl84"/>
    <w:basedOn w:val="1"/>
    <w:qFormat/>
    <w:uiPriority w:val="99"/>
    <w:pPr>
      <w:widowControl/>
      <w:pBdr>
        <w:top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32"/>
      <w:szCs w:val="32"/>
    </w:rPr>
  </w:style>
  <w:style w:type="paragraph" w:customStyle="1" w:styleId="82">
    <w:name w:val="xl85"/>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Simang" w:hAnsi="Simang" w:cs="Simang"/>
      <w:kern w:val="0"/>
      <w:sz w:val="24"/>
    </w:rPr>
  </w:style>
  <w:style w:type="paragraph" w:customStyle="1" w:styleId="83">
    <w:name w:val="xl86"/>
    <w:basedOn w:val="1"/>
    <w:qFormat/>
    <w:uiPriority w:val="99"/>
    <w:pPr>
      <w:widowControl/>
      <w:pBdr>
        <w:top w:val="single" w:color="auto" w:sz="4" w:space="0"/>
        <w:bottom w:val="single" w:color="auto" w:sz="4" w:space="0"/>
      </w:pBdr>
      <w:spacing w:before="100" w:beforeAutospacing="1" w:after="100" w:afterAutospacing="1"/>
      <w:jc w:val="center"/>
      <w:textAlignment w:val="center"/>
    </w:pPr>
    <w:rPr>
      <w:rFonts w:ascii="Simang" w:hAnsi="Simang" w:cs="Simang"/>
      <w:kern w:val="0"/>
      <w:sz w:val="24"/>
    </w:rPr>
  </w:style>
  <w:style w:type="paragraph" w:customStyle="1" w:styleId="84">
    <w:name w:val="xl87"/>
    <w:basedOn w:val="1"/>
    <w:qFormat/>
    <w:uiPriority w:val="99"/>
    <w:pPr>
      <w:widowControl/>
      <w:pBdr>
        <w:top w:val="single" w:color="auto" w:sz="4" w:space="0"/>
        <w:bottom w:val="single" w:color="auto" w:sz="4" w:space="0"/>
        <w:right w:val="single" w:color="auto" w:sz="4" w:space="0"/>
      </w:pBdr>
      <w:spacing w:before="100" w:beforeAutospacing="1" w:after="100" w:afterAutospacing="1"/>
      <w:jc w:val="center"/>
      <w:textAlignment w:val="center"/>
    </w:pPr>
    <w:rPr>
      <w:rFonts w:ascii="Simang" w:hAnsi="Simang" w:cs="Simang"/>
      <w:kern w:val="0"/>
      <w:sz w:val="24"/>
    </w:rPr>
  </w:style>
  <w:style w:type="paragraph" w:customStyle="1" w:styleId="85">
    <w:name w:val="xl88"/>
    <w:basedOn w:val="1"/>
    <w:qFormat/>
    <w:uiPriority w:val="99"/>
    <w:pPr>
      <w:widowControl/>
      <w:spacing w:before="100" w:beforeAutospacing="1" w:after="100" w:afterAutospacing="1"/>
      <w:jc w:val="center"/>
    </w:pPr>
    <w:rPr>
      <w:rFonts w:ascii="Courier New" w:hAnsi="Courier New" w:cs="Courier New"/>
      <w:b/>
      <w:bCs/>
      <w:kern w:val="0"/>
      <w:sz w:val="40"/>
      <w:szCs w:val="40"/>
    </w:rPr>
  </w:style>
  <w:style w:type="paragraph" w:customStyle="1" w:styleId="86">
    <w:name w:val="xl89"/>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pPr>
    <w:rPr>
      <w:rFonts w:ascii="Simang" w:hAnsi="Simang" w:cs="Simang"/>
      <w:kern w:val="0"/>
      <w:sz w:val="24"/>
    </w:rPr>
  </w:style>
  <w:style w:type="paragraph" w:customStyle="1" w:styleId="87">
    <w:name w:val="xl90"/>
    <w:basedOn w:val="1"/>
    <w:qFormat/>
    <w:uiPriority w:val="99"/>
    <w:pPr>
      <w:widowControl/>
      <w:pBdr>
        <w:left w:val="single" w:color="auto" w:sz="4" w:space="0"/>
        <w:bottom w:val="single" w:color="auto" w:sz="4" w:space="0"/>
        <w:right w:val="single" w:color="auto" w:sz="4" w:space="0"/>
      </w:pBdr>
      <w:spacing w:before="100" w:beforeAutospacing="1" w:after="100" w:afterAutospacing="1"/>
      <w:jc w:val="center"/>
    </w:pPr>
    <w:rPr>
      <w:rFonts w:ascii="Simang" w:hAnsi="Simang" w:cs="Simang"/>
      <w:kern w:val="0"/>
      <w:sz w:val="24"/>
    </w:rPr>
  </w:style>
  <w:style w:type="character" w:customStyle="1" w:styleId="88">
    <w:name w:val="font121"/>
    <w:qFormat/>
    <w:uiPriority w:val="99"/>
    <w:rPr>
      <w:rFonts w:ascii="仿宋_GB2312" w:eastAsia="仿宋_GB2312"/>
      <w:b/>
      <w:color w:val="000000"/>
      <w:sz w:val="24"/>
      <w:u w:val="none"/>
    </w:rPr>
  </w:style>
  <w:style w:type="character" w:customStyle="1" w:styleId="89">
    <w:name w:val="文档结构图 字符"/>
    <w:link w:val="11"/>
    <w:qFormat/>
    <w:locked/>
    <w:uiPriority w:val="99"/>
    <w:rPr>
      <w:rFonts w:ascii="Simang" w:cs="Times New Roman"/>
      <w:kern w:val="2"/>
      <w:sz w:val="24"/>
    </w:rPr>
  </w:style>
  <w:style w:type="character" w:customStyle="1" w:styleId="90">
    <w:name w:val="标题 字符"/>
    <w:link w:val="29"/>
    <w:qFormat/>
    <w:locked/>
    <w:uiPriority w:val="99"/>
    <w:rPr>
      <w:rFonts w:ascii="仿宋_GB2312" w:hAnsi="仿宋_GB2312" w:eastAsia="仿宋_GB2312" w:cs="仿宋_GB2312"/>
      <w:b/>
      <w:bCs/>
      <w:kern w:val="2"/>
      <w:sz w:val="32"/>
      <w:szCs w:val="32"/>
    </w:rPr>
  </w:style>
  <w:style w:type="character" w:customStyle="1" w:styleId="91">
    <w:name w:val="批注文字 字符"/>
    <w:link w:val="9"/>
    <w:semiHidden/>
    <w:qFormat/>
    <w:locked/>
    <w:uiPriority w:val="99"/>
    <w:rPr>
      <w:rFonts w:ascii="仿宋_GB2312" w:hAnsi="仿宋_GB2312" w:eastAsia="仿宋_GB2312" w:cs="仿宋_GB2312"/>
      <w:sz w:val="28"/>
      <w:szCs w:val="28"/>
    </w:rPr>
  </w:style>
  <w:style w:type="character" w:customStyle="1" w:styleId="92">
    <w:name w:val="批注主题 字符"/>
    <w:link w:val="8"/>
    <w:semiHidden/>
    <w:qFormat/>
    <w:locked/>
    <w:uiPriority w:val="99"/>
    <w:rPr>
      <w:rFonts w:ascii="仿宋_GB2312" w:hAnsi="仿宋_GB2312" w:eastAsia="仿宋_GB2312" w:cs="仿宋_GB2312"/>
      <w:b/>
      <w:bCs/>
      <w:sz w:val="28"/>
      <w:szCs w:val="28"/>
    </w:rPr>
  </w:style>
  <w:style w:type="paragraph" w:customStyle="1" w:styleId="93">
    <w:name w:val="修订1"/>
    <w:hidden/>
    <w:semiHidden/>
    <w:qFormat/>
    <w:uiPriority w:val="99"/>
    <w:rPr>
      <w:rFonts w:ascii="仿宋_GB2312" w:hAnsi="仿宋_GB2312" w:eastAsia="仿宋_GB2312" w:cs="仿宋_GB2312"/>
      <w:kern w:val="2"/>
      <w:sz w:val="28"/>
      <w:szCs w:val="28"/>
      <w:lang w:val="en-US" w:eastAsia="zh-CN" w:bidi="ar-SA"/>
    </w:rPr>
  </w:style>
  <w:style w:type="table" w:customStyle="1" w:styleId="94">
    <w:name w:val="网格型1"/>
    <w:basedOn w:val="37"/>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table" w:customStyle="1" w:styleId="95">
    <w:name w:val="网格型11"/>
    <w:basedOn w:val="37"/>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6">
    <w:name w:val="脚注文本 字符"/>
    <w:qFormat/>
    <w:uiPriority w:val="0"/>
    <w:rPr>
      <w:bCs/>
      <w:kern w:val="2"/>
      <w:sz w:val="18"/>
      <w:szCs w:val="18"/>
    </w:rPr>
  </w:style>
  <w:style w:type="character" w:customStyle="1" w:styleId="97">
    <w:name w:val="尾注文本 字符"/>
    <w:basedOn w:val="30"/>
    <w:link w:val="18"/>
    <w:semiHidden/>
    <w:qFormat/>
    <w:uiPriority w:val="99"/>
    <w:rPr>
      <w:rFonts w:ascii="仿宋_GB2312" w:hAnsi="仿宋_GB2312" w:eastAsia="仿宋_GB2312" w:cs="仿宋_GB2312"/>
      <w:kern w:val="2"/>
      <w:sz w:val="28"/>
      <w:szCs w:val="28"/>
    </w:rPr>
  </w:style>
  <w:style w:type="paragraph" w:customStyle="1" w:styleId="98">
    <w:name w:val="Char Char Char Char Char Char Char Char Char"/>
    <w:basedOn w:val="1"/>
    <w:qFormat/>
    <w:uiPriority w:val="0"/>
    <w:pPr>
      <w:adjustRightInd w:val="0"/>
      <w:snapToGrid w:val="0"/>
      <w:spacing w:before="120" w:line="360" w:lineRule="auto"/>
      <w:contextualSpacing w:val="0"/>
    </w:pPr>
    <w:rPr>
      <w:rFonts w:ascii="Times New Roman" w:hAnsi="Times New Roman" w:eastAsia="宋体" w:cs="Times New Roman"/>
      <w:bCs/>
      <w:szCs w:val="30"/>
    </w:rPr>
  </w:style>
  <w:style w:type="paragraph" w:customStyle="1" w:styleId="99">
    <w:name w:val="列出段落11"/>
    <w:basedOn w:val="1"/>
    <w:qFormat/>
    <w:uiPriority w:val="99"/>
    <w:pPr>
      <w:ind w:firstLine="420"/>
    </w:pPr>
    <w:rPr>
      <w:rFonts w:cs="宋体"/>
      <w:szCs w:val="21"/>
    </w:rPr>
  </w:style>
  <w:style w:type="character" w:customStyle="1" w:styleId="100">
    <w:name w:val="font31"/>
    <w:basedOn w:val="30"/>
    <w:qFormat/>
    <w:uiPriority w:val="0"/>
    <w:rPr>
      <w:rFonts w:hint="eastAsia" w:ascii="仿宋_GB2312" w:eastAsia="仿宋_GB2312" w:cs="仿宋_GB2312"/>
      <w:color w:val="000000"/>
      <w:sz w:val="22"/>
      <w:szCs w:val="22"/>
      <w:u w:val="none"/>
    </w:rPr>
  </w:style>
  <w:style w:type="character" w:customStyle="1" w:styleId="101">
    <w:name w:val="font21"/>
    <w:basedOn w:val="30"/>
    <w:qFormat/>
    <w:uiPriority w:val="0"/>
    <w:rPr>
      <w:rFonts w:hint="eastAsia" w:ascii="仿宋_GB2312" w:eastAsia="仿宋_GB2312"/>
      <w:b/>
      <w:bCs/>
      <w:color w:val="000000"/>
      <w:sz w:val="24"/>
      <w:szCs w:val="24"/>
      <w:u w:val="none"/>
    </w:rPr>
  </w:style>
  <w:style w:type="character" w:customStyle="1" w:styleId="102">
    <w:name w:val="font11"/>
    <w:basedOn w:val="30"/>
    <w:qFormat/>
    <w:uiPriority w:val="0"/>
    <w:rPr>
      <w:rFonts w:hint="eastAsia" w:ascii="仿宋_GB2312" w:eastAsia="仿宋_GB2312"/>
      <w:color w:val="000000"/>
      <w:sz w:val="24"/>
      <w:szCs w:val="24"/>
      <w:u w:val="none"/>
    </w:rPr>
  </w:style>
  <w:style w:type="character" w:customStyle="1" w:styleId="103">
    <w:name w:val="font01"/>
    <w:basedOn w:val="30"/>
    <w:qFormat/>
    <w:uiPriority w:val="0"/>
    <w:rPr>
      <w:rFonts w:hint="eastAsia" w:ascii="仿宋_GB2312" w:eastAsia="仿宋_GB2312"/>
      <w:b/>
      <w:bCs/>
      <w:i/>
      <w:iCs/>
      <w:color w:val="000000"/>
      <w:sz w:val="21"/>
      <w:szCs w:val="21"/>
      <w:u w:val="none"/>
    </w:rPr>
  </w:style>
  <w:style w:type="character" w:customStyle="1" w:styleId="104">
    <w:name w:val="font41"/>
    <w:basedOn w:val="30"/>
    <w:qFormat/>
    <w:uiPriority w:val="0"/>
    <w:rPr>
      <w:rFonts w:hint="eastAsia" w:ascii="仿宋_GB2312" w:eastAsia="仿宋_GB2312" w:cs="仿宋_GB2312"/>
      <w:color w:val="000000"/>
      <w:sz w:val="20"/>
      <w:szCs w:val="20"/>
      <w:u w:val="none"/>
    </w:rPr>
  </w:style>
  <w:style w:type="character" w:customStyle="1" w:styleId="105">
    <w:name w:val="font61"/>
    <w:basedOn w:val="30"/>
    <w:qFormat/>
    <w:uiPriority w:val="0"/>
    <w:rPr>
      <w:rFonts w:hint="eastAsia" w:ascii="仿宋_GB2312" w:eastAsia="仿宋_GB2312" w:cs="仿宋_GB2312"/>
      <w:color w:val="000000"/>
      <w:sz w:val="20"/>
      <w:szCs w:val="20"/>
      <w:u w:val="none"/>
    </w:rPr>
  </w:style>
  <w:style w:type="character" w:customStyle="1" w:styleId="106">
    <w:name w:val="font91"/>
    <w:basedOn w:val="30"/>
    <w:qFormat/>
    <w:uiPriority w:val="0"/>
    <w:rPr>
      <w:rFonts w:hint="eastAsia" w:ascii="宋体" w:hAnsi="宋体" w:eastAsia="宋体" w:cs="宋体"/>
      <w:color w:val="000000"/>
      <w:sz w:val="20"/>
      <w:szCs w:val="20"/>
      <w:u w:val="none"/>
    </w:rPr>
  </w:style>
  <w:style w:type="paragraph" w:customStyle="1" w:styleId="107">
    <w:name w:val="正文2"/>
    <w:qFormat/>
    <w:uiPriority w:val="0"/>
    <w:pPr>
      <w:jc w:val="both"/>
    </w:pPr>
    <w:rPr>
      <w:rFonts w:ascii="Times New Roman" w:hAnsi="Times New Roman" w:eastAsia="宋体" w:cs="Times New Roman"/>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3.png"/><Relationship Id="rId2" Type="http://schemas.openxmlformats.org/officeDocument/2006/relationships/settings" Target="settings.xml"/><Relationship Id="rId19" Type="http://schemas.openxmlformats.org/officeDocument/2006/relationships/image" Target="media/image2.jpeg"/><Relationship Id="rId18" Type="http://schemas.openxmlformats.org/officeDocument/2006/relationships/image" Target="media/image1.jpeg"/><Relationship Id="rId17" Type="http://schemas.openxmlformats.org/officeDocument/2006/relationships/theme" Target="theme/theme1.xml"/><Relationship Id="rId16" Type="http://schemas.openxmlformats.org/officeDocument/2006/relationships/footer" Target="footer8.xml"/><Relationship Id="rId15" Type="http://schemas.openxmlformats.org/officeDocument/2006/relationships/header" Target="header5.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0A9F2ED-B423-4753-90E6-8832D2BEE480}">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236</Pages>
  <Words>107182</Words>
  <Characters>117611</Characters>
  <Lines>317</Lines>
  <Paragraphs>89</Paragraphs>
  <TotalTime>0</TotalTime>
  <ScaleCrop>false</ScaleCrop>
  <LinksUpToDate>false</LinksUpToDate>
  <CharactersWithSpaces>118141</CharactersWithSpaces>
  <Application>WPS Office_10.8.2.7119_F1E327BC-269C-435d-A152-05C5408002CA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2020-06-28T08:47:00Z</dcterms:created>
  <dc:creator>俞宙</dc:creator>
  <cp:lastModifiedBy>cmcz</cp:lastModifiedBy>
  <cp:lastPrinted>2017-06-05T03:00:00Z</cp:lastPrinted>
  <dcterms:modified xsi:type="dcterms:W3CDTF">2023-11-22T06:51:18Z</dcterms:modified>
  <dc:title>上海市崇明区财政项目支出绩效评价</dc:title>
  <cp:revision>171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2052-10.8.2.7119</vt:lpwstr>
  </property>
  <property fmtid="{D5CDD505-2E9C-101B-9397-08002B2CF9AE}" pid="3" name="ICV">
    <vt:lpwstr>3001E9CF594D4C87A149CF9FE87FC426_13</vt:lpwstr>
  </property>
</Properties>
</file>