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00" w:lineRule="auto"/>
        <w:ind w:right="86" w:rightChars="31" w:firstLine="0" w:firstLineChars="0"/>
      </w:pPr>
    </w:p>
    <w:p>
      <w:pPr>
        <w:snapToGrid w:val="0"/>
        <w:spacing w:line="300" w:lineRule="auto"/>
        <w:ind w:right="86" w:rightChars="31" w:firstLine="0" w:firstLineChars="0"/>
        <w:jc w:val="center"/>
      </w:pPr>
    </w:p>
    <w:p>
      <w:pPr>
        <w:snapToGrid w:val="0"/>
        <w:spacing w:line="300" w:lineRule="auto"/>
        <w:ind w:right="86" w:rightChars="31" w:firstLine="0" w:firstLineChars="0"/>
        <w:jc w:val="center"/>
      </w:pPr>
    </w:p>
    <w:p>
      <w:pPr>
        <w:snapToGrid w:val="0"/>
        <w:spacing w:line="300" w:lineRule="auto"/>
        <w:ind w:right="86" w:rightChars="31" w:firstLine="0" w:firstLineChars="0"/>
        <w:jc w:val="center"/>
      </w:pPr>
    </w:p>
    <w:p>
      <w:pPr>
        <w:snapToGrid w:val="0"/>
        <w:spacing w:line="300" w:lineRule="auto"/>
        <w:ind w:right="86" w:rightChars="31" w:firstLine="0" w:firstLineChars="0"/>
        <w:jc w:val="center"/>
      </w:pPr>
    </w:p>
    <w:p>
      <w:pPr>
        <w:snapToGrid w:val="0"/>
        <w:spacing w:line="300" w:lineRule="auto"/>
        <w:ind w:right="86" w:rightChars="31" w:firstLine="0" w:firstLineChars="0"/>
        <w:jc w:val="center"/>
      </w:pPr>
    </w:p>
    <w:p>
      <w:pPr>
        <w:snapToGrid w:val="0"/>
        <w:spacing w:line="300" w:lineRule="auto"/>
        <w:ind w:right="86" w:rightChars="31" w:firstLine="0" w:firstLineChars="0"/>
        <w:jc w:val="center"/>
        <w:rPr>
          <w:rFonts w:hint="eastAsia" w:ascii="黑体" w:hAnsi="黑体" w:eastAsia="黑体"/>
          <w:sz w:val="44"/>
          <w:szCs w:val="44"/>
          <w:lang w:eastAsia="zh-CN"/>
        </w:rPr>
      </w:pPr>
      <w:r>
        <w:rPr>
          <w:rFonts w:hint="eastAsia" w:ascii="黑体" w:hAnsi="黑体" w:eastAsia="黑体"/>
          <w:sz w:val="56"/>
          <w:szCs w:val="56"/>
        </w:rPr>
        <w:t>崇明区财政</w:t>
      </w:r>
      <w:r>
        <w:rPr>
          <w:rFonts w:hint="eastAsia" w:ascii="黑体" w:hAnsi="黑体" w:eastAsia="黑体"/>
          <w:sz w:val="56"/>
          <w:szCs w:val="56"/>
          <w:lang w:val="en-US" w:eastAsia="zh-CN"/>
        </w:rPr>
        <w:t>项目</w:t>
      </w:r>
      <w:r>
        <w:rPr>
          <w:rFonts w:hint="eastAsia" w:ascii="黑体" w:hAnsi="黑体" w:eastAsia="黑体"/>
          <w:sz w:val="56"/>
          <w:szCs w:val="56"/>
        </w:rPr>
        <w:t>支出绩效评价</w:t>
      </w:r>
      <w:r>
        <w:rPr>
          <w:rFonts w:hint="eastAsia" w:ascii="黑体" w:hAnsi="黑体" w:eastAsia="黑体"/>
          <w:sz w:val="56"/>
          <w:szCs w:val="56"/>
          <w:lang w:val="en-US" w:eastAsia="zh-CN"/>
        </w:rPr>
        <w:t>报告</w:t>
      </w:r>
    </w:p>
    <w:p>
      <w:pPr>
        <w:snapToGrid w:val="0"/>
        <w:spacing w:line="300" w:lineRule="auto"/>
        <w:ind w:right="86" w:rightChars="31" w:firstLine="0" w:firstLineChars="0"/>
        <w:jc w:val="center"/>
        <w:rPr>
          <w:rFonts w:hAnsi="黑体"/>
        </w:rPr>
      </w:pPr>
    </w:p>
    <w:p>
      <w:pPr>
        <w:snapToGrid w:val="0"/>
        <w:spacing w:line="300" w:lineRule="auto"/>
        <w:ind w:right="86" w:rightChars="31" w:firstLine="0" w:firstLineChars="0"/>
        <w:jc w:val="center"/>
        <w:rPr>
          <w:rFonts w:hAnsi="黑体"/>
        </w:rPr>
      </w:pPr>
    </w:p>
    <w:p>
      <w:pPr>
        <w:snapToGrid w:val="0"/>
        <w:spacing w:line="300" w:lineRule="auto"/>
        <w:ind w:right="86" w:rightChars="31" w:firstLine="0" w:firstLineChars="0"/>
        <w:jc w:val="center"/>
        <w:rPr>
          <w:rFonts w:hAnsi="黑体"/>
        </w:rPr>
      </w:pPr>
    </w:p>
    <w:p>
      <w:pPr>
        <w:snapToGrid w:val="0"/>
        <w:spacing w:line="300" w:lineRule="auto"/>
        <w:ind w:right="86" w:rightChars="31" w:firstLine="0" w:firstLineChars="0"/>
        <w:jc w:val="center"/>
        <w:rPr>
          <w:rFonts w:hAnsi="黑体"/>
        </w:rPr>
      </w:pPr>
    </w:p>
    <w:p>
      <w:pPr>
        <w:snapToGrid w:val="0"/>
        <w:spacing w:line="300" w:lineRule="auto"/>
        <w:ind w:right="86" w:rightChars="31" w:firstLine="0" w:firstLineChars="0"/>
        <w:rPr>
          <w:rFonts w:hAnsi="黑体"/>
        </w:rPr>
      </w:pPr>
    </w:p>
    <w:tbl>
      <w:tblPr>
        <w:tblStyle w:val="37"/>
        <w:tblW w:w="8688" w:type="dxa"/>
        <w:tblInd w:w="860" w:type="dxa"/>
        <w:tblLayout w:type="fixed"/>
        <w:tblCellMar>
          <w:top w:w="0" w:type="dxa"/>
          <w:left w:w="108" w:type="dxa"/>
          <w:bottom w:w="0" w:type="dxa"/>
          <w:right w:w="108" w:type="dxa"/>
        </w:tblCellMar>
      </w:tblPr>
      <w:tblGrid>
        <w:gridCol w:w="2352"/>
        <w:gridCol w:w="6336"/>
      </w:tblGrid>
      <w:tr>
        <w:tblPrEx>
          <w:tblLayout w:type="fixed"/>
          <w:tblCellMar>
            <w:top w:w="0" w:type="dxa"/>
            <w:left w:w="108" w:type="dxa"/>
            <w:bottom w:w="0" w:type="dxa"/>
            <w:right w:w="108" w:type="dxa"/>
          </w:tblCellMar>
        </w:tblPrEx>
        <w:trPr>
          <w:trHeight w:val="284"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hint="eastAsia" w:ascii="Times New Roman" w:hAnsi="Times New Roman" w:eastAsia="黑体" w:cs="Times New Roman"/>
                <w:sz w:val="30"/>
                <w:szCs w:val="30"/>
              </w:rPr>
              <w:t>项目支出</w:t>
            </w:r>
            <w:r>
              <w:rPr>
                <w:rFonts w:ascii="Times New Roman" w:hAnsi="Times New Roman" w:eastAsia="黑体" w:cs="Times New Roman"/>
                <w:sz w:val="30"/>
                <w:szCs w:val="30"/>
              </w:rPr>
              <w:t>名称：</w:t>
            </w:r>
          </w:p>
        </w:tc>
        <w:tc>
          <w:tcPr>
            <w:tcW w:w="6336" w:type="dxa"/>
          </w:tcPr>
          <w:p>
            <w:pPr>
              <w:spacing w:line="500" w:lineRule="exact"/>
              <w:ind w:firstLine="0" w:firstLineChars="0"/>
              <w:contextualSpacing w:val="0"/>
              <w:jc w:val="left"/>
              <w:rPr>
                <w:rFonts w:ascii="Times New Roman" w:hAnsi="Times New Roman" w:eastAsia="黑体" w:cs="Times New Roman"/>
                <w:sz w:val="30"/>
                <w:szCs w:val="30"/>
              </w:rPr>
            </w:pPr>
            <w:r>
              <w:rPr>
                <w:rFonts w:hint="eastAsia" w:ascii="Times New Roman" w:hAnsi="Times New Roman" w:eastAsia="黑体" w:cs="Times New Roman"/>
                <w:sz w:val="30"/>
                <w:szCs w:val="30"/>
                <w:lang w:eastAsia="zh-CN"/>
              </w:rPr>
              <w:t>2022年福利彩票公益金支出</w:t>
            </w:r>
            <w:r>
              <w:rPr>
                <w:rFonts w:hint="eastAsia" w:ascii="Times New Roman" w:hAnsi="Times New Roman" w:eastAsia="黑体" w:cs="Times New Roman"/>
                <w:sz w:val="30"/>
                <w:szCs w:val="30"/>
              </w:rPr>
              <w:t>项目支出</w:t>
            </w:r>
          </w:p>
        </w:tc>
      </w:tr>
      <w:tr>
        <w:tblPrEx>
          <w:tblLayout w:type="fixed"/>
          <w:tblCellMar>
            <w:top w:w="0" w:type="dxa"/>
            <w:left w:w="108" w:type="dxa"/>
            <w:bottom w:w="0" w:type="dxa"/>
            <w:right w:w="108" w:type="dxa"/>
          </w:tblCellMar>
        </w:tblPrEx>
        <w:trPr>
          <w:trHeight w:val="284"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预算单位：</w:t>
            </w:r>
          </w:p>
        </w:tc>
        <w:tc>
          <w:tcPr>
            <w:tcW w:w="6336" w:type="dxa"/>
            <w:vAlign w:val="top"/>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上海市</w:t>
            </w:r>
            <w:r>
              <w:rPr>
                <w:rFonts w:hint="eastAsia" w:ascii="Times New Roman" w:hAnsi="Times New Roman" w:eastAsia="黑体" w:cs="Times New Roman"/>
                <w:sz w:val="30"/>
                <w:szCs w:val="30"/>
                <w:lang w:eastAsia="zh-CN"/>
              </w:rPr>
              <w:t>崇明区民政局</w:t>
            </w:r>
          </w:p>
        </w:tc>
      </w:tr>
      <w:tr>
        <w:tblPrEx>
          <w:tblLayout w:type="fixed"/>
          <w:tblCellMar>
            <w:top w:w="0" w:type="dxa"/>
            <w:left w:w="108" w:type="dxa"/>
            <w:bottom w:w="0" w:type="dxa"/>
            <w:right w:w="108" w:type="dxa"/>
          </w:tblCellMar>
        </w:tblPrEx>
        <w:trPr>
          <w:trHeight w:val="284"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预算主管部门：</w:t>
            </w:r>
          </w:p>
        </w:tc>
        <w:tc>
          <w:tcPr>
            <w:tcW w:w="6336" w:type="dxa"/>
            <w:vAlign w:val="top"/>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上海市</w:t>
            </w:r>
            <w:r>
              <w:rPr>
                <w:rFonts w:hint="eastAsia" w:ascii="Times New Roman" w:hAnsi="Times New Roman" w:eastAsia="黑体" w:cs="Times New Roman"/>
                <w:sz w:val="30"/>
                <w:szCs w:val="30"/>
                <w:lang w:eastAsia="zh-CN"/>
              </w:rPr>
              <w:t>崇明区民政局</w:t>
            </w:r>
          </w:p>
        </w:tc>
      </w:tr>
      <w:tr>
        <w:tblPrEx>
          <w:tblLayout w:type="fixed"/>
          <w:tblCellMar>
            <w:top w:w="0" w:type="dxa"/>
            <w:left w:w="108" w:type="dxa"/>
            <w:bottom w:w="0" w:type="dxa"/>
            <w:right w:w="108" w:type="dxa"/>
          </w:tblCellMar>
        </w:tblPrEx>
        <w:trPr>
          <w:trHeight w:val="284"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委托</w:t>
            </w:r>
            <w:r>
              <w:rPr>
                <w:rFonts w:hint="eastAsia" w:ascii="Times New Roman" w:hAnsi="Times New Roman" w:eastAsia="黑体" w:cs="Times New Roman"/>
                <w:sz w:val="30"/>
                <w:szCs w:val="30"/>
              </w:rPr>
              <w:t>部门</w:t>
            </w:r>
            <w:r>
              <w:rPr>
                <w:rFonts w:ascii="Times New Roman" w:hAnsi="Times New Roman" w:eastAsia="黑体" w:cs="Times New Roman"/>
                <w:sz w:val="30"/>
                <w:szCs w:val="30"/>
              </w:rPr>
              <w:t>：</w:t>
            </w:r>
          </w:p>
        </w:tc>
        <w:tc>
          <w:tcPr>
            <w:tcW w:w="6336"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上海市崇明区财政局</w:t>
            </w:r>
          </w:p>
        </w:tc>
      </w:tr>
      <w:tr>
        <w:tblPrEx>
          <w:tblLayout w:type="fixed"/>
          <w:tblCellMar>
            <w:top w:w="0" w:type="dxa"/>
            <w:left w:w="108" w:type="dxa"/>
            <w:bottom w:w="0" w:type="dxa"/>
            <w:right w:w="108" w:type="dxa"/>
          </w:tblCellMar>
        </w:tblPrEx>
        <w:trPr>
          <w:trHeight w:val="487"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评价机构：</w:t>
            </w:r>
          </w:p>
        </w:tc>
        <w:tc>
          <w:tcPr>
            <w:tcW w:w="6336" w:type="dxa"/>
          </w:tcPr>
          <w:p>
            <w:pPr>
              <w:spacing w:line="500" w:lineRule="exact"/>
              <w:ind w:firstLine="0" w:firstLineChars="0"/>
              <w:contextualSpacing w:val="0"/>
              <w:jc w:val="left"/>
              <w:rPr>
                <w:rFonts w:ascii="Times New Roman" w:hAnsi="Times New Roman" w:eastAsia="黑体" w:cs="Times New Roman"/>
                <w:sz w:val="30"/>
                <w:szCs w:val="30"/>
              </w:rPr>
            </w:pPr>
            <w:r>
              <w:rPr>
                <w:rFonts w:hint="eastAsia" w:ascii="Times New Roman" w:hAnsi="Times New Roman" w:eastAsia="黑体" w:cs="Times New Roman"/>
                <w:sz w:val="30"/>
                <w:szCs w:val="30"/>
              </w:rPr>
              <w:t>上海首絮维施企业管理咨询有限公司</w:t>
            </w:r>
          </w:p>
        </w:tc>
      </w:tr>
    </w:tbl>
    <w:p>
      <w:pPr>
        <w:snapToGrid w:val="0"/>
        <w:spacing w:line="300" w:lineRule="auto"/>
        <w:ind w:right="86" w:rightChars="31" w:firstLine="0" w:firstLineChars="0"/>
        <w:jc w:val="center"/>
        <w:rPr>
          <w:rFonts w:hAnsi="黑体"/>
        </w:rPr>
      </w:pPr>
    </w:p>
    <w:p>
      <w:pPr>
        <w:widowControl/>
        <w:spacing w:after="200" w:line="300" w:lineRule="exact"/>
        <w:ind w:firstLine="0" w:firstLineChars="0"/>
        <w:contextualSpacing w:val="0"/>
        <w:jc w:val="center"/>
        <w:rPr>
          <w:rFonts w:ascii="黑体" w:hAnsi="黑体" w:eastAsia="黑体" w:cs="Times New Roman"/>
          <w:color w:val="C0C0C0"/>
          <w:kern w:val="0"/>
          <w:sz w:val="30"/>
          <w:szCs w:val="30"/>
          <w:lang w:bidi="en-US"/>
        </w:rPr>
      </w:pPr>
    </w:p>
    <w:p>
      <w:pPr>
        <w:widowControl/>
        <w:spacing w:after="200" w:line="300" w:lineRule="exact"/>
        <w:ind w:firstLine="0" w:firstLineChars="0"/>
        <w:contextualSpacing w:val="0"/>
        <w:jc w:val="center"/>
        <w:rPr>
          <w:rFonts w:ascii="黑体" w:hAnsi="黑体" w:eastAsia="黑体" w:cs="Times New Roman"/>
          <w:color w:val="C0C0C0"/>
          <w:kern w:val="0"/>
          <w:sz w:val="30"/>
          <w:szCs w:val="30"/>
          <w:lang w:bidi="en-US"/>
        </w:rPr>
      </w:pPr>
    </w:p>
    <w:p>
      <w:pPr>
        <w:widowControl/>
        <w:spacing w:after="200" w:line="300" w:lineRule="exact"/>
        <w:ind w:firstLine="0" w:firstLineChars="0"/>
        <w:contextualSpacing w:val="0"/>
        <w:jc w:val="center"/>
        <w:rPr>
          <w:rFonts w:ascii="黑体" w:hAnsi="黑体" w:eastAsia="黑体" w:cs="黑体"/>
          <w:kern w:val="0"/>
          <w:lang w:bidi="en-US"/>
        </w:rPr>
      </w:pPr>
      <w:r>
        <w:rPr>
          <w:rFonts w:hint="eastAsia" w:ascii="Times New Roman" w:hAnsi="Times New Roman" w:eastAsia="黑体" w:cs="Times New Roman"/>
          <w:kern w:val="2"/>
          <w:sz w:val="30"/>
          <w:szCs w:val="30"/>
        </w:rPr>
        <w:t>2023年</w:t>
      </w:r>
      <w:r>
        <w:rPr>
          <w:rFonts w:hint="eastAsia" w:ascii="Times New Roman" w:hAnsi="Times New Roman" w:eastAsia="黑体" w:cs="Times New Roman"/>
          <w:kern w:val="2"/>
          <w:sz w:val="30"/>
          <w:szCs w:val="30"/>
          <w:lang w:val="en-US" w:eastAsia="zh-CN"/>
        </w:rPr>
        <w:t>6</w:t>
      </w:r>
      <w:r>
        <w:rPr>
          <w:rFonts w:hint="eastAsia" w:ascii="Times New Roman" w:hAnsi="Times New Roman" w:eastAsia="黑体" w:cs="Times New Roman"/>
          <w:kern w:val="2"/>
          <w:sz w:val="30"/>
          <w:szCs w:val="30"/>
        </w:rPr>
        <w:t>月</w:t>
      </w:r>
    </w:p>
    <w:p>
      <w:pPr>
        <w:tabs>
          <w:tab w:val="left" w:pos="5313"/>
        </w:tabs>
        <w:snapToGrid w:val="0"/>
        <w:spacing w:line="300" w:lineRule="auto"/>
        <w:ind w:right="86" w:rightChars="31" w:firstLine="0" w:firstLineChars="0"/>
        <w:jc w:val="left"/>
      </w:pPr>
    </w:p>
    <w:p>
      <w:pPr>
        <w:snapToGrid w:val="0"/>
        <w:spacing w:line="300" w:lineRule="auto"/>
        <w:ind w:right="86" w:rightChars="31" w:firstLine="0" w:firstLineChars="0"/>
      </w:pPr>
    </w:p>
    <w:p>
      <w:pPr>
        <w:snapToGrid w:val="0"/>
        <w:spacing w:line="300" w:lineRule="auto"/>
        <w:ind w:right="86" w:rightChars="31" w:firstLine="0" w:firstLineChars="0"/>
      </w:pPr>
    </w:p>
    <w:p>
      <w:pPr>
        <w:snapToGrid w:val="0"/>
        <w:spacing w:line="300" w:lineRule="auto"/>
        <w:ind w:right="86" w:rightChars="31" w:firstLine="0" w:firstLineChars="0"/>
      </w:pPr>
    </w:p>
    <w:p>
      <w:pPr>
        <w:snapToGrid w:val="0"/>
        <w:spacing w:line="300" w:lineRule="auto"/>
        <w:ind w:right="86" w:rightChars="31" w:firstLine="0" w:firstLineChars="0"/>
      </w:pPr>
      <w:r>
        <w:rPr>
          <w:rFonts w:hint="eastAsia"/>
        </w:rPr>
        <w:br w:type="page"/>
      </w:r>
    </w:p>
    <w:p>
      <w:pPr>
        <w:widowControl/>
        <w:ind w:firstLine="560"/>
        <w:jc w:val="left"/>
        <w:rPr>
          <w:rFonts w:ascii="Times New Roman" w:hAnsi="Times New Roman" w:eastAsia="仿宋_GB2312" w:cs="Times New Roman"/>
          <w:sz w:val="28"/>
          <w:szCs w:val="28"/>
        </w:rPr>
      </w:pPr>
    </w:p>
    <w:p>
      <w:pPr>
        <w:widowControl/>
        <w:jc w:val="left"/>
        <w:rPr>
          <w:rFonts w:hint="default" w:ascii="Times New Roman" w:hAnsi="Times New Roman" w:cs="Times New Roman"/>
        </w:rPr>
      </w:pPr>
      <w:r>
        <w:rPr>
          <w:rFonts w:ascii="Times New Roman" w:hAnsi="Times New Roman" w:eastAsia="仿宋_GB2312" w:cs="Times New Roman"/>
          <w:sz w:val="28"/>
          <w:szCs w:val="28"/>
        </w:rPr>
        <w:t>评价机构：上海</w:t>
      </w:r>
      <w:r>
        <w:rPr>
          <w:rFonts w:hint="eastAsia" w:ascii="Times New Roman" w:hAnsi="Times New Roman" w:eastAsia="仿宋_GB2312" w:cs="Times New Roman"/>
          <w:sz w:val="28"/>
          <w:szCs w:val="28"/>
        </w:rPr>
        <w:t>首絮维施企业管理咨询有限公司（盖章）</w:t>
      </w:r>
    </w:p>
    <w:p>
      <w:pPr>
        <w:widowControl/>
        <w:ind w:firstLine="562"/>
        <w:jc w:val="left"/>
        <w:rPr>
          <w:rFonts w:hint="default" w:ascii="Times New Roman" w:hAnsi="Times New Roman" w:eastAsia="黑体" w:cs="Times New Roman"/>
          <w:b/>
        </w:rPr>
      </w:pPr>
    </w:p>
    <w:p>
      <w:pPr>
        <w:widowControl/>
        <w:ind w:firstLine="562"/>
        <w:jc w:val="left"/>
        <w:rPr>
          <w:rFonts w:hint="default" w:ascii="Times New Roman" w:hAnsi="Times New Roman" w:eastAsia="黑体" w:cs="Times New Roman"/>
          <w:b/>
        </w:rPr>
      </w:pPr>
    </w:p>
    <w:p>
      <w:pPr>
        <w:snapToGrid w:val="0"/>
        <w:spacing w:line="300" w:lineRule="auto"/>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主评人：</w:t>
      </w:r>
      <w:r>
        <w:rPr>
          <w:rFonts w:hint="default" w:ascii="Times New Roman" w:hAnsi="Times New Roman" w:cs="Times New Roman"/>
        </w:rPr>
        <w:t>黄松松</w:t>
      </w:r>
    </w:p>
    <w:p>
      <w:pPr>
        <w:widowControl/>
        <w:ind w:firstLine="562"/>
        <w:jc w:val="left"/>
        <w:rPr>
          <w:rFonts w:hint="default" w:ascii="Times New Roman" w:hAnsi="Times New Roman" w:cs="Times New Roman"/>
        </w:rPr>
      </w:pPr>
      <w:r>
        <w:rPr>
          <w:rFonts w:hint="eastAsia" w:ascii="Times New Roman" w:hAnsi="Times New Roman" w:eastAsia="仿宋_GB2312" w:cs="Times New Roman"/>
          <w:sz w:val="28"/>
          <w:szCs w:val="28"/>
        </w:rPr>
        <w:t>联系方式：</w:t>
      </w:r>
      <w:r>
        <w:rPr>
          <w:rFonts w:hint="default" w:ascii="Times New Roman" w:hAnsi="Times New Roman" w:cs="Times New Roman"/>
        </w:rPr>
        <w:t>13512177487</w:t>
      </w:r>
    </w:p>
    <w:p>
      <w:pPr>
        <w:widowControl/>
        <w:ind w:firstLine="562"/>
        <w:jc w:val="left"/>
        <w:rPr>
          <w:rFonts w:hint="default" w:ascii="Times New Roman" w:hAnsi="Times New Roman" w:cs="Times New Roman"/>
        </w:rPr>
      </w:pPr>
    </w:p>
    <w:p>
      <w:pPr>
        <w:widowControl/>
        <w:ind w:firstLine="562"/>
        <w:jc w:val="left"/>
        <w:rPr>
          <w:rFonts w:hint="default" w:ascii="Times New Roman" w:hAnsi="Times New Roman" w:cs="Times New Roman"/>
        </w:rPr>
      </w:pPr>
    </w:p>
    <w:p>
      <w:pPr>
        <w:widowControl/>
        <w:ind w:firstLine="562"/>
        <w:jc w:val="left"/>
        <w:rPr>
          <w:rFonts w:hint="eastAsia"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rPr>
        <w:t>复审人：</w:t>
      </w:r>
      <w:r>
        <w:rPr>
          <w:rFonts w:hint="eastAsia" w:ascii="Times New Roman" w:hAnsi="Times New Roman" w:cs="Times New Roman"/>
          <w:sz w:val="28"/>
          <w:szCs w:val="28"/>
          <w:lang w:val="en-US" w:eastAsia="zh-CN"/>
        </w:rPr>
        <w:t>沈丹辉</w:t>
      </w:r>
    </w:p>
    <w:p>
      <w:pPr>
        <w:widowControl/>
        <w:ind w:firstLine="562"/>
        <w:jc w:val="left"/>
        <w:rPr>
          <w:rFonts w:hint="eastAsia" w:ascii="Times New Roman" w:hAnsi="Times New Roman" w:eastAsia="仿宋_GB2312" w:cs="Times New Roman"/>
          <w:sz w:val="28"/>
          <w:szCs w:val="28"/>
        </w:rPr>
      </w:pPr>
    </w:p>
    <w:p>
      <w:pPr>
        <w:widowControl/>
        <w:ind w:firstLine="562"/>
        <w:jc w:val="left"/>
        <w:rPr>
          <w:rFonts w:hint="eastAsia" w:ascii="Times New Roman" w:hAnsi="Times New Roman" w:eastAsia="仿宋_GB2312" w:cs="Times New Roman"/>
          <w:sz w:val="28"/>
          <w:szCs w:val="28"/>
        </w:rPr>
      </w:pPr>
    </w:p>
    <w:p>
      <w:pPr>
        <w:widowControl/>
        <w:ind w:firstLine="562"/>
        <w:jc w:val="left"/>
        <w:rPr>
          <w:rFonts w:hint="eastAsia"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rPr>
        <w:t>终审人：</w:t>
      </w:r>
      <w:r>
        <w:rPr>
          <w:rFonts w:hint="eastAsia" w:ascii="Times New Roman" w:hAnsi="Times New Roman" w:cs="Times New Roman"/>
          <w:sz w:val="28"/>
          <w:szCs w:val="28"/>
          <w:lang w:val="en-US" w:eastAsia="zh-CN"/>
        </w:rPr>
        <w:t>叶姝慧</w:t>
      </w:r>
    </w:p>
    <w:p>
      <w:pPr>
        <w:widowControl/>
        <w:ind w:firstLine="1120" w:firstLineChars="400"/>
        <w:jc w:val="left"/>
        <w:rPr>
          <w:rFonts w:hAnsi="仿宋"/>
        </w:rPr>
        <w:sectPr>
          <w:headerReference r:id="rId6" w:type="first"/>
          <w:footerReference r:id="rId9" w:type="first"/>
          <w:headerReference r:id="rId4" w:type="default"/>
          <w:footerReference r:id="rId7" w:type="default"/>
          <w:headerReference r:id="rId5" w:type="even"/>
          <w:footerReference r:id="rId8" w:type="even"/>
          <w:pgSz w:w="11907" w:h="16839"/>
          <w:pgMar w:top="1797" w:right="1440" w:bottom="1797" w:left="1440" w:header="851" w:footer="992" w:gutter="0"/>
          <w:pgNumType w:start="1"/>
          <w:cols w:space="425" w:num="1"/>
          <w:docGrid w:type="linesAndChars" w:linePitch="312" w:charSpace="0"/>
        </w:sectPr>
      </w:pPr>
      <w:bookmarkStart w:id="82" w:name="_GoBack"/>
      <w:bookmarkEnd w:id="82"/>
    </w:p>
    <w:sdt>
      <w:sdtPr>
        <w:rPr>
          <w:rFonts w:ascii="宋体" w:hAnsi="宋体" w:eastAsia="宋体"/>
          <w:b/>
          <w:bCs/>
        </w:rPr>
        <w:id w:val="147475928"/>
        <w15:color w:val="DBDBDB"/>
        <w:docPartObj>
          <w:docPartGallery w:val="Table of Contents"/>
          <w:docPartUnique/>
        </w:docPartObj>
      </w:sdtPr>
      <w:sdtEndPr>
        <w:rPr>
          <w:rFonts w:ascii="黑体" w:hAnsi="黑体" w:eastAsia="黑体" w:cs="黑体"/>
          <w:b/>
          <w:bCs/>
          <w:szCs w:val="32"/>
        </w:rPr>
      </w:sdtEndPr>
      <w:sdtContent>
        <w:p>
          <w:pPr>
            <w:spacing w:line="240" w:lineRule="auto"/>
            <w:ind w:firstLine="0" w:firstLineChars="0"/>
            <w:jc w:val="center"/>
            <w:rPr>
              <w:b/>
              <w:bCs/>
            </w:rPr>
          </w:pPr>
          <w:r>
            <w:rPr>
              <w:rFonts w:ascii="宋体" w:hAnsi="宋体" w:eastAsia="宋体"/>
              <w:b/>
              <w:bCs/>
            </w:rPr>
            <w:t>目</w:t>
          </w:r>
          <w:r>
            <w:rPr>
              <w:rFonts w:hint="eastAsia" w:ascii="宋体" w:hAnsi="宋体" w:eastAsia="宋体"/>
              <w:b/>
              <w:bCs/>
            </w:rPr>
            <w:t xml:space="preserve"> </w:t>
          </w:r>
          <w:r>
            <w:rPr>
              <w:rFonts w:ascii="宋体" w:hAnsi="宋体" w:eastAsia="宋体"/>
              <w:b/>
              <w:bCs/>
            </w:rPr>
            <w:t>录</w:t>
          </w:r>
        </w:p>
        <w:p>
          <w:pPr>
            <w:pStyle w:val="22"/>
            <w:tabs>
              <w:tab w:val="right" w:leader="dot" w:pos="8312"/>
            </w:tabs>
          </w:pPr>
          <w:r>
            <w:rPr>
              <w:rFonts w:hint="eastAsia" w:ascii="仿宋_GB2312" w:hAnsi="仿宋_GB2312" w:eastAsia="仿宋_GB2312" w:cs="仿宋_GB2312"/>
              <w:sz w:val="24"/>
              <w:szCs w:val="24"/>
            </w:rPr>
            <w:fldChar w:fldCharType="begin"/>
          </w:r>
          <w:r>
            <w:rPr>
              <w:rFonts w:hint="eastAsia" w:ascii="仿宋_GB2312" w:hAnsi="仿宋_GB2312" w:eastAsia="仿宋_GB2312" w:cs="仿宋_GB2312"/>
              <w:sz w:val="24"/>
              <w:szCs w:val="24"/>
            </w:rPr>
            <w:instrText xml:space="preserve">TOC \o "1-3" \h \u </w:instrText>
          </w:r>
          <w:r>
            <w:rPr>
              <w:rFonts w:hint="eastAsia" w:ascii="仿宋_GB2312" w:hAnsi="仿宋_GB2312" w:eastAsia="仿宋_GB2312" w:cs="仿宋_GB2312"/>
              <w:sz w:val="24"/>
              <w:szCs w:val="24"/>
            </w:rPr>
            <w:fldChar w:fldCharType="separate"/>
          </w: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_Toc32335 </w:instrText>
          </w:r>
          <w:r>
            <w:rPr>
              <w:rFonts w:hint="eastAsia" w:ascii="仿宋_GB2312" w:hAnsi="仿宋_GB2312" w:eastAsia="仿宋_GB2312" w:cs="仿宋_GB2312"/>
              <w:szCs w:val="24"/>
            </w:rPr>
            <w:fldChar w:fldCharType="separate"/>
          </w:r>
          <w:r>
            <w:rPr>
              <w:rFonts w:hint="eastAsia" w:ascii="黑体" w:hAnsi="黑体" w:eastAsia="黑体" w:cs="黑体"/>
              <w:bCs/>
              <w:kern w:val="1"/>
              <w:szCs w:val="22"/>
            </w:rPr>
            <w:t>摘要</w:t>
          </w:r>
          <w:r>
            <w:tab/>
          </w:r>
          <w:r>
            <w:fldChar w:fldCharType="begin"/>
          </w:r>
          <w:r>
            <w:instrText xml:space="preserve"> PAGEREF _Toc32335 </w:instrText>
          </w:r>
          <w:r>
            <w:fldChar w:fldCharType="separate"/>
          </w:r>
          <w:r>
            <w:t>1</w:t>
          </w:r>
          <w:r>
            <w:fldChar w:fldCharType="end"/>
          </w:r>
          <w:r>
            <w:rPr>
              <w:rFonts w:hint="eastAsia" w:ascii="仿宋_GB2312" w:hAnsi="仿宋_GB2312" w:eastAsia="仿宋_GB2312" w:cs="仿宋_GB2312"/>
              <w:szCs w:val="24"/>
            </w:rPr>
            <w:fldChar w:fldCharType="end"/>
          </w:r>
        </w:p>
        <w:p>
          <w:pPr>
            <w:pStyle w:val="22"/>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_Toc25820 </w:instrText>
          </w:r>
          <w:r>
            <w:rPr>
              <w:rFonts w:hint="eastAsia" w:ascii="仿宋_GB2312" w:hAnsi="仿宋_GB2312" w:eastAsia="仿宋_GB2312" w:cs="仿宋_GB2312"/>
              <w:szCs w:val="24"/>
            </w:rPr>
            <w:fldChar w:fldCharType="separate"/>
          </w:r>
          <w:r>
            <w:rPr>
              <w:rFonts w:hint="eastAsia" w:ascii="黑体" w:hAnsi="黑体" w:eastAsia="黑体" w:cs="黑体"/>
              <w:szCs w:val="32"/>
            </w:rPr>
            <w:t>一、项目</w:t>
          </w:r>
          <w:r>
            <w:rPr>
              <w:rFonts w:hint="eastAsia" w:ascii="黑体" w:hAnsi="黑体" w:eastAsia="黑体" w:cs="黑体"/>
              <w:szCs w:val="32"/>
              <w:lang w:val="en-US" w:eastAsia="zh-CN"/>
            </w:rPr>
            <w:t>基本情况</w:t>
          </w:r>
          <w:r>
            <w:tab/>
          </w:r>
          <w:r>
            <w:fldChar w:fldCharType="begin"/>
          </w:r>
          <w:r>
            <w:instrText xml:space="preserve"> PAGEREF _Toc25820 </w:instrText>
          </w:r>
          <w:r>
            <w:fldChar w:fldCharType="separate"/>
          </w:r>
          <w:r>
            <w:t>1</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_Toc22198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（一）项目立项背景</w:t>
          </w:r>
          <w:r>
            <w:rPr>
              <w:rFonts w:hint="eastAsia" w:ascii="方正楷体_GB2312" w:hAnsi="方正楷体_GB2312" w:eastAsia="方正楷体_GB2312" w:cs="方正楷体_GB2312"/>
              <w:szCs w:val="32"/>
              <w:lang w:eastAsia="zh-CN"/>
            </w:rPr>
            <w:t>、</w:t>
          </w:r>
          <w:r>
            <w:rPr>
              <w:rFonts w:hint="eastAsia" w:ascii="方正楷体_GB2312" w:hAnsi="方正楷体_GB2312" w:eastAsia="方正楷体_GB2312" w:cs="方正楷体_GB2312"/>
              <w:szCs w:val="32"/>
            </w:rPr>
            <w:t>目的</w:t>
          </w:r>
          <w:r>
            <w:rPr>
              <w:rFonts w:hint="eastAsia" w:ascii="方正楷体_GB2312" w:hAnsi="方正楷体_GB2312" w:eastAsia="方正楷体_GB2312" w:cs="方正楷体_GB2312"/>
              <w:szCs w:val="32"/>
              <w:lang w:val="en-US" w:eastAsia="zh-CN"/>
            </w:rPr>
            <w:t>和依据</w:t>
          </w:r>
          <w:r>
            <w:tab/>
          </w:r>
          <w:r>
            <w:fldChar w:fldCharType="begin"/>
          </w:r>
          <w:r>
            <w:instrText xml:space="preserve"> PAGEREF _Toc22198 </w:instrText>
          </w:r>
          <w:r>
            <w:fldChar w:fldCharType="separate"/>
          </w:r>
          <w:r>
            <w:t>1</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_Toc25686 </w:instrText>
          </w:r>
          <w:r>
            <w:rPr>
              <w:rFonts w:hint="eastAsia" w:ascii="仿宋_GB2312" w:hAnsi="仿宋_GB2312" w:eastAsia="仿宋_GB2312" w:cs="仿宋_GB2312"/>
              <w:szCs w:val="24"/>
            </w:rPr>
            <w:fldChar w:fldCharType="separate"/>
          </w:r>
          <w:r>
            <w:rPr>
              <w:rFonts w:hint="eastAsia" w:hAnsi="Arial Unicode MS" w:cs="Arial Unicode MS"/>
              <w:szCs w:val="32"/>
            </w:rPr>
            <w:t>1.立项背景</w:t>
          </w:r>
          <w:r>
            <w:tab/>
          </w:r>
          <w:r>
            <w:fldChar w:fldCharType="begin"/>
          </w:r>
          <w:r>
            <w:instrText xml:space="preserve"> PAGEREF _Toc25686 </w:instrText>
          </w:r>
          <w:r>
            <w:fldChar w:fldCharType="separate"/>
          </w:r>
          <w:r>
            <w:t>1</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_Toc22241 </w:instrText>
          </w:r>
          <w:r>
            <w:rPr>
              <w:rFonts w:hint="eastAsia" w:ascii="仿宋_GB2312" w:hAnsi="仿宋_GB2312" w:eastAsia="仿宋_GB2312" w:cs="仿宋_GB2312"/>
              <w:szCs w:val="24"/>
            </w:rPr>
            <w:fldChar w:fldCharType="separate"/>
          </w:r>
          <w:r>
            <w:rPr>
              <w:rFonts w:hint="eastAsia" w:hAnsi="Arial Unicode MS" w:cs="Arial Unicode MS"/>
              <w:szCs w:val="32"/>
            </w:rPr>
            <w:t>2.项目目的</w:t>
          </w:r>
          <w:r>
            <w:tab/>
          </w:r>
          <w:r>
            <w:fldChar w:fldCharType="begin"/>
          </w:r>
          <w:r>
            <w:instrText xml:space="preserve"> PAGEREF _Toc22241 </w:instrText>
          </w:r>
          <w:r>
            <w:fldChar w:fldCharType="separate"/>
          </w:r>
          <w:r>
            <w:t>5</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_Toc7728 </w:instrText>
          </w:r>
          <w:r>
            <w:rPr>
              <w:rFonts w:hint="eastAsia" w:ascii="仿宋_GB2312" w:hAnsi="仿宋_GB2312" w:eastAsia="仿宋_GB2312" w:cs="仿宋_GB2312"/>
              <w:szCs w:val="24"/>
            </w:rPr>
            <w:fldChar w:fldCharType="separate"/>
          </w:r>
          <w:r>
            <w:rPr>
              <w:rFonts w:hint="eastAsia" w:hAnsi="Arial Unicode MS" w:cs="Arial Unicode MS"/>
              <w:szCs w:val="32"/>
              <w:lang w:val="en-US" w:eastAsia="zh-CN"/>
            </w:rPr>
            <w:t>3.</w:t>
          </w:r>
          <w:r>
            <w:rPr>
              <w:rFonts w:hint="eastAsia" w:hAnsi="Arial Unicode MS" w:cs="Arial Unicode MS"/>
              <w:szCs w:val="32"/>
            </w:rPr>
            <w:t>项目立项依据</w:t>
          </w:r>
          <w:r>
            <w:tab/>
          </w:r>
          <w:r>
            <w:fldChar w:fldCharType="begin"/>
          </w:r>
          <w:r>
            <w:instrText xml:space="preserve"> PAGEREF _Toc7728 </w:instrText>
          </w:r>
          <w:r>
            <w:fldChar w:fldCharType="separate"/>
          </w:r>
          <w:r>
            <w:t>5</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_Toc22496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w:t>
          </w:r>
          <w:r>
            <w:rPr>
              <w:rFonts w:hint="eastAsia" w:ascii="方正楷体_GB2312" w:hAnsi="方正楷体_GB2312" w:eastAsia="方正楷体_GB2312" w:cs="方正楷体_GB2312"/>
              <w:szCs w:val="32"/>
              <w:lang w:val="en-US" w:eastAsia="zh-CN"/>
            </w:rPr>
            <w:t>二</w:t>
          </w:r>
          <w:r>
            <w:rPr>
              <w:rFonts w:hint="eastAsia" w:ascii="方正楷体_GB2312" w:hAnsi="方正楷体_GB2312" w:eastAsia="方正楷体_GB2312" w:cs="方正楷体_GB2312"/>
              <w:szCs w:val="32"/>
            </w:rPr>
            <w:t>）项目实施计划</w:t>
          </w:r>
          <w:r>
            <w:rPr>
              <w:rFonts w:hint="eastAsia" w:ascii="方正楷体_GB2312" w:hAnsi="方正楷体_GB2312" w:eastAsia="方正楷体_GB2312" w:cs="方正楷体_GB2312"/>
              <w:szCs w:val="32"/>
              <w:lang w:val="en-US" w:eastAsia="zh-CN"/>
            </w:rPr>
            <w:t>及完成情况</w:t>
          </w:r>
          <w:r>
            <w:tab/>
          </w:r>
          <w:r>
            <w:fldChar w:fldCharType="begin"/>
          </w:r>
          <w:r>
            <w:instrText xml:space="preserve"> PAGEREF _Toc22496 </w:instrText>
          </w:r>
          <w:r>
            <w:fldChar w:fldCharType="separate"/>
          </w:r>
          <w:r>
            <w:t>8</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_Toc30371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w:t>
          </w:r>
          <w:r>
            <w:rPr>
              <w:rFonts w:hint="eastAsia" w:ascii="方正楷体_GB2312" w:hAnsi="方正楷体_GB2312" w:eastAsia="方正楷体_GB2312" w:cs="方正楷体_GB2312"/>
              <w:szCs w:val="32"/>
              <w:lang w:val="en-US" w:eastAsia="zh-CN"/>
            </w:rPr>
            <w:t>三</w:t>
          </w:r>
          <w:r>
            <w:rPr>
              <w:rFonts w:hint="eastAsia" w:ascii="方正楷体_GB2312" w:hAnsi="方正楷体_GB2312" w:eastAsia="方正楷体_GB2312" w:cs="方正楷体_GB2312"/>
              <w:szCs w:val="32"/>
            </w:rPr>
            <w:t>）项目资金来源、项目预算及资金使用情况</w:t>
          </w:r>
          <w:r>
            <w:tab/>
          </w:r>
          <w:r>
            <w:fldChar w:fldCharType="begin"/>
          </w:r>
          <w:r>
            <w:instrText xml:space="preserve"> PAGEREF _Toc30371 </w:instrText>
          </w:r>
          <w:r>
            <w:fldChar w:fldCharType="separate"/>
          </w:r>
          <w:r>
            <w:t>11</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_Toc1744 </w:instrText>
          </w:r>
          <w:r>
            <w:rPr>
              <w:rFonts w:hint="eastAsia" w:ascii="仿宋_GB2312" w:hAnsi="仿宋_GB2312" w:eastAsia="仿宋_GB2312" w:cs="仿宋_GB2312"/>
              <w:szCs w:val="24"/>
            </w:rPr>
            <w:fldChar w:fldCharType="separate"/>
          </w:r>
          <w:r>
            <w:rPr>
              <w:rFonts w:hint="eastAsia" w:hAnsi="Times New Roman" w:cs="Times New Roman"/>
              <w:szCs w:val="32"/>
              <w:lang w:val="en-US" w:eastAsia="zh-CN"/>
            </w:rPr>
            <w:t>1.2022年</w:t>
          </w:r>
          <w:r>
            <w:rPr>
              <w:rFonts w:hint="eastAsia" w:hAnsi="Times New Roman" w:cs="Times New Roman"/>
              <w:szCs w:val="32"/>
            </w:rPr>
            <w:t>预算金额及资金来源</w:t>
          </w:r>
          <w:r>
            <w:tab/>
          </w:r>
          <w:r>
            <w:fldChar w:fldCharType="begin"/>
          </w:r>
          <w:r>
            <w:instrText xml:space="preserve"> PAGEREF _Toc1744 </w:instrText>
          </w:r>
          <w:r>
            <w:fldChar w:fldCharType="separate"/>
          </w:r>
          <w:r>
            <w:t>11</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_Toc24855 </w:instrText>
          </w:r>
          <w:r>
            <w:rPr>
              <w:rFonts w:hint="eastAsia" w:ascii="仿宋_GB2312" w:hAnsi="仿宋_GB2312" w:eastAsia="仿宋_GB2312" w:cs="仿宋_GB2312"/>
              <w:szCs w:val="24"/>
            </w:rPr>
            <w:fldChar w:fldCharType="separate"/>
          </w:r>
          <w:r>
            <w:rPr>
              <w:rFonts w:hint="eastAsia" w:hAnsi="Times New Roman" w:cs="Times New Roman"/>
              <w:bCs w:val="0"/>
              <w:szCs w:val="32"/>
              <w:highlight w:val="none"/>
              <w:lang w:val="en-US" w:eastAsia="zh-CN"/>
            </w:rPr>
            <w:t>2.</w:t>
          </w:r>
          <w:r>
            <w:rPr>
              <w:rFonts w:hint="eastAsia" w:hAnsi="Times New Roman" w:cs="Times New Roman"/>
              <w:bCs/>
              <w:szCs w:val="32"/>
              <w:highlight w:val="none"/>
              <w:lang w:val="en-US" w:eastAsia="zh-CN"/>
            </w:rPr>
            <w:t>2022年预算安排及调整说明</w:t>
          </w:r>
          <w:r>
            <w:tab/>
          </w:r>
          <w:r>
            <w:fldChar w:fldCharType="begin"/>
          </w:r>
          <w:r>
            <w:instrText xml:space="preserve"> PAGEREF _Toc24855 </w:instrText>
          </w:r>
          <w:r>
            <w:fldChar w:fldCharType="separate"/>
          </w:r>
          <w:r>
            <w:t>11</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_Toc331 </w:instrText>
          </w:r>
          <w:r>
            <w:rPr>
              <w:rFonts w:hint="eastAsia" w:ascii="仿宋_GB2312" w:hAnsi="仿宋_GB2312" w:eastAsia="仿宋_GB2312" w:cs="仿宋_GB2312"/>
              <w:szCs w:val="24"/>
            </w:rPr>
            <w:fldChar w:fldCharType="separate"/>
          </w:r>
          <w:r>
            <w:rPr>
              <w:rFonts w:hint="eastAsia" w:hAnsi="Times New Roman" w:cs="Times New Roman"/>
              <w:bCs/>
              <w:szCs w:val="32"/>
              <w:highlight w:val="none"/>
              <w:lang w:val="en-US" w:eastAsia="zh-CN"/>
            </w:rPr>
            <w:t>3.</w:t>
          </w:r>
          <w:r>
            <w:rPr>
              <w:rFonts w:hint="eastAsia" w:hAnsi="Times New Roman" w:cs="Times New Roman"/>
              <w:bCs w:val="0"/>
              <w:szCs w:val="32"/>
              <w:highlight w:val="none"/>
              <w:lang w:val="en-US" w:eastAsia="zh-CN"/>
            </w:rPr>
            <w:t>三年预算执行情况</w:t>
          </w:r>
          <w:r>
            <w:tab/>
          </w:r>
          <w:r>
            <w:fldChar w:fldCharType="begin"/>
          </w:r>
          <w:r>
            <w:instrText xml:space="preserve"> PAGEREF _Toc331 </w:instrText>
          </w:r>
          <w:r>
            <w:fldChar w:fldCharType="separate"/>
          </w:r>
          <w:r>
            <w:t>13</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_Toc25925 </w:instrText>
          </w:r>
          <w:r>
            <w:rPr>
              <w:rFonts w:hint="eastAsia" w:ascii="仿宋_GB2312" w:hAnsi="仿宋_GB2312" w:eastAsia="仿宋_GB2312" w:cs="仿宋_GB2312"/>
              <w:szCs w:val="24"/>
            </w:rPr>
            <w:fldChar w:fldCharType="separate"/>
          </w:r>
          <w:r>
            <w:rPr>
              <w:rFonts w:hint="eastAsia"/>
              <w:szCs w:val="32"/>
            </w:rPr>
            <w:t>（</w:t>
          </w:r>
          <w:r>
            <w:rPr>
              <w:rFonts w:hint="eastAsia"/>
              <w:szCs w:val="32"/>
              <w:lang w:val="en-US" w:eastAsia="zh-CN"/>
            </w:rPr>
            <w:t>四</w:t>
          </w:r>
          <w:r>
            <w:rPr>
              <w:rFonts w:hint="eastAsia"/>
              <w:szCs w:val="32"/>
            </w:rPr>
            <w:t>）项目的组织及管理</w:t>
          </w:r>
          <w:r>
            <w:tab/>
          </w:r>
          <w:r>
            <w:fldChar w:fldCharType="begin"/>
          </w:r>
          <w:r>
            <w:instrText xml:space="preserve"> PAGEREF _Toc25925 </w:instrText>
          </w:r>
          <w:r>
            <w:fldChar w:fldCharType="separate"/>
          </w:r>
          <w:r>
            <w:t>15</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_Toc13956 </w:instrText>
          </w:r>
          <w:r>
            <w:rPr>
              <w:rFonts w:hint="eastAsia" w:ascii="仿宋_GB2312" w:hAnsi="仿宋_GB2312" w:eastAsia="仿宋_GB2312" w:cs="仿宋_GB2312"/>
              <w:szCs w:val="24"/>
            </w:rPr>
            <w:fldChar w:fldCharType="separate"/>
          </w:r>
          <w:r>
            <w:rPr>
              <w:rFonts w:hint="eastAsia" w:hAnsi="仿宋"/>
              <w:szCs w:val="32"/>
            </w:rPr>
            <w:t>1.项目组织</w:t>
          </w:r>
          <w:r>
            <w:rPr>
              <w:rFonts w:hint="eastAsia" w:hAnsi="仿宋"/>
              <w:szCs w:val="32"/>
              <w:lang w:val="en-US" w:eastAsia="zh-CN"/>
            </w:rPr>
            <w:t>与职责</w:t>
          </w:r>
          <w:r>
            <w:tab/>
          </w:r>
          <w:r>
            <w:fldChar w:fldCharType="begin"/>
          </w:r>
          <w:r>
            <w:instrText xml:space="preserve"> PAGEREF _Toc13956 </w:instrText>
          </w:r>
          <w:r>
            <w:fldChar w:fldCharType="separate"/>
          </w:r>
          <w:r>
            <w:t>15</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_Toc10862 </w:instrText>
          </w:r>
          <w:r>
            <w:rPr>
              <w:rFonts w:hint="eastAsia" w:ascii="仿宋_GB2312" w:hAnsi="仿宋_GB2312" w:eastAsia="仿宋_GB2312" w:cs="仿宋_GB2312"/>
              <w:szCs w:val="24"/>
            </w:rPr>
            <w:fldChar w:fldCharType="separate"/>
          </w:r>
          <w:r>
            <w:rPr>
              <w:rFonts w:hint="eastAsia" w:hAnsi="仿宋"/>
              <w:szCs w:val="32"/>
            </w:rPr>
            <w:t>2.</w:t>
          </w:r>
          <w:r>
            <w:rPr>
              <w:rFonts w:hint="eastAsia" w:hAnsi="仿宋"/>
              <w:szCs w:val="32"/>
              <w:highlight w:val="none"/>
              <w:lang w:val="en-US" w:eastAsia="zh-CN"/>
            </w:rPr>
            <w:t>项目管理</w:t>
          </w:r>
          <w:r>
            <w:tab/>
          </w:r>
          <w:r>
            <w:fldChar w:fldCharType="begin"/>
          </w:r>
          <w:r>
            <w:instrText xml:space="preserve"> PAGEREF _Toc10862 </w:instrText>
          </w:r>
          <w:r>
            <w:fldChar w:fldCharType="separate"/>
          </w:r>
          <w:r>
            <w:t>17</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_Toc14894 </w:instrText>
          </w:r>
          <w:r>
            <w:rPr>
              <w:rFonts w:hint="eastAsia" w:ascii="仿宋_GB2312" w:hAnsi="仿宋_GB2312" w:eastAsia="仿宋_GB2312" w:cs="仿宋_GB2312"/>
              <w:szCs w:val="24"/>
            </w:rPr>
            <w:fldChar w:fldCharType="separate"/>
          </w:r>
          <w:r>
            <w:rPr>
              <w:rFonts w:hint="eastAsia" w:hAnsi="仿宋"/>
              <w:szCs w:val="32"/>
            </w:rPr>
            <w:t>3.</w:t>
          </w:r>
          <w:r>
            <w:rPr>
              <w:rFonts w:hint="eastAsia" w:hAnsi="仿宋"/>
              <w:szCs w:val="32"/>
              <w:highlight w:val="none"/>
              <w:lang w:val="en-US" w:eastAsia="zh-CN"/>
            </w:rPr>
            <w:t>财务管理</w:t>
          </w:r>
          <w:r>
            <w:tab/>
          </w:r>
          <w:r>
            <w:fldChar w:fldCharType="begin"/>
          </w:r>
          <w:r>
            <w:instrText xml:space="preserve"> PAGEREF _Toc14894 </w:instrText>
          </w:r>
          <w:r>
            <w:fldChar w:fldCharType="separate"/>
          </w:r>
          <w:r>
            <w:t>21</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_Toc8482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w:t>
          </w:r>
          <w:r>
            <w:rPr>
              <w:rFonts w:hint="eastAsia" w:ascii="方正楷体_GB2312" w:hAnsi="方正楷体_GB2312" w:eastAsia="方正楷体_GB2312" w:cs="方正楷体_GB2312"/>
              <w:szCs w:val="32"/>
              <w:lang w:val="en-US" w:eastAsia="zh-CN"/>
            </w:rPr>
            <w:t>五</w:t>
          </w:r>
          <w:r>
            <w:rPr>
              <w:rFonts w:hint="eastAsia" w:ascii="方正楷体_GB2312" w:hAnsi="方正楷体_GB2312" w:eastAsia="方正楷体_GB2312" w:cs="方正楷体_GB2312"/>
              <w:szCs w:val="32"/>
            </w:rPr>
            <w:t>）项目绩效目标</w:t>
          </w:r>
          <w:r>
            <w:tab/>
          </w:r>
          <w:r>
            <w:fldChar w:fldCharType="begin"/>
          </w:r>
          <w:r>
            <w:instrText xml:space="preserve"> PAGEREF _Toc8482 </w:instrText>
          </w:r>
          <w:r>
            <w:fldChar w:fldCharType="separate"/>
          </w:r>
          <w:r>
            <w:t>22</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_Toc24472 </w:instrText>
          </w:r>
          <w:r>
            <w:rPr>
              <w:rFonts w:hint="eastAsia" w:ascii="仿宋_GB2312" w:hAnsi="仿宋_GB2312" w:eastAsia="仿宋_GB2312" w:cs="仿宋_GB2312"/>
              <w:szCs w:val="24"/>
            </w:rPr>
            <w:fldChar w:fldCharType="separate"/>
          </w:r>
          <w:r>
            <w:rPr>
              <w:rFonts w:hint="eastAsia" w:hAnsi="Arial Unicode MS" w:cs="Arial Unicode MS"/>
              <w:szCs w:val="32"/>
            </w:rPr>
            <w:t>1.总目标</w:t>
          </w:r>
          <w:r>
            <w:tab/>
          </w:r>
          <w:r>
            <w:fldChar w:fldCharType="begin"/>
          </w:r>
          <w:r>
            <w:instrText xml:space="preserve"> PAGEREF _Toc24472 </w:instrText>
          </w:r>
          <w:r>
            <w:fldChar w:fldCharType="separate"/>
          </w:r>
          <w:r>
            <w:t>23</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_Toc26739 </w:instrText>
          </w:r>
          <w:r>
            <w:rPr>
              <w:rFonts w:hint="eastAsia" w:ascii="仿宋_GB2312" w:hAnsi="仿宋_GB2312" w:eastAsia="仿宋_GB2312" w:cs="仿宋_GB2312"/>
              <w:szCs w:val="24"/>
            </w:rPr>
            <w:fldChar w:fldCharType="separate"/>
          </w:r>
          <w:r>
            <w:rPr>
              <w:rFonts w:hint="eastAsia" w:hAnsi="Arial Unicode MS" w:cs="Arial Unicode MS"/>
              <w:szCs w:val="32"/>
            </w:rPr>
            <w:t>2.年度绩效目标</w:t>
          </w:r>
          <w:r>
            <w:tab/>
          </w:r>
          <w:r>
            <w:fldChar w:fldCharType="begin"/>
          </w:r>
          <w:r>
            <w:instrText xml:space="preserve"> PAGEREF _Toc26739 </w:instrText>
          </w:r>
          <w:r>
            <w:fldChar w:fldCharType="separate"/>
          </w:r>
          <w:r>
            <w:t>23</w:t>
          </w:r>
          <w:r>
            <w:fldChar w:fldCharType="end"/>
          </w:r>
          <w:r>
            <w:rPr>
              <w:rFonts w:hint="eastAsia" w:ascii="仿宋_GB2312" w:hAnsi="仿宋_GB2312" w:eastAsia="仿宋_GB2312" w:cs="仿宋_GB2312"/>
              <w:szCs w:val="24"/>
            </w:rPr>
            <w:fldChar w:fldCharType="end"/>
          </w:r>
        </w:p>
        <w:p>
          <w:pPr>
            <w:pStyle w:val="22"/>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_Toc26274 </w:instrText>
          </w:r>
          <w:r>
            <w:rPr>
              <w:rFonts w:hint="eastAsia" w:ascii="仿宋_GB2312" w:hAnsi="仿宋_GB2312" w:eastAsia="仿宋_GB2312" w:cs="仿宋_GB2312"/>
              <w:szCs w:val="24"/>
            </w:rPr>
            <w:fldChar w:fldCharType="separate"/>
          </w:r>
          <w:r>
            <w:rPr>
              <w:rFonts w:hint="eastAsia" w:ascii="黑体" w:hAnsi="黑体" w:eastAsia="黑体" w:cs="黑体"/>
              <w:szCs w:val="32"/>
            </w:rPr>
            <w:t>二、绩效评价工作情况</w:t>
          </w:r>
          <w:r>
            <w:tab/>
          </w:r>
          <w:r>
            <w:fldChar w:fldCharType="begin"/>
          </w:r>
          <w:r>
            <w:instrText xml:space="preserve"> PAGEREF _Toc26274 </w:instrText>
          </w:r>
          <w:r>
            <w:fldChar w:fldCharType="separate"/>
          </w:r>
          <w:r>
            <w:t>26</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_Toc12676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（一）绩效评价目的、对象和范围</w:t>
          </w:r>
          <w:r>
            <w:tab/>
          </w:r>
          <w:r>
            <w:fldChar w:fldCharType="begin"/>
          </w:r>
          <w:r>
            <w:instrText xml:space="preserve"> PAGEREF _Toc12676 </w:instrText>
          </w:r>
          <w:r>
            <w:fldChar w:fldCharType="separate"/>
          </w:r>
          <w:r>
            <w:t>26</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_Toc4480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（二）绩效评价的依据</w:t>
          </w:r>
          <w:r>
            <w:tab/>
          </w:r>
          <w:r>
            <w:fldChar w:fldCharType="begin"/>
          </w:r>
          <w:r>
            <w:instrText xml:space="preserve"> PAGEREF _Toc4480 </w:instrText>
          </w:r>
          <w:r>
            <w:fldChar w:fldCharType="separate"/>
          </w:r>
          <w:r>
            <w:t>26</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_Toc15575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bCs w:val="0"/>
              <w:kern w:val="44"/>
              <w:szCs w:val="32"/>
              <w:lang w:val="en-US" w:eastAsia="zh-CN" w:bidi="ar-SA"/>
            </w:rPr>
            <w:t>（三）绩效评价原则、评价方法等</w:t>
          </w:r>
          <w:r>
            <w:tab/>
          </w:r>
          <w:r>
            <w:fldChar w:fldCharType="begin"/>
          </w:r>
          <w:r>
            <w:instrText xml:space="preserve"> PAGEREF _Toc15575 </w:instrText>
          </w:r>
          <w:r>
            <w:fldChar w:fldCharType="separate"/>
          </w:r>
          <w:r>
            <w:t>27</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_Toc29025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bCs w:val="0"/>
              <w:kern w:val="44"/>
              <w:szCs w:val="32"/>
              <w:lang w:val="en-US" w:eastAsia="zh-CN" w:bidi="ar-SA"/>
            </w:rPr>
            <w:t>（四）评价重点</w:t>
          </w:r>
          <w:r>
            <w:tab/>
          </w:r>
          <w:r>
            <w:fldChar w:fldCharType="begin"/>
          </w:r>
          <w:r>
            <w:instrText xml:space="preserve"> PAGEREF _Toc29025 </w:instrText>
          </w:r>
          <w:r>
            <w:fldChar w:fldCharType="separate"/>
          </w:r>
          <w:r>
            <w:t>28</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_Toc9928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bCs w:val="0"/>
              <w:kern w:val="44"/>
              <w:szCs w:val="32"/>
              <w:lang w:val="en-US" w:eastAsia="zh-CN" w:bidi="ar-SA"/>
            </w:rPr>
            <w:t>（五）绩效评价工作方案制定过程</w:t>
          </w:r>
          <w:r>
            <w:tab/>
          </w:r>
          <w:r>
            <w:fldChar w:fldCharType="begin"/>
          </w:r>
          <w:r>
            <w:instrText xml:space="preserve"> PAGEREF _Toc9928 </w:instrText>
          </w:r>
          <w:r>
            <w:fldChar w:fldCharType="separate"/>
          </w:r>
          <w:r>
            <w:t>29</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_Toc26991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bCs w:val="0"/>
              <w:kern w:val="44"/>
              <w:szCs w:val="32"/>
              <w:lang w:val="en-US" w:eastAsia="zh-CN" w:bidi="ar-SA"/>
            </w:rPr>
            <w:t>（六）绩效评价实施过程</w:t>
          </w:r>
          <w:r>
            <w:tab/>
          </w:r>
          <w:r>
            <w:fldChar w:fldCharType="begin"/>
          </w:r>
          <w:r>
            <w:instrText xml:space="preserve"> PAGEREF _Toc26991 </w:instrText>
          </w:r>
          <w:r>
            <w:fldChar w:fldCharType="separate"/>
          </w:r>
          <w:r>
            <w:t>30</w:t>
          </w:r>
          <w:r>
            <w:fldChar w:fldCharType="end"/>
          </w:r>
          <w:r>
            <w:rPr>
              <w:rFonts w:hint="eastAsia" w:ascii="仿宋_GB2312" w:hAnsi="仿宋_GB2312" w:eastAsia="仿宋_GB2312" w:cs="仿宋_GB2312"/>
              <w:szCs w:val="24"/>
            </w:rPr>
            <w:fldChar w:fldCharType="end"/>
          </w:r>
        </w:p>
        <w:p>
          <w:pPr>
            <w:pStyle w:val="22"/>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_Toc9492 </w:instrText>
          </w:r>
          <w:r>
            <w:rPr>
              <w:rFonts w:hint="eastAsia" w:ascii="仿宋_GB2312" w:hAnsi="仿宋_GB2312" w:eastAsia="仿宋_GB2312" w:cs="仿宋_GB2312"/>
              <w:szCs w:val="24"/>
            </w:rPr>
            <w:fldChar w:fldCharType="separate"/>
          </w:r>
          <w:r>
            <w:rPr>
              <w:rFonts w:hint="eastAsia" w:ascii="黑体" w:hAnsi="黑体" w:eastAsia="黑体" w:cs="黑体"/>
              <w:szCs w:val="32"/>
            </w:rPr>
            <w:t>三、评价结论与绩效分析</w:t>
          </w:r>
          <w:r>
            <w:tab/>
          </w:r>
          <w:r>
            <w:fldChar w:fldCharType="begin"/>
          </w:r>
          <w:r>
            <w:instrText xml:space="preserve"> PAGEREF _Toc9492 </w:instrText>
          </w:r>
          <w:r>
            <w:fldChar w:fldCharType="separate"/>
          </w:r>
          <w:r>
            <w:t>31</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_Toc8909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（一）</w:t>
          </w:r>
          <w:r>
            <w:rPr>
              <w:rFonts w:hint="eastAsia" w:ascii="方正楷体_GB2312" w:hAnsi="方正楷体_GB2312" w:eastAsia="方正楷体_GB2312" w:cs="方正楷体_GB2312"/>
              <w:szCs w:val="32"/>
              <w:lang w:val="en-US" w:eastAsia="zh-CN"/>
            </w:rPr>
            <w:t>评价结论</w:t>
          </w:r>
          <w:r>
            <w:tab/>
          </w:r>
          <w:r>
            <w:fldChar w:fldCharType="begin"/>
          </w:r>
          <w:r>
            <w:instrText xml:space="preserve"> PAGEREF _Toc8909 </w:instrText>
          </w:r>
          <w:r>
            <w:fldChar w:fldCharType="separate"/>
          </w:r>
          <w:r>
            <w:t>31</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_Toc9562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（二）具体绩效分析</w:t>
          </w:r>
          <w:r>
            <w:tab/>
          </w:r>
          <w:r>
            <w:fldChar w:fldCharType="begin"/>
          </w:r>
          <w:r>
            <w:instrText xml:space="preserve"> PAGEREF _Toc9562 </w:instrText>
          </w:r>
          <w:r>
            <w:fldChar w:fldCharType="separate"/>
          </w:r>
          <w:r>
            <w:t>33</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_Toc16759 </w:instrText>
          </w:r>
          <w:r>
            <w:rPr>
              <w:rFonts w:hint="eastAsia" w:ascii="仿宋_GB2312" w:hAnsi="仿宋_GB2312" w:eastAsia="仿宋_GB2312" w:cs="仿宋_GB2312"/>
              <w:szCs w:val="24"/>
            </w:rPr>
            <w:fldChar w:fldCharType="separate"/>
          </w:r>
          <w:r>
            <w:rPr>
              <w:rFonts w:hint="eastAsia" w:ascii="仿宋_GB2312" w:hAnsi="仿宋_GB2312" w:eastAsia="仿宋_GB2312" w:cs="仿宋_GB2312"/>
              <w:bCs/>
              <w:kern w:val="1"/>
              <w:szCs w:val="32"/>
            </w:rPr>
            <w:t>1.项目决策</w:t>
          </w:r>
          <w:r>
            <w:tab/>
          </w:r>
          <w:r>
            <w:fldChar w:fldCharType="begin"/>
          </w:r>
          <w:r>
            <w:instrText xml:space="preserve"> PAGEREF _Toc16759 </w:instrText>
          </w:r>
          <w:r>
            <w:fldChar w:fldCharType="separate"/>
          </w:r>
          <w:r>
            <w:t>33</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_Toc32000 </w:instrText>
          </w:r>
          <w:r>
            <w:rPr>
              <w:rFonts w:hint="eastAsia" w:ascii="仿宋_GB2312" w:hAnsi="仿宋_GB2312" w:eastAsia="仿宋_GB2312" w:cs="仿宋_GB2312"/>
              <w:szCs w:val="24"/>
            </w:rPr>
            <w:fldChar w:fldCharType="separate"/>
          </w:r>
          <w:r>
            <w:rPr>
              <w:rFonts w:hint="eastAsia" w:ascii="仿宋_GB2312" w:hAnsi="仿宋_GB2312" w:eastAsia="仿宋_GB2312" w:cs="仿宋_GB2312"/>
              <w:bCs/>
              <w:kern w:val="1"/>
              <w:szCs w:val="32"/>
              <w:lang w:val="en-US" w:eastAsia="zh-CN"/>
            </w:rPr>
            <w:t>2</w:t>
          </w:r>
          <w:r>
            <w:rPr>
              <w:rFonts w:hint="eastAsia" w:ascii="仿宋_GB2312" w:hAnsi="仿宋_GB2312" w:eastAsia="仿宋_GB2312" w:cs="仿宋_GB2312"/>
              <w:bCs/>
              <w:kern w:val="1"/>
              <w:szCs w:val="32"/>
            </w:rPr>
            <w:t>.项目</w:t>
          </w:r>
          <w:r>
            <w:rPr>
              <w:rFonts w:hint="eastAsia" w:ascii="仿宋_GB2312" w:hAnsi="仿宋_GB2312" w:eastAsia="仿宋_GB2312" w:cs="仿宋_GB2312"/>
              <w:bCs/>
              <w:kern w:val="1"/>
              <w:szCs w:val="32"/>
              <w:lang w:val="en-US" w:eastAsia="zh-CN"/>
            </w:rPr>
            <w:t>过程</w:t>
          </w:r>
          <w:r>
            <w:tab/>
          </w:r>
          <w:r>
            <w:fldChar w:fldCharType="begin"/>
          </w:r>
          <w:r>
            <w:instrText xml:space="preserve"> PAGEREF _Toc32000 </w:instrText>
          </w:r>
          <w:r>
            <w:fldChar w:fldCharType="separate"/>
          </w:r>
          <w:r>
            <w:t>36</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_Toc26932 </w:instrText>
          </w:r>
          <w:r>
            <w:rPr>
              <w:rFonts w:hint="eastAsia" w:ascii="仿宋_GB2312" w:hAnsi="仿宋_GB2312" w:eastAsia="仿宋_GB2312" w:cs="仿宋_GB2312"/>
              <w:szCs w:val="24"/>
            </w:rPr>
            <w:fldChar w:fldCharType="separate"/>
          </w:r>
          <w:r>
            <w:rPr>
              <w:rFonts w:hint="eastAsia" w:ascii="仿宋_GB2312" w:hAnsi="仿宋_GB2312" w:eastAsia="仿宋_GB2312" w:cs="仿宋_GB2312"/>
              <w:bCs/>
              <w:kern w:val="1"/>
              <w:szCs w:val="32"/>
              <w:lang w:val="en-US" w:eastAsia="zh-CN"/>
            </w:rPr>
            <w:t>3</w:t>
          </w:r>
          <w:r>
            <w:rPr>
              <w:rFonts w:hint="eastAsia" w:ascii="仿宋_GB2312" w:hAnsi="仿宋_GB2312" w:eastAsia="仿宋_GB2312" w:cs="仿宋_GB2312"/>
              <w:bCs/>
              <w:kern w:val="1"/>
              <w:szCs w:val="32"/>
            </w:rPr>
            <w:t>.项目</w:t>
          </w:r>
          <w:r>
            <w:rPr>
              <w:rFonts w:hint="eastAsia" w:ascii="仿宋_GB2312" w:hAnsi="仿宋_GB2312" w:eastAsia="仿宋_GB2312" w:cs="仿宋_GB2312"/>
              <w:bCs/>
              <w:kern w:val="1"/>
              <w:szCs w:val="32"/>
              <w:lang w:val="en-US" w:eastAsia="zh-CN"/>
            </w:rPr>
            <w:t>产出</w:t>
          </w:r>
          <w:r>
            <w:tab/>
          </w:r>
          <w:r>
            <w:fldChar w:fldCharType="begin"/>
          </w:r>
          <w:r>
            <w:instrText xml:space="preserve"> PAGEREF _Toc26932 </w:instrText>
          </w:r>
          <w:r>
            <w:fldChar w:fldCharType="separate"/>
          </w:r>
          <w:r>
            <w:t>40</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_Toc7393 </w:instrText>
          </w:r>
          <w:r>
            <w:rPr>
              <w:rFonts w:hint="eastAsia" w:ascii="仿宋_GB2312" w:hAnsi="仿宋_GB2312" w:eastAsia="仿宋_GB2312" w:cs="仿宋_GB2312"/>
              <w:szCs w:val="24"/>
            </w:rPr>
            <w:fldChar w:fldCharType="separate"/>
          </w:r>
          <w:r>
            <w:rPr>
              <w:rFonts w:hint="eastAsia" w:ascii="仿宋_GB2312" w:hAnsi="仿宋_GB2312" w:eastAsia="仿宋_GB2312" w:cs="仿宋_GB2312"/>
              <w:bCs/>
              <w:kern w:val="1"/>
              <w:szCs w:val="32"/>
              <w:lang w:val="en-US" w:eastAsia="zh-CN"/>
            </w:rPr>
            <w:t>4</w:t>
          </w:r>
          <w:r>
            <w:rPr>
              <w:rFonts w:hint="eastAsia" w:ascii="仿宋_GB2312" w:hAnsi="仿宋_GB2312" w:eastAsia="仿宋_GB2312" w:cs="仿宋_GB2312"/>
              <w:bCs/>
              <w:kern w:val="1"/>
              <w:szCs w:val="32"/>
            </w:rPr>
            <w:t>.项目</w:t>
          </w:r>
          <w:r>
            <w:rPr>
              <w:rFonts w:hint="eastAsia" w:ascii="仿宋_GB2312" w:hAnsi="仿宋_GB2312" w:eastAsia="仿宋_GB2312" w:cs="仿宋_GB2312"/>
              <w:bCs/>
              <w:kern w:val="1"/>
              <w:szCs w:val="32"/>
              <w:lang w:val="en-US" w:eastAsia="zh-CN"/>
            </w:rPr>
            <w:t>效益</w:t>
          </w:r>
          <w:r>
            <w:tab/>
          </w:r>
          <w:r>
            <w:fldChar w:fldCharType="begin"/>
          </w:r>
          <w:r>
            <w:instrText xml:space="preserve"> PAGEREF _Toc7393 </w:instrText>
          </w:r>
          <w:r>
            <w:fldChar w:fldCharType="separate"/>
          </w:r>
          <w:r>
            <w:t>44</w:t>
          </w:r>
          <w:r>
            <w:fldChar w:fldCharType="end"/>
          </w:r>
          <w:r>
            <w:rPr>
              <w:rFonts w:hint="eastAsia" w:ascii="仿宋_GB2312" w:hAnsi="仿宋_GB2312" w:eastAsia="仿宋_GB2312" w:cs="仿宋_GB2312"/>
              <w:szCs w:val="24"/>
            </w:rPr>
            <w:fldChar w:fldCharType="end"/>
          </w:r>
        </w:p>
        <w:p>
          <w:pPr>
            <w:pStyle w:val="22"/>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_Toc23283 </w:instrText>
          </w:r>
          <w:r>
            <w:rPr>
              <w:rFonts w:hint="eastAsia" w:ascii="仿宋_GB2312" w:hAnsi="仿宋_GB2312" w:eastAsia="仿宋_GB2312" w:cs="仿宋_GB2312"/>
              <w:szCs w:val="24"/>
            </w:rPr>
            <w:fldChar w:fldCharType="separate"/>
          </w:r>
          <w:r>
            <w:rPr>
              <w:rFonts w:hint="eastAsia" w:ascii="黑体" w:hAnsi="黑体" w:eastAsia="黑体" w:cs="黑体"/>
              <w:szCs w:val="32"/>
              <w:lang w:val="en-US" w:eastAsia="zh-CN"/>
            </w:rPr>
            <w:t>四</w:t>
          </w:r>
          <w:r>
            <w:rPr>
              <w:rFonts w:hint="eastAsia" w:ascii="黑体" w:hAnsi="黑体" w:eastAsia="黑体" w:cs="黑体"/>
              <w:szCs w:val="32"/>
            </w:rPr>
            <w:t>、主要经验及做法、存在问题和建议</w:t>
          </w:r>
          <w:r>
            <w:tab/>
          </w:r>
          <w:r>
            <w:fldChar w:fldCharType="begin"/>
          </w:r>
          <w:r>
            <w:instrText xml:space="preserve"> PAGEREF _Toc23283 </w:instrText>
          </w:r>
          <w:r>
            <w:fldChar w:fldCharType="separate"/>
          </w:r>
          <w:r>
            <w:t>50</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_Toc4002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（一）</w:t>
          </w:r>
          <w:r>
            <w:rPr>
              <w:rFonts w:hint="eastAsia" w:ascii="方正楷体_GB2312" w:hAnsi="方正楷体_GB2312" w:eastAsia="方正楷体_GB2312" w:cs="方正楷体_GB2312"/>
              <w:szCs w:val="32"/>
              <w:lang w:val="en-US" w:eastAsia="zh-CN"/>
            </w:rPr>
            <w:t>主要经验及做法</w:t>
          </w:r>
          <w:r>
            <w:tab/>
          </w:r>
          <w:r>
            <w:fldChar w:fldCharType="begin"/>
          </w:r>
          <w:r>
            <w:instrText xml:space="preserve"> PAGEREF _Toc4002 </w:instrText>
          </w:r>
          <w:r>
            <w:fldChar w:fldCharType="separate"/>
          </w:r>
          <w:r>
            <w:t>50</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_Toc30290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（二）存在问题</w:t>
          </w:r>
          <w:r>
            <w:tab/>
          </w:r>
          <w:r>
            <w:fldChar w:fldCharType="begin"/>
          </w:r>
          <w:r>
            <w:instrText xml:space="preserve"> PAGEREF _Toc30290 </w:instrText>
          </w:r>
          <w:r>
            <w:fldChar w:fldCharType="separate"/>
          </w:r>
          <w:r>
            <w:t>50</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_Toc32694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（三）建议和改进举措</w:t>
          </w:r>
          <w:r>
            <w:tab/>
          </w:r>
          <w:r>
            <w:fldChar w:fldCharType="begin"/>
          </w:r>
          <w:r>
            <w:instrText xml:space="preserve"> PAGEREF _Toc32694 </w:instrText>
          </w:r>
          <w:r>
            <w:fldChar w:fldCharType="separate"/>
          </w:r>
          <w:r>
            <w:t>52</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_Toc2082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bCs w:val="0"/>
              <w:kern w:val="44"/>
              <w:szCs w:val="32"/>
              <w:lang w:val="en-US" w:eastAsia="zh-CN" w:bidi="ar-SA"/>
            </w:rPr>
            <w:t>（四）其他建议</w:t>
          </w:r>
          <w:r>
            <w:tab/>
          </w:r>
          <w:r>
            <w:fldChar w:fldCharType="begin"/>
          </w:r>
          <w:r>
            <w:instrText xml:space="preserve"> PAGEREF _Toc2082 </w:instrText>
          </w:r>
          <w:r>
            <w:fldChar w:fldCharType="separate"/>
          </w:r>
          <w:r>
            <w:t>54</w:t>
          </w:r>
          <w:r>
            <w:fldChar w:fldCharType="end"/>
          </w:r>
          <w:r>
            <w:rPr>
              <w:rFonts w:hint="eastAsia" w:ascii="仿宋_GB2312" w:hAnsi="仿宋_GB2312" w:eastAsia="仿宋_GB2312" w:cs="仿宋_GB2312"/>
              <w:szCs w:val="24"/>
            </w:rPr>
            <w:fldChar w:fldCharType="end"/>
          </w:r>
        </w:p>
        <w:p>
          <w:pPr>
            <w:spacing w:line="240" w:lineRule="auto"/>
            <w:ind w:firstLine="0" w:firstLineChars="0"/>
            <w:contextualSpacing w:val="0"/>
            <w:jc w:val="center"/>
            <w:rPr>
              <w:rFonts w:ascii="黑体" w:hAnsi="黑体" w:eastAsia="黑体" w:cs="黑体"/>
              <w:sz w:val="32"/>
              <w:szCs w:val="32"/>
            </w:rPr>
            <w:sectPr>
              <w:headerReference r:id="rId10" w:type="default"/>
              <w:footerReference r:id="rId11" w:type="default"/>
              <w:footerReference r:id="rId12" w:type="even"/>
              <w:type w:val="continuous"/>
              <w:pgSz w:w="11906" w:h="16838"/>
              <w:pgMar w:top="1440" w:right="1797" w:bottom="1440" w:left="1797" w:header="851" w:footer="567" w:gutter="0"/>
              <w:cols w:space="720" w:num="1"/>
              <w:docGrid w:linePitch="381" w:charSpace="0"/>
            </w:sectPr>
          </w:pPr>
          <w:r>
            <w:rPr>
              <w:rFonts w:hint="eastAsia" w:ascii="仿宋_GB2312" w:hAnsi="仿宋_GB2312" w:eastAsia="仿宋_GB2312" w:cs="仿宋_GB2312"/>
              <w:szCs w:val="24"/>
            </w:rPr>
            <w:fldChar w:fldCharType="end"/>
          </w:r>
        </w:p>
      </w:sdtContent>
    </w:sdt>
    <w:p>
      <w:pPr>
        <w:pageBreakBefore w:val="0"/>
        <w:tabs>
          <w:tab w:val="center" w:pos="4156"/>
        </w:tabs>
        <w:kinsoku/>
        <w:wordWrap/>
        <w:overflowPunct/>
        <w:topLinePunct w:val="0"/>
        <w:autoSpaceDN/>
        <w:bidi w:val="0"/>
        <w:spacing w:line="500" w:lineRule="exact"/>
        <w:ind w:left="0" w:leftChars="0" w:firstLine="0" w:firstLineChars="0"/>
        <w:contextualSpacing w:val="0"/>
        <w:jc w:val="center"/>
        <w:outlineLvl w:val="0"/>
        <w:rPr>
          <w:rFonts w:ascii="Times New Roman" w:hAnsi="Times New Roman" w:cs="Times New Roman"/>
          <w:kern w:val="1"/>
          <w:sz w:val="18"/>
          <w:szCs w:val="18"/>
        </w:rPr>
      </w:pPr>
      <w:bookmarkStart w:id="0" w:name="_Toc28215"/>
      <w:bookmarkStart w:id="1" w:name="_Toc32335"/>
      <w:r>
        <w:rPr>
          <w:rFonts w:hint="eastAsia" w:ascii="黑体" w:hAnsi="黑体" w:eastAsia="黑体" w:cs="黑体"/>
          <w:b/>
          <w:bCs/>
          <w:kern w:val="1"/>
          <w:sz w:val="32"/>
          <w:szCs w:val="22"/>
        </w:rPr>
        <w:t>摘要</w:t>
      </w:r>
      <w:bookmarkEnd w:id="0"/>
      <w:bookmarkEnd w:id="1"/>
    </w:p>
    <w:p>
      <w:pPr>
        <w:keepNext w:val="0"/>
        <w:keepLines w:val="0"/>
        <w:pageBreakBefore w:val="0"/>
        <w:widowControl w:val="0"/>
        <w:kinsoku/>
        <w:wordWrap/>
        <w:overflowPunct/>
        <w:topLinePunct w:val="0"/>
        <w:autoSpaceDE/>
        <w:autoSpaceDN/>
        <w:bidi w:val="0"/>
        <w:spacing w:line="420" w:lineRule="exact"/>
        <w:ind w:firstLine="643"/>
        <w:contextualSpacing w:val="0"/>
        <w:textAlignment w:val="auto"/>
        <w:outlineLvl w:val="9"/>
        <w:rPr>
          <w:rFonts w:ascii="Calibri" w:hAnsi="Calibri" w:cs="Times New Roman"/>
          <w:b/>
          <w:bCs/>
          <w:kern w:val="1"/>
          <w:sz w:val="32"/>
          <w:szCs w:val="22"/>
        </w:rPr>
      </w:pPr>
      <w:bookmarkStart w:id="2" w:name="_Toc51284843"/>
      <w:r>
        <w:rPr>
          <w:rFonts w:ascii="Calibri" w:hAnsi="Calibri" w:cs="Times New Roman"/>
          <w:b/>
          <w:bCs/>
          <w:kern w:val="1"/>
          <w:sz w:val="32"/>
          <w:szCs w:val="22"/>
        </w:rPr>
        <w:t>一、概述</w:t>
      </w:r>
      <w:bookmarkEnd w:id="2"/>
    </w:p>
    <w:p>
      <w:pPr>
        <w:ind w:firstLine="560"/>
        <w:rPr>
          <w:rFonts w:hint="eastAsia" w:ascii="仿宋_GB2312" w:eastAsia="仿宋_GB2312"/>
          <w:sz w:val="32"/>
          <w:szCs w:val="32"/>
          <w:lang w:val="en-US" w:eastAsia="zh-CN"/>
        </w:rPr>
      </w:pPr>
      <w:r>
        <w:rPr>
          <w:rFonts w:hint="eastAsia"/>
          <w:sz w:val="32"/>
          <w:szCs w:val="32"/>
          <w:highlight w:val="none"/>
          <w:lang w:val="en-US" w:eastAsia="zh-CN"/>
        </w:rPr>
        <w:t>彩票公益金是指从彩票发行收入中按规定比例提取的，专项用于社会福利、体育等社会公益事业的资金，按政府性基金管理办法纳入预算，实行“收支两条线”管理，专款专用</w:t>
      </w:r>
      <w:r>
        <w:rPr>
          <w:rFonts w:hint="eastAsia" w:ascii="仿宋_GB2312" w:eastAsia="仿宋_GB2312"/>
          <w:sz w:val="32"/>
          <w:szCs w:val="32"/>
          <w:lang w:val="en-US" w:eastAsia="zh-CN"/>
        </w:rPr>
        <w:t>。</w:t>
      </w:r>
    </w:p>
    <w:p>
      <w:pPr>
        <w:ind w:firstLine="560"/>
        <w:rPr>
          <w:rFonts w:hint="default" w:eastAsia="仿宋_GB2312"/>
          <w:sz w:val="32"/>
          <w:szCs w:val="32"/>
          <w:lang w:val="en-US" w:eastAsia="zh-CN"/>
        </w:rPr>
      </w:pPr>
      <w:r>
        <w:rPr>
          <w:rFonts w:hint="eastAsia"/>
          <w:sz w:val="32"/>
          <w:szCs w:val="32"/>
          <w:highlight w:val="none"/>
          <w:lang w:val="en-US" w:eastAsia="zh-CN"/>
        </w:rPr>
        <w:t>2022年，上海市崇明区留存福利彩票公益金计划用于4个子项目，分别是失智老人护理用品款、示范睦邻点一次性补贴、社区综合为老服务中心建设补贴和养老机构综合责任保险费用区级配套经费，全部为</w:t>
      </w:r>
      <w:r>
        <w:rPr>
          <w:rFonts w:hint="eastAsia"/>
          <w:sz w:val="32"/>
          <w:szCs w:val="32"/>
          <w:lang w:eastAsia="zh-CN"/>
        </w:rPr>
        <w:t>老年人福利类项目。</w:t>
      </w:r>
    </w:p>
    <w:p>
      <w:pPr>
        <w:ind w:firstLine="560"/>
        <w:rPr>
          <w:rFonts w:hint="eastAsia"/>
          <w:sz w:val="32"/>
          <w:szCs w:val="32"/>
          <w:highlight w:val="none"/>
          <w:lang w:val="en-US" w:eastAsia="zh-CN"/>
        </w:rPr>
      </w:pPr>
      <w:r>
        <w:rPr>
          <w:rFonts w:hint="eastAsia"/>
          <w:sz w:val="32"/>
          <w:szCs w:val="32"/>
          <w:lang w:val="en-US" w:eastAsia="zh-CN"/>
        </w:rPr>
        <w:t>其中，</w:t>
      </w:r>
      <w:r>
        <w:rPr>
          <w:rFonts w:hint="eastAsia"/>
          <w:sz w:val="32"/>
          <w:szCs w:val="32"/>
          <w:highlight w:val="none"/>
          <w:lang w:val="en-US" w:eastAsia="zh-CN"/>
        </w:rPr>
        <w:t>为失智老人发放护理用品项目由区红会实施，护理用品由供货商每月配送至乡镇，再由乡镇红十字会志愿者协助将护理用品配送至老人住处，配送标准为每人每月一箱成人尿布（采购价95元/箱）。</w:t>
      </w:r>
    </w:p>
    <w:p>
      <w:pPr>
        <w:ind w:firstLine="560"/>
        <w:rPr>
          <w:rFonts w:hint="eastAsia"/>
          <w:sz w:val="32"/>
          <w:szCs w:val="32"/>
          <w:lang w:eastAsia="zh-CN"/>
        </w:rPr>
      </w:pPr>
      <w:r>
        <w:rPr>
          <w:rFonts w:hint="eastAsia"/>
          <w:sz w:val="32"/>
          <w:szCs w:val="32"/>
          <w:lang w:val="en-US" w:eastAsia="zh-CN"/>
        </w:rPr>
        <w:t>2021年，本市“十四五”养老服务设施建设意见明确了相关补贴标准，对于示范睦邻点，</w:t>
      </w:r>
      <w:r>
        <w:rPr>
          <w:rFonts w:hint="eastAsia"/>
          <w:sz w:val="32"/>
          <w:szCs w:val="32"/>
          <w:lang w:eastAsia="zh-CN"/>
        </w:rPr>
        <w:t>由市级福利彩票公益金对每个点给予一次性补贴1万元，各区按照不低于1∶1配比；</w:t>
      </w:r>
      <w:r>
        <w:rPr>
          <w:rFonts w:hint="eastAsia"/>
          <w:sz w:val="32"/>
          <w:szCs w:val="32"/>
          <w:highlight w:val="none"/>
          <w:lang w:eastAsia="zh-CN"/>
        </w:rPr>
        <w:t>对</w:t>
      </w:r>
      <w:r>
        <w:rPr>
          <w:rFonts w:hint="eastAsia"/>
          <w:sz w:val="32"/>
          <w:szCs w:val="32"/>
          <w:highlight w:val="none"/>
          <w:lang w:val="en-US" w:eastAsia="zh-CN"/>
        </w:rPr>
        <w:t>于社区综合为老服务中心，</w:t>
      </w:r>
      <w:r>
        <w:rPr>
          <w:rFonts w:hint="eastAsia"/>
          <w:sz w:val="32"/>
          <w:szCs w:val="32"/>
          <w:highlight w:val="none"/>
          <w:lang w:eastAsia="zh-CN"/>
        </w:rPr>
        <w:t>建筑面积在800平方米（含）以上的，市级福利彩票公益金一次性补贴100万元，建筑面积在800平方米以下500平方米以上的，市级福利彩票公益金一次性补贴50万元，各区按照不低于1∶1配比。</w:t>
      </w:r>
    </w:p>
    <w:p>
      <w:pPr>
        <w:ind w:firstLine="560"/>
        <w:rPr>
          <w:rFonts w:hint="default"/>
          <w:sz w:val="32"/>
          <w:szCs w:val="32"/>
          <w:lang w:val="en-US" w:eastAsia="zh-CN"/>
        </w:rPr>
      </w:pPr>
      <w:r>
        <w:rPr>
          <w:rFonts w:hint="eastAsia"/>
          <w:sz w:val="32"/>
          <w:szCs w:val="32"/>
          <w:highlight w:val="none"/>
          <w:lang w:val="en-US" w:eastAsia="zh-CN"/>
        </w:rPr>
        <w:t>养老机构综合责任保险的年度标准保费为180元/床/年，市民政局、区民政局按各机构签约时核定床位数内的实际投保床位数，分别资助全年投保的各机构60元/床/年。</w:t>
      </w:r>
    </w:p>
    <w:p>
      <w:pPr>
        <w:ind w:firstLine="560"/>
        <w:rPr>
          <w:rFonts w:hint="eastAsia" w:ascii="仿宋_GB2312" w:eastAsia="仿宋_GB2312"/>
          <w:sz w:val="32"/>
          <w:szCs w:val="32"/>
          <w:lang w:val="en-US" w:eastAsia="zh-CN"/>
        </w:rPr>
      </w:pPr>
      <w:r>
        <w:rPr>
          <w:rFonts w:hint="eastAsia" w:hAnsi="Times New Roman" w:cs="Times New Roman"/>
          <w:sz w:val="32"/>
          <w:szCs w:val="32"/>
          <w:highlight w:val="none"/>
        </w:rPr>
        <w:t>项目</w:t>
      </w:r>
      <w:r>
        <w:rPr>
          <w:rFonts w:hint="eastAsia" w:hAnsi="Times New Roman" w:cs="Times New Roman"/>
          <w:sz w:val="32"/>
          <w:szCs w:val="32"/>
          <w:highlight w:val="none"/>
          <w:lang w:val="en-US" w:eastAsia="zh-CN"/>
        </w:rPr>
        <w:t>2022年年初预算为438</w:t>
      </w:r>
      <w:r>
        <w:rPr>
          <w:rFonts w:hint="eastAsia" w:hAnsi="Times New Roman" w:cs="Times New Roman"/>
          <w:sz w:val="32"/>
          <w:szCs w:val="32"/>
          <w:highlight w:val="none"/>
        </w:rPr>
        <w:t>万元，</w:t>
      </w:r>
      <w:r>
        <w:rPr>
          <w:rFonts w:hint="eastAsia" w:hAnsi="Times New Roman" w:cs="Times New Roman"/>
          <w:sz w:val="32"/>
          <w:szCs w:val="32"/>
          <w:highlight w:val="none"/>
          <w:lang w:val="en-US" w:eastAsia="zh-CN"/>
        </w:rPr>
        <w:t>年中进行预算调整，调减93.52万元，预算调整率为-21.35%，调整后预算为344.48万元</w:t>
      </w:r>
      <w:r>
        <w:rPr>
          <w:rFonts w:hint="eastAsia" w:ascii="仿宋_GB2312" w:eastAsia="仿宋_GB2312"/>
          <w:sz w:val="32"/>
          <w:szCs w:val="32"/>
          <w:lang w:val="en-US" w:eastAsia="zh-CN"/>
        </w:rPr>
        <w:t>，</w:t>
      </w:r>
      <w:r>
        <w:rPr>
          <w:rFonts w:hint="eastAsia" w:hAnsi="Times New Roman" w:cs="Times New Roman"/>
          <w:sz w:val="32"/>
          <w:szCs w:val="32"/>
          <w:highlight w:val="none"/>
          <w:lang w:val="en-US" w:eastAsia="zh-CN"/>
        </w:rPr>
        <w:t>实际共计支出296.91万元，预算执行率为86.19%，</w:t>
      </w:r>
      <w:r>
        <w:rPr>
          <w:rFonts w:hint="eastAsia" w:ascii="仿宋_GB2312" w:eastAsia="仿宋_GB2312"/>
          <w:sz w:val="32"/>
          <w:szCs w:val="32"/>
          <w:lang w:val="en-US" w:eastAsia="zh-CN"/>
        </w:rPr>
        <w:t>资金来源为</w:t>
      </w:r>
      <w:r>
        <w:rPr>
          <w:rFonts w:hint="eastAsia" w:hAnsi="Times New Roman" w:cs="Times New Roman"/>
          <w:sz w:val="32"/>
          <w:szCs w:val="32"/>
          <w:highlight w:val="none"/>
          <w:lang w:val="en-US" w:eastAsia="zh-CN"/>
        </w:rPr>
        <w:t>区本级留存福彩公益金</w:t>
      </w:r>
      <w:r>
        <w:rPr>
          <w:rFonts w:hint="eastAsia" w:ascii="仿宋_GB2312" w:eastAsia="仿宋_GB2312"/>
          <w:sz w:val="32"/>
          <w:szCs w:val="32"/>
          <w:lang w:val="en-US" w:eastAsia="zh-CN"/>
        </w:rPr>
        <w:t>。</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hint="default" w:ascii="Calibri" w:hAnsi="Calibri" w:eastAsia="仿宋_GB2312" w:cs="Times New Roman"/>
          <w:b/>
          <w:bCs/>
          <w:kern w:val="1"/>
          <w:sz w:val="32"/>
          <w:szCs w:val="22"/>
          <w:lang w:val="en-US" w:eastAsia="zh-CN"/>
        </w:rPr>
      </w:pPr>
      <w:bookmarkStart w:id="3" w:name="_Toc51284844"/>
      <w:bookmarkStart w:id="4" w:name="_Toc47894309"/>
      <w:r>
        <w:rPr>
          <w:rFonts w:ascii="Calibri" w:hAnsi="Calibri" w:cs="Times New Roman"/>
          <w:b/>
          <w:bCs/>
          <w:kern w:val="1"/>
          <w:sz w:val="32"/>
          <w:szCs w:val="22"/>
        </w:rPr>
        <w:t>二、评价</w:t>
      </w:r>
      <w:bookmarkEnd w:id="3"/>
      <w:bookmarkEnd w:id="4"/>
      <w:r>
        <w:rPr>
          <w:rFonts w:hint="eastAsia" w:ascii="Calibri" w:hAnsi="Calibri" w:cs="Times New Roman"/>
          <w:b/>
          <w:bCs/>
          <w:kern w:val="1"/>
          <w:sz w:val="32"/>
          <w:szCs w:val="22"/>
          <w:lang w:val="en-US" w:eastAsia="zh-CN"/>
        </w:rPr>
        <w:t>工作开展情况</w:t>
      </w:r>
    </w:p>
    <w:p>
      <w:pPr>
        <w:keepNext w:val="0"/>
        <w:keepLines w:val="0"/>
        <w:pageBreakBefore w:val="0"/>
        <w:widowControl w:val="0"/>
        <w:kinsoku/>
        <w:wordWrap/>
        <w:overflowPunct/>
        <w:topLinePunct w:val="0"/>
        <w:autoSpaceDE/>
        <w:autoSpaceDN/>
        <w:bidi w:val="0"/>
        <w:spacing w:line="500" w:lineRule="atLeast"/>
        <w:ind w:firstLine="640"/>
        <w:contextualSpacing w:val="0"/>
        <w:textAlignment w:val="auto"/>
        <w:outlineLvl w:val="9"/>
        <w:rPr>
          <w:rFonts w:ascii="仿宋_GB2312" w:hAnsi="Calibri" w:cs="Times New Roman"/>
          <w:color w:val="000000"/>
          <w:kern w:val="1"/>
          <w:sz w:val="28"/>
          <w:szCs w:val="21"/>
        </w:rPr>
      </w:pPr>
      <w:r>
        <w:rPr>
          <w:rFonts w:hint="eastAsia" w:ascii="仿宋_GB2312" w:hAnsi="Calibri" w:cs="Times New Roman"/>
          <w:color w:val="000000"/>
          <w:kern w:val="1"/>
          <w:sz w:val="32"/>
          <w:szCs w:val="22"/>
        </w:rPr>
        <w:t>本次绩效评价时段为202</w:t>
      </w:r>
      <w:r>
        <w:rPr>
          <w:rFonts w:hint="eastAsia" w:hAnsi="Calibri" w:cs="Times New Roman"/>
          <w:color w:val="000000"/>
          <w:kern w:val="1"/>
          <w:sz w:val="32"/>
          <w:szCs w:val="22"/>
          <w:lang w:val="en-US" w:eastAsia="zh-CN"/>
        </w:rPr>
        <w:t>2</w:t>
      </w:r>
      <w:r>
        <w:rPr>
          <w:rFonts w:hint="eastAsia" w:ascii="仿宋_GB2312" w:hAnsi="Calibri" w:cs="Times New Roman"/>
          <w:color w:val="000000"/>
          <w:kern w:val="1"/>
          <w:sz w:val="32"/>
          <w:szCs w:val="22"/>
        </w:rPr>
        <w:t>年1月1日至202</w:t>
      </w:r>
      <w:r>
        <w:rPr>
          <w:rFonts w:hint="eastAsia" w:hAnsi="Calibri" w:cs="Times New Roman"/>
          <w:color w:val="000000"/>
          <w:kern w:val="1"/>
          <w:sz w:val="32"/>
          <w:szCs w:val="22"/>
          <w:lang w:val="en-US" w:eastAsia="zh-CN"/>
        </w:rPr>
        <w:t>2</w:t>
      </w:r>
      <w:r>
        <w:rPr>
          <w:rFonts w:hint="eastAsia" w:ascii="仿宋_GB2312" w:hAnsi="Calibri" w:cs="Times New Roman"/>
          <w:color w:val="000000"/>
          <w:kern w:val="1"/>
          <w:sz w:val="32"/>
          <w:szCs w:val="22"/>
        </w:rPr>
        <w:t>年12月31日。202</w:t>
      </w:r>
      <w:r>
        <w:rPr>
          <w:rFonts w:hint="eastAsia" w:hAnsi="Calibri" w:cs="Times New Roman"/>
          <w:color w:val="000000"/>
          <w:kern w:val="1"/>
          <w:sz w:val="32"/>
          <w:szCs w:val="22"/>
          <w:lang w:val="en-US" w:eastAsia="zh-CN"/>
        </w:rPr>
        <w:t>3</w:t>
      </w:r>
      <w:r>
        <w:rPr>
          <w:rFonts w:hint="eastAsia" w:ascii="仿宋_GB2312" w:hAnsi="Calibri" w:cs="Times New Roman"/>
          <w:color w:val="000000"/>
          <w:kern w:val="1"/>
          <w:sz w:val="32"/>
          <w:szCs w:val="22"/>
        </w:rPr>
        <w:t>年</w:t>
      </w:r>
      <w:r>
        <w:rPr>
          <w:rFonts w:hint="eastAsia" w:hAnsi="Calibri" w:cs="Times New Roman"/>
          <w:color w:val="000000"/>
          <w:kern w:val="1"/>
          <w:sz w:val="32"/>
          <w:szCs w:val="22"/>
          <w:lang w:val="en-US" w:eastAsia="zh-CN"/>
        </w:rPr>
        <w:t>3</w:t>
      </w:r>
      <w:r>
        <w:rPr>
          <w:rFonts w:hint="eastAsia" w:ascii="仿宋_GB2312" w:hAnsi="Calibri" w:cs="Times New Roman"/>
          <w:color w:val="000000"/>
          <w:kern w:val="1"/>
          <w:sz w:val="32"/>
          <w:szCs w:val="22"/>
        </w:rPr>
        <w:t>月</w:t>
      </w:r>
      <w:r>
        <w:rPr>
          <w:rFonts w:hint="eastAsia" w:ascii="仿宋_GB2312" w:hAnsi="Calibri" w:cs="Times New Roman"/>
          <w:color w:val="000000"/>
          <w:kern w:val="1"/>
          <w:sz w:val="32"/>
          <w:szCs w:val="22"/>
          <w:lang w:val="en-US" w:eastAsia="zh-CN"/>
        </w:rPr>
        <w:t>上</w:t>
      </w:r>
      <w:r>
        <w:rPr>
          <w:rFonts w:hint="eastAsia" w:ascii="仿宋_GB2312" w:hAnsi="Calibri" w:cs="Times New Roman"/>
          <w:color w:val="000000"/>
          <w:kern w:val="1"/>
          <w:sz w:val="32"/>
          <w:szCs w:val="22"/>
        </w:rPr>
        <w:t>旬绩效评价工作正式启动，</w:t>
      </w:r>
      <w:r>
        <w:rPr>
          <w:rFonts w:hint="eastAsia" w:hAnsi="Calibri" w:cs="Times New Roman"/>
          <w:color w:val="000000"/>
          <w:kern w:val="1"/>
          <w:sz w:val="32"/>
          <w:szCs w:val="22"/>
          <w:lang w:val="en-US" w:eastAsia="zh-CN"/>
        </w:rPr>
        <w:t>4</w:t>
      </w:r>
      <w:r>
        <w:rPr>
          <w:rFonts w:hint="eastAsia" w:ascii="仿宋_GB2312" w:hAnsi="Calibri" w:cs="Times New Roman"/>
          <w:color w:val="000000"/>
          <w:kern w:val="1"/>
          <w:sz w:val="32"/>
          <w:szCs w:val="22"/>
        </w:rPr>
        <w:t>月</w:t>
      </w:r>
      <w:r>
        <w:rPr>
          <w:rFonts w:hint="eastAsia" w:ascii="仿宋_GB2312" w:hAnsi="Calibri" w:cs="Times New Roman"/>
          <w:color w:val="000000"/>
          <w:kern w:val="1"/>
          <w:sz w:val="32"/>
          <w:szCs w:val="22"/>
          <w:lang w:val="en-US" w:eastAsia="zh-CN"/>
        </w:rPr>
        <w:t>下</w:t>
      </w:r>
      <w:r>
        <w:rPr>
          <w:rFonts w:hint="eastAsia" w:ascii="仿宋_GB2312" w:hAnsi="Calibri" w:cs="Times New Roman"/>
          <w:color w:val="000000"/>
          <w:kern w:val="1"/>
          <w:sz w:val="32"/>
          <w:szCs w:val="22"/>
        </w:rPr>
        <w:t>旬工作方案经过专家评审后开展评价工作，</w:t>
      </w:r>
      <w:r>
        <w:rPr>
          <w:rFonts w:hint="eastAsia" w:ascii="仿宋_GB2312" w:hAnsi="Calibri" w:cs="Times New Roman"/>
          <w:color w:val="000000"/>
          <w:kern w:val="1"/>
          <w:sz w:val="32"/>
          <w:szCs w:val="22"/>
          <w:highlight w:val="none"/>
        </w:rPr>
        <w:t>评价组重点关注</w:t>
      </w:r>
      <w:r>
        <w:rPr>
          <w:rFonts w:hint="eastAsia" w:ascii="仿宋_GB2312" w:hAnsi="Calibri" w:cs="Times New Roman"/>
          <w:color w:val="000000"/>
          <w:kern w:val="1"/>
          <w:sz w:val="32"/>
          <w:szCs w:val="22"/>
          <w:highlight w:val="none"/>
          <w:lang w:val="en-US" w:eastAsia="zh-CN"/>
        </w:rPr>
        <w:t>失智老人护理用品项目的审批和管理质量</w:t>
      </w:r>
      <w:r>
        <w:rPr>
          <w:rFonts w:hint="eastAsia" w:ascii="仿宋_GB2312" w:hAnsi="Calibri" w:cs="Times New Roman"/>
          <w:color w:val="000000"/>
          <w:kern w:val="1"/>
          <w:sz w:val="32"/>
          <w:szCs w:val="22"/>
          <w:highlight w:val="none"/>
        </w:rPr>
        <w:t>、示范睦邻点的运营规范性</w:t>
      </w:r>
      <w:r>
        <w:rPr>
          <w:rFonts w:hint="eastAsia" w:hAnsi="Calibri" w:cs="Times New Roman"/>
          <w:color w:val="000000"/>
          <w:kern w:val="1"/>
          <w:sz w:val="32"/>
          <w:szCs w:val="22"/>
          <w:highlight w:val="none"/>
          <w:lang w:eastAsia="zh-CN"/>
        </w:rPr>
        <w:t>、综合为老服务中心的补贴标准合理性、养老机构综合责任险的签约及预算执行规范性、</w:t>
      </w:r>
      <w:r>
        <w:rPr>
          <w:rFonts w:hint="eastAsia" w:hAnsi="Calibri" w:cs="Times New Roman"/>
          <w:color w:val="000000"/>
          <w:kern w:val="1"/>
          <w:sz w:val="32"/>
          <w:szCs w:val="22"/>
          <w:highlight w:val="none"/>
          <w:lang w:val="en-US" w:eastAsia="zh-CN"/>
        </w:rPr>
        <w:t>受益人员对项目实施的满意度</w:t>
      </w:r>
      <w:r>
        <w:rPr>
          <w:rFonts w:hint="eastAsia" w:ascii="仿宋_GB2312" w:hAnsi="Calibri" w:cs="Times New Roman"/>
          <w:color w:val="000000"/>
          <w:kern w:val="1"/>
          <w:sz w:val="32"/>
          <w:szCs w:val="22"/>
          <w:highlight w:val="none"/>
        </w:rPr>
        <w:t>情况等，</w:t>
      </w:r>
      <w:r>
        <w:rPr>
          <w:rFonts w:hint="eastAsia" w:ascii="仿宋_GB2312" w:hAnsi="Calibri" w:cs="Times New Roman"/>
          <w:color w:val="000000"/>
          <w:kern w:val="1"/>
          <w:sz w:val="32"/>
          <w:szCs w:val="22"/>
          <w:lang w:val="en-US" w:eastAsia="zh-CN"/>
        </w:rPr>
        <w:t>并</w:t>
      </w:r>
      <w:r>
        <w:rPr>
          <w:rFonts w:hint="eastAsia" w:ascii="仿宋_GB2312" w:hAnsi="Calibri" w:cs="Times New Roman"/>
          <w:color w:val="000000"/>
          <w:kern w:val="1"/>
          <w:sz w:val="32"/>
          <w:szCs w:val="22"/>
        </w:rPr>
        <w:t>通过发放基础表、问卷、访谈以及实地走访等方式收集数据，依据绩效指标评分标准开展量化评价，对项目的主要成效和经验进行总结，针对存在的问题与不足提出改进建议，形成绩效评价报告，为进一步优化项目管理、预算管理等提供建议。</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hint="default" w:ascii="Calibri" w:hAnsi="Calibri" w:eastAsia="仿宋_GB2312" w:cs="Times New Roman"/>
          <w:b/>
          <w:bCs/>
          <w:kern w:val="1"/>
          <w:sz w:val="32"/>
          <w:szCs w:val="22"/>
          <w:lang w:val="en-US" w:eastAsia="zh-CN"/>
        </w:rPr>
      </w:pPr>
      <w:bookmarkStart w:id="5" w:name="_Toc47894310"/>
      <w:bookmarkStart w:id="6" w:name="_Toc51284845"/>
      <w:r>
        <w:rPr>
          <w:rFonts w:ascii="Calibri" w:hAnsi="Calibri" w:cs="Times New Roman"/>
          <w:b/>
          <w:bCs/>
          <w:kern w:val="1"/>
          <w:sz w:val="32"/>
          <w:szCs w:val="22"/>
        </w:rPr>
        <w:t>三、</w:t>
      </w:r>
      <w:r>
        <w:rPr>
          <w:rFonts w:hint="eastAsia" w:ascii="Calibri" w:hAnsi="Calibri" w:cs="Times New Roman"/>
          <w:b/>
          <w:bCs/>
          <w:kern w:val="1"/>
          <w:sz w:val="32"/>
          <w:szCs w:val="22"/>
          <w:lang w:val="en-US" w:eastAsia="zh-CN"/>
        </w:rPr>
        <w:t>评价结论和主要绩效</w:t>
      </w:r>
    </w:p>
    <w:p>
      <w:pPr>
        <w:keepNext w:val="0"/>
        <w:keepLines w:val="0"/>
        <w:pageBreakBefore w:val="0"/>
        <w:widowControl w:val="0"/>
        <w:kinsoku/>
        <w:wordWrap/>
        <w:overflowPunct/>
        <w:topLinePunct w:val="0"/>
        <w:autoSpaceDE/>
        <w:autoSpaceDN/>
        <w:bidi w:val="0"/>
        <w:adjustRightInd/>
        <w:snapToGrid/>
        <w:spacing w:line="500" w:lineRule="atLeast"/>
        <w:ind w:firstLine="640"/>
        <w:contextualSpacing/>
        <w:textAlignment w:val="auto"/>
        <w:outlineLvl w:val="9"/>
        <w:rPr>
          <w:rFonts w:hint="eastAsia" w:ascii="仿宋_GB2312" w:hAnsi="仿宋_GB2312" w:eastAsia="仿宋_GB2312" w:cs="仿宋_GB2312"/>
          <w:kern w:val="1"/>
          <w:sz w:val="32"/>
          <w:szCs w:val="32"/>
          <w:highlight w:val="yellow"/>
          <w:lang w:val="en-US" w:eastAsia="zh-CN"/>
        </w:rPr>
      </w:pPr>
      <w:r>
        <w:rPr>
          <w:rFonts w:hint="eastAsia" w:ascii="仿宋_GB2312" w:hAnsi="仿宋_GB2312" w:eastAsia="仿宋_GB2312" w:cs="仿宋_GB2312"/>
          <w:kern w:val="1"/>
          <w:sz w:val="32"/>
          <w:szCs w:val="32"/>
          <w:highlight w:val="none"/>
        </w:rPr>
        <w:t>运用评价组设计并经专家组论证的绩效评价指标表及评分标准，项目绩效评价得分为</w:t>
      </w:r>
      <w:r>
        <w:rPr>
          <w:rFonts w:hint="eastAsia" w:ascii="仿宋_GB2312" w:hAnsi="仿宋_GB2312" w:eastAsia="仿宋_GB2312" w:cs="仿宋_GB2312"/>
          <w:sz w:val="32"/>
          <w:szCs w:val="32"/>
          <w:highlight w:val="none"/>
        </w:rPr>
        <w:t>8</w:t>
      </w:r>
      <w:r>
        <w:rPr>
          <w:rFonts w:hint="eastAsia" w:ascii="仿宋_GB2312" w:hAnsi="仿宋_GB2312" w:eastAsia="仿宋_GB2312" w:cs="仿宋_GB2312"/>
          <w:sz w:val="32"/>
          <w:szCs w:val="32"/>
          <w:highlight w:val="none"/>
          <w:lang w:val="en-US" w:eastAsia="zh-CN"/>
        </w:rPr>
        <w:t>5</w:t>
      </w:r>
      <w:r>
        <w:rPr>
          <w:rFonts w:hint="eastAsia" w:ascii="仿宋_GB2312" w:hAnsi="仿宋_GB2312" w:eastAsia="仿宋_GB2312" w:cs="仿宋_GB2312"/>
          <w:sz w:val="32"/>
          <w:szCs w:val="32"/>
          <w:highlight w:val="none"/>
        </w:rPr>
        <w:t>.</w:t>
      </w:r>
      <w:r>
        <w:rPr>
          <w:rFonts w:hint="eastAsia" w:ascii="仿宋_GB2312" w:hAnsi="仿宋_GB2312" w:eastAsia="仿宋_GB2312" w:cs="仿宋_GB2312"/>
          <w:sz w:val="32"/>
          <w:szCs w:val="32"/>
          <w:highlight w:val="none"/>
          <w:lang w:val="en-US" w:eastAsia="zh-CN"/>
        </w:rPr>
        <w:t>9</w:t>
      </w:r>
      <w:r>
        <w:rPr>
          <w:rFonts w:hint="eastAsia" w:ascii="仿宋_GB2312" w:hAnsi="仿宋_GB2312" w:eastAsia="仿宋_GB2312" w:cs="仿宋_GB2312"/>
          <w:sz w:val="32"/>
          <w:szCs w:val="32"/>
          <w:highlight w:val="none"/>
        </w:rPr>
        <w:t>8</w:t>
      </w:r>
      <w:r>
        <w:rPr>
          <w:rFonts w:hint="eastAsia" w:ascii="仿宋_GB2312" w:hAnsi="仿宋_GB2312" w:eastAsia="仿宋_GB2312" w:cs="仿宋_GB2312"/>
          <w:kern w:val="1"/>
          <w:sz w:val="32"/>
          <w:szCs w:val="32"/>
          <w:highlight w:val="none"/>
        </w:rPr>
        <w:t>分，绩效评级为“</w:t>
      </w:r>
      <w:r>
        <w:rPr>
          <w:rFonts w:hint="eastAsia" w:ascii="仿宋_GB2312" w:hAnsi="仿宋_GB2312" w:eastAsia="仿宋_GB2312" w:cs="仿宋_GB2312"/>
          <w:kern w:val="1"/>
          <w:sz w:val="32"/>
          <w:szCs w:val="32"/>
          <w:highlight w:val="none"/>
          <w:lang w:val="en-US" w:eastAsia="zh-CN"/>
        </w:rPr>
        <w:t>良</w:t>
      </w:r>
      <w:r>
        <w:rPr>
          <w:rFonts w:hint="eastAsia" w:ascii="仿宋_GB2312" w:hAnsi="仿宋_GB2312" w:eastAsia="仿宋_GB2312" w:cs="仿宋_GB2312"/>
          <w:kern w:val="1"/>
          <w:sz w:val="32"/>
          <w:szCs w:val="32"/>
          <w:highlight w:val="none"/>
        </w:rPr>
        <w:t>”</w:t>
      </w:r>
      <w:r>
        <w:rPr>
          <w:rFonts w:hint="eastAsia" w:ascii="仿宋_GB2312" w:hAnsi="仿宋_GB2312" w:eastAsia="仿宋_GB2312" w:cs="仿宋_GB2312"/>
          <w:kern w:val="1"/>
          <w:sz w:val="32"/>
          <w:szCs w:val="32"/>
          <w:highlight w:val="none"/>
          <w:vertAlign w:val="superscript"/>
        </w:rPr>
        <w:footnoteReference w:id="0"/>
      </w:r>
      <w:r>
        <w:rPr>
          <w:rFonts w:hint="eastAsia" w:ascii="仿宋_GB2312" w:hAnsi="仿宋_GB2312" w:eastAsia="仿宋_GB2312" w:cs="仿宋_GB2312"/>
          <w:kern w:val="1"/>
          <w:sz w:val="32"/>
          <w:szCs w:val="32"/>
          <w:highlight w:val="none"/>
        </w:rPr>
        <w:t>。决策指标</w:t>
      </w:r>
      <w:r>
        <w:rPr>
          <w:rFonts w:hint="eastAsia" w:ascii="仿宋_GB2312" w:hAnsi="仿宋_GB2312" w:cs="仿宋_GB2312"/>
          <w:kern w:val="1"/>
          <w:sz w:val="32"/>
          <w:szCs w:val="32"/>
          <w:highlight w:val="none"/>
          <w:lang w:val="en-US" w:eastAsia="zh-CN"/>
        </w:rPr>
        <w:t>满</w:t>
      </w:r>
      <w:r>
        <w:rPr>
          <w:rFonts w:hint="eastAsia" w:ascii="仿宋_GB2312" w:hAnsi="仿宋_GB2312" w:eastAsia="仿宋_GB2312" w:cs="仿宋_GB2312"/>
          <w:kern w:val="1"/>
          <w:sz w:val="32"/>
          <w:szCs w:val="32"/>
          <w:highlight w:val="none"/>
        </w:rPr>
        <w:t>分</w:t>
      </w:r>
      <w:r>
        <w:rPr>
          <w:rFonts w:hint="eastAsia"/>
          <w:sz w:val="32"/>
          <w:szCs w:val="32"/>
          <w:lang w:val="en-US" w:eastAsia="zh-CN"/>
        </w:rPr>
        <w:t>20</w:t>
      </w:r>
      <w:r>
        <w:rPr>
          <w:rFonts w:hint="eastAsia" w:ascii="仿宋_GB2312" w:hAnsi="仿宋_GB2312" w:eastAsia="仿宋_GB2312" w:cs="仿宋_GB2312"/>
          <w:kern w:val="1"/>
          <w:sz w:val="32"/>
          <w:szCs w:val="32"/>
          <w:highlight w:val="none"/>
        </w:rPr>
        <w:t>分，得</w:t>
      </w:r>
      <w:r>
        <w:rPr>
          <w:rFonts w:hint="eastAsia"/>
          <w:sz w:val="32"/>
          <w:szCs w:val="32"/>
        </w:rPr>
        <w:t>1</w:t>
      </w:r>
      <w:r>
        <w:rPr>
          <w:rFonts w:hint="eastAsia"/>
          <w:sz w:val="32"/>
          <w:szCs w:val="32"/>
          <w:lang w:val="en-US" w:eastAsia="zh-CN"/>
        </w:rPr>
        <w:t>7</w:t>
      </w:r>
      <w:r>
        <w:rPr>
          <w:rFonts w:hint="eastAsia" w:ascii="仿宋_GB2312" w:hAnsi="仿宋_GB2312" w:eastAsia="仿宋_GB2312" w:cs="仿宋_GB2312"/>
          <w:kern w:val="1"/>
          <w:sz w:val="32"/>
          <w:szCs w:val="32"/>
          <w:highlight w:val="none"/>
        </w:rPr>
        <w:t>分，得分率</w:t>
      </w:r>
      <w:r>
        <w:rPr>
          <w:rFonts w:hint="eastAsia"/>
          <w:sz w:val="32"/>
          <w:szCs w:val="32"/>
        </w:rPr>
        <w:t>8</w:t>
      </w:r>
      <w:r>
        <w:rPr>
          <w:rFonts w:hint="eastAsia"/>
          <w:sz w:val="32"/>
          <w:szCs w:val="32"/>
          <w:lang w:val="en-US" w:eastAsia="zh-CN"/>
        </w:rPr>
        <w:t>5</w:t>
      </w:r>
      <w:r>
        <w:rPr>
          <w:rFonts w:hint="eastAsia" w:ascii="仿宋_GB2312" w:hAnsi="仿宋_GB2312" w:eastAsia="仿宋_GB2312" w:cs="仿宋_GB2312"/>
          <w:kern w:val="1"/>
          <w:sz w:val="32"/>
          <w:szCs w:val="32"/>
          <w:highlight w:val="none"/>
        </w:rPr>
        <w:t>%；过程指标</w:t>
      </w:r>
      <w:r>
        <w:rPr>
          <w:rFonts w:hint="eastAsia" w:ascii="仿宋_GB2312" w:hAnsi="仿宋_GB2312" w:cs="仿宋_GB2312"/>
          <w:kern w:val="1"/>
          <w:sz w:val="32"/>
          <w:szCs w:val="32"/>
          <w:highlight w:val="none"/>
          <w:lang w:val="en-US" w:eastAsia="zh-CN"/>
        </w:rPr>
        <w:t>满</w:t>
      </w:r>
      <w:r>
        <w:rPr>
          <w:rFonts w:hint="eastAsia" w:ascii="仿宋_GB2312" w:hAnsi="仿宋_GB2312" w:eastAsia="仿宋_GB2312" w:cs="仿宋_GB2312"/>
          <w:kern w:val="1"/>
          <w:sz w:val="32"/>
          <w:szCs w:val="32"/>
          <w:highlight w:val="none"/>
        </w:rPr>
        <w:t>分</w:t>
      </w:r>
      <w:r>
        <w:rPr>
          <w:rFonts w:hint="eastAsia" w:ascii="仿宋_GB2312" w:hAnsi="仿宋_GB2312" w:eastAsia="仿宋_GB2312" w:cs="仿宋_GB2312"/>
          <w:kern w:val="1"/>
          <w:sz w:val="32"/>
          <w:szCs w:val="32"/>
          <w:highlight w:val="none"/>
          <w:lang w:val="en-US" w:eastAsia="zh-CN"/>
        </w:rPr>
        <w:t>2</w:t>
      </w:r>
      <w:r>
        <w:rPr>
          <w:rFonts w:hint="eastAsia" w:cs="仿宋_GB2312"/>
          <w:kern w:val="1"/>
          <w:sz w:val="32"/>
          <w:szCs w:val="32"/>
          <w:highlight w:val="none"/>
          <w:lang w:val="en-US" w:eastAsia="zh-CN"/>
        </w:rPr>
        <w:t>0</w:t>
      </w:r>
      <w:r>
        <w:rPr>
          <w:rFonts w:hint="eastAsia" w:ascii="仿宋_GB2312" w:hAnsi="仿宋_GB2312" w:eastAsia="仿宋_GB2312" w:cs="仿宋_GB2312"/>
          <w:kern w:val="1"/>
          <w:sz w:val="32"/>
          <w:szCs w:val="32"/>
          <w:highlight w:val="none"/>
        </w:rPr>
        <w:t>分，得</w:t>
      </w:r>
      <w:r>
        <w:rPr>
          <w:rFonts w:hint="eastAsia" w:ascii="仿宋_GB2312" w:hAnsi="仿宋_GB2312" w:eastAsia="仿宋_GB2312" w:cs="仿宋_GB2312"/>
          <w:sz w:val="32"/>
          <w:szCs w:val="32"/>
          <w:highlight w:val="none"/>
          <w:lang w:val="en-US" w:eastAsia="zh-CN"/>
        </w:rPr>
        <w:t>16.81</w:t>
      </w:r>
      <w:r>
        <w:rPr>
          <w:rFonts w:hint="eastAsia" w:ascii="仿宋_GB2312" w:hAnsi="仿宋_GB2312" w:eastAsia="仿宋_GB2312" w:cs="仿宋_GB2312"/>
          <w:kern w:val="1"/>
          <w:sz w:val="32"/>
          <w:szCs w:val="32"/>
          <w:highlight w:val="none"/>
        </w:rPr>
        <w:t>分，得分率</w:t>
      </w:r>
      <w:r>
        <w:rPr>
          <w:rFonts w:hint="eastAsia" w:ascii="仿宋_GB2312" w:hAnsi="仿宋_GB2312" w:eastAsia="仿宋_GB2312" w:cs="仿宋_GB2312"/>
          <w:sz w:val="32"/>
          <w:szCs w:val="32"/>
          <w:highlight w:val="none"/>
          <w:lang w:val="en-US" w:eastAsia="zh-CN"/>
        </w:rPr>
        <w:t>84</w:t>
      </w:r>
      <w:r>
        <w:rPr>
          <w:rFonts w:hint="eastAsia" w:ascii="仿宋_GB2312" w:hAnsi="仿宋_GB2312" w:eastAsia="仿宋_GB2312" w:cs="仿宋_GB2312"/>
          <w:sz w:val="32"/>
          <w:szCs w:val="32"/>
          <w:highlight w:val="none"/>
        </w:rPr>
        <w:t>.</w:t>
      </w:r>
      <w:r>
        <w:rPr>
          <w:rFonts w:hint="eastAsia" w:ascii="仿宋_GB2312" w:hAnsi="仿宋_GB2312" w:eastAsia="仿宋_GB2312" w:cs="仿宋_GB2312"/>
          <w:sz w:val="32"/>
          <w:szCs w:val="32"/>
          <w:highlight w:val="none"/>
          <w:lang w:val="en-US" w:eastAsia="zh-CN"/>
        </w:rPr>
        <w:t>0</w:t>
      </w:r>
      <w:r>
        <w:rPr>
          <w:rFonts w:hint="eastAsia" w:ascii="仿宋_GB2312" w:hAnsi="仿宋_GB2312" w:eastAsia="仿宋_GB2312" w:cs="仿宋_GB2312"/>
          <w:sz w:val="32"/>
          <w:szCs w:val="32"/>
          <w:highlight w:val="none"/>
        </w:rPr>
        <w:t>5</w:t>
      </w:r>
      <w:r>
        <w:rPr>
          <w:rFonts w:hint="eastAsia" w:ascii="仿宋_GB2312" w:hAnsi="仿宋_GB2312" w:eastAsia="仿宋_GB2312" w:cs="仿宋_GB2312"/>
          <w:kern w:val="1"/>
          <w:sz w:val="32"/>
          <w:szCs w:val="32"/>
          <w:highlight w:val="none"/>
        </w:rPr>
        <w:t>%；</w:t>
      </w:r>
      <w:r>
        <w:rPr>
          <w:rFonts w:hint="eastAsia" w:ascii="仿宋_GB2312" w:hAnsi="仿宋_GB2312" w:eastAsia="仿宋_GB2312" w:cs="仿宋_GB2312"/>
          <w:kern w:val="1"/>
          <w:sz w:val="32"/>
          <w:szCs w:val="32"/>
          <w:highlight w:val="none"/>
          <w:lang w:val="en-US" w:eastAsia="zh-CN"/>
        </w:rPr>
        <w:t>产出指标</w:t>
      </w:r>
      <w:r>
        <w:rPr>
          <w:rFonts w:hint="eastAsia" w:ascii="仿宋_GB2312" w:hAnsi="仿宋_GB2312" w:cs="仿宋_GB2312"/>
          <w:kern w:val="1"/>
          <w:sz w:val="32"/>
          <w:szCs w:val="32"/>
          <w:highlight w:val="none"/>
          <w:lang w:val="en-US" w:eastAsia="zh-CN"/>
        </w:rPr>
        <w:t>满</w:t>
      </w:r>
      <w:r>
        <w:rPr>
          <w:rFonts w:hint="eastAsia" w:ascii="仿宋_GB2312" w:hAnsi="仿宋_GB2312" w:eastAsia="仿宋_GB2312" w:cs="仿宋_GB2312"/>
          <w:kern w:val="1"/>
          <w:sz w:val="32"/>
          <w:szCs w:val="32"/>
          <w:highlight w:val="none"/>
          <w:lang w:val="en-US" w:eastAsia="zh-CN"/>
        </w:rPr>
        <w:t>分</w:t>
      </w:r>
      <w:r>
        <w:rPr>
          <w:rFonts w:hint="eastAsia" w:cs="仿宋_GB2312"/>
          <w:kern w:val="1"/>
          <w:sz w:val="32"/>
          <w:szCs w:val="32"/>
          <w:highlight w:val="none"/>
          <w:lang w:val="en-US" w:eastAsia="zh-CN"/>
        </w:rPr>
        <w:t>30</w:t>
      </w:r>
      <w:r>
        <w:rPr>
          <w:rFonts w:hint="eastAsia" w:ascii="仿宋_GB2312" w:hAnsi="仿宋_GB2312" w:eastAsia="仿宋_GB2312" w:cs="仿宋_GB2312"/>
          <w:kern w:val="1"/>
          <w:sz w:val="32"/>
          <w:szCs w:val="32"/>
          <w:highlight w:val="none"/>
          <w:lang w:val="en-US" w:eastAsia="zh-CN"/>
        </w:rPr>
        <w:t>分，得</w:t>
      </w:r>
      <w:r>
        <w:rPr>
          <w:rFonts w:hint="eastAsia"/>
          <w:sz w:val="32"/>
          <w:szCs w:val="32"/>
        </w:rPr>
        <w:t>2</w:t>
      </w:r>
      <w:r>
        <w:rPr>
          <w:rFonts w:hint="eastAsia"/>
          <w:sz w:val="32"/>
          <w:szCs w:val="32"/>
          <w:lang w:val="en-US" w:eastAsia="zh-CN"/>
        </w:rPr>
        <w:t>8.5</w:t>
      </w:r>
      <w:r>
        <w:rPr>
          <w:rFonts w:hint="eastAsia" w:ascii="仿宋_GB2312" w:hAnsi="仿宋_GB2312" w:cs="仿宋_GB2312"/>
          <w:kern w:val="1"/>
          <w:sz w:val="32"/>
          <w:szCs w:val="32"/>
          <w:highlight w:val="none"/>
          <w:lang w:val="en-US" w:eastAsia="zh-CN"/>
        </w:rPr>
        <w:t>分</w:t>
      </w:r>
      <w:r>
        <w:rPr>
          <w:rFonts w:hint="eastAsia" w:ascii="仿宋_GB2312" w:hAnsi="仿宋_GB2312" w:eastAsia="仿宋_GB2312" w:cs="仿宋_GB2312"/>
          <w:kern w:val="1"/>
          <w:sz w:val="32"/>
          <w:szCs w:val="32"/>
          <w:highlight w:val="none"/>
          <w:lang w:val="en-US" w:eastAsia="zh-CN"/>
        </w:rPr>
        <w:t>，得分率</w:t>
      </w:r>
      <w:r>
        <w:rPr>
          <w:rFonts w:hint="eastAsia"/>
          <w:sz w:val="32"/>
          <w:szCs w:val="32"/>
          <w:lang w:val="en-US" w:eastAsia="zh-CN"/>
        </w:rPr>
        <w:t>95</w:t>
      </w:r>
      <w:r>
        <w:rPr>
          <w:rFonts w:hint="eastAsia" w:ascii="仿宋_GB2312" w:hAnsi="仿宋_GB2312" w:eastAsia="仿宋_GB2312" w:cs="仿宋_GB2312"/>
          <w:kern w:val="1"/>
          <w:sz w:val="32"/>
          <w:szCs w:val="32"/>
          <w:highlight w:val="none"/>
          <w:lang w:val="en-US" w:eastAsia="zh-CN"/>
        </w:rPr>
        <w:t>%；效益</w:t>
      </w:r>
      <w:r>
        <w:rPr>
          <w:rFonts w:hint="eastAsia" w:ascii="仿宋_GB2312" w:hAnsi="仿宋_GB2312" w:eastAsia="仿宋_GB2312" w:cs="仿宋_GB2312"/>
          <w:kern w:val="1"/>
          <w:sz w:val="32"/>
          <w:szCs w:val="32"/>
          <w:highlight w:val="none"/>
        </w:rPr>
        <w:t>指标</w:t>
      </w:r>
      <w:r>
        <w:rPr>
          <w:rFonts w:hint="eastAsia" w:ascii="仿宋_GB2312" w:hAnsi="仿宋_GB2312" w:cs="仿宋_GB2312"/>
          <w:kern w:val="1"/>
          <w:sz w:val="32"/>
          <w:szCs w:val="32"/>
          <w:highlight w:val="none"/>
          <w:lang w:val="en-US" w:eastAsia="zh-CN"/>
        </w:rPr>
        <w:t>满</w:t>
      </w:r>
      <w:r>
        <w:rPr>
          <w:rFonts w:hint="eastAsia" w:ascii="仿宋_GB2312" w:hAnsi="仿宋_GB2312" w:eastAsia="仿宋_GB2312" w:cs="仿宋_GB2312"/>
          <w:kern w:val="1"/>
          <w:sz w:val="32"/>
          <w:szCs w:val="32"/>
          <w:highlight w:val="none"/>
        </w:rPr>
        <w:t>分</w:t>
      </w:r>
      <w:r>
        <w:rPr>
          <w:rFonts w:hint="eastAsia" w:ascii="仿宋_GB2312" w:hAnsi="仿宋_GB2312" w:eastAsia="仿宋_GB2312" w:cs="仿宋_GB2312"/>
          <w:kern w:val="1"/>
          <w:sz w:val="32"/>
          <w:szCs w:val="32"/>
          <w:highlight w:val="none"/>
          <w:lang w:val="en-US" w:eastAsia="zh-CN"/>
        </w:rPr>
        <w:t>3</w:t>
      </w:r>
      <w:r>
        <w:rPr>
          <w:rFonts w:hint="eastAsia" w:cs="仿宋_GB2312"/>
          <w:kern w:val="1"/>
          <w:sz w:val="32"/>
          <w:szCs w:val="32"/>
          <w:highlight w:val="none"/>
          <w:lang w:val="en-US" w:eastAsia="zh-CN"/>
        </w:rPr>
        <w:t>0</w:t>
      </w:r>
      <w:r>
        <w:rPr>
          <w:rFonts w:hint="eastAsia" w:ascii="仿宋_GB2312" w:hAnsi="仿宋_GB2312" w:eastAsia="仿宋_GB2312" w:cs="仿宋_GB2312"/>
          <w:kern w:val="1"/>
          <w:sz w:val="32"/>
          <w:szCs w:val="32"/>
          <w:highlight w:val="none"/>
        </w:rPr>
        <w:t>分，得</w:t>
      </w:r>
      <w:r>
        <w:rPr>
          <w:rFonts w:hint="eastAsia" w:ascii="仿宋_GB2312" w:hAnsi="仿宋_GB2312" w:eastAsia="仿宋_GB2312" w:cs="仿宋_GB2312"/>
          <w:sz w:val="32"/>
          <w:szCs w:val="32"/>
          <w:highlight w:val="none"/>
        </w:rPr>
        <w:t>23</w:t>
      </w:r>
      <w:r>
        <w:rPr>
          <w:rFonts w:hint="eastAsia" w:ascii="仿宋_GB2312" w:hAnsi="仿宋_GB2312" w:eastAsia="仿宋_GB2312" w:cs="仿宋_GB2312"/>
          <w:sz w:val="32"/>
          <w:szCs w:val="32"/>
          <w:highlight w:val="none"/>
          <w:lang w:val="en-US" w:eastAsia="zh-CN"/>
        </w:rPr>
        <w:t>.67</w:t>
      </w:r>
      <w:r>
        <w:rPr>
          <w:rFonts w:hint="eastAsia" w:ascii="仿宋_GB2312" w:hAnsi="仿宋_GB2312" w:eastAsia="仿宋_GB2312" w:cs="仿宋_GB2312"/>
          <w:kern w:val="1"/>
          <w:sz w:val="32"/>
          <w:szCs w:val="32"/>
          <w:highlight w:val="none"/>
        </w:rPr>
        <w:t>分，得分率</w:t>
      </w:r>
      <w:r>
        <w:rPr>
          <w:rFonts w:hint="eastAsia"/>
          <w:sz w:val="32"/>
          <w:szCs w:val="32"/>
          <w:lang w:val="en-US" w:eastAsia="zh-CN"/>
        </w:rPr>
        <w:t>78.9</w:t>
      </w:r>
      <w:r>
        <w:rPr>
          <w:rFonts w:hint="eastAsia" w:ascii="仿宋_GB2312" w:hAnsi="仿宋_GB2312" w:eastAsia="仿宋_GB2312" w:cs="仿宋_GB2312"/>
          <w:kern w:val="1"/>
          <w:sz w:val="32"/>
          <w:szCs w:val="32"/>
          <w:highlight w:val="none"/>
        </w:rPr>
        <w:t>%</w:t>
      </w:r>
      <w:r>
        <w:rPr>
          <w:rFonts w:hint="eastAsia" w:ascii="仿宋_GB2312" w:hAnsi="仿宋_GB2312" w:eastAsia="仿宋_GB2312" w:cs="仿宋_GB2312"/>
          <w:kern w:val="1"/>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atLeast"/>
        <w:ind w:firstLine="640"/>
        <w:contextualSpacing w:val="0"/>
        <w:textAlignment w:val="auto"/>
        <w:outlineLvl w:val="9"/>
        <w:rPr>
          <w:rFonts w:hint="eastAsia" w:ascii="仿宋_GB2312" w:hAnsi="仿宋_GB2312" w:eastAsia="仿宋_GB2312" w:cs="仿宋_GB2312"/>
          <w:kern w:val="1"/>
          <w:sz w:val="32"/>
          <w:szCs w:val="32"/>
          <w:highlight w:val="none"/>
          <w:lang w:val="en-US" w:eastAsia="zh-CN"/>
        </w:rPr>
      </w:pPr>
      <w:r>
        <w:rPr>
          <w:rFonts w:hint="eastAsia" w:ascii="仿宋_GB2312" w:hAnsi="仿宋_GB2312" w:eastAsia="仿宋_GB2312" w:cs="仿宋_GB2312"/>
          <w:color w:val="000000"/>
          <w:kern w:val="1"/>
          <w:sz w:val="32"/>
          <w:szCs w:val="32"/>
          <w:highlight w:val="none"/>
        </w:rPr>
        <w:t>202</w:t>
      </w:r>
      <w:r>
        <w:rPr>
          <w:rFonts w:hint="eastAsia" w:cs="仿宋_GB2312"/>
          <w:color w:val="000000"/>
          <w:kern w:val="1"/>
          <w:sz w:val="32"/>
          <w:szCs w:val="32"/>
          <w:highlight w:val="none"/>
          <w:lang w:val="en-US" w:eastAsia="zh-CN"/>
        </w:rPr>
        <w:t>2</w:t>
      </w:r>
      <w:r>
        <w:rPr>
          <w:rFonts w:hint="eastAsia" w:ascii="仿宋_GB2312" w:hAnsi="仿宋_GB2312" w:cs="仿宋_GB2312"/>
          <w:color w:val="000000"/>
          <w:kern w:val="1"/>
          <w:sz w:val="32"/>
          <w:szCs w:val="32"/>
          <w:highlight w:val="none"/>
          <w:lang w:val="en-US" w:eastAsia="zh-CN"/>
        </w:rPr>
        <w:t>年</w:t>
      </w:r>
      <w:r>
        <w:rPr>
          <w:rFonts w:hint="eastAsia" w:cs="仿宋_GB2312"/>
          <w:color w:val="000000"/>
          <w:kern w:val="1"/>
          <w:sz w:val="32"/>
          <w:szCs w:val="32"/>
          <w:highlight w:val="none"/>
          <w:lang w:val="en-US" w:eastAsia="zh-CN"/>
        </w:rPr>
        <w:t>福利彩票公益金支出</w:t>
      </w:r>
      <w:r>
        <w:rPr>
          <w:rFonts w:hint="eastAsia" w:ascii="仿宋_GB2312" w:hAnsi="仿宋_GB2312" w:eastAsia="仿宋_GB2312" w:cs="仿宋_GB2312"/>
          <w:color w:val="000000"/>
          <w:kern w:val="1"/>
          <w:sz w:val="32"/>
          <w:szCs w:val="32"/>
          <w:highlight w:val="none"/>
        </w:rPr>
        <w:t>项目总体实施情况较好，</w:t>
      </w:r>
      <w:r>
        <w:rPr>
          <w:rFonts w:hint="eastAsia" w:ascii="仿宋_GB2312" w:hAnsi="仿宋_GB2312" w:eastAsia="仿宋_GB2312" w:cs="仿宋_GB2312"/>
          <w:sz w:val="32"/>
          <w:szCs w:val="32"/>
          <w:lang w:val="en-US" w:eastAsia="zh-CN"/>
        </w:rPr>
        <w:t>顺利完成全年</w:t>
      </w:r>
      <w:r>
        <w:rPr>
          <w:rFonts w:hint="eastAsia" w:ascii="仿宋_GB2312" w:hAnsi="黑体" w:eastAsia="仿宋_GB2312" w:cs="Times New Roman"/>
          <w:kern w:val="2"/>
          <w:sz w:val="32"/>
          <w:szCs w:val="32"/>
          <w:lang w:val="en-US" w:eastAsia="zh-CN" w:bidi="ar-SA"/>
        </w:rPr>
        <w:t>为失智老人配送护理用品工作，</w:t>
      </w:r>
      <w:r>
        <w:rPr>
          <w:rFonts w:hint="default" w:ascii="仿宋_GB2312" w:hAnsi="黑体" w:eastAsia="仿宋_GB2312" w:cs="Times New Roman"/>
          <w:kern w:val="2"/>
          <w:sz w:val="32"/>
          <w:szCs w:val="32"/>
          <w:lang w:eastAsia="zh-CN" w:bidi="ar-SA"/>
        </w:rPr>
        <w:t>扶持</w:t>
      </w:r>
      <w:r>
        <w:rPr>
          <w:rFonts w:hint="eastAsia" w:ascii="仿宋_GB2312" w:hAnsi="黑体" w:eastAsia="仿宋_GB2312" w:cs="Times New Roman"/>
          <w:kern w:val="2"/>
          <w:sz w:val="32"/>
          <w:szCs w:val="32"/>
          <w:lang w:val="en-US" w:eastAsia="zh-CN" w:bidi="ar-SA"/>
        </w:rPr>
        <w:t>示范睦邻点80家，扶持社区综合为老服务中心建设1家，</w:t>
      </w:r>
      <w:r>
        <w:rPr>
          <w:rFonts w:hint="eastAsia" w:ascii="仿宋_GB2312" w:hAnsi="黑体" w:eastAsia="仿宋_GB2312" w:cs="Times New Roman"/>
          <w:kern w:val="2"/>
          <w:sz w:val="32"/>
          <w:szCs w:val="32"/>
          <w:highlight w:val="none"/>
          <w:lang w:val="en-US" w:eastAsia="zh-CN" w:bidi="ar-SA"/>
        </w:rPr>
        <w:t>养老机构投保综合责任保险床位数3914张</w:t>
      </w:r>
      <w:r>
        <w:rPr>
          <w:rFonts w:hint="eastAsia" w:ascii="仿宋_GB2312" w:hAnsi="仿宋_GB2312" w:eastAsia="仿宋_GB2312" w:cs="仿宋_GB2312"/>
          <w:sz w:val="32"/>
          <w:szCs w:val="32"/>
          <w:highlight w:val="none"/>
        </w:rPr>
        <w:t>；</w:t>
      </w:r>
      <w:r>
        <w:rPr>
          <w:rFonts w:hint="eastAsia" w:ascii="仿宋_GB2312" w:hAnsi="仿宋_GB2312" w:eastAsia="仿宋_GB2312" w:cs="仿宋_GB2312"/>
          <w:sz w:val="32"/>
          <w:szCs w:val="32"/>
          <w:highlight w:val="none"/>
          <w:lang w:val="en-US" w:eastAsia="zh-CN"/>
        </w:rPr>
        <w:t>失智老人审批和管理工作准确率达到100%，示范睦邻点和</w:t>
      </w:r>
      <w:r>
        <w:rPr>
          <w:rFonts w:hint="eastAsia" w:ascii="仿宋_GB2312" w:hAnsi="黑体" w:eastAsia="仿宋_GB2312" w:cs="Times New Roman"/>
          <w:kern w:val="2"/>
          <w:sz w:val="32"/>
          <w:szCs w:val="32"/>
          <w:lang w:val="en-US" w:eastAsia="zh-CN" w:bidi="ar-SA"/>
        </w:rPr>
        <w:t>综合为老服务中心建设均顺利通过验收，床位应保尽保率达到100%</w:t>
      </w:r>
      <w:r>
        <w:rPr>
          <w:rFonts w:hint="eastAsia" w:ascii="仿宋_GB2312" w:hAnsi="仿宋_GB2312" w:eastAsia="仿宋_GB2312" w:cs="仿宋_GB2312"/>
          <w:sz w:val="32"/>
          <w:szCs w:val="32"/>
        </w:rPr>
        <w:t>；护理用品配送及时率</w:t>
      </w:r>
      <w:r>
        <w:rPr>
          <w:rFonts w:hint="eastAsia" w:ascii="仿宋_GB2312" w:hAnsi="仿宋_GB2312" w:eastAsia="仿宋_GB2312" w:cs="仿宋_GB2312"/>
          <w:sz w:val="32"/>
          <w:szCs w:val="32"/>
          <w:lang w:val="en-US" w:eastAsia="zh-CN"/>
        </w:rPr>
        <w:t>达到100%，示范睦邻点补贴发放</w:t>
      </w:r>
      <w:r>
        <w:rPr>
          <w:rFonts w:hint="eastAsia" w:cs="仿宋_GB2312"/>
          <w:sz w:val="32"/>
          <w:szCs w:val="32"/>
          <w:lang w:val="en-US" w:eastAsia="zh-CN"/>
        </w:rPr>
        <w:t>和</w:t>
      </w:r>
      <w:r>
        <w:rPr>
          <w:rFonts w:hint="eastAsia" w:ascii="仿宋_GB2312" w:hAnsi="仿宋_GB2312" w:eastAsia="仿宋_GB2312" w:cs="仿宋_GB2312"/>
          <w:sz w:val="32"/>
          <w:szCs w:val="32"/>
          <w:lang w:val="en-US" w:eastAsia="zh-CN"/>
        </w:rPr>
        <w:t>保险续保及时</w:t>
      </w:r>
      <w:r>
        <w:rPr>
          <w:rFonts w:hint="eastAsia" w:cs="仿宋_GB2312"/>
          <w:sz w:val="32"/>
          <w:szCs w:val="32"/>
          <w:lang w:val="en-US" w:eastAsia="zh-CN"/>
        </w:rPr>
        <w:t>；</w:t>
      </w:r>
      <w:r>
        <w:rPr>
          <w:rFonts w:hint="eastAsia" w:ascii="仿宋_GB2312" w:hAnsi="仿宋_GB2312" w:eastAsia="仿宋_GB2312" w:cs="仿宋_GB2312"/>
          <w:sz w:val="32"/>
          <w:szCs w:val="32"/>
          <w:highlight w:val="none"/>
        </w:rPr>
        <w:t>项目的实施</w:t>
      </w:r>
      <w:r>
        <w:rPr>
          <w:rFonts w:hint="eastAsia" w:ascii="仿宋_GB2312" w:hAnsi="仿宋_GB2312" w:eastAsia="仿宋_GB2312" w:cs="仿宋_GB2312"/>
          <w:sz w:val="32"/>
          <w:szCs w:val="32"/>
          <w:highlight w:val="none"/>
          <w:lang w:val="en-US" w:eastAsia="zh-CN"/>
        </w:rPr>
        <w:t>让</w:t>
      </w:r>
      <w:r>
        <w:rPr>
          <w:rFonts w:hint="eastAsia" w:ascii="仿宋_GB2312" w:hAnsi="仿宋_GB2312" w:eastAsia="仿宋_GB2312" w:cs="仿宋_GB2312"/>
          <w:sz w:val="32"/>
          <w:szCs w:val="32"/>
          <w:lang w:val="en-US" w:eastAsia="zh-CN"/>
        </w:rPr>
        <w:t>重度困难失智老人群体护理水平得到改善，邻里关系有所增进，全区村居养老服务设施有效供给增加77处，养老机构抗风险能力提升，有利于构建老年宜居社区</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长效方面，失智老人项目和综合责任险项目长效管理制度健全</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失智老人项目补贴退出机制健全</w:t>
      </w:r>
      <w:r>
        <w:rPr>
          <w:rFonts w:hint="eastAsia" w:ascii="仿宋_GB2312" w:hAnsi="仿宋_GB2312" w:eastAsia="仿宋_GB2312" w:cs="仿宋_GB2312"/>
          <w:sz w:val="32"/>
          <w:szCs w:val="32"/>
        </w:rPr>
        <w:t>，信息公开规范</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受益人员对项目实施满意度高</w:t>
      </w:r>
      <w:r>
        <w:rPr>
          <w:rFonts w:hint="eastAsia" w:cs="仿宋_GB2312"/>
          <w:sz w:val="32"/>
          <w:szCs w:val="32"/>
          <w:lang w:val="en-US" w:eastAsia="zh-CN"/>
        </w:rPr>
        <w:t>。</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hint="eastAsia" w:ascii="Calibri" w:hAnsi="Calibri" w:cs="Times New Roman"/>
          <w:b/>
          <w:bCs/>
          <w:kern w:val="1"/>
          <w:sz w:val="32"/>
          <w:szCs w:val="22"/>
          <w:lang w:val="en-US" w:eastAsia="zh-CN"/>
        </w:rPr>
      </w:pPr>
      <w:r>
        <w:rPr>
          <w:rFonts w:hint="eastAsia" w:ascii="仿宋_GB2312" w:hAnsi="仿宋_GB2312" w:cs="仿宋_GB2312"/>
          <w:kern w:val="1"/>
          <w:sz w:val="32"/>
          <w:szCs w:val="32"/>
          <w:highlight w:val="none"/>
          <w:lang w:val="en-US" w:eastAsia="zh-CN"/>
        </w:rPr>
        <w:t>但主要还存在以下不足：一是</w:t>
      </w:r>
      <w:r>
        <w:rPr>
          <w:rFonts w:hint="eastAsia"/>
          <w:sz w:val="32"/>
          <w:szCs w:val="32"/>
        </w:rPr>
        <w:t>在</w:t>
      </w:r>
      <w:r>
        <w:rPr>
          <w:rFonts w:hint="eastAsia" w:ascii="仿宋_GB2312" w:hAnsi="仿宋_GB2312" w:eastAsia="仿宋_GB2312" w:cs="仿宋_GB2312"/>
          <w:sz w:val="32"/>
          <w:szCs w:val="32"/>
        </w:rPr>
        <w:t>建设时效性方面，</w:t>
      </w:r>
      <w:r>
        <w:rPr>
          <w:rFonts w:hint="eastAsia" w:ascii="仿宋_GB2312" w:hAnsi="仿宋_GB2312" w:eastAsia="仿宋_GB2312" w:cs="仿宋_GB2312"/>
          <w:sz w:val="32"/>
          <w:szCs w:val="32"/>
          <w:lang w:val="en-US" w:eastAsia="zh-CN"/>
        </w:rPr>
        <w:t>建设镇</w:t>
      </w:r>
      <w:r>
        <w:rPr>
          <w:rFonts w:hint="eastAsia" w:ascii="仿宋_GB2312" w:hAnsi="黑体" w:eastAsia="仿宋_GB2312" w:cs="Times New Roman"/>
          <w:kern w:val="2"/>
          <w:sz w:val="32"/>
          <w:szCs w:val="32"/>
          <w:lang w:val="en-US" w:eastAsia="zh-CN" w:bidi="ar-SA"/>
        </w:rPr>
        <w:t>综合为老服务中心旭升分中心落后计划5个月</w:t>
      </w:r>
      <w:r>
        <w:rPr>
          <w:rFonts w:hint="eastAsia"/>
          <w:sz w:val="32"/>
          <w:szCs w:val="32"/>
          <w:lang w:eastAsia="zh-CN"/>
        </w:rPr>
        <w:t>；</w:t>
      </w:r>
      <w:r>
        <w:rPr>
          <w:rFonts w:hint="eastAsia"/>
          <w:sz w:val="32"/>
          <w:szCs w:val="32"/>
          <w:lang w:val="en-US" w:eastAsia="zh-CN"/>
        </w:rPr>
        <w:t>二是</w:t>
      </w:r>
      <w:r>
        <w:rPr>
          <w:rFonts w:hint="eastAsia" w:ascii="仿宋_GB2312" w:hAnsi="仿宋_GB2312" w:eastAsia="仿宋_GB2312" w:cs="仿宋_GB2312"/>
          <w:sz w:val="32"/>
          <w:szCs w:val="32"/>
          <w:lang w:val="en-US" w:eastAsia="zh-CN"/>
        </w:rPr>
        <w:t>长效</w:t>
      </w:r>
      <w:r>
        <w:rPr>
          <w:rFonts w:hint="eastAsia"/>
          <w:sz w:val="32"/>
          <w:szCs w:val="32"/>
        </w:rPr>
        <w:t>方面，</w:t>
      </w:r>
      <w:r>
        <w:rPr>
          <w:rFonts w:hint="eastAsia" w:ascii="仿宋_GB2312" w:hAnsi="仿宋_GB2312" w:eastAsia="仿宋_GB2312" w:cs="仿宋_GB2312"/>
          <w:sz w:val="32"/>
          <w:szCs w:val="32"/>
        </w:rPr>
        <w:t>示范睦邻点项目</w:t>
      </w:r>
      <w:r>
        <w:rPr>
          <w:rFonts w:hint="eastAsia" w:ascii="仿宋_GB2312" w:hAnsi="仿宋_GB2312" w:eastAsia="仿宋_GB2312" w:cs="仿宋_GB2312"/>
          <w:sz w:val="32"/>
          <w:szCs w:val="32"/>
          <w:lang w:val="en-US" w:eastAsia="zh-CN"/>
        </w:rPr>
        <w:t>和</w:t>
      </w:r>
      <w:r>
        <w:rPr>
          <w:rFonts w:hint="eastAsia" w:ascii="仿宋_GB2312" w:hAnsi="黑体" w:eastAsia="仿宋_GB2312" w:cs="Times New Roman"/>
          <w:kern w:val="2"/>
          <w:sz w:val="32"/>
          <w:szCs w:val="32"/>
          <w:lang w:val="en-US" w:eastAsia="zh-CN" w:bidi="ar-SA"/>
        </w:rPr>
        <w:t>综合为老服务中心项目</w:t>
      </w:r>
      <w:r>
        <w:rPr>
          <w:rFonts w:hint="eastAsia" w:ascii="仿宋_GB2312" w:hAnsi="仿宋_GB2312" w:eastAsia="仿宋_GB2312" w:cs="仿宋_GB2312"/>
          <w:sz w:val="32"/>
          <w:szCs w:val="32"/>
        </w:rPr>
        <w:t>的</w:t>
      </w:r>
      <w:r>
        <w:rPr>
          <w:rFonts w:hint="eastAsia" w:ascii="仿宋_GB2312" w:hAnsi="仿宋_GB2312" w:eastAsia="仿宋_GB2312" w:cs="仿宋_GB2312"/>
          <w:sz w:val="32"/>
          <w:szCs w:val="32"/>
          <w:lang w:val="en-US" w:eastAsia="zh-CN"/>
        </w:rPr>
        <w:t>长效管理机制尚不健全</w:t>
      </w:r>
      <w:r>
        <w:rPr>
          <w:rFonts w:hint="eastAsia" w:cs="仿宋_GB2312"/>
          <w:sz w:val="32"/>
          <w:szCs w:val="32"/>
          <w:lang w:val="en-US" w:eastAsia="zh-CN"/>
        </w:rPr>
        <w:t>，</w:t>
      </w:r>
      <w:r>
        <w:rPr>
          <w:rFonts w:hint="eastAsia" w:ascii="仿宋_GB2312" w:hAnsi="仿宋_GB2312" w:eastAsia="仿宋_GB2312" w:cs="仿宋_GB2312"/>
          <w:sz w:val="32"/>
          <w:szCs w:val="32"/>
        </w:rPr>
        <w:t>示范睦邻点综合使用率</w:t>
      </w:r>
      <w:r>
        <w:rPr>
          <w:rFonts w:hint="eastAsia" w:ascii="仿宋_GB2312" w:hAnsi="仿宋_GB2312" w:eastAsia="仿宋_GB2312" w:cs="仿宋_GB2312"/>
          <w:sz w:val="32"/>
          <w:szCs w:val="32"/>
          <w:lang w:val="en-US" w:eastAsia="zh-CN"/>
        </w:rPr>
        <w:t>还有提升空间，福彩公益金资助标识设置欠缺</w:t>
      </w:r>
      <w:r>
        <w:rPr>
          <w:rFonts w:hint="eastAsia"/>
          <w:sz w:val="32"/>
          <w:szCs w:val="32"/>
          <w:lang w:eastAsia="zh-CN"/>
        </w:rPr>
        <w:t>；</w:t>
      </w:r>
      <w:r>
        <w:rPr>
          <w:rFonts w:hint="eastAsia"/>
          <w:sz w:val="32"/>
          <w:szCs w:val="32"/>
          <w:lang w:val="en-US" w:eastAsia="zh-CN"/>
        </w:rPr>
        <w:t>三是管理方面，</w:t>
      </w:r>
      <w:r>
        <w:rPr>
          <w:rFonts w:hint="eastAsia" w:ascii="仿宋_GB2312" w:hAnsi="仿宋_GB2312" w:eastAsia="仿宋_GB2312" w:cs="仿宋_GB2312"/>
          <w:sz w:val="32"/>
          <w:szCs w:val="32"/>
          <w:highlight w:val="none"/>
          <w:lang w:val="en-US" w:eastAsia="zh-CN"/>
        </w:rPr>
        <w:t>综合责任险项目的预算编制欠合理</w:t>
      </w:r>
      <w:r>
        <w:rPr>
          <w:rFonts w:hint="eastAsia" w:cs="仿宋_GB2312"/>
          <w:sz w:val="32"/>
          <w:szCs w:val="32"/>
          <w:highlight w:val="none"/>
          <w:lang w:val="en-US" w:eastAsia="zh-CN"/>
        </w:rPr>
        <w:t>，部分</w:t>
      </w:r>
      <w:r>
        <w:rPr>
          <w:rFonts w:hint="eastAsia" w:ascii="仿宋_GB2312" w:hAnsi="仿宋_GB2312" w:eastAsia="仿宋_GB2312" w:cs="仿宋_GB2312"/>
          <w:sz w:val="32"/>
          <w:szCs w:val="32"/>
          <w:highlight w:val="none"/>
        </w:rPr>
        <w:t>合同</w:t>
      </w:r>
      <w:r>
        <w:rPr>
          <w:rFonts w:hint="eastAsia" w:cs="仿宋_GB2312"/>
          <w:sz w:val="32"/>
          <w:szCs w:val="32"/>
          <w:highlight w:val="none"/>
          <w:lang w:val="en-US" w:eastAsia="zh-CN"/>
        </w:rPr>
        <w:t>签订</w:t>
      </w:r>
      <w:r>
        <w:rPr>
          <w:rFonts w:hint="eastAsia" w:ascii="仿宋_GB2312" w:hAnsi="仿宋_GB2312" w:eastAsia="仿宋_GB2312" w:cs="仿宋_GB2312"/>
          <w:sz w:val="32"/>
          <w:szCs w:val="32"/>
          <w:highlight w:val="none"/>
        </w:rPr>
        <w:t>不规范</w:t>
      </w:r>
      <w:r>
        <w:rPr>
          <w:rFonts w:hint="eastAsia" w:ascii="仿宋_GB2312" w:hAnsi="仿宋_GB2312" w:cs="仿宋_GB2312"/>
          <w:kern w:val="1"/>
          <w:sz w:val="32"/>
          <w:szCs w:val="32"/>
          <w:highlight w:val="none"/>
          <w:lang w:val="en-US" w:eastAsia="zh-CN"/>
        </w:rPr>
        <w:t>。</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ascii="Calibri" w:hAnsi="Calibri" w:cs="Times New Roman"/>
          <w:b/>
          <w:bCs/>
          <w:kern w:val="1"/>
          <w:sz w:val="32"/>
          <w:szCs w:val="22"/>
        </w:rPr>
      </w:pPr>
      <w:r>
        <w:rPr>
          <w:rFonts w:hint="eastAsia" w:ascii="Calibri" w:hAnsi="Calibri" w:cs="Times New Roman"/>
          <w:b/>
          <w:bCs/>
          <w:kern w:val="1"/>
          <w:sz w:val="32"/>
          <w:szCs w:val="22"/>
          <w:lang w:val="en-US" w:eastAsia="zh-CN"/>
        </w:rPr>
        <w:t>四、</w:t>
      </w:r>
      <w:r>
        <w:rPr>
          <w:rFonts w:hint="eastAsia" w:ascii="Calibri" w:hAnsi="Calibri" w:cs="Times New Roman"/>
          <w:b/>
          <w:bCs/>
          <w:kern w:val="1"/>
          <w:sz w:val="32"/>
          <w:szCs w:val="22"/>
        </w:rPr>
        <w:t>主要经验及做法、</w:t>
      </w:r>
      <w:r>
        <w:rPr>
          <w:rFonts w:ascii="Calibri" w:hAnsi="Calibri" w:cs="Times New Roman"/>
          <w:b/>
          <w:bCs/>
          <w:kern w:val="1"/>
          <w:sz w:val="32"/>
          <w:szCs w:val="22"/>
        </w:rPr>
        <w:t>存在问题</w:t>
      </w:r>
      <w:r>
        <w:rPr>
          <w:rFonts w:hint="eastAsia" w:ascii="Calibri" w:hAnsi="Calibri" w:cs="Times New Roman"/>
          <w:b/>
          <w:bCs/>
          <w:kern w:val="1"/>
          <w:sz w:val="32"/>
          <w:szCs w:val="22"/>
        </w:rPr>
        <w:t>、</w:t>
      </w:r>
      <w:r>
        <w:rPr>
          <w:rFonts w:ascii="Calibri" w:hAnsi="Calibri" w:cs="Times New Roman"/>
          <w:b/>
          <w:bCs/>
          <w:kern w:val="1"/>
          <w:sz w:val="32"/>
          <w:szCs w:val="22"/>
        </w:rPr>
        <w:t>建议</w:t>
      </w:r>
      <w:bookmarkEnd w:id="5"/>
      <w:bookmarkEnd w:id="6"/>
      <w:r>
        <w:rPr>
          <w:rFonts w:hint="eastAsia" w:ascii="Calibri" w:hAnsi="Calibri" w:cs="Times New Roman"/>
          <w:b/>
          <w:bCs/>
          <w:kern w:val="1"/>
          <w:sz w:val="32"/>
          <w:szCs w:val="22"/>
        </w:rPr>
        <w:t>和改进措施</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ascii="Calibri" w:hAnsi="Calibri" w:cs="Times New Roman"/>
          <w:b/>
          <w:bCs/>
          <w:kern w:val="1"/>
          <w:sz w:val="32"/>
          <w:szCs w:val="22"/>
        </w:rPr>
      </w:pPr>
      <w:r>
        <w:rPr>
          <w:rFonts w:ascii="Calibri" w:hAnsi="Calibri" w:cs="Times New Roman"/>
          <w:b/>
          <w:bCs/>
          <w:kern w:val="1"/>
          <w:sz w:val="32"/>
          <w:szCs w:val="22"/>
        </w:rPr>
        <w:t>（</w:t>
      </w:r>
      <w:r>
        <w:rPr>
          <w:rFonts w:hint="eastAsia" w:ascii="Calibri" w:hAnsi="Calibri" w:cs="Times New Roman"/>
          <w:b/>
          <w:bCs/>
          <w:kern w:val="1"/>
          <w:sz w:val="32"/>
          <w:szCs w:val="22"/>
        </w:rPr>
        <w:t>一</w:t>
      </w:r>
      <w:r>
        <w:rPr>
          <w:rFonts w:ascii="Calibri" w:hAnsi="Calibri" w:cs="Times New Roman"/>
          <w:b/>
          <w:bCs/>
          <w:kern w:val="1"/>
          <w:sz w:val="32"/>
          <w:szCs w:val="22"/>
        </w:rPr>
        <w:t>）</w:t>
      </w:r>
      <w:r>
        <w:rPr>
          <w:rFonts w:hint="eastAsia" w:ascii="Calibri" w:hAnsi="Calibri" w:cs="Times New Roman"/>
          <w:b/>
          <w:bCs/>
          <w:kern w:val="1"/>
          <w:sz w:val="32"/>
          <w:szCs w:val="22"/>
        </w:rPr>
        <w:t>主要经验及做法</w:t>
      </w:r>
    </w:p>
    <w:p>
      <w:pPr>
        <w:ind w:firstLine="560"/>
        <w:rPr>
          <w:rFonts w:hint="default" w:hAnsi="黑体" w:eastAsia="仿宋_GB2312" w:cs="Times New Roman"/>
          <w:sz w:val="32"/>
          <w:szCs w:val="32"/>
          <w:lang w:val="en-US" w:eastAsia="zh-CN"/>
        </w:rPr>
      </w:pPr>
      <w:bookmarkStart w:id="7" w:name="_Toc47894312"/>
      <w:bookmarkStart w:id="8" w:name="_Toc51284847"/>
      <w:r>
        <w:rPr>
          <w:rFonts w:hint="eastAsia" w:hAnsi="黑体" w:cs="Times New Roman"/>
          <w:b/>
          <w:bCs/>
          <w:sz w:val="32"/>
          <w:szCs w:val="32"/>
          <w:lang w:val="en-US" w:eastAsia="zh-CN"/>
        </w:rPr>
        <w:t>风雨无阻保配送，扎实开展实事项目</w:t>
      </w:r>
    </w:p>
    <w:p>
      <w:pPr>
        <w:ind w:firstLine="560"/>
        <w:rPr>
          <w:rFonts w:hint="eastAsia" w:hAnsi="黑体" w:cs="Times New Roman"/>
          <w:sz w:val="32"/>
          <w:szCs w:val="32"/>
        </w:rPr>
      </w:pPr>
      <w:r>
        <w:rPr>
          <w:rFonts w:hint="eastAsia" w:hAnsi="黑体" w:cs="Times New Roman"/>
          <w:sz w:val="32"/>
          <w:szCs w:val="32"/>
          <w:lang w:val="en-US" w:eastAsia="zh-CN"/>
        </w:rPr>
        <w:t>为</w:t>
      </w:r>
      <w:r>
        <w:rPr>
          <w:rFonts w:hint="eastAsia" w:hAnsi="黑体" w:cs="Times New Roman"/>
          <w:sz w:val="32"/>
          <w:szCs w:val="32"/>
        </w:rPr>
        <w:t>困难失智老人</w:t>
      </w:r>
      <w:r>
        <w:rPr>
          <w:rFonts w:hint="eastAsia" w:hAnsi="黑体" w:cs="Times New Roman"/>
          <w:sz w:val="32"/>
          <w:szCs w:val="32"/>
          <w:lang w:val="en-US" w:eastAsia="zh-CN"/>
        </w:rPr>
        <w:t>发放护理用品</w:t>
      </w:r>
      <w:r>
        <w:rPr>
          <w:rFonts w:hint="eastAsia" w:hAnsi="黑体" w:cs="Times New Roman"/>
          <w:sz w:val="32"/>
          <w:szCs w:val="32"/>
        </w:rPr>
        <w:t>项目</w:t>
      </w:r>
      <w:r>
        <w:rPr>
          <w:rFonts w:hint="eastAsia" w:hAnsi="黑体" w:cs="Times New Roman"/>
          <w:sz w:val="32"/>
          <w:szCs w:val="32"/>
          <w:lang w:val="en-US" w:eastAsia="zh-CN"/>
        </w:rPr>
        <w:t>自</w:t>
      </w:r>
      <w:r>
        <w:rPr>
          <w:rFonts w:hint="eastAsia" w:hAnsi="黑体" w:cs="Times New Roman"/>
          <w:sz w:val="32"/>
          <w:szCs w:val="32"/>
        </w:rPr>
        <w:t>2012年纳入区红会常规工作，</w:t>
      </w:r>
      <w:r>
        <w:rPr>
          <w:rFonts w:hint="eastAsia" w:hAnsi="黑体" w:cs="Times New Roman"/>
          <w:sz w:val="32"/>
          <w:szCs w:val="32"/>
          <w:lang w:val="en-US" w:eastAsia="zh-CN"/>
        </w:rPr>
        <w:t>十年以来，区红会始终关注民意、贴近民需，不断优化和改进项目管理环节，提升项目实效</w:t>
      </w:r>
      <w:r>
        <w:rPr>
          <w:rFonts w:hint="eastAsia" w:hAnsi="黑体" w:cs="Times New Roman"/>
          <w:sz w:val="32"/>
          <w:szCs w:val="32"/>
        </w:rPr>
        <w:t>。</w:t>
      </w:r>
    </w:p>
    <w:p>
      <w:pPr>
        <w:ind w:firstLine="560"/>
        <w:rPr>
          <w:rFonts w:hint="eastAsia" w:hAnsi="黑体" w:cs="Times New Roman"/>
          <w:sz w:val="32"/>
          <w:szCs w:val="32"/>
        </w:rPr>
      </w:pPr>
      <w:r>
        <w:rPr>
          <w:rFonts w:hint="eastAsia" w:hAnsi="黑体" w:cs="Times New Roman"/>
          <w:sz w:val="32"/>
          <w:szCs w:val="32"/>
        </w:rPr>
        <w:t>在</w:t>
      </w:r>
      <w:r>
        <w:rPr>
          <w:rFonts w:hint="eastAsia" w:hAnsi="黑体" w:cs="Times New Roman"/>
          <w:sz w:val="32"/>
          <w:szCs w:val="32"/>
          <w:lang w:val="en-US" w:eastAsia="zh-CN"/>
        </w:rPr>
        <w:t>2022年面临</w:t>
      </w:r>
      <w:r>
        <w:rPr>
          <w:rFonts w:hint="eastAsia" w:hAnsi="黑体" w:cs="Times New Roman"/>
          <w:sz w:val="32"/>
          <w:szCs w:val="32"/>
        </w:rPr>
        <w:t>疫情</w:t>
      </w:r>
      <w:r>
        <w:rPr>
          <w:rFonts w:hint="eastAsia" w:hAnsi="黑体" w:cs="Times New Roman"/>
          <w:sz w:val="32"/>
          <w:szCs w:val="32"/>
          <w:lang w:val="en-US" w:eastAsia="zh-CN"/>
        </w:rPr>
        <w:t>严峻考验的特殊</w:t>
      </w:r>
      <w:r>
        <w:rPr>
          <w:rFonts w:hint="eastAsia" w:hAnsi="黑体" w:cs="Times New Roman"/>
          <w:sz w:val="32"/>
          <w:szCs w:val="32"/>
        </w:rPr>
        <w:t>期间，区红会与供货方密切沟通，确保护理用品的的正常供应，红十字志愿者们在严格执行防疫规定的同时，风雨无阻，依旧按时将护理用品送到老人家中，保障他们基本的护理需求。</w:t>
      </w:r>
    </w:p>
    <w:p>
      <w:pPr>
        <w:keepNext w:val="0"/>
        <w:keepLines w:val="0"/>
        <w:pageBreakBefore w:val="0"/>
        <w:widowControl w:val="0"/>
        <w:kinsoku/>
        <w:wordWrap/>
        <w:overflowPunct/>
        <w:topLinePunct w:val="0"/>
        <w:autoSpaceDE/>
        <w:autoSpaceDN/>
        <w:bidi w:val="0"/>
        <w:spacing w:line="500" w:lineRule="atLeast"/>
        <w:ind w:firstLine="640"/>
        <w:contextualSpacing w:val="0"/>
        <w:textAlignment w:val="auto"/>
        <w:outlineLvl w:val="9"/>
        <w:rPr>
          <w:rFonts w:ascii="Calibri" w:hAnsi="Calibri" w:cs="Times New Roman"/>
          <w:b/>
          <w:bCs/>
          <w:kern w:val="1"/>
          <w:sz w:val="32"/>
          <w:szCs w:val="32"/>
        </w:rPr>
      </w:pPr>
      <w:r>
        <w:rPr>
          <w:rFonts w:hint="eastAsia" w:hAnsi="黑体" w:cs="Times New Roman"/>
          <w:sz w:val="32"/>
          <w:szCs w:val="32"/>
          <w:lang w:val="en-US" w:eastAsia="zh-CN"/>
        </w:rPr>
        <w:t>项目开展</w:t>
      </w:r>
      <w:r>
        <w:rPr>
          <w:rFonts w:hint="eastAsia" w:hAnsi="黑体" w:cs="Times New Roman"/>
          <w:sz w:val="32"/>
          <w:szCs w:val="32"/>
        </w:rPr>
        <w:t>有效提升了老人们的生活质量，缓解困难家庭经济压力，受到群众的广泛好评</w:t>
      </w:r>
      <w:r>
        <w:rPr>
          <w:rFonts w:hint="eastAsia" w:hAnsi="黑体" w:cs="Times New Roman"/>
          <w:sz w:val="32"/>
          <w:szCs w:val="32"/>
          <w:lang w:eastAsia="zh-CN"/>
        </w:rPr>
        <w:t>，</w:t>
      </w:r>
      <w:r>
        <w:rPr>
          <w:rFonts w:hint="eastAsia" w:hAnsi="黑体" w:cs="Times New Roman"/>
          <w:sz w:val="32"/>
          <w:szCs w:val="32"/>
          <w:lang w:val="en-US" w:eastAsia="zh-CN"/>
        </w:rPr>
        <w:t>评价组的社会调查也显示，受益人家属对项目各方面的综合满意度达到97.9%</w:t>
      </w:r>
      <w:r>
        <w:rPr>
          <w:rFonts w:hint="eastAsia" w:hAnsi="黑体" w:cs="Times New Roman"/>
          <w:sz w:val="32"/>
          <w:szCs w:val="32"/>
        </w:rPr>
        <w:t>。</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ascii="Calibri" w:hAnsi="Calibri" w:cs="Times New Roman"/>
          <w:b/>
          <w:bCs/>
          <w:kern w:val="1"/>
          <w:sz w:val="32"/>
          <w:szCs w:val="32"/>
        </w:rPr>
      </w:pP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ascii="Calibri" w:hAnsi="Calibri" w:cs="Times New Roman"/>
          <w:b/>
          <w:bCs/>
          <w:kern w:val="1"/>
          <w:sz w:val="32"/>
          <w:szCs w:val="32"/>
        </w:rPr>
      </w:pPr>
      <w:r>
        <w:rPr>
          <w:rFonts w:ascii="Calibri" w:hAnsi="Calibri" w:cs="Times New Roman"/>
          <w:b/>
          <w:bCs/>
          <w:kern w:val="1"/>
          <w:sz w:val="32"/>
          <w:szCs w:val="32"/>
        </w:rPr>
        <w:t>（</w:t>
      </w:r>
      <w:r>
        <w:rPr>
          <w:rFonts w:hint="eastAsia" w:ascii="Calibri" w:hAnsi="Calibri" w:cs="Times New Roman"/>
          <w:b/>
          <w:bCs/>
          <w:kern w:val="1"/>
          <w:sz w:val="32"/>
          <w:szCs w:val="32"/>
        </w:rPr>
        <w:t>二</w:t>
      </w:r>
      <w:r>
        <w:rPr>
          <w:rFonts w:ascii="Calibri" w:hAnsi="Calibri" w:cs="Times New Roman"/>
          <w:b/>
          <w:bCs/>
          <w:kern w:val="1"/>
          <w:sz w:val="32"/>
          <w:szCs w:val="32"/>
        </w:rPr>
        <w:t>）存在问题</w:t>
      </w:r>
      <w:bookmarkEnd w:id="7"/>
      <w:bookmarkEnd w:id="8"/>
    </w:p>
    <w:p>
      <w:pPr>
        <w:ind w:firstLine="560"/>
        <w:rPr>
          <w:rFonts w:hint="default" w:hAnsi="宋体" w:eastAsia="仿宋_GB2312"/>
          <w:sz w:val="32"/>
          <w:szCs w:val="32"/>
          <w:lang w:val="en-US" w:eastAsia="zh-CN"/>
        </w:rPr>
      </w:pPr>
      <w:r>
        <w:rPr>
          <w:rFonts w:hint="eastAsia" w:hAnsi="宋体"/>
          <w:b/>
          <w:bCs/>
          <w:sz w:val="32"/>
          <w:szCs w:val="32"/>
          <w:highlight w:val="none"/>
        </w:rPr>
        <w:t>1.</w:t>
      </w:r>
      <w:r>
        <w:rPr>
          <w:rFonts w:hint="eastAsia" w:hAnsi="宋体"/>
          <w:b/>
          <w:bCs/>
          <w:sz w:val="32"/>
          <w:szCs w:val="32"/>
          <w:lang w:val="en-US" w:eastAsia="zh-CN"/>
        </w:rPr>
        <w:t>部分项目长效机制不健全，公益金使用效益不佳</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b w:val="0"/>
          <w:bCs w:val="0"/>
          <w:kern w:val="1"/>
          <w:sz w:val="32"/>
          <w:szCs w:val="32"/>
          <w:lang w:val="en-US" w:eastAsia="zh-CN"/>
        </w:rPr>
      </w:pPr>
      <w:r>
        <w:rPr>
          <w:rFonts w:hint="eastAsia" w:cs="仿宋_GB2312"/>
          <w:b w:val="0"/>
          <w:bCs w:val="0"/>
          <w:kern w:val="1"/>
          <w:sz w:val="32"/>
          <w:szCs w:val="32"/>
          <w:lang w:val="en-US" w:eastAsia="zh-CN"/>
        </w:rPr>
        <w:t>示范睦邻点项目截至目前尚未出台区级层面对补贴发放后的使用规范、使用效益等方面的要求，结合评价组现场抽查调研情况发现，随机抽查的10家2022年度获补贴示范睦邻点的点长，8家不知晓相关补贴政策，各示范睦邻点的补贴资金或仍在乡镇一级，或在村居委一级，多数并未下沉至睦邻点使用。</w:t>
      </w:r>
    </w:p>
    <w:p>
      <w:pPr>
        <w:ind w:firstLine="560"/>
        <w:rPr>
          <w:rFonts w:hint="eastAsia"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项目尚未出台区级层面对获补贴中心的后续开放情况、运营质量、成果等方面的要求，且2022年度获补贴的建设镇旭升分中心由于身处集建区，办理各项手续进展缓慢等问题，至今未实现正常运营。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default" w:hAnsi="宋体"/>
          <w:sz w:val="32"/>
          <w:szCs w:val="32"/>
          <w:highlight w:val="none"/>
          <w:lang w:val="en-US"/>
        </w:rPr>
      </w:pPr>
      <w:r>
        <w:rPr>
          <w:rFonts w:hint="eastAsia" w:cs="仿宋_GB2312"/>
          <w:b w:val="0"/>
          <w:bCs w:val="0"/>
          <w:kern w:val="1"/>
          <w:sz w:val="32"/>
          <w:szCs w:val="32"/>
          <w:lang w:val="en-US" w:eastAsia="zh-CN"/>
        </w:rPr>
        <w:t>以上两个项目的公益金使用效益暂未能体现，项目</w:t>
      </w:r>
      <w:r>
        <w:rPr>
          <w:rFonts w:hint="eastAsia" w:cs="仿宋_GB2312"/>
          <w:kern w:val="1"/>
          <w:sz w:val="32"/>
          <w:szCs w:val="32"/>
          <w:lang w:val="en-US" w:eastAsia="zh-CN"/>
        </w:rPr>
        <w:t>长效管理机制不健全且执行不佳</w:t>
      </w:r>
      <w:r>
        <w:rPr>
          <w:rFonts w:hint="eastAsia" w:cs="仿宋_GB2312"/>
          <w:b w:val="0"/>
          <w:bCs w:val="0"/>
          <w:kern w:val="1"/>
          <w:sz w:val="32"/>
          <w:szCs w:val="32"/>
          <w:lang w:val="en-US" w:eastAsia="zh-CN"/>
        </w:rPr>
        <w:t>。</w:t>
      </w:r>
    </w:p>
    <w:p>
      <w:pPr>
        <w:ind w:firstLine="560"/>
        <w:rPr>
          <w:rFonts w:hint="default" w:hAnsi="宋体"/>
          <w:sz w:val="32"/>
          <w:szCs w:val="32"/>
          <w:highlight w:val="none"/>
          <w:lang w:val="en-US"/>
        </w:rPr>
      </w:pPr>
      <w:r>
        <w:rPr>
          <w:rFonts w:hint="eastAsia" w:hAnsi="宋体"/>
          <w:b/>
          <w:bCs/>
          <w:sz w:val="32"/>
          <w:szCs w:val="32"/>
          <w:lang w:val="en-US" w:eastAsia="zh-CN"/>
        </w:rPr>
        <w:t>2</w:t>
      </w:r>
      <w:r>
        <w:rPr>
          <w:rFonts w:hint="eastAsia" w:hAnsi="宋体"/>
          <w:b/>
          <w:bCs/>
          <w:sz w:val="32"/>
          <w:szCs w:val="32"/>
        </w:rPr>
        <w:t>.</w:t>
      </w:r>
      <w:r>
        <w:rPr>
          <w:rFonts w:hint="eastAsia" w:hAnsi="宋体"/>
          <w:b/>
          <w:bCs/>
          <w:sz w:val="32"/>
          <w:szCs w:val="32"/>
          <w:highlight w:val="none"/>
          <w:lang w:val="en-US" w:eastAsia="zh-CN"/>
        </w:rPr>
        <w:t>预算编制不合理，调整率高执行率低</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eastAsia" w:hAnsi="宋体"/>
          <w:sz w:val="32"/>
          <w:szCs w:val="32"/>
          <w:highlight w:val="none"/>
        </w:rPr>
      </w:pPr>
      <w:r>
        <w:rPr>
          <w:rFonts w:hint="eastAsia" w:cs="仿宋_GB2312"/>
          <w:sz w:val="32"/>
          <w:szCs w:val="32"/>
          <w:highlight w:val="none"/>
          <w:lang w:val="en-US" w:eastAsia="zh-CN"/>
        </w:rPr>
        <w:t>养老机构综合责任保险项目预算安排不合理，根据近三年投保数据，2019年参保养老机构42家，核定床位数6274张，实际投保床位数4073张，2020年参保养老机构46家，核定床位数6671张，实际投保床位数4222张，2021年参保养老机构42家，核定床位数6077张，实际投保床位数3862张。考虑每年的投保床位数上下浮动的不确定性，2022年预算编制预估投保5000张床位数，对应安排预算30万元，较2021年实际投保床位数上涨29.47%，较三年平均投保床位数上涨23.39%，而三年间投保床位数上下浮动不超过±10%，预估床位数上升比例过大，欠合理。</w:t>
      </w:r>
    </w:p>
    <w:p>
      <w:pPr>
        <w:ind w:firstLine="560"/>
        <w:rPr>
          <w:rFonts w:hint="default" w:ascii="仿宋_GB2312" w:hAnsi="仿宋_GB2312" w:cs="仿宋_GB2312"/>
          <w:b w:val="0"/>
          <w:bCs w:val="0"/>
          <w:kern w:val="1"/>
          <w:sz w:val="32"/>
          <w:szCs w:val="32"/>
          <w:lang w:val="en-US" w:eastAsia="zh-CN"/>
        </w:rPr>
      </w:pPr>
      <w:r>
        <w:rPr>
          <w:rFonts w:hint="eastAsia" w:hAnsi="Times New Roman" w:cs="Times New Roman"/>
          <w:sz w:val="32"/>
          <w:szCs w:val="32"/>
          <w:highlight w:val="none"/>
          <w:lang w:val="en-US" w:eastAsia="zh-CN"/>
        </w:rPr>
        <w:t>由于</w:t>
      </w:r>
      <w:r>
        <w:rPr>
          <w:rFonts w:hint="eastAsia" w:cs="仿宋_GB2312"/>
          <w:sz w:val="32"/>
          <w:szCs w:val="32"/>
          <w:highlight w:val="none"/>
          <w:lang w:val="en-US" w:eastAsia="zh-CN"/>
        </w:rPr>
        <w:t>养老机构综合责任保险项目</w:t>
      </w:r>
      <w:r>
        <w:rPr>
          <w:rFonts w:hint="eastAsia" w:hAnsi="Times New Roman" w:cs="Times New Roman"/>
          <w:sz w:val="32"/>
          <w:szCs w:val="32"/>
          <w:highlight w:val="none"/>
          <w:lang w:val="en-US" w:eastAsia="zh-CN"/>
        </w:rPr>
        <w:t>年初预算安排不合理，外加年中预算调整未合理预判综合为老服务中心补贴额度，项目预算调整率较高且执行率不佳。</w:t>
      </w:r>
    </w:p>
    <w:p>
      <w:pPr>
        <w:ind w:firstLine="560"/>
        <w:rPr>
          <w:rFonts w:hint="default" w:hAnsi="宋体" w:eastAsia="仿宋_GB2312"/>
          <w:sz w:val="32"/>
          <w:szCs w:val="32"/>
          <w:highlight w:val="yellow"/>
          <w:lang w:val="en-US" w:eastAsia="zh-CN"/>
        </w:rPr>
      </w:pPr>
      <w:r>
        <w:rPr>
          <w:rFonts w:hint="eastAsia" w:hAnsi="宋体"/>
          <w:b/>
          <w:bCs/>
          <w:sz w:val="32"/>
          <w:szCs w:val="32"/>
          <w:lang w:val="en-US" w:eastAsia="zh-CN"/>
        </w:rPr>
        <w:t>3</w:t>
      </w:r>
      <w:r>
        <w:rPr>
          <w:rFonts w:hint="eastAsia" w:hAnsi="宋体"/>
          <w:b/>
          <w:bCs/>
          <w:sz w:val="32"/>
          <w:szCs w:val="32"/>
        </w:rPr>
        <w:t>.</w:t>
      </w:r>
      <w:r>
        <w:rPr>
          <w:rFonts w:hint="eastAsia" w:hAnsi="宋体"/>
          <w:b/>
          <w:bCs/>
          <w:sz w:val="32"/>
          <w:szCs w:val="32"/>
          <w:lang w:val="en-US" w:eastAsia="zh-CN"/>
        </w:rPr>
        <w:t>福彩公益金资助标识缺位，专项基金管理效能不足</w:t>
      </w:r>
    </w:p>
    <w:p>
      <w:pPr>
        <w:ind w:firstLine="560"/>
        <w:rPr>
          <w:rFonts w:hint="eastAsia"/>
          <w:sz w:val="32"/>
          <w:szCs w:val="32"/>
          <w:lang w:val="en-US" w:eastAsia="zh-CN"/>
        </w:rPr>
      </w:pPr>
      <w:r>
        <w:rPr>
          <w:rFonts w:hint="eastAsia"/>
          <w:sz w:val="32"/>
          <w:szCs w:val="32"/>
          <w:lang w:val="en-US" w:eastAsia="zh-CN"/>
        </w:rPr>
        <w:t>根据《上海市崇明区区级福利彩票公益金使用管理办法》的规定：区级福彩公益金资助的基本建设设施、设备项目，应当在主体建筑物或设施设备的显著位置设立或铭刻标注“彩票公益金资助-中国福利彩票”的永久性标识。</w:t>
      </w:r>
    </w:p>
    <w:p>
      <w:pPr>
        <w:keepNext w:val="0"/>
        <w:keepLines w:val="0"/>
        <w:pageBreakBefore w:val="0"/>
        <w:widowControl w:val="0"/>
        <w:kinsoku/>
        <w:wordWrap/>
        <w:overflowPunct/>
        <w:topLinePunct w:val="0"/>
        <w:autoSpaceDE/>
        <w:autoSpaceDN/>
        <w:bidi w:val="0"/>
        <w:spacing w:line="500" w:lineRule="atLeast"/>
        <w:ind w:firstLine="640"/>
        <w:contextualSpacing/>
        <w:textAlignment w:val="auto"/>
        <w:outlineLvl w:val="9"/>
        <w:rPr>
          <w:rFonts w:hint="eastAsia" w:cs="仿宋_GB2312"/>
          <w:b w:val="0"/>
          <w:bCs w:val="0"/>
          <w:kern w:val="1"/>
          <w:sz w:val="32"/>
          <w:szCs w:val="32"/>
          <w:lang w:val="en-US" w:eastAsia="zh-CN"/>
        </w:rPr>
      </w:pPr>
      <w:r>
        <w:rPr>
          <w:rFonts w:hint="eastAsia" w:cs="仿宋_GB2312"/>
          <w:b w:val="0"/>
          <w:bCs w:val="0"/>
          <w:kern w:val="1"/>
          <w:sz w:val="32"/>
          <w:szCs w:val="32"/>
          <w:lang w:val="en-US" w:eastAsia="zh-CN"/>
        </w:rPr>
        <w:t>而根据评价组的实地踏勘结果，抽查的2021年获补贴的10家示范睦邻点和2022年获补贴的1家</w:t>
      </w: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中，无一</w:t>
      </w:r>
      <w:r>
        <w:rPr>
          <w:rFonts w:hint="eastAsia"/>
          <w:sz w:val="32"/>
          <w:szCs w:val="32"/>
          <w:lang w:val="en-US" w:eastAsia="zh-CN"/>
        </w:rPr>
        <w:t>在建筑或设施的显著位置规范设置</w:t>
      </w:r>
      <w:r>
        <w:rPr>
          <w:rFonts w:hint="eastAsia" w:ascii="仿宋_GB2312" w:hAnsi="仿宋_GB2312" w:cs="仿宋_GB2312"/>
          <w:b w:val="0"/>
          <w:bCs w:val="0"/>
          <w:kern w:val="1"/>
          <w:sz w:val="32"/>
          <w:szCs w:val="32"/>
          <w:lang w:val="en-US" w:eastAsia="zh-CN"/>
        </w:rPr>
        <w:t>福彩公益金资助标识</w:t>
      </w:r>
      <w:r>
        <w:rPr>
          <w:rFonts w:hint="eastAsia" w:cs="仿宋_GB2312"/>
          <w:b w:val="0"/>
          <w:bCs w:val="0"/>
          <w:kern w:val="1"/>
          <w:sz w:val="32"/>
          <w:szCs w:val="32"/>
          <w:lang w:val="en-US" w:eastAsia="zh-CN"/>
        </w:rPr>
        <w:t>，难以体现福彩公益金的社会公益宣传特点和价值，也暴露出项目单位在管理使用专项基金时的不足。</w:t>
      </w:r>
    </w:p>
    <w:p>
      <w:pPr>
        <w:ind w:firstLine="560"/>
        <w:rPr>
          <w:rFonts w:hint="default" w:hAnsi="宋体" w:eastAsia="仿宋_GB2312"/>
          <w:sz w:val="32"/>
          <w:szCs w:val="32"/>
          <w:lang w:val="en-US" w:eastAsia="zh-CN"/>
        </w:rPr>
      </w:pPr>
      <w:r>
        <w:rPr>
          <w:rFonts w:hint="eastAsia" w:hAnsi="宋体"/>
          <w:b/>
          <w:bCs/>
          <w:sz w:val="32"/>
          <w:szCs w:val="32"/>
          <w:lang w:val="en-US" w:eastAsia="zh-CN"/>
        </w:rPr>
        <w:t>4.合同要素不完备，管理细节需加强</w:t>
      </w:r>
    </w:p>
    <w:p>
      <w:pPr>
        <w:ind w:firstLine="560"/>
        <w:rPr>
          <w:rFonts w:hint="default" w:hAnsi="宋体" w:eastAsia="仿宋_GB2312"/>
          <w:sz w:val="32"/>
          <w:szCs w:val="32"/>
          <w:lang w:val="en-US" w:eastAsia="zh-CN"/>
        </w:rPr>
      </w:pPr>
      <w:r>
        <w:rPr>
          <w:rFonts w:hint="eastAsia" w:hAnsi="宋体"/>
          <w:sz w:val="32"/>
          <w:szCs w:val="32"/>
        </w:rPr>
        <w:t>经评价组梳理发现，本项目在合同签订及执行过程中存在</w:t>
      </w:r>
      <w:r>
        <w:rPr>
          <w:rFonts w:hint="eastAsia" w:hAnsi="宋体"/>
          <w:sz w:val="32"/>
          <w:szCs w:val="32"/>
          <w:lang w:val="en-US" w:eastAsia="zh-CN"/>
        </w:rPr>
        <w:t>合同要素不完备的</w:t>
      </w:r>
      <w:r>
        <w:rPr>
          <w:rFonts w:hint="eastAsia" w:hAnsi="宋体"/>
          <w:sz w:val="32"/>
          <w:szCs w:val="32"/>
        </w:rPr>
        <w:t>问题：</w:t>
      </w:r>
      <w:r>
        <w:rPr>
          <w:rFonts w:hint="eastAsia" w:hAnsi="宋体"/>
          <w:sz w:val="32"/>
          <w:szCs w:val="32"/>
          <w:lang w:val="en-US" w:eastAsia="zh-CN"/>
        </w:rPr>
        <w:t>在</w:t>
      </w:r>
      <w:r>
        <w:rPr>
          <w:rFonts w:hint="eastAsia" w:ascii="仿宋_GB2312" w:hAnsi="Microsoft JhengHei" w:cs="Times New Roman"/>
          <w:sz w:val="32"/>
          <w:szCs w:val="32"/>
          <w:highlight w:val="none"/>
          <w:lang w:val="en-US" w:eastAsia="zh-CN"/>
        </w:rPr>
        <w:t>养老机构综合责任险</w:t>
      </w:r>
      <w:r>
        <w:rPr>
          <w:rFonts w:hint="eastAsia" w:hAnsi="Microsoft JhengHei" w:cs="Times New Roman"/>
          <w:sz w:val="32"/>
          <w:szCs w:val="32"/>
          <w:highlight w:val="none"/>
          <w:lang w:val="en-US" w:eastAsia="zh-CN"/>
        </w:rPr>
        <w:t>项目中，评价组抽查的养老机构与保险公司签订的2份合同中，均缺少签订日期的关键要素。究其原因，是项目单位对日常合同管理工作的不严谨。</w:t>
      </w:r>
    </w:p>
    <w:p>
      <w:pPr>
        <w:ind w:firstLine="560"/>
        <w:rPr>
          <w:rFonts w:hint="eastAsia" w:hAnsi="宋体"/>
          <w:b/>
          <w:bCs/>
          <w:sz w:val="32"/>
          <w:szCs w:val="32"/>
          <w:lang w:val="en-US" w:eastAsia="zh-CN"/>
        </w:rPr>
      </w:pPr>
      <w:r>
        <w:rPr>
          <w:rFonts w:hint="eastAsia" w:hAnsi="宋体"/>
          <w:b/>
          <w:bCs/>
          <w:sz w:val="32"/>
          <w:szCs w:val="32"/>
          <w:lang w:val="en-US" w:eastAsia="zh-CN"/>
        </w:rPr>
        <w:t>5.绩效目标设定欠合理，填报质量需优化</w:t>
      </w:r>
    </w:p>
    <w:p>
      <w:pPr>
        <w:keepNext w:val="0"/>
        <w:keepLines w:val="0"/>
        <w:pageBreakBefore w:val="0"/>
        <w:widowControl w:val="0"/>
        <w:kinsoku/>
        <w:wordWrap/>
        <w:overflowPunct/>
        <w:topLinePunct w:val="0"/>
        <w:autoSpaceDE/>
        <w:autoSpaceDN/>
        <w:bidi w:val="0"/>
        <w:spacing w:line="500" w:lineRule="atLeast"/>
        <w:ind w:firstLine="640"/>
        <w:contextualSpacing/>
        <w:textAlignment w:val="auto"/>
        <w:outlineLvl w:val="9"/>
        <w:rPr>
          <w:rFonts w:hint="eastAsia" w:hAnsi="宋体"/>
          <w:sz w:val="32"/>
          <w:szCs w:val="32"/>
          <w:lang w:val="en-US" w:eastAsia="zh-CN"/>
        </w:rPr>
      </w:pPr>
      <w:r>
        <w:rPr>
          <w:rFonts w:hint="eastAsia" w:hAnsi="宋体"/>
          <w:b w:val="0"/>
          <w:bCs w:val="0"/>
          <w:sz w:val="32"/>
          <w:szCs w:val="32"/>
          <w:lang w:val="en-US" w:eastAsia="zh-CN"/>
        </w:rPr>
        <w:t>在绩效目标申报表填报方面，项目单位在对项目目标提炼和目标值设定方面存在着一定的偏差，</w:t>
      </w:r>
      <w:r>
        <w:rPr>
          <w:rFonts w:hint="eastAsia" w:hAnsi="Arial Unicode MS" w:cs="Arial Unicode MS"/>
          <w:b w:val="0"/>
          <w:bCs/>
          <w:sz w:val="32"/>
          <w:szCs w:val="32"/>
          <w:highlight w:val="none"/>
          <w:lang w:val="en-US" w:eastAsia="zh-CN"/>
        </w:rPr>
        <w:t>例如产出数量指标“发给失智失能老人的护理用品金额”指标的目标值设置为“&gt;=100万元”，发放金额不宜作为目标；部分指标不明确，例如社会效益指标“</w:t>
      </w:r>
      <w:r>
        <w:rPr>
          <w:rFonts w:hint="eastAsia" w:ascii="仿宋_GB2312" w:hAnsi="仿宋_GB2312" w:eastAsia="仿宋_GB2312" w:cs="仿宋_GB2312"/>
          <w:i w:val="0"/>
          <w:iCs w:val="0"/>
          <w:color w:val="000000"/>
          <w:kern w:val="0"/>
          <w:sz w:val="32"/>
          <w:szCs w:val="32"/>
          <w:u w:val="none"/>
          <w:lang w:val="en-US" w:eastAsia="zh-CN" w:bidi="ar"/>
        </w:rPr>
        <w:t>提升社会对老年人的关注度</w:t>
      </w:r>
      <w:r>
        <w:rPr>
          <w:rFonts w:hint="eastAsia" w:hAnsi="Arial Unicode MS" w:cs="Arial Unicode MS"/>
          <w:b w:val="0"/>
          <w:bCs/>
          <w:sz w:val="32"/>
          <w:szCs w:val="32"/>
          <w:highlight w:val="none"/>
          <w:lang w:val="en-US" w:eastAsia="zh-CN"/>
        </w:rPr>
        <w:t>”的目标为“形成尊老爱老的氛围”，不够清晰可衡量</w:t>
      </w:r>
      <w:r>
        <w:rPr>
          <w:rFonts w:hint="eastAsia" w:hAnsi="宋体"/>
          <w:sz w:val="32"/>
          <w:szCs w:val="32"/>
        </w:rPr>
        <w:t>。</w:t>
      </w:r>
      <w:r>
        <w:rPr>
          <w:rFonts w:hint="eastAsia" w:hAnsi="宋体"/>
          <w:b w:val="0"/>
          <w:bCs w:val="0"/>
          <w:sz w:val="32"/>
          <w:szCs w:val="32"/>
          <w:lang w:val="en-US" w:eastAsia="zh-CN"/>
        </w:rPr>
        <w:t>绩效目标表的整体填报质量还需要进一步优化，究其原因，是项目单位的目标填报流程和技能还需要优化。</w:t>
      </w:r>
    </w:p>
    <w:p>
      <w:pPr>
        <w:keepNext w:val="0"/>
        <w:keepLines w:val="0"/>
        <w:pageBreakBefore w:val="0"/>
        <w:widowControl w:val="0"/>
        <w:kinsoku/>
        <w:wordWrap/>
        <w:overflowPunct/>
        <w:topLinePunct w:val="0"/>
        <w:autoSpaceDE/>
        <w:autoSpaceDN/>
        <w:bidi w:val="0"/>
        <w:spacing w:line="500" w:lineRule="atLeast"/>
        <w:ind w:firstLine="640"/>
        <w:contextualSpacing/>
        <w:textAlignment w:val="auto"/>
        <w:outlineLvl w:val="9"/>
        <w:rPr>
          <w:rFonts w:hint="eastAsia"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ascii="Calibri" w:hAnsi="Calibri" w:cs="Times New Roman"/>
          <w:b/>
          <w:bCs/>
          <w:kern w:val="1"/>
          <w:sz w:val="32"/>
          <w:szCs w:val="32"/>
        </w:rPr>
      </w:pPr>
      <w:bookmarkStart w:id="9" w:name="_Toc51284848"/>
      <w:bookmarkStart w:id="10" w:name="_Toc47894313"/>
      <w:r>
        <w:rPr>
          <w:rFonts w:ascii="Calibri" w:hAnsi="Calibri" w:cs="Times New Roman"/>
          <w:b/>
          <w:bCs/>
          <w:kern w:val="1"/>
          <w:sz w:val="32"/>
          <w:szCs w:val="32"/>
        </w:rPr>
        <w:t>（</w:t>
      </w:r>
      <w:r>
        <w:rPr>
          <w:rFonts w:hint="eastAsia" w:ascii="Calibri" w:hAnsi="Calibri" w:cs="Times New Roman"/>
          <w:b/>
          <w:bCs/>
          <w:kern w:val="1"/>
          <w:sz w:val="32"/>
          <w:szCs w:val="32"/>
        </w:rPr>
        <w:t>三</w:t>
      </w:r>
      <w:r>
        <w:rPr>
          <w:rFonts w:ascii="Calibri" w:hAnsi="Calibri" w:cs="Times New Roman"/>
          <w:b/>
          <w:bCs/>
          <w:kern w:val="1"/>
          <w:sz w:val="32"/>
          <w:szCs w:val="32"/>
        </w:rPr>
        <w:t>）建议和改进举措</w:t>
      </w:r>
      <w:bookmarkEnd w:id="9"/>
      <w:bookmarkEnd w:id="10"/>
    </w:p>
    <w:p>
      <w:pPr>
        <w:ind w:firstLine="560"/>
        <w:rPr>
          <w:rFonts w:hint="default" w:hAnsi="黑体" w:eastAsia="仿宋_GB2312" w:cs="Times New Roman"/>
          <w:sz w:val="32"/>
          <w:szCs w:val="32"/>
          <w:lang w:val="en-US" w:eastAsia="zh-CN"/>
        </w:rPr>
      </w:pPr>
      <w:r>
        <w:rPr>
          <w:rFonts w:hint="eastAsia" w:hAnsi="黑体" w:cs="Times New Roman"/>
          <w:b/>
          <w:bCs/>
          <w:sz w:val="32"/>
          <w:szCs w:val="32"/>
        </w:rPr>
        <w:t>1.</w:t>
      </w:r>
      <w:r>
        <w:rPr>
          <w:rFonts w:hint="eastAsia" w:hAnsi="黑体" w:cs="Times New Roman"/>
          <w:b/>
          <w:bCs/>
          <w:sz w:val="32"/>
          <w:szCs w:val="32"/>
          <w:lang w:val="en-US" w:eastAsia="zh-CN"/>
        </w:rPr>
        <w:t>完善补贴长效考核机制，加强公益金使用效益监管</w:t>
      </w:r>
    </w:p>
    <w:p>
      <w:pPr>
        <w:ind w:firstLine="560"/>
        <w:rPr>
          <w:rFonts w:hint="default" w:hAnsi="黑体" w:eastAsia="仿宋_GB2312" w:cs="Times New Roman"/>
          <w:sz w:val="32"/>
          <w:szCs w:val="32"/>
          <w:lang w:val="en-US" w:eastAsia="zh-CN"/>
        </w:rPr>
      </w:pPr>
      <w:r>
        <w:rPr>
          <w:rFonts w:hint="eastAsia" w:hAnsi="黑体" w:cs="Times New Roman"/>
          <w:sz w:val="32"/>
          <w:szCs w:val="32"/>
          <w:lang w:val="en-US" w:eastAsia="zh-CN"/>
        </w:rPr>
        <w:t>建议项目单位进一步完善示范睦邻点和</w:t>
      </w: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项目的补贴资金长效考核机制，针对前者，应重点关注资金的下沉情况和实际使用范围、示范睦邻点点长对补贴政策的知晓情况、示范睦邻点点长及使用者的合理资金使用需求能否畅通反馈并被满足等</w:t>
      </w:r>
      <w:r>
        <w:rPr>
          <w:rFonts w:hint="eastAsia" w:hAnsi="黑体" w:cs="Times New Roman"/>
          <w:sz w:val="32"/>
          <w:szCs w:val="32"/>
          <w:lang w:val="en-US" w:eastAsia="zh-CN"/>
        </w:rPr>
        <w:t>。针对后者，应完善建成后的考核，建议重点关注能否及时投入运营、日均月均服务人次数、老人的满意度反馈等方面。</w:t>
      </w:r>
    </w:p>
    <w:p>
      <w:pPr>
        <w:ind w:firstLine="560"/>
        <w:rPr>
          <w:rFonts w:hint="default" w:hAnsi="黑体" w:eastAsia="仿宋_GB2312" w:cs="Times New Roman"/>
          <w:sz w:val="32"/>
          <w:szCs w:val="32"/>
          <w:lang w:val="en-US" w:eastAsia="zh-CN"/>
        </w:rPr>
      </w:pPr>
      <w:r>
        <w:rPr>
          <w:rFonts w:hint="eastAsia" w:hAnsi="黑体" w:cs="Times New Roman"/>
          <w:b/>
          <w:bCs/>
          <w:sz w:val="32"/>
          <w:szCs w:val="32"/>
        </w:rPr>
        <w:t>2.</w:t>
      </w:r>
      <w:r>
        <w:rPr>
          <w:rFonts w:hint="eastAsia" w:hAnsi="黑体" w:cs="Times New Roman"/>
          <w:b/>
          <w:bCs/>
          <w:sz w:val="32"/>
          <w:szCs w:val="32"/>
          <w:lang w:val="en-US" w:eastAsia="zh-CN"/>
        </w:rPr>
        <w:t>优化预算编制，提高预算执行</w:t>
      </w:r>
    </w:p>
    <w:p>
      <w:pPr>
        <w:ind w:firstLine="560"/>
        <w:rPr>
          <w:rFonts w:hint="eastAsia" w:hAnsi="黑体" w:cs="Times New Roman"/>
          <w:sz w:val="32"/>
          <w:szCs w:val="32"/>
          <w:lang w:val="en-US" w:eastAsia="zh-CN"/>
        </w:rPr>
      </w:pPr>
      <w:r>
        <w:rPr>
          <w:rFonts w:hint="eastAsia" w:hAnsi="黑体" w:cs="Times New Roman"/>
          <w:sz w:val="32"/>
          <w:szCs w:val="32"/>
          <w:lang w:val="en-US" w:eastAsia="zh-CN"/>
        </w:rPr>
        <w:t>建议项目单位加强年初预算编制的精细化水平，以</w:t>
      </w:r>
      <w:r>
        <w:rPr>
          <w:rFonts w:hint="eastAsia" w:cs="仿宋_GB2312"/>
          <w:sz w:val="32"/>
          <w:szCs w:val="32"/>
          <w:lang w:val="en-US" w:eastAsia="zh-CN"/>
        </w:rPr>
        <w:t>养老机构综合责任保险项目为例，应在结合往年投保数据的基础上，分析总结近3-5年最高投保人数、平均投保人数、各年度投保人数浮动比例等数据，并以此为数据支撑，科学预测下一年度投保人数范围，对应安排预算额度</w:t>
      </w:r>
      <w:r>
        <w:rPr>
          <w:rFonts w:hint="eastAsia" w:hAnsi="黑体" w:cs="Times New Roman"/>
          <w:sz w:val="32"/>
          <w:szCs w:val="32"/>
          <w:lang w:val="en-US" w:eastAsia="zh-CN"/>
        </w:rPr>
        <w:t>。</w:t>
      </w:r>
    </w:p>
    <w:p>
      <w:pPr>
        <w:ind w:firstLine="560"/>
        <w:rPr>
          <w:rFonts w:hint="default" w:hAnsi="黑体" w:cs="Times New Roman"/>
          <w:sz w:val="32"/>
          <w:szCs w:val="32"/>
          <w:lang w:val="en-US" w:eastAsia="zh-CN"/>
        </w:rPr>
      </w:pPr>
      <w:r>
        <w:rPr>
          <w:rFonts w:hint="eastAsia" w:cs="仿宋_GB2312"/>
          <w:b w:val="0"/>
          <w:bCs w:val="0"/>
          <w:kern w:val="1"/>
          <w:sz w:val="32"/>
          <w:szCs w:val="32"/>
          <w:lang w:val="en-US" w:eastAsia="zh-CN"/>
        </w:rPr>
        <w:t>在预算调整方面，应根据上级政策调整、补贴申请单位项目实施进度等情况，及时预判补贴金额的增减情况，并充分运用年中预算调整窗口的机制，提高调整的精准率，进而提高预算执行率。</w:t>
      </w:r>
    </w:p>
    <w:p>
      <w:pPr>
        <w:ind w:firstLine="560"/>
        <w:rPr>
          <w:rFonts w:hint="default" w:hAnsi="黑体" w:eastAsia="仿宋_GB2312" w:cs="Times New Roman"/>
          <w:b/>
          <w:bCs/>
          <w:sz w:val="32"/>
          <w:szCs w:val="32"/>
          <w:lang w:val="en-US" w:eastAsia="zh-CN"/>
        </w:rPr>
      </w:pPr>
      <w:r>
        <w:rPr>
          <w:rFonts w:hint="eastAsia" w:hAnsi="黑体" w:cs="Times New Roman"/>
          <w:b/>
          <w:bCs/>
          <w:sz w:val="32"/>
          <w:szCs w:val="32"/>
        </w:rPr>
        <w:t>3.</w:t>
      </w:r>
      <w:r>
        <w:rPr>
          <w:rFonts w:hint="eastAsia" w:hAnsi="黑体" w:cs="Times New Roman"/>
          <w:b/>
          <w:bCs/>
          <w:sz w:val="32"/>
          <w:szCs w:val="32"/>
          <w:lang w:val="en-US" w:eastAsia="zh-CN"/>
        </w:rPr>
        <w:t>明确</w:t>
      </w:r>
      <w:r>
        <w:rPr>
          <w:rFonts w:hint="eastAsia" w:hAnsi="宋体"/>
          <w:b/>
          <w:bCs/>
          <w:sz w:val="32"/>
          <w:szCs w:val="32"/>
          <w:lang w:val="en-US" w:eastAsia="zh-CN"/>
        </w:rPr>
        <w:t>资助标识设立责任主体</w:t>
      </w:r>
      <w:r>
        <w:rPr>
          <w:rFonts w:hint="eastAsia" w:hAnsi="黑体" w:cs="Times New Roman"/>
          <w:b/>
          <w:bCs/>
          <w:sz w:val="32"/>
          <w:szCs w:val="32"/>
          <w:lang w:val="en-US" w:eastAsia="zh-CN"/>
        </w:rPr>
        <w:t>，提升基金管理效能</w:t>
      </w:r>
    </w:p>
    <w:p>
      <w:pPr>
        <w:ind w:firstLine="560"/>
        <w:rPr>
          <w:rFonts w:hint="default" w:hAnsi="黑体" w:cs="Times New Roman"/>
          <w:sz w:val="32"/>
          <w:szCs w:val="32"/>
          <w:lang w:val="en-US" w:eastAsia="zh-CN"/>
        </w:rPr>
      </w:pPr>
      <w:r>
        <w:rPr>
          <w:rFonts w:hint="eastAsia" w:hAnsi="黑体" w:cs="Times New Roman"/>
          <w:sz w:val="32"/>
          <w:szCs w:val="32"/>
          <w:lang w:val="en-US" w:eastAsia="zh-CN"/>
        </w:rPr>
        <w:t>建议项目单位进一步明确在</w:t>
      </w:r>
      <w:r>
        <w:rPr>
          <w:rFonts w:hint="eastAsia"/>
          <w:sz w:val="32"/>
          <w:szCs w:val="32"/>
          <w:lang w:val="en-US" w:eastAsia="zh-CN"/>
        </w:rPr>
        <w:t>区级福彩公益金资助的基本建设设施、设备项目中，负责设立资助标识的责任主体，以及设立的时效、位置等</w:t>
      </w:r>
      <w:r>
        <w:rPr>
          <w:rFonts w:hint="eastAsia" w:hAnsi="黑体" w:cs="Times New Roman"/>
          <w:sz w:val="32"/>
          <w:szCs w:val="32"/>
          <w:lang w:val="en-US" w:eastAsia="zh-CN"/>
        </w:rPr>
        <w:t>。以新建成的示范睦邻点和</w:t>
      </w: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为例，建议在相关设施通过验收后1个月内，由责任主体单位在大门入口处设立</w:t>
      </w:r>
      <w:r>
        <w:rPr>
          <w:rFonts w:hint="eastAsia"/>
          <w:sz w:val="32"/>
          <w:szCs w:val="32"/>
          <w:lang w:val="en-US" w:eastAsia="zh-CN"/>
        </w:rPr>
        <w:t>福彩公益金资助标识。规范设立福彩公益金资助标识，不仅有助于提升专项基金的管理效能，更是对福利彩票公益性质的最好宣传，是实体形式的“信息公开”，对广大彩民而言是看得见的反馈，也有利于维持彩民购彩热情，促进福利彩票事业发展良性循环。</w:t>
      </w:r>
    </w:p>
    <w:p>
      <w:pPr>
        <w:ind w:firstLine="560"/>
        <w:rPr>
          <w:rFonts w:hint="default" w:hAnsi="黑体" w:eastAsia="仿宋_GB2312" w:cs="Times New Roman"/>
          <w:sz w:val="32"/>
          <w:szCs w:val="32"/>
          <w:lang w:val="en-US" w:eastAsia="zh-CN"/>
        </w:rPr>
      </w:pPr>
      <w:r>
        <w:rPr>
          <w:rFonts w:hint="eastAsia" w:hAnsi="黑体" w:cs="Times New Roman"/>
          <w:b/>
          <w:bCs/>
          <w:sz w:val="32"/>
          <w:szCs w:val="32"/>
          <w:lang w:val="en-US" w:eastAsia="zh-CN"/>
        </w:rPr>
        <w:t>4.加强合同签订监管</w:t>
      </w:r>
      <w:r>
        <w:rPr>
          <w:rFonts w:hint="eastAsia" w:hAnsi="黑体" w:cs="Times New Roman"/>
          <w:b/>
          <w:bCs/>
          <w:sz w:val="32"/>
          <w:szCs w:val="32"/>
          <w:lang w:eastAsia="zh-CN"/>
        </w:rPr>
        <w:t>，</w:t>
      </w:r>
      <w:r>
        <w:rPr>
          <w:rFonts w:hint="eastAsia" w:hAnsi="黑体" w:cs="Times New Roman"/>
          <w:b/>
          <w:bCs/>
          <w:sz w:val="32"/>
          <w:szCs w:val="32"/>
          <w:lang w:val="en-US" w:eastAsia="zh-CN"/>
        </w:rPr>
        <w:t>提升合同内容规范性</w:t>
      </w:r>
    </w:p>
    <w:p>
      <w:pPr>
        <w:ind w:firstLine="560"/>
        <w:rPr>
          <w:rFonts w:hint="eastAsia" w:hAnsi="黑体" w:cs="Times New Roman"/>
          <w:b/>
          <w:bCs/>
          <w:sz w:val="32"/>
          <w:szCs w:val="32"/>
          <w:lang w:val="en-US" w:eastAsia="zh-CN"/>
        </w:rPr>
      </w:pPr>
      <w:r>
        <w:rPr>
          <w:rFonts w:hint="eastAsia" w:hAnsi="黑体" w:cs="Times New Roman"/>
          <w:sz w:val="32"/>
          <w:szCs w:val="32"/>
        </w:rPr>
        <w:t>建议项目单位加强</w:t>
      </w:r>
      <w:r>
        <w:rPr>
          <w:rFonts w:hint="eastAsia" w:hAnsi="黑体" w:cs="Times New Roman"/>
          <w:sz w:val="32"/>
          <w:szCs w:val="32"/>
          <w:lang w:val="en-US" w:eastAsia="zh-CN"/>
        </w:rPr>
        <w:t>对养老机构与保险公司</w:t>
      </w:r>
      <w:r>
        <w:rPr>
          <w:rFonts w:hint="eastAsia" w:hAnsi="黑体" w:cs="Times New Roman"/>
          <w:sz w:val="32"/>
          <w:szCs w:val="32"/>
        </w:rPr>
        <w:t>合同</w:t>
      </w:r>
      <w:r>
        <w:rPr>
          <w:rFonts w:hint="eastAsia" w:hAnsi="黑体" w:cs="Times New Roman"/>
          <w:sz w:val="32"/>
          <w:szCs w:val="32"/>
          <w:lang w:val="en-US" w:eastAsia="zh-CN"/>
        </w:rPr>
        <w:t>签订的合规性监管，并加强</w:t>
      </w:r>
      <w:r>
        <w:rPr>
          <w:rFonts w:hint="eastAsia" w:hAnsi="黑体" w:cs="Times New Roman"/>
          <w:sz w:val="32"/>
          <w:szCs w:val="32"/>
        </w:rPr>
        <w:t>《中华人民共和国民法典》（合同编）</w:t>
      </w:r>
      <w:r>
        <w:rPr>
          <w:rFonts w:hint="eastAsia" w:hAnsi="黑体" w:cs="Times New Roman"/>
          <w:sz w:val="32"/>
          <w:szCs w:val="32"/>
          <w:lang w:val="en-US" w:eastAsia="zh-CN"/>
        </w:rPr>
        <w:t>内容的学习</w:t>
      </w:r>
      <w:r>
        <w:rPr>
          <w:rFonts w:hint="eastAsia" w:hAnsi="黑体" w:cs="Times New Roman"/>
          <w:sz w:val="32"/>
          <w:szCs w:val="32"/>
        </w:rPr>
        <w:t>。在后续签订</w:t>
      </w:r>
      <w:r>
        <w:rPr>
          <w:rFonts w:hint="eastAsia" w:hAnsi="黑体" w:cs="Times New Roman"/>
          <w:sz w:val="32"/>
          <w:szCs w:val="32"/>
          <w:lang w:val="en-US" w:eastAsia="zh-CN"/>
        </w:rPr>
        <w:t>相关</w:t>
      </w:r>
      <w:r>
        <w:rPr>
          <w:rFonts w:hint="eastAsia" w:hAnsi="黑体" w:cs="Times New Roman"/>
          <w:sz w:val="32"/>
          <w:szCs w:val="32"/>
        </w:rPr>
        <w:t>合同时，</w:t>
      </w:r>
      <w:r>
        <w:rPr>
          <w:rFonts w:hint="eastAsia" w:hAnsi="黑体" w:cs="Times New Roman"/>
          <w:sz w:val="32"/>
          <w:szCs w:val="32"/>
          <w:lang w:val="en-US" w:eastAsia="zh-CN"/>
        </w:rPr>
        <w:t>重视</w:t>
      </w:r>
      <w:r>
        <w:rPr>
          <w:rFonts w:hint="eastAsia" w:hAnsi="黑体" w:cs="Times New Roman"/>
          <w:sz w:val="32"/>
          <w:szCs w:val="32"/>
        </w:rPr>
        <w:t>完善</w:t>
      </w:r>
      <w:r>
        <w:rPr>
          <w:rFonts w:hint="eastAsia" w:hAnsi="黑体" w:cs="Times New Roman"/>
          <w:sz w:val="32"/>
          <w:szCs w:val="32"/>
          <w:lang w:val="en-US" w:eastAsia="zh-CN"/>
        </w:rPr>
        <w:t>签订日期等必需的</w:t>
      </w:r>
      <w:r>
        <w:rPr>
          <w:rFonts w:hint="eastAsia" w:hAnsi="黑体" w:cs="Times New Roman"/>
          <w:sz w:val="32"/>
          <w:szCs w:val="32"/>
        </w:rPr>
        <w:t>合同要素，明确双方权责，减少合同签订不规范带来的法律隐患。</w:t>
      </w:r>
    </w:p>
    <w:p>
      <w:pPr>
        <w:ind w:firstLine="560"/>
        <w:rPr>
          <w:rFonts w:hint="default" w:hAnsi="黑体" w:cs="Times New Roman"/>
          <w:b/>
          <w:bCs/>
          <w:sz w:val="32"/>
          <w:szCs w:val="32"/>
          <w:lang w:val="en-US" w:eastAsia="zh-CN"/>
        </w:rPr>
      </w:pPr>
      <w:r>
        <w:rPr>
          <w:rFonts w:hint="eastAsia" w:hAnsi="黑体" w:cs="Times New Roman"/>
          <w:b/>
          <w:bCs/>
          <w:sz w:val="32"/>
          <w:szCs w:val="32"/>
          <w:lang w:val="en-US" w:eastAsia="zh-CN"/>
        </w:rPr>
        <w:t>5.明确内部分工，提高填报质量</w:t>
      </w:r>
    </w:p>
    <w:p>
      <w:pPr>
        <w:ind w:firstLine="560"/>
        <w:rPr>
          <w:rFonts w:hint="default" w:hAnsi="黑体" w:cs="Times New Roman"/>
          <w:sz w:val="32"/>
          <w:szCs w:val="32"/>
          <w:lang w:val="en-US" w:eastAsia="zh-CN"/>
        </w:rPr>
      </w:pPr>
      <w:r>
        <w:rPr>
          <w:rFonts w:hint="eastAsia" w:hAnsi="黑体" w:cs="Times New Roman"/>
          <w:sz w:val="32"/>
          <w:szCs w:val="32"/>
        </w:rPr>
        <w:t>建议项目</w:t>
      </w:r>
      <w:r>
        <w:rPr>
          <w:rFonts w:hint="eastAsia" w:hAnsi="黑体" w:cs="Times New Roman"/>
          <w:sz w:val="32"/>
          <w:szCs w:val="32"/>
          <w:lang w:val="en-US" w:eastAsia="zh-CN"/>
        </w:rPr>
        <w:t>单位加强绩效目标填报规范性文件的学习，同时在年初填报目标时，加强业务科室和财务科室的配合，由业务科室提供明确的量化目标数据，由财务科室参照填报规范，转化成合理明确的绩效指标，提高绩效目标填报质量。</w:t>
      </w:r>
    </w:p>
    <w:p>
      <w:pPr>
        <w:ind w:firstLine="560"/>
        <w:outlineLvl w:val="9"/>
        <w:rPr>
          <w:rFonts w:hint="eastAsia" w:ascii="方正楷体_GB2312" w:hAnsi="方正楷体_GB2312" w:eastAsia="方正楷体_GB2312" w:cs="方正楷体_GB2312"/>
          <w:b/>
          <w:bCs w:val="0"/>
          <w:kern w:val="44"/>
          <w:sz w:val="32"/>
          <w:szCs w:val="32"/>
          <w:lang w:val="en-US" w:eastAsia="zh-CN" w:bidi="ar-SA"/>
        </w:rPr>
      </w:pPr>
      <w:r>
        <w:rPr>
          <w:rFonts w:hint="eastAsia" w:ascii="方正楷体_GB2312" w:hAnsi="方正楷体_GB2312" w:eastAsia="方正楷体_GB2312" w:cs="方正楷体_GB2312"/>
          <w:b/>
          <w:bCs w:val="0"/>
          <w:kern w:val="44"/>
          <w:sz w:val="32"/>
          <w:szCs w:val="32"/>
          <w:lang w:val="en-US" w:eastAsia="zh-CN" w:bidi="ar-SA"/>
        </w:rPr>
        <w:t>（四）其他建议</w:t>
      </w:r>
    </w:p>
    <w:p>
      <w:pPr>
        <w:ind w:firstLine="560"/>
        <w:rPr>
          <w:rFonts w:hint="default" w:hAnsi="黑体" w:eastAsia="仿宋_GB2312" w:cs="Times New Roman"/>
          <w:b/>
          <w:bCs/>
          <w:sz w:val="32"/>
          <w:szCs w:val="32"/>
          <w:lang w:val="en-US" w:eastAsia="zh-CN"/>
        </w:rPr>
      </w:pPr>
      <w:r>
        <w:rPr>
          <w:rFonts w:hint="eastAsia" w:hAnsi="黑体" w:cs="Times New Roman"/>
          <w:b/>
          <w:bCs/>
          <w:sz w:val="32"/>
          <w:szCs w:val="32"/>
          <w:lang w:val="en-US" w:eastAsia="zh-CN"/>
        </w:rPr>
        <w:t>1.2023年度预算调整及2024年度预算安排建议</w:t>
      </w:r>
    </w:p>
    <w:p>
      <w:pPr>
        <w:ind w:firstLine="560"/>
        <w:rPr>
          <w:rFonts w:hint="default" w:hAnsi="黑体" w:cs="Times New Roman"/>
          <w:sz w:val="32"/>
          <w:szCs w:val="32"/>
          <w:lang w:val="en-US" w:eastAsia="zh-CN"/>
        </w:rPr>
      </w:pPr>
      <w:r>
        <w:rPr>
          <w:rFonts w:hint="eastAsia" w:hAnsi="黑体" w:cs="Times New Roman"/>
          <w:sz w:val="32"/>
          <w:szCs w:val="32"/>
          <w:lang w:val="en-US" w:eastAsia="zh-CN"/>
        </w:rPr>
        <w:t>（1）失智老人护理用品项目：2022年安排预算158万元，总支出261.92万元，其中100万元由市红会下达，158万元从区福彩公益金中支出，余下3.92万元由区红会承担；2023年度预算仍为158万元，且补贴政策无变动，根据2023年度3-5月份的平均补贴人次数2056，以再上浮10%的比例预估全年平均补贴人次数，则预估全年项目支出约为257.82万元，预算安排基本合理，故评价组建议不作调整，2024年度预算安排建议结合截止2023年11月份的平均补贴人次数来测算，并进行相应的调整。</w:t>
      </w:r>
    </w:p>
    <w:p>
      <w:pPr>
        <w:ind w:firstLine="560"/>
        <w:rPr>
          <w:rFonts w:hint="default" w:hAnsi="黑体" w:cs="Times New Roman"/>
          <w:sz w:val="32"/>
          <w:szCs w:val="32"/>
          <w:lang w:val="en-US" w:eastAsia="zh-CN"/>
        </w:rPr>
      </w:pPr>
      <w:r>
        <w:rPr>
          <w:rFonts w:hint="eastAsia" w:hAnsi="黑体" w:cs="Times New Roman"/>
          <w:sz w:val="32"/>
          <w:szCs w:val="32"/>
          <w:lang w:val="en-US" w:eastAsia="zh-CN"/>
        </w:rPr>
        <w:t>（2）社区综合为老服务中心建设补贴：2023年度预算为50万元，计划补贴1家综合为老服务中心，在补贴政策不变动的情况下，评价组建议不作调整，2024年度预算安排以下一年度计划新建综合为老服务中心数量为基础测算。</w:t>
      </w:r>
    </w:p>
    <w:p>
      <w:pPr>
        <w:ind w:firstLine="560"/>
        <w:rPr>
          <w:rFonts w:hint="default" w:hAnsi="黑体" w:cs="Times New Roman"/>
          <w:sz w:val="32"/>
          <w:szCs w:val="32"/>
          <w:lang w:val="en-US" w:eastAsia="zh-CN"/>
        </w:rPr>
      </w:pPr>
      <w:r>
        <w:rPr>
          <w:rFonts w:hint="eastAsia" w:hAnsi="黑体" w:cs="Times New Roman"/>
          <w:sz w:val="32"/>
          <w:szCs w:val="32"/>
          <w:lang w:val="en-US" w:eastAsia="zh-CN"/>
        </w:rPr>
        <w:t>（3）示范睦邻点建设补贴：2023年度预算为26万元，对应为2022年度验收通过的26家示范睦邻点，评价组建议不作调整，2024年度预算安排以2023年度实际通过验收的示范睦邻点数量测算。</w:t>
      </w:r>
    </w:p>
    <w:p>
      <w:pPr>
        <w:ind w:firstLine="560"/>
        <w:rPr>
          <w:rFonts w:hint="default" w:hAnsi="黑体" w:eastAsia="仿宋_GB2312" w:cs="Times New Roman"/>
          <w:sz w:val="32"/>
          <w:szCs w:val="32"/>
          <w:lang w:val="en-US" w:eastAsia="zh-CN"/>
        </w:rPr>
      </w:pPr>
      <w:r>
        <w:rPr>
          <w:rFonts w:hint="eastAsia" w:hAnsi="黑体" w:cs="Times New Roman"/>
          <w:sz w:val="32"/>
          <w:szCs w:val="32"/>
          <w:lang w:eastAsia="zh-CN"/>
        </w:rPr>
        <w:t>（</w:t>
      </w:r>
      <w:r>
        <w:rPr>
          <w:rFonts w:hint="eastAsia" w:hAnsi="黑体" w:cs="Times New Roman"/>
          <w:sz w:val="32"/>
          <w:szCs w:val="32"/>
          <w:lang w:val="en-US" w:eastAsia="zh-CN"/>
        </w:rPr>
        <w:t>4</w:t>
      </w:r>
      <w:r>
        <w:rPr>
          <w:rFonts w:hint="eastAsia" w:hAnsi="黑体" w:cs="Times New Roman"/>
          <w:sz w:val="32"/>
          <w:szCs w:val="32"/>
          <w:lang w:eastAsia="zh-CN"/>
        </w:rPr>
        <w:t>）养老机构综合责任保险：</w:t>
      </w:r>
      <w:r>
        <w:rPr>
          <w:rFonts w:hint="eastAsia" w:hAnsi="黑体" w:cs="Times New Roman"/>
          <w:sz w:val="32"/>
          <w:szCs w:val="32"/>
          <w:lang w:val="en-US" w:eastAsia="zh-CN"/>
        </w:rPr>
        <w:t>2023年度预算为30万元，预算偏高，2023年度</w:t>
      </w:r>
      <w:r>
        <w:rPr>
          <w:rFonts w:hint="eastAsia" w:cs="仿宋_GB2312"/>
          <w:kern w:val="1"/>
          <w:sz w:val="32"/>
          <w:szCs w:val="32"/>
          <w:lang w:val="en-US" w:eastAsia="zh-CN"/>
        </w:rPr>
        <w:t>全区计划投保床位数为3632张，对应预算21.8万元，故建议2023年本项目预算调减8.2万元。本项目2019-2023年的平均投保床位数为3941张，各年投保床位数上下浮动比例范围为为-8.53%至3.66%，则建议以平均投保床位数上浮5%测算2024年投保床位数，约为4138张，对应建议2024年预算安排25万元。</w:t>
      </w:r>
    </w:p>
    <w:p>
      <w:pPr>
        <w:ind w:firstLine="560"/>
        <w:rPr>
          <w:rFonts w:hint="default" w:hAnsi="黑体" w:eastAsia="仿宋_GB2312" w:cs="Times New Roman"/>
          <w:sz w:val="32"/>
          <w:szCs w:val="32"/>
          <w:lang w:val="en-US" w:eastAsia="zh-CN"/>
        </w:rPr>
      </w:pPr>
      <w:r>
        <w:rPr>
          <w:rFonts w:hint="eastAsia" w:hAnsi="黑体" w:cs="Times New Roman"/>
          <w:b/>
          <w:bCs/>
          <w:sz w:val="32"/>
          <w:szCs w:val="32"/>
          <w:lang w:val="en-US" w:eastAsia="zh-CN"/>
        </w:rPr>
        <w:t>2.对农村示范睦邻点建设的一点建议</w:t>
      </w:r>
    </w:p>
    <w:p>
      <w:pPr>
        <w:keepNext w:val="0"/>
        <w:keepLines w:val="0"/>
        <w:pageBreakBefore w:val="0"/>
        <w:widowControl w:val="0"/>
        <w:kinsoku/>
        <w:wordWrap/>
        <w:overflowPunct/>
        <w:topLinePunct w:val="0"/>
        <w:autoSpaceDE/>
        <w:autoSpaceDN/>
        <w:bidi w:val="0"/>
        <w:spacing w:line="500" w:lineRule="atLeast"/>
        <w:ind w:firstLine="640"/>
        <w:contextualSpacing w:val="0"/>
        <w:textAlignment w:val="auto"/>
        <w:outlineLvl w:val="9"/>
        <w:rPr>
          <w:rFonts w:hint="eastAsia" w:ascii="黑体" w:hAnsi="黑体" w:eastAsia="黑体" w:cs="黑体"/>
          <w:sz w:val="32"/>
          <w:szCs w:val="32"/>
          <w:lang w:eastAsia="zh-CN"/>
        </w:rPr>
      </w:pPr>
      <w:r>
        <w:rPr>
          <w:rFonts w:hint="eastAsia" w:hAnsi="黑体" w:cs="Times New Roman"/>
          <w:sz w:val="32"/>
          <w:szCs w:val="32"/>
          <w:lang w:val="en-US" w:eastAsia="zh-CN"/>
        </w:rPr>
        <w:t>根据评价组的实地踏勘结果，农村示范睦邻点的建设水准不一，尤其在硬件设施层面，部分睦邻点还较为简陋，例如夏天防暑、冬天取暖的设备，还未全部完备，桌椅、书架等家具也多显老旧，部分已使用补贴资金的示范睦邻点，则以乡镇意志为主导，为睦邻点统一配备电视、立柜等设备，但实际使用率不高（并未征询睦邻点点长和使用者的需求和意见），资金使用效益不高。鉴于目前多数示范睦邻点补贴资金还尚未使用，建议后续可出台相关资金使用建议，鼓励将福彩公益金优先用于完善示范睦邻点硬件配备和更新，同时做好政策宣传，让睦邻点点长和使用人员明确知晓资金扶持政策，以他们的实际需求为根本导向，将补贴资金真正用在刀刃上，提升睦邻点建设和运营水平。</w:t>
      </w:r>
    </w:p>
    <w:p>
      <w:pPr>
        <w:ind w:firstLine="0" w:firstLineChars="0"/>
        <w:contextualSpacing w:val="0"/>
        <w:jc w:val="left"/>
        <w:rPr>
          <w:rFonts w:hint="eastAsia" w:ascii="黑体" w:hAnsi="黑体" w:eastAsia="黑体" w:cs="黑体"/>
          <w:sz w:val="32"/>
          <w:szCs w:val="32"/>
          <w:lang w:eastAsia="zh-CN"/>
        </w:rPr>
        <w:sectPr>
          <w:footerReference r:id="rId13" w:type="default"/>
          <w:pgSz w:w="11906" w:h="16838"/>
          <w:pgMar w:top="1440" w:right="1797" w:bottom="1440" w:left="1797" w:header="851" w:footer="567" w:gutter="0"/>
          <w:pgNumType w:fmt="decimal" w:start="1"/>
          <w:cols w:space="720" w:num="1"/>
          <w:docGrid w:linePitch="381" w:charSpace="0"/>
        </w:sectPr>
      </w:pPr>
    </w:p>
    <w:p>
      <w:pPr>
        <w:ind w:firstLine="0" w:firstLineChars="0"/>
        <w:contextualSpacing w:val="0"/>
        <w:jc w:val="center"/>
        <w:rPr>
          <w:rFonts w:hint="eastAsia" w:ascii="黑体" w:hAnsi="黑体" w:eastAsia="黑体" w:cs="黑体"/>
          <w:sz w:val="32"/>
          <w:szCs w:val="32"/>
          <w:lang w:eastAsia="zh-CN"/>
        </w:rPr>
      </w:pPr>
      <w:r>
        <w:rPr>
          <w:rFonts w:hint="eastAsia" w:ascii="黑体" w:hAnsi="黑体" w:eastAsia="黑体" w:cs="黑体"/>
          <w:sz w:val="32"/>
          <w:szCs w:val="32"/>
          <w:lang w:eastAsia="zh-CN"/>
        </w:rPr>
        <w:t>2022年福利彩票公益金支出项目</w:t>
      </w:r>
      <w:r>
        <w:rPr>
          <w:rFonts w:hint="eastAsia" w:ascii="黑体" w:hAnsi="黑体" w:eastAsia="黑体" w:cs="黑体"/>
          <w:sz w:val="32"/>
          <w:szCs w:val="32"/>
        </w:rPr>
        <w:t>绩效评价</w:t>
      </w:r>
      <w:r>
        <w:rPr>
          <w:rFonts w:hint="eastAsia" w:ascii="黑体" w:hAnsi="黑体" w:eastAsia="黑体" w:cs="黑体"/>
          <w:sz w:val="32"/>
          <w:szCs w:val="32"/>
          <w:lang w:val="en-US" w:eastAsia="zh-CN"/>
        </w:rPr>
        <w:t>报告</w:t>
      </w:r>
    </w:p>
    <w:p>
      <w:pPr>
        <w:ind w:firstLine="560"/>
      </w:pPr>
      <w:r>
        <w:rPr>
          <w:rFonts w:hint="eastAsia" w:hAnsi="Times New Roman" w:cs="Times New Roman"/>
          <w:sz w:val="32"/>
          <w:szCs w:val="32"/>
        </w:rPr>
        <w:t>为贯彻落实上海市全面实施预算绩效管理的工作要求，加强崇明区财政支出管理，提高财政资金使用效益，根据《关于印发</w:t>
      </w:r>
      <w:r>
        <w:rPr>
          <w:rFonts w:hint="eastAsia"/>
          <w:sz w:val="32"/>
          <w:szCs w:val="32"/>
          <w:lang w:val="en-US" w:eastAsia="zh-CN"/>
        </w:rPr>
        <w:t>〈</w:t>
      </w:r>
      <w:r>
        <w:rPr>
          <w:rFonts w:hint="eastAsia" w:hAnsi="Times New Roman" w:cs="Times New Roman"/>
          <w:sz w:val="32"/>
          <w:szCs w:val="32"/>
        </w:rPr>
        <w:t>上海市财政项目支出预算绩效管理办法（试行）</w:t>
      </w:r>
      <w:r>
        <w:rPr>
          <w:rFonts w:hint="eastAsia"/>
          <w:sz w:val="32"/>
          <w:szCs w:val="32"/>
          <w:lang w:val="en-US" w:eastAsia="zh-CN"/>
        </w:rPr>
        <w:t>〉</w:t>
      </w:r>
      <w:r>
        <w:rPr>
          <w:rFonts w:hint="eastAsia" w:hAnsi="Times New Roman" w:cs="Times New Roman"/>
          <w:sz w:val="32"/>
          <w:szCs w:val="32"/>
        </w:rPr>
        <w:t>的通知》（沪财绩〔2020〕6号）、《中共上海市崇明区委 上海市崇明区人民政府关于我区全面实施预算绩效管理的实施意见》（崇委发〔2019〕21号）、《关于印发</w:t>
      </w:r>
      <w:r>
        <w:rPr>
          <w:rFonts w:hint="eastAsia"/>
          <w:sz w:val="32"/>
          <w:szCs w:val="32"/>
          <w:lang w:val="en-US" w:eastAsia="zh-CN"/>
        </w:rPr>
        <w:t>〈</w:t>
      </w:r>
      <w:r>
        <w:rPr>
          <w:rFonts w:hint="eastAsia" w:hAnsi="Times New Roman" w:cs="Times New Roman"/>
          <w:sz w:val="32"/>
          <w:szCs w:val="32"/>
        </w:rPr>
        <w:t>2023年崇明区预算绩效管理工作要点</w:t>
      </w:r>
      <w:r>
        <w:rPr>
          <w:rFonts w:hint="eastAsia"/>
          <w:sz w:val="32"/>
          <w:szCs w:val="32"/>
          <w:lang w:val="en-US" w:eastAsia="zh-CN"/>
        </w:rPr>
        <w:t>〉</w:t>
      </w:r>
      <w:r>
        <w:rPr>
          <w:rFonts w:hint="eastAsia" w:hAnsi="Times New Roman" w:cs="Times New Roman"/>
          <w:sz w:val="32"/>
          <w:szCs w:val="32"/>
        </w:rPr>
        <w:t>的通知》（沪崇财绩〔2023〕1号）等文件，上海首絮维施企业管理咨询有限公司</w:t>
      </w:r>
      <w:r>
        <w:rPr>
          <w:rFonts w:hint="eastAsia" w:hAnsi="Times New Roman" w:cs="Times New Roman"/>
          <w:sz w:val="32"/>
          <w:szCs w:val="32"/>
          <w:lang w:val="en-US" w:eastAsia="zh-CN"/>
        </w:rPr>
        <w:t>受</w:t>
      </w:r>
      <w:r>
        <w:rPr>
          <w:rFonts w:hint="eastAsia" w:hAnsi="Times New Roman" w:cs="Times New Roman"/>
          <w:sz w:val="32"/>
          <w:szCs w:val="32"/>
        </w:rPr>
        <w:t>崇明区财政局</w:t>
      </w:r>
      <w:r>
        <w:rPr>
          <w:rFonts w:hint="eastAsia" w:hAnsi="Times New Roman" w:cs="Times New Roman"/>
          <w:sz w:val="32"/>
          <w:szCs w:val="32"/>
          <w:lang w:val="en-US" w:eastAsia="zh-CN"/>
        </w:rPr>
        <w:t>的</w:t>
      </w:r>
      <w:r>
        <w:rPr>
          <w:rFonts w:hint="eastAsia" w:hAnsi="Times New Roman" w:cs="Times New Roman"/>
          <w:sz w:val="32"/>
          <w:szCs w:val="32"/>
        </w:rPr>
        <w:t>委托，</w:t>
      </w:r>
      <w:r>
        <w:rPr>
          <w:rFonts w:hint="eastAsia" w:hAnsi="Times New Roman" w:cs="Times New Roman"/>
          <w:sz w:val="32"/>
          <w:szCs w:val="32"/>
          <w:lang w:val="en-US" w:eastAsia="zh-CN"/>
        </w:rPr>
        <w:t>对</w:t>
      </w:r>
      <w:r>
        <w:rPr>
          <w:rFonts w:hint="eastAsia"/>
          <w:sz w:val="32"/>
          <w:szCs w:val="32"/>
          <w:lang w:eastAsia="zh-CN"/>
        </w:rPr>
        <w:t>崇明区民政局</w:t>
      </w:r>
      <w:r>
        <w:rPr>
          <w:rFonts w:hint="eastAsia"/>
          <w:sz w:val="32"/>
          <w:szCs w:val="32"/>
          <w:lang w:val="en-US" w:eastAsia="zh-CN"/>
        </w:rPr>
        <w:t>的</w:t>
      </w:r>
      <w:r>
        <w:rPr>
          <w:rFonts w:hint="eastAsia" w:hAnsi="Times New Roman" w:cs="Times New Roman"/>
          <w:sz w:val="32"/>
          <w:szCs w:val="32"/>
        </w:rPr>
        <w:t>“</w:t>
      </w:r>
      <w:r>
        <w:rPr>
          <w:rFonts w:hint="eastAsia" w:hAnsi="Times New Roman" w:cs="Times New Roman"/>
          <w:sz w:val="32"/>
          <w:szCs w:val="32"/>
          <w:lang w:eastAsia="zh-CN"/>
        </w:rPr>
        <w:t>2022年福利彩票公益金支出项目</w:t>
      </w:r>
      <w:r>
        <w:rPr>
          <w:rFonts w:hint="eastAsia" w:hAnsi="Times New Roman" w:cs="Times New Roman"/>
          <w:sz w:val="32"/>
          <w:szCs w:val="32"/>
        </w:rPr>
        <w:t>”</w:t>
      </w:r>
      <w:r>
        <w:rPr>
          <w:rFonts w:hint="eastAsia" w:hAnsi="Times New Roman" w:cs="Times New Roman"/>
          <w:sz w:val="32"/>
          <w:szCs w:val="32"/>
          <w:lang w:val="en-US" w:eastAsia="zh-CN"/>
        </w:rPr>
        <w:t>进行</w:t>
      </w:r>
      <w:r>
        <w:rPr>
          <w:rFonts w:hint="eastAsia" w:hAnsi="Times New Roman" w:cs="Times New Roman"/>
          <w:sz w:val="32"/>
          <w:szCs w:val="32"/>
        </w:rPr>
        <w:t>绩效评价。评价组在取数、调研以及分析基础上，并按照专家评审后的绩效评价方案，围绕评价关注的重点，形成了本报告</w:t>
      </w:r>
      <w:r>
        <w:rPr>
          <w:rFonts w:hint="eastAsia"/>
          <w:sz w:val="32"/>
          <w:szCs w:val="32"/>
        </w:rPr>
        <w:t>。</w:t>
      </w:r>
    </w:p>
    <w:p>
      <w:pPr>
        <w:pStyle w:val="2"/>
        <w:ind w:firstLine="643" w:firstLineChars="200"/>
        <w:rPr>
          <w:rFonts w:hint="eastAsia" w:eastAsia="黑体"/>
          <w:lang w:eastAsia="zh-CN"/>
        </w:rPr>
      </w:pPr>
      <w:bookmarkStart w:id="11" w:name="_Toc14645"/>
      <w:bookmarkStart w:id="12" w:name="_Toc25820"/>
      <w:r>
        <w:rPr>
          <w:rFonts w:hint="eastAsia" w:ascii="黑体" w:hAnsi="黑体" w:eastAsia="黑体" w:cs="黑体"/>
          <w:sz w:val="32"/>
          <w:szCs w:val="32"/>
        </w:rPr>
        <w:t>一、项目</w:t>
      </w:r>
      <w:bookmarkEnd w:id="11"/>
      <w:r>
        <w:rPr>
          <w:rFonts w:hint="eastAsia" w:ascii="黑体" w:hAnsi="黑体" w:eastAsia="黑体" w:cs="黑体"/>
          <w:sz w:val="32"/>
          <w:szCs w:val="32"/>
          <w:lang w:val="en-US" w:eastAsia="zh-CN"/>
        </w:rPr>
        <w:t>基本情况</w:t>
      </w:r>
      <w:bookmarkEnd w:id="12"/>
    </w:p>
    <w:p>
      <w:pPr>
        <w:pStyle w:val="3"/>
        <w:rPr>
          <w:rFonts w:hint="default" w:eastAsia="方正楷体_GB2312"/>
          <w:lang w:val="en-US" w:eastAsia="zh-CN"/>
        </w:rPr>
      </w:pPr>
      <w:bookmarkStart w:id="13" w:name="_Toc19319"/>
      <w:bookmarkStart w:id="14" w:name="_Toc22198"/>
      <w:r>
        <w:rPr>
          <w:rFonts w:hint="eastAsia" w:ascii="方正楷体_GB2312" w:hAnsi="方正楷体_GB2312" w:eastAsia="方正楷体_GB2312" w:cs="方正楷体_GB2312"/>
          <w:sz w:val="32"/>
          <w:szCs w:val="32"/>
        </w:rPr>
        <w:t>（一）项目立项背景</w:t>
      </w:r>
      <w:r>
        <w:rPr>
          <w:rFonts w:hint="eastAsia" w:ascii="方正楷体_GB2312" w:hAnsi="方正楷体_GB2312" w:eastAsia="方正楷体_GB2312" w:cs="方正楷体_GB2312"/>
          <w:sz w:val="32"/>
          <w:szCs w:val="32"/>
          <w:lang w:eastAsia="zh-CN"/>
        </w:rPr>
        <w:t>、</w:t>
      </w:r>
      <w:r>
        <w:rPr>
          <w:rFonts w:hint="eastAsia" w:ascii="方正楷体_GB2312" w:hAnsi="方正楷体_GB2312" w:eastAsia="方正楷体_GB2312" w:cs="方正楷体_GB2312"/>
          <w:sz w:val="32"/>
          <w:szCs w:val="32"/>
        </w:rPr>
        <w:t>目的</w:t>
      </w:r>
      <w:bookmarkEnd w:id="13"/>
      <w:r>
        <w:rPr>
          <w:rFonts w:hint="eastAsia" w:ascii="方正楷体_GB2312" w:hAnsi="方正楷体_GB2312" w:eastAsia="方正楷体_GB2312" w:cs="方正楷体_GB2312"/>
          <w:sz w:val="32"/>
          <w:szCs w:val="32"/>
          <w:lang w:val="en-US" w:eastAsia="zh-CN"/>
        </w:rPr>
        <w:t>和依据</w:t>
      </w:r>
      <w:bookmarkEnd w:id="14"/>
    </w:p>
    <w:p>
      <w:pPr>
        <w:ind w:firstLine="562"/>
        <w:outlineLvl w:val="2"/>
        <w:rPr>
          <w:rFonts w:hint="eastAsia"/>
          <w:lang w:val="en-US" w:eastAsia="zh-CN"/>
        </w:rPr>
      </w:pPr>
      <w:bookmarkStart w:id="15" w:name="_Toc25686"/>
      <w:r>
        <w:rPr>
          <w:rFonts w:hint="eastAsia" w:hAnsi="Arial Unicode MS" w:cs="Arial Unicode MS"/>
          <w:b/>
          <w:sz w:val="32"/>
          <w:szCs w:val="32"/>
        </w:rPr>
        <w:t>1.立项背景</w:t>
      </w:r>
      <w:bookmarkEnd w:id="15"/>
    </w:p>
    <w:p>
      <w:pPr>
        <w:ind w:firstLine="560"/>
        <w:rPr>
          <w:rFonts w:hint="eastAsia"/>
          <w:sz w:val="32"/>
          <w:szCs w:val="32"/>
          <w:lang w:val="en-US" w:eastAsia="zh-CN"/>
        </w:rPr>
      </w:pPr>
      <w:r>
        <w:rPr>
          <w:rFonts w:hint="eastAsia"/>
          <w:sz w:val="32"/>
          <w:szCs w:val="32"/>
          <w:lang w:val="en-US" w:eastAsia="zh-CN"/>
        </w:rPr>
        <w:t>1986年，民政部向国务院报送《关于开展社会福利有奖募捐活动的请示》并获批，次年以“中国社会福利有奖募捐券”的形式在部分省市试点发行，标志着我国彩票事业的开端。1993年，“中国社会福利有奖募捐券”更名为“中国社会福利奖券”，1994年，“中国社会福利奖券”又更名为“中国福利彩票”，此后一直沿用至今。</w:t>
      </w:r>
    </w:p>
    <w:p>
      <w:pPr>
        <w:ind w:firstLine="560"/>
        <w:rPr>
          <w:rFonts w:hint="default"/>
          <w:sz w:val="32"/>
          <w:szCs w:val="32"/>
          <w:highlight w:val="none"/>
          <w:lang w:val="en-US" w:eastAsia="zh-CN"/>
        </w:rPr>
      </w:pPr>
      <w:r>
        <w:rPr>
          <w:rFonts w:hint="eastAsia"/>
          <w:sz w:val="32"/>
          <w:szCs w:val="32"/>
          <w:highlight w:val="none"/>
          <w:lang w:val="en-US" w:eastAsia="zh-CN"/>
        </w:rPr>
        <w:t>2007年11月，财政部印发《彩票公益金管理办法》（以下简称“《办法》”），明确了彩票公益金管理的顶层设计。《办法》指出，彩票公益金是指从彩票发行收入中按规定比例提取的，专项用于社会福利、体育等社会公益事业的资金，按政府性基金管理办法纳入预算，实行“收支两条线”管理，专款专用，结余结转下年继续使用，不得用于平衡一般预算。彩票公益金按50∶50的比例在中央与地方之间分配，由各省级彩票机构分别上缴中央财政和省级财政。</w:t>
      </w:r>
    </w:p>
    <w:p>
      <w:pPr>
        <w:ind w:firstLine="560"/>
        <w:rPr>
          <w:rFonts w:hint="default"/>
          <w:sz w:val="32"/>
          <w:szCs w:val="32"/>
          <w:highlight w:val="none"/>
          <w:lang w:val="en-US" w:eastAsia="zh-CN"/>
        </w:rPr>
      </w:pPr>
      <w:r>
        <w:rPr>
          <w:rFonts w:hint="eastAsia"/>
          <w:sz w:val="32"/>
          <w:szCs w:val="32"/>
          <w:highlight w:val="none"/>
          <w:lang w:val="en-US" w:eastAsia="zh-CN"/>
        </w:rPr>
        <w:t>上海是全国最先试点发行彩票的城市之一，2021年上海全市福利彩票销售额为43.39亿元，共筹集福彩公益金13.86亿元，其中6.81亿元上缴中央，各区合计留存2.53亿元，市本级留存4.52亿元。</w:t>
      </w:r>
    </w:p>
    <w:p>
      <w:pPr>
        <w:ind w:firstLine="560"/>
        <w:rPr>
          <w:rFonts w:hint="default"/>
          <w:sz w:val="32"/>
          <w:szCs w:val="32"/>
          <w:highlight w:val="none"/>
          <w:lang w:val="en-US" w:eastAsia="zh-CN"/>
        </w:rPr>
      </w:pPr>
      <w:r>
        <w:rPr>
          <w:rFonts w:hint="eastAsia"/>
          <w:sz w:val="32"/>
          <w:szCs w:val="32"/>
          <w:highlight w:val="none"/>
          <w:lang w:val="en-US" w:eastAsia="zh-CN"/>
        </w:rPr>
        <w:t>2022年，上海市崇明区留存福利彩票公益金的年初预算为438万元，计划用于4个子项目，分别是失智老人护理用品款、示范睦邻点一次性补贴、社区综合为老服务中心建设补贴和养老机构综合责任保险费用区级配套经费，全部为</w:t>
      </w:r>
      <w:r>
        <w:rPr>
          <w:rFonts w:hint="eastAsia"/>
          <w:sz w:val="32"/>
          <w:szCs w:val="32"/>
          <w:lang w:eastAsia="zh-CN"/>
        </w:rPr>
        <w:t>老年人福利类项目，</w:t>
      </w:r>
      <w:r>
        <w:rPr>
          <w:rFonts w:hint="eastAsia"/>
          <w:sz w:val="32"/>
          <w:szCs w:val="32"/>
          <w:lang w:val="en-US" w:eastAsia="zh-CN"/>
        </w:rPr>
        <w:t>符合福彩公益金的支出范围和比例要求（</w:t>
      </w:r>
      <w:r>
        <w:rPr>
          <w:rFonts w:hint="eastAsia"/>
          <w:sz w:val="32"/>
          <w:szCs w:val="32"/>
          <w:lang w:eastAsia="zh-CN"/>
        </w:rPr>
        <w:t>福彩公益金用于老年人福利类项目预算总额不得低于当年度福彩公益金预算总额的60%</w:t>
      </w:r>
      <w:r>
        <w:rPr>
          <w:rFonts w:hint="eastAsia"/>
          <w:sz w:val="32"/>
          <w:szCs w:val="32"/>
          <w:lang w:val="en-US" w:eastAsia="zh-CN"/>
        </w:rPr>
        <w:t>）</w:t>
      </w:r>
      <w:r>
        <w:rPr>
          <w:rFonts w:hint="eastAsia"/>
          <w:sz w:val="32"/>
          <w:szCs w:val="32"/>
          <w:highlight w:val="none"/>
          <w:lang w:val="en-US" w:eastAsia="zh-CN"/>
        </w:rPr>
        <w:t>。</w:t>
      </w:r>
    </w:p>
    <w:p>
      <w:pPr>
        <w:ind w:firstLine="560"/>
        <w:rPr>
          <w:rFonts w:hint="default"/>
          <w:sz w:val="32"/>
          <w:szCs w:val="32"/>
          <w:highlight w:val="none"/>
          <w:lang w:val="en-US" w:eastAsia="zh-CN"/>
        </w:rPr>
      </w:pPr>
      <w:r>
        <w:rPr>
          <w:rFonts w:hint="eastAsia"/>
          <w:sz w:val="32"/>
          <w:szCs w:val="32"/>
          <w:highlight w:val="none"/>
          <w:lang w:val="en-US" w:eastAsia="zh-CN"/>
        </w:rPr>
        <w:t>其中，为失智老人发放护理用品项目始于2009年，当时的崇明区红十字会在市红会的指导下，在崇明区新河镇开展了“为社区重度失智困难老人配送护理用品志愿服务项目”试点工作，经过半年运作，情况良好，社会效果明显，随即于2010年4月在全区范围内启动项目申报及配送志愿服务工作，并为患者家属及看护人员开展老年介护相关知识培训。2011年，该项目被列入当年度的市政府实事项目，市红会同年下发《关于印发〈关于落实2011年市政府实事项目——完成“为5000名社区重度失智困难老人配送护理用品项目”工作的实施意见〉的通知》（沪红发〔2011〕32号），在全市推广并常态化实施。2012年该项目纳入区红会常规工作，经费来源为：护理用品费由区财政协调从民政福彩公益金中支付；90岁及以上老人的费用由市红十字会定向捐赠。自项目开展以来，崇明区共有8751名（截止2021年10月数据）困难家庭失智失能老人享受到免费的护理用品，共有1036名来自各乡镇、村居的红十字志愿者参与过配送服务。</w:t>
      </w:r>
    </w:p>
    <w:p>
      <w:pPr>
        <w:ind w:firstLine="560"/>
        <w:rPr>
          <w:rFonts w:hint="default"/>
          <w:sz w:val="32"/>
          <w:szCs w:val="32"/>
          <w:highlight w:val="none"/>
          <w:lang w:val="en-US" w:eastAsia="zh-CN"/>
        </w:rPr>
      </w:pPr>
      <w:r>
        <w:rPr>
          <w:rFonts w:hint="eastAsia"/>
          <w:sz w:val="32"/>
          <w:szCs w:val="32"/>
          <w:highlight w:val="none"/>
          <w:lang w:val="en-US" w:eastAsia="zh-CN"/>
        </w:rPr>
        <w:t>睦邻点是指社区内邻近居住的老年人，依托相对固定的活动场所，自觉发起、自愿参加、自主活动、自我服务的社区非正式组织形态。从2004年开始，上海市在开展纯老家庭结对关爱行动、实施“老伙伴计划”等项目的过程中，逐步出现一些居民或非正式团体在小区楼组、村民小组层面利用自有住宅、闲置房屋开展睦邻点活动。2014年，上海市老龄办、民政局下发的《关于推进老年宜居社区建设试点的指导意见》提出，进一步推动邻里互助服务，推广社区“睦邻点”建设。2015年，上海市民政局等八部门下发的《关于加强本市农村养老服务工作的实施意见》明确要求推广农村地区睦邻点建设。2016年，《上海市老龄事业发展“十三五”规划》进一步提出要发展非正式照料体系，并以睦邻点为依托构建“邻里互助圈”。</w:t>
      </w:r>
      <w:r>
        <w:rPr>
          <w:rFonts w:hint="eastAsia"/>
          <w:sz w:val="32"/>
          <w:szCs w:val="32"/>
          <w:lang w:val="en-US" w:eastAsia="zh-CN"/>
        </w:rPr>
        <w:t>2021年，《上海市人民政府办公厅关于推进本市“十四五”期间养老服务设施建设的实施意见》（沪府办规〔2021〕13号）发布，文件明确了对于示范睦邻点，</w:t>
      </w:r>
      <w:r>
        <w:rPr>
          <w:rFonts w:hint="eastAsia"/>
          <w:sz w:val="32"/>
          <w:szCs w:val="32"/>
          <w:lang w:eastAsia="zh-CN"/>
        </w:rPr>
        <w:t>由市级福利彩票公益金对每个点给予一次性补贴1万元，各区按照不低于1∶1配比。</w:t>
      </w:r>
      <w:r>
        <w:rPr>
          <w:rFonts w:hint="eastAsia"/>
          <w:sz w:val="32"/>
          <w:szCs w:val="32"/>
          <w:lang w:val="en-US" w:eastAsia="zh-CN"/>
        </w:rPr>
        <w:t>示范睦邻点的建设标准参照《上海市农村老年人示范睦邻点建设指引》，</w:t>
      </w:r>
      <w:r>
        <w:rPr>
          <w:rFonts w:hint="eastAsia" w:ascii="仿宋_GB2312" w:hAnsi="GB18030 Bitmap" w:eastAsia="仿宋_GB2312"/>
          <w:sz w:val="32"/>
          <w:szCs w:val="32"/>
        </w:rPr>
        <w:t>宅基示范睦邻点一般不少于20平方米</w:t>
      </w:r>
      <w:r>
        <w:rPr>
          <w:rFonts w:hint="eastAsia" w:ascii="仿宋_GB2312" w:hAnsi="MS Mincho" w:eastAsia="仿宋_GB2312" w:cs="MS Mincho"/>
          <w:sz w:val="32"/>
          <w:szCs w:val="32"/>
        </w:rPr>
        <w:t>，</w:t>
      </w:r>
      <w:r>
        <w:rPr>
          <w:rFonts w:hint="eastAsia" w:ascii="仿宋_GB2312" w:hAnsi="GB18030 Bitmap" w:eastAsia="仿宋_GB2312"/>
          <w:sz w:val="32"/>
          <w:szCs w:val="32"/>
        </w:rPr>
        <w:t>设置在村居</w:t>
      </w:r>
      <w:r>
        <w:rPr>
          <w:rFonts w:hint="eastAsia" w:ascii="仿宋_GB2312" w:hAnsi="MS Mincho" w:eastAsia="仿宋_GB2312" w:cs="MS Mincho"/>
          <w:sz w:val="32"/>
          <w:szCs w:val="32"/>
        </w:rPr>
        <w:t>（或</w:t>
      </w:r>
      <w:r>
        <w:rPr>
          <w:rFonts w:hint="eastAsia" w:ascii="仿宋_GB2312" w:hAnsi="GB18030 Bitmap" w:eastAsia="仿宋_GB2312"/>
          <w:sz w:val="32"/>
          <w:szCs w:val="32"/>
        </w:rPr>
        <w:t>物业</w:t>
      </w:r>
      <w:r>
        <w:rPr>
          <w:rFonts w:hint="eastAsia" w:ascii="仿宋_GB2312" w:hAnsi="MS Mincho" w:eastAsia="仿宋_GB2312" w:cs="MS Mincho"/>
          <w:sz w:val="32"/>
          <w:szCs w:val="32"/>
        </w:rPr>
        <w:t>）</w:t>
      </w:r>
      <w:r>
        <w:rPr>
          <w:rFonts w:hint="eastAsia" w:ascii="仿宋_GB2312" w:hAnsi="GB18030 Bitmap" w:eastAsia="仿宋_GB2312"/>
          <w:sz w:val="32"/>
          <w:szCs w:val="32"/>
        </w:rPr>
        <w:t>闲置场所的一般不少于40平方米</w:t>
      </w:r>
      <w:r>
        <w:rPr>
          <w:rFonts w:hint="eastAsia" w:hAnsi="GB18030 Bitmap"/>
          <w:sz w:val="32"/>
          <w:szCs w:val="32"/>
          <w:lang w:eastAsia="zh-CN"/>
        </w:rPr>
        <w:t>，</w:t>
      </w:r>
      <w:r>
        <w:rPr>
          <w:rFonts w:hint="eastAsia" w:ascii="仿宋_GB2312" w:hAnsi="GB18030 Bitmap" w:eastAsia="仿宋_GB2312"/>
          <w:sz w:val="32"/>
          <w:szCs w:val="32"/>
        </w:rPr>
        <w:t>配备必要的消防灭火器材等安全设备</w:t>
      </w:r>
      <w:r>
        <w:rPr>
          <w:rFonts w:hint="eastAsia" w:ascii="仿宋_GB2312" w:hAnsi="MS Mincho" w:eastAsia="仿宋_GB2312" w:cs="MS Mincho"/>
          <w:sz w:val="32"/>
          <w:szCs w:val="32"/>
        </w:rPr>
        <w:t>，</w:t>
      </w:r>
      <w:r>
        <w:rPr>
          <w:rFonts w:hint="eastAsia" w:ascii="仿宋_GB2312" w:hAnsi="GB18030 Bitmap" w:eastAsia="仿宋_GB2312"/>
          <w:sz w:val="32"/>
          <w:szCs w:val="32"/>
        </w:rPr>
        <w:t>以及防暑降温</w:t>
      </w:r>
      <w:r>
        <w:rPr>
          <w:rFonts w:hint="eastAsia" w:ascii="仿宋_GB2312" w:hAnsi="MS Mincho" w:eastAsia="仿宋_GB2312" w:cs="MS Mincho"/>
          <w:sz w:val="32"/>
          <w:szCs w:val="32"/>
        </w:rPr>
        <w:t>、</w:t>
      </w:r>
      <w:r>
        <w:rPr>
          <w:rFonts w:hint="eastAsia" w:ascii="仿宋_GB2312" w:hAnsi="GB18030 Bitmap" w:eastAsia="仿宋_GB2312"/>
          <w:sz w:val="32"/>
          <w:szCs w:val="32"/>
        </w:rPr>
        <w:t>取暖等设备</w:t>
      </w:r>
      <w:r>
        <w:rPr>
          <w:rFonts w:hint="eastAsia" w:hAnsi="GB18030 Bitmap"/>
          <w:sz w:val="32"/>
          <w:szCs w:val="32"/>
          <w:lang w:eastAsia="zh-CN"/>
        </w:rPr>
        <w:t>，</w:t>
      </w:r>
      <w:r>
        <w:rPr>
          <w:rFonts w:hint="eastAsia" w:ascii="仿宋_GB2312" w:hAnsi="GB18030 Bitmap" w:eastAsia="仿宋_GB2312"/>
          <w:sz w:val="32"/>
          <w:szCs w:val="32"/>
        </w:rPr>
        <w:t>保持装修环境整洁卫生</w:t>
      </w:r>
      <w:r>
        <w:rPr>
          <w:rFonts w:hint="eastAsia" w:ascii="仿宋_GB2312" w:hAnsi="MS Mincho" w:eastAsia="仿宋_GB2312" w:cs="MS Mincho"/>
          <w:sz w:val="32"/>
          <w:szCs w:val="32"/>
        </w:rPr>
        <w:t>，</w:t>
      </w:r>
      <w:r>
        <w:rPr>
          <w:rFonts w:hint="eastAsia" w:ascii="仿宋_GB2312" w:hAnsi="GB18030 Bitmap" w:eastAsia="仿宋_GB2312"/>
          <w:sz w:val="32"/>
          <w:szCs w:val="32"/>
        </w:rPr>
        <w:t>配备桌椅</w:t>
      </w:r>
      <w:r>
        <w:rPr>
          <w:rFonts w:hint="eastAsia" w:ascii="仿宋_GB2312" w:hAnsi="MS Mincho" w:eastAsia="仿宋_GB2312" w:cs="MS Mincho"/>
          <w:sz w:val="32"/>
          <w:szCs w:val="32"/>
        </w:rPr>
        <w:t>、</w:t>
      </w:r>
      <w:r>
        <w:rPr>
          <w:rFonts w:hint="eastAsia" w:ascii="仿宋_GB2312" w:hAnsi="GB18030 Bitmap" w:eastAsia="仿宋_GB2312"/>
          <w:sz w:val="32"/>
          <w:szCs w:val="32"/>
        </w:rPr>
        <w:t>棋牌和文娱活动等的必要器具</w:t>
      </w:r>
      <w:r>
        <w:rPr>
          <w:rFonts w:hint="eastAsia" w:ascii="仿宋_GB2312" w:hAnsi="MS Mincho" w:eastAsia="仿宋_GB2312" w:cs="MS Mincho"/>
          <w:sz w:val="32"/>
          <w:szCs w:val="32"/>
        </w:rPr>
        <w:t>，有</w:t>
      </w:r>
      <w:r>
        <w:rPr>
          <w:rFonts w:hint="eastAsia" w:ascii="仿宋_GB2312" w:hAnsi="GB18030 Bitmap" w:eastAsia="仿宋_GB2312"/>
          <w:sz w:val="32"/>
          <w:szCs w:val="32"/>
        </w:rPr>
        <w:t>卫生间</w:t>
      </w:r>
      <w:r>
        <w:rPr>
          <w:rFonts w:hint="eastAsia"/>
          <w:sz w:val="32"/>
          <w:szCs w:val="32"/>
          <w:lang w:val="en-US" w:eastAsia="zh-CN"/>
        </w:rPr>
        <w:t>。截止2022年底，全市已建成示范睦邻点超3000个，其中，崇明区共建成411个，除去少数因动迁等原因暂停开放外，正常开放的占比达到94%，切实增加了邻里间的活动往来、丰富了老年人的精神生活，提升了周边居民的老年生活幸福感。</w:t>
      </w:r>
    </w:p>
    <w:p>
      <w:pPr>
        <w:ind w:firstLine="560"/>
        <w:rPr>
          <w:rFonts w:hint="default"/>
          <w:sz w:val="32"/>
          <w:szCs w:val="32"/>
          <w:highlight w:val="none"/>
          <w:lang w:val="en-US" w:eastAsia="zh-CN"/>
        </w:rPr>
      </w:pPr>
      <w:r>
        <w:rPr>
          <w:rFonts w:hint="eastAsia"/>
          <w:sz w:val="32"/>
          <w:szCs w:val="32"/>
          <w:highlight w:val="none"/>
          <w:lang w:val="en-US" w:eastAsia="zh-CN"/>
        </w:rPr>
        <w:t>社区综合为老服务中心建设工作是“十三五”期间上海市</w:t>
      </w:r>
      <w:r>
        <w:rPr>
          <w:rFonts w:hint="eastAsia"/>
          <w:sz w:val="32"/>
          <w:szCs w:val="32"/>
          <w:lang w:val="en-US" w:eastAsia="zh-CN"/>
        </w:rPr>
        <w:t>养老服务设施建设的重点任务之一，明确到2020年底，全市街镇层面需建成社区综合为老服务中心200家，每个街镇不少于1家。2021年，《上海市人民政府办公厅关于推进本市“十四五”期间养老服务设施建设的实施意见》（沪府办规〔2021〕13号）发布，文件明确</w:t>
      </w:r>
      <w:r>
        <w:rPr>
          <w:rFonts w:hint="eastAsia"/>
          <w:sz w:val="32"/>
          <w:szCs w:val="32"/>
          <w:lang w:eastAsia="zh-CN"/>
        </w:rPr>
        <w:t>对建筑面积在800平方米（含）以上的</w:t>
      </w:r>
      <w:r>
        <w:rPr>
          <w:rFonts w:hint="eastAsia"/>
          <w:sz w:val="32"/>
          <w:szCs w:val="32"/>
          <w:lang w:val="en-US" w:eastAsia="zh-CN"/>
        </w:rPr>
        <w:t>社区综合为老服务中心</w:t>
      </w:r>
      <w:r>
        <w:rPr>
          <w:rFonts w:hint="eastAsia"/>
          <w:sz w:val="32"/>
          <w:szCs w:val="32"/>
          <w:lang w:eastAsia="zh-CN"/>
        </w:rPr>
        <w:t>，市级福利彩票公益金一次性补贴100万元；建筑面积在800平方米以下500平方米以上的，市级福利彩票公益金一次性补贴50万元，各区按照不低于1∶1配比。</w:t>
      </w:r>
      <w:r>
        <w:rPr>
          <w:rFonts w:hint="eastAsia"/>
          <w:sz w:val="32"/>
          <w:szCs w:val="32"/>
          <w:lang w:val="en-US" w:eastAsia="zh-CN"/>
        </w:rPr>
        <w:t>根据《关于加强社区综合为老服务中心建设的指导意见》（沪老龄办发〔2016〕5号）文的要求，社区综合为老服务中心的建设标准为：建筑面积一般在1000平方米左右，具体功能设施应包括1处为老年人提供日托或全托服务（如长者照护之家）的场所设施、1处具备医疗服务资质的机构、1处为居家老年人提供助餐或助浴服务的场所设施以及为家庭照料者提供支持服务的场所设施等。截止2022年底，全市已建成</w:t>
      </w:r>
      <w:r>
        <w:rPr>
          <w:rFonts w:hint="eastAsia"/>
          <w:sz w:val="32"/>
          <w:szCs w:val="32"/>
          <w:highlight w:val="none"/>
          <w:lang w:val="en-US" w:eastAsia="zh-CN"/>
        </w:rPr>
        <w:t>社区综合为老服务中心超400家，其中，崇明区共建成34家，涵盖全部18个乡镇，为周边老人提供了安全舒适的日间托养环境、提升了社会化养老服务的可及性。</w:t>
      </w:r>
    </w:p>
    <w:p>
      <w:pPr>
        <w:ind w:firstLine="560"/>
        <w:rPr>
          <w:rFonts w:hint="default"/>
          <w:sz w:val="32"/>
          <w:szCs w:val="32"/>
          <w:highlight w:val="none"/>
          <w:lang w:val="en-US" w:eastAsia="zh-CN"/>
        </w:rPr>
      </w:pPr>
      <w:r>
        <w:rPr>
          <w:rFonts w:hint="eastAsia"/>
          <w:sz w:val="32"/>
          <w:szCs w:val="32"/>
          <w:highlight w:val="none"/>
          <w:lang w:val="en-US" w:eastAsia="zh-CN"/>
        </w:rPr>
        <w:t>养老机构综合责任保险项目始于2009年，由上海市民政局牵头实施，设立初衷是为了降低养老机构运营风险的同时，切实维护老年人的合法权益。目前，养老机构综合责任保险的年度标准保费为180元/床/年，市民政局、区民政局按各机构签约时核定床位数内的实际投保床位数，分别资助全年投保的各机构60元/床/年；按照保险合同，根据养老机构实际赔付率的高低，次年保费会有上浮或下调（上浮上限为15%，即207元/床/年，下调下限为20%，即144元/床/年），实际保费优惠或上浮的部分，由投保机构自身受益或承担，民政资助费用标准不变。近三年，全市参保养老机构数稳定在800家左右，全年投保床位数在10万张左右，其中，崇明区参保养老机构维持在43家左右，年度投保床位数在4000张上下。项目实施以来，有效提高了养老机构的防范风险意识和投保积极性，在保险理赔服务方面，应赔尽赔率达到了100%。</w:t>
      </w:r>
    </w:p>
    <w:p>
      <w:pPr>
        <w:ind w:firstLine="560"/>
        <w:rPr>
          <w:sz w:val="32"/>
          <w:szCs w:val="32"/>
        </w:rPr>
      </w:pPr>
      <w:r>
        <w:rPr>
          <w:rFonts w:hint="eastAsia"/>
          <w:sz w:val="32"/>
          <w:szCs w:val="32"/>
        </w:rPr>
        <w:t>本次绩效评价的</w:t>
      </w:r>
      <w:r>
        <w:rPr>
          <w:rFonts w:hint="eastAsia"/>
          <w:sz w:val="32"/>
          <w:szCs w:val="32"/>
          <w:lang w:eastAsia="zh-CN"/>
        </w:rPr>
        <w:t>2022年福利彩票公益金支出项目</w:t>
      </w:r>
      <w:r>
        <w:rPr>
          <w:rFonts w:hint="eastAsia"/>
          <w:sz w:val="32"/>
          <w:szCs w:val="32"/>
        </w:rPr>
        <w:t>属于</w:t>
      </w:r>
      <w:r>
        <w:rPr>
          <w:rFonts w:hint="eastAsia"/>
          <w:sz w:val="32"/>
          <w:szCs w:val="32"/>
          <w:lang w:val="en-US" w:eastAsia="zh-CN"/>
        </w:rPr>
        <w:t>经常</w:t>
      </w:r>
      <w:r>
        <w:rPr>
          <w:rFonts w:hint="eastAsia"/>
          <w:sz w:val="32"/>
          <w:szCs w:val="32"/>
        </w:rPr>
        <w:t>性项目。</w:t>
      </w:r>
    </w:p>
    <w:p>
      <w:pPr>
        <w:ind w:firstLine="562"/>
        <w:outlineLvl w:val="2"/>
        <w:rPr>
          <w:rFonts w:hAnsi="Arial Unicode MS" w:cs="Arial Unicode MS"/>
          <w:b/>
          <w:sz w:val="32"/>
          <w:szCs w:val="32"/>
        </w:rPr>
      </w:pPr>
      <w:bookmarkStart w:id="16" w:name="_Toc22241"/>
      <w:r>
        <w:rPr>
          <w:rFonts w:hint="eastAsia" w:hAnsi="Arial Unicode MS" w:cs="Arial Unicode MS"/>
          <w:b/>
          <w:sz w:val="32"/>
          <w:szCs w:val="32"/>
        </w:rPr>
        <w:t>2.项目目的</w:t>
      </w:r>
      <w:bookmarkEnd w:id="16"/>
    </w:p>
    <w:p>
      <w:pPr>
        <w:ind w:firstLine="560"/>
        <w:rPr>
          <w:rFonts w:hint="default"/>
          <w:sz w:val="32"/>
          <w:szCs w:val="32"/>
          <w:lang w:val="en-US"/>
        </w:rPr>
      </w:pPr>
      <w:r>
        <w:rPr>
          <w:rFonts w:hint="eastAsia"/>
          <w:sz w:val="32"/>
          <w:szCs w:val="32"/>
          <w:lang w:val="en-US" w:eastAsia="zh-CN"/>
        </w:rPr>
        <w:t>始终</w:t>
      </w:r>
      <w:r>
        <w:rPr>
          <w:rFonts w:hint="eastAsia"/>
          <w:sz w:val="32"/>
          <w:szCs w:val="32"/>
          <w:lang w:eastAsia="zh-CN"/>
        </w:rPr>
        <w:t>遵循福利彩票“扶老、助残、救孤、济困”的发行宗旨，</w:t>
      </w:r>
      <w:r>
        <w:rPr>
          <w:rFonts w:hint="eastAsia"/>
          <w:sz w:val="32"/>
          <w:szCs w:val="32"/>
          <w:highlight w:val="none"/>
          <w:lang w:val="en-US" w:eastAsia="zh-CN"/>
        </w:rPr>
        <w:t>充分发挥福利彩票公益金的公益属性</w:t>
      </w:r>
      <w:r>
        <w:rPr>
          <w:rFonts w:hint="eastAsia"/>
          <w:sz w:val="32"/>
          <w:szCs w:val="32"/>
          <w:lang w:val="en-US" w:eastAsia="zh-CN"/>
        </w:rPr>
        <w:t>，持续开展</w:t>
      </w:r>
      <w:r>
        <w:rPr>
          <w:rFonts w:hint="eastAsia"/>
          <w:sz w:val="32"/>
          <w:szCs w:val="32"/>
          <w:lang w:eastAsia="zh-CN"/>
        </w:rPr>
        <w:t>为</w:t>
      </w:r>
      <w:r>
        <w:rPr>
          <w:rFonts w:hint="eastAsia"/>
          <w:sz w:val="32"/>
          <w:szCs w:val="32"/>
          <w:lang w:val="en-US" w:eastAsia="zh-CN"/>
        </w:rPr>
        <w:t>本区</w:t>
      </w:r>
      <w:r>
        <w:rPr>
          <w:rFonts w:hint="eastAsia"/>
          <w:sz w:val="32"/>
          <w:szCs w:val="32"/>
          <w:lang w:eastAsia="zh-CN"/>
        </w:rPr>
        <w:t>老年人提供</w:t>
      </w:r>
      <w:r>
        <w:rPr>
          <w:rFonts w:hint="eastAsia"/>
          <w:sz w:val="32"/>
          <w:szCs w:val="32"/>
          <w:lang w:val="en-US" w:eastAsia="zh-CN"/>
        </w:rPr>
        <w:t>养老和关怀等</w:t>
      </w:r>
      <w:r>
        <w:rPr>
          <w:rFonts w:hint="eastAsia"/>
          <w:sz w:val="32"/>
          <w:szCs w:val="32"/>
          <w:lang w:eastAsia="zh-CN"/>
        </w:rPr>
        <w:t>服务的社会福利项目，</w:t>
      </w:r>
      <w:r>
        <w:rPr>
          <w:rFonts w:hint="eastAsia"/>
          <w:sz w:val="32"/>
          <w:szCs w:val="32"/>
          <w:lang w:val="en-US" w:eastAsia="zh-CN"/>
        </w:rPr>
        <w:t>不断提升老年群体的幸福感、获得感和满意度，助力崇明世界级生态岛建设、提升全区养老服务工作水平。</w:t>
      </w:r>
    </w:p>
    <w:p>
      <w:pPr>
        <w:outlineLvl w:val="2"/>
        <w:rPr>
          <w:sz w:val="32"/>
          <w:szCs w:val="32"/>
        </w:rPr>
      </w:pPr>
      <w:bookmarkStart w:id="17" w:name="_Toc13348"/>
      <w:bookmarkStart w:id="18" w:name="_Toc7728"/>
      <w:r>
        <w:rPr>
          <w:rFonts w:hint="eastAsia" w:hAnsi="Arial Unicode MS" w:cs="Arial Unicode MS"/>
          <w:b/>
          <w:sz w:val="32"/>
          <w:szCs w:val="32"/>
          <w:lang w:val="en-US" w:eastAsia="zh-CN"/>
        </w:rPr>
        <w:t>3.</w:t>
      </w:r>
      <w:r>
        <w:rPr>
          <w:rFonts w:hint="eastAsia" w:hAnsi="Arial Unicode MS" w:cs="Arial Unicode MS"/>
          <w:b/>
          <w:sz w:val="32"/>
          <w:szCs w:val="32"/>
        </w:rPr>
        <w:t>项目立项依据</w:t>
      </w:r>
      <w:bookmarkEnd w:id="17"/>
      <w:bookmarkEnd w:id="18"/>
    </w:p>
    <w:p>
      <w:pPr>
        <w:ind w:firstLine="560"/>
        <w:rPr>
          <w:rFonts w:hint="default" w:hAnsi="Arial Unicode MS" w:eastAsia="仿宋_GB2312" w:cs="Arial Unicode MS"/>
          <w:bCs/>
          <w:sz w:val="32"/>
          <w:szCs w:val="32"/>
          <w:lang w:val="en-US" w:eastAsia="zh-CN"/>
        </w:rPr>
      </w:pPr>
      <w:r>
        <w:rPr>
          <w:rFonts w:hint="eastAsia" w:hAnsi="Arial Unicode MS" w:cs="Arial Unicode MS"/>
          <w:b/>
          <w:bCs w:val="0"/>
          <w:sz w:val="32"/>
          <w:szCs w:val="32"/>
          <w:lang w:eastAsia="zh-CN"/>
        </w:rPr>
        <w:t>（</w:t>
      </w:r>
      <w:r>
        <w:rPr>
          <w:rFonts w:hint="eastAsia" w:hAnsi="Arial Unicode MS" w:cs="Arial Unicode MS"/>
          <w:b/>
          <w:bCs w:val="0"/>
          <w:sz w:val="32"/>
          <w:szCs w:val="32"/>
          <w:lang w:val="en-US" w:eastAsia="zh-CN"/>
        </w:rPr>
        <w:t>1</w:t>
      </w:r>
      <w:r>
        <w:rPr>
          <w:rFonts w:hint="eastAsia" w:hAnsi="Arial Unicode MS" w:cs="Arial Unicode MS"/>
          <w:b/>
          <w:bCs w:val="0"/>
          <w:sz w:val="32"/>
          <w:szCs w:val="32"/>
          <w:lang w:eastAsia="zh-CN"/>
        </w:rPr>
        <w:t>）</w:t>
      </w:r>
      <w:r>
        <w:rPr>
          <w:rFonts w:hint="eastAsia" w:hAnsi="Arial Unicode MS" w:cs="Arial Unicode MS"/>
          <w:b/>
          <w:bCs w:val="0"/>
          <w:sz w:val="32"/>
          <w:szCs w:val="32"/>
          <w:lang w:val="en-US" w:eastAsia="zh-CN"/>
        </w:rPr>
        <w:t>市级政策文件</w:t>
      </w:r>
    </w:p>
    <w:p>
      <w:pPr>
        <w:ind w:firstLine="560"/>
        <w:rPr>
          <w:rFonts w:hint="eastAsia"/>
          <w:sz w:val="32"/>
          <w:szCs w:val="32"/>
          <w:lang w:val="en-US" w:eastAsia="zh-CN"/>
        </w:rPr>
      </w:pPr>
      <w:r>
        <w:rPr>
          <w:rFonts w:hint="eastAsia"/>
          <w:sz w:val="32"/>
          <w:szCs w:val="32"/>
          <w:lang w:val="en-US" w:eastAsia="zh-CN"/>
        </w:rPr>
        <w:t>①《关于印发〈上海市福利彩票公益金使用管理办法〉的通知》（沪民计发〔2020〕53号）</w:t>
      </w:r>
    </w:p>
    <w:p>
      <w:pPr>
        <w:ind w:firstLine="560"/>
        <w:rPr>
          <w:rFonts w:hint="eastAsia"/>
          <w:sz w:val="32"/>
          <w:szCs w:val="32"/>
          <w:lang w:eastAsia="zh-CN"/>
        </w:rPr>
      </w:pPr>
      <w:r>
        <w:rPr>
          <w:rFonts w:hint="eastAsia"/>
          <w:sz w:val="32"/>
          <w:szCs w:val="32"/>
          <w:lang w:eastAsia="zh-CN"/>
        </w:rPr>
        <w:t>“福彩公益金使用应当遵循福利彩票‘扶老、助残、救孤、济困’的发行宗旨，主要用于资助为老年人、残疾人、儿童和其他基本生活特别困难人员等特殊群体提供服务的社会福利项目，以及符合宗旨的其他社会公益项目。具体包括：</w:t>
      </w:r>
    </w:p>
    <w:p>
      <w:pPr>
        <w:ind w:firstLine="560"/>
        <w:rPr>
          <w:rFonts w:hint="eastAsia"/>
          <w:sz w:val="32"/>
          <w:szCs w:val="32"/>
          <w:lang w:eastAsia="zh-CN"/>
        </w:rPr>
      </w:pPr>
      <w:r>
        <w:rPr>
          <w:rFonts w:hint="eastAsia"/>
          <w:sz w:val="32"/>
          <w:szCs w:val="32"/>
          <w:lang w:eastAsia="zh-CN"/>
        </w:rPr>
        <w:t>（一）社会福利基本设施建设项目；</w:t>
      </w:r>
    </w:p>
    <w:p>
      <w:pPr>
        <w:ind w:firstLine="560"/>
        <w:rPr>
          <w:rFonts w:hint="eastAsia"/>
          <w:sz w:val="32"/>
          <w:szCs w:val="32"/>
          <w:lang w:eastAsia="zh-CN"/>
        </w:rPr>
      </w:pPr>
      <w:r>
        <w:rPr>
          <w:rFonts w:hint="eastAsia"/>
          <w:sz w:val="32"/>
          <w:szCs w:val="32"/>
          <w:lang w:eastAsia="zh-CN"/>
        </w:rPr>
        <w:t>（二）社会福利服务项目；</w:t>
      </w:r>
    </w:p>
    <w:p>
      <w:pPr>
        <w:ind w:firstLine="560"/>
        <w:rPr>
          <w:rFonts w:hint="eastAsia"/>
          <w:sz w:val="32"/>
          <w:szCs w:val="32"/>
          <w:lang w:eastAsia="zh-CN"/>
        </w:rPr>
      </w:pPr>
      <w:r>
        <w:rPr>
          <w:rFonts w:hint="eastAsia"/>
          <w:sz w:val="32"/>
          <w:szCs w:val="32"/>
          <w:lang w:eastAsia="zh-CN"/>
        </w:rPr>
        <w:t>（三）符合宗旨的培训等能力建设项目；</w:t>
      </w:r>
    </w:p>
    <w:p>
      <w:pPr>
        <w:ind w:firstLine="560"/>
        <w:rPr>
          <w:rFonts w:hint="eastAsia"/>
          <w:sz w:val="32"/>
          <w:szCs w:val="32"/>
          <w:lang w:eastAsia="zh-CN"/>
        </w:rPr>
      </w:pPr>
      <w:r>
        <w:rPr>
          <w:rFonts w:hint="eastAsia"/>
          <w:sz w:val="32"/>
          <w:szCs w:val="32"/>
          <w:lang w:eastAsia="zh-CN"/>
        </w:rPr>
        <w:t>（四）符合宗旨的其他社会公益项目。</w:t>
      </w:r>
    </w:p>
    <w:p>
      <w:pPr>
        <w:ind w:firstLine="560"/>
        <w:rPr>
          <w:rFonts w:hint="eastAsia"/>
          <w:sz w:val="32"/>
          <w:szCs w:val="32"/>
          <w:lang w:val="en-US" w:eastAsia="zh-CN"/>
        </w:rPr>
      </w:pPr>
      <w:r>
        <w:rPr>
          <w:rFonts w:hint="eastAsia"/>
          <w:sz w:val="32"/>
          <w:szCs w:val="32"/>
          <w:lang w:eastAsia="zh-CN"/>
        </w:rPr>
        <w:t>第九条  福彩公益金用于老年人福利类项目预算总额不得低于当年度福彩公益金预算总额的60%，用于社会公益类项目预算总额不得超过当年度福彩公益金预算总额的10%。”</w:t>
      </w:r>
    </w:p>
    <w:p>
      <w:pPr>
        <w:ind w:firstLine="560"/>
        <w:rPr>
          <w:rFonts w:hint="eastAsia"/>
          <w:sz w:val="32"/>
          <w:szCs w:val="32"/>
        </w:rPr>
      </w:pPr>
      <w:r>
        <w:rPr>
          <w:rFonts w:hint="eastAsia"/>
          <w:sz w:val="32"/>
          <w:szCs w:val="32"/>
          <w:lang w:val="en-US" w:eastAsia="zh-CN"/>
        </w:rPr>
        <w:t>②《市政府办公厅印发〈关于推进本市“十三五”期间养老服务设施建设的实施意见〉的通知》（沪府办〔2016〕70号）</w:t>
      </w:r>
    </w:p>
    <w:p>
      <w:pPr>
        <w:ind w:firstLine="560"/>
        <w:rPr>
          <w:rFonts w:hint="eastAsia"/>
          <w:sz w:val="32"/>
          <w:szCs w:val="32"/>
          <w:lang w:eastAsia="zh-CN"/>
        </w:rPr>
      </w:pPr>
      <w:r>
        <w:rPr>
          <w:rFonts w:hint="eastAsia"/>
          <w:sz w:val="32"/>
          <w:szCs w:val="32"/>
          <w:lang w:eastAsia="zh-CN"/>
        </w:rPr>
        <w:t>“全市街镇层面建成社区综合为老服务中心200家。”</w:t>
      </w:r>
    </w:p>
    <w:p>
      <w:pPr>
        <w:ind w:firstLine="560"/>
        <w:rPr>
          <w:rFonts w:hint="default"/>
          <w:sz w:val="32"/>
          <w:szCs w:val="32"/>
          <w:lang w:val="en-US" w:eastAsia="zh-CN"/>
        </w:rPr>
      </w:pPr>
      <w:r>
        <w:rPr>
          <w:rFonts w:hint="eastAsia"/>
          <w:sz w:val="32"/>
          <w:szCs w:val="32"/>
          <w:lang w:val="en-US" w:eastAsia="zh-CN"/>
        </w:rPr>
        <w:t>③《上海市人民政府办公厅关于推进本市“十四五”期间养老服务设施建设的实施意见》（沪府办规〔2021〕13号）</w:t>
      </w:r>
    </w:p>
    <w:p>
      <w:pPr>
        <w:ind w:firstLine="560"/>
        <w:rPr>
          <w:rFonts w:hint="eastAsia"/>
          <w:sz w:val="32"/>
          <w:szCs w:val="32"/>
          <w:lang w:eastAsia="zh-CN"/>
        </w:rPr>
      </w:pPr>
      <w:r>
        <w:rPr>
          <w:rFonts w:hint="eastAsia"/>
          <w:sz w:val="32"/>
          <w:szCs w:val="32"/>
          <w:lang w:eastAsia="zh-CN"/>
        </w:rPr>
        <w:t>“1.社区综合为老服务中心。重点引导各街镇建设含托养功能的社区综合为老服务中心，将日间照护中心作为社区综合为老服务中心的标配，形成综合补贴机制。对建筑面积在800平方米（含）以上的，市级福利彩票公益金一次性补贴100万元；建筑面积在800平方米以下500平方米以上的，市级福利彩票公益金一次性补贴50万元。各区按照不低于1∶1配比。以上面积标准不含设置在社区综合为老服务中心内的长者照护之家面积。</w:t>
      </w:r>
    </w:p>
    <w:p>
      <w:pPr>
        <w:ind w:firstLine="560"/>
        <w:rPr>
          <w:rFonts w:hint="eastAsia"/>
          <w:sz w:val="32"/>
          <w:szCs w:val="32"/>
          <w:lang w:eastAsia="zh-CN"/>
        </w:rPr>
      </w:pPr>
      <w:r>
        <w:rPr>
          <w:rFonts w:hint="eastAsia"/>
          <w:sz w:val="32"/>
          <w:szCs w:val="32"/>
          <w:lang w:eastAsia="zh-CN"/>
        </w:rPr>
        <w:t>5.示范睦邻点和家门口养老服务站（点）。重点在农村地区建设示范睦邻点，鼓励在中心城区建设具有“微日托”、“微助餐”等照料功能的家门口养老服务站（点）。由市级福利彩票公益金对每个点给予一次性补贴1万元。各区按照不低于1∶1配比。”</w:t>
      </w:r>
    </w:p>
    <w:p>
      <w:pPr>
        <w:ind w:firstLine="560"/>
        <w:rPr>
          <w:rFonts w:hint="default"/>
          <w:sz w:val="32"/>
          <w:szCs w:val="32"/>
          <w:lang w:val="en-US" w:eastAsia="zh-CN"/>
        </w:rPr>
      </w:pPr>
      <w:r>
        <w:rPr>
          <w:rFonts w:hint="eastAsia"/>
          <w:sz w:val="32"/>
          <w:szCs w:val="32"/>
          <w:lang w:val="en-US" w:eastAsia="zh-CN"/>
        </w:rPr>
        <w:t>④《关于做好2022年度全市养老机构综合责任保险签约工作的通知》（上海市民政局2022年7月）</w:t>
      </w:r>
    </w:p>
    <w:p>
      <w:pPr>
        <w:ind w:firstLine="560"/>
        <w:rPr>
          <w:rFonts w:hint="eastAsia"/>
          <w:sz w:val="32"/>
          <w:szCs w:val="32"/>
          <w:lang w:eastAsia="zh-CN"/>
        </w:rPr>
      </w:pPr>
      <w:r>
        <w:rPr>
          <w:rFonts w:hint="eastAsia"/>
          <w:sz w:val="32"/>
          <w:szCs w:val="32"/>
          <w:lang w:eastAsia="zh-CN"/>
        </w:rPr>
        <w:t>“市民政局根据《中华人民共和国政府采购法》之规定，委托上海市政府采购中心，对养老机构综合责任保险项目进行国内公开招标采购，经专家评标结果：第1包中国太平洋财产保险股份有限公司上海分公司中标；第2包太平洋安信农业财产保险股份有限公司上海分公司中标；第3包中国平安财产保险股份有限公司上海分公司中标（详见附件1）。请各区民政局及各养老机构及时与中标方完成本年度签约工作。本年度签约周期为2022年5月1日至2023年4月30日。”</w:t>
      </w:r>
    </w:p>
    <w:p>
      <w:pPr>
        <w:ind w:firstLine="560"/>
        <w:rPr>
          <w:rFonts w:hint="default"/>
          <w:sz w:val="32"/>
          <w:szCs w:val="32"/>
          <w:lang w:val="en-US" w:eastAsia="zh-CN"/>
        </w:rPr>
      </w:pPr>
      <w:r>
        <w:rPr>
          <w:rFonts w:hint="eastAsia"/>
          <w:sz w:val="32"/>
          <w:szCs w:val="32"/>
          <w:lang w:val="en-US" w:eastAsia="zh-CN"/>
        </w:rPr>
        <w:t>⑤《关于印发〈关于落实2011年市政府实事项目——完成“为5000名社区重度失智困难老人配送护理用品项目”工作的实施意见〉的通知》（沪红发</w:t>
      </w:r>
      <w:r>
        <w:rPr>
          <w:rFonts w:hint="eastAsia"/>
          <w:sz w:val="32"/>
          <w:szCs w:val="32"/>
          <w:lang w:eastAsia="zh-CN"/>
        </w:rPr>
        <w:t>〔201</w:t>
      </w:r>
      <w:r>
        <w:rPr>
          <w:rFonts w:hint="eastAsia"/>
          <w:sz w:val="32"/>
          <w:szCs w:val="32"/>
          <w:lang w:val="en-US" w:eastAsia="zh-CN"/>
        </w:rPr>
        <w:t>1</w:t>
      </w:r>
      <w:r>
        <w:rPr>
          <w:rFonts w:hint="eastAsia"/>
          <w:sz w:val="32"/>
          <w:szCs w:val="32"/>
          <w:lang w:eastAsia="zh-CN"/>
        </w:rPr>
        <w:t>〕</w:t>
      </w:r>
      <w:r>
        <w:rPr>
          <w:rFonts w:hint="eastAsia"/>
          <w:sz w:val="32"/>
          <w:szCs w:val="32"/>
          <w:lang w:val="en-US" w:eastAsia="zh-CN"/>
        </w:rPr>
        <w:t>32号）</w:t>
      </w:r>
    </w:p>
    <w:p>
      <w:pPr>
        <w:ind w:firstLine="560"/>
        <w:rPr>
          <w:rFonts w:hint="eastAsia"/>
          <w:sz w:val="32"/>
          <w:szCs w:val="32"/>
          <w:lang w:val="en-US" w:eastAsia="zh-CN"/>
        </w:rPr>
      </w:pPr>
      <w:r>
        <w:rPr>
          <w:rFonts w:hint="eastAsia"/>
          <w:sz w:val="32"/>
          <w:szCs w:val="32"/>
          <w:lang w:val="en-US" w:eastAsia="zh-CN"/>
        </w:rPr>
        <w:t>“项目经费保障:护理用品购置以及配送至各街(镇)的运输费用，由市红会为主负责落实。老年介护师资培训费由市红会负责。护理用品由街镇送至居(村)委会红十字组织(红十字服务站)的费用由区(县)统筹解决。”</w:t>
      </w:r>
    </w:p>
    <w:p>
      <w:pPr>
        <w:ind w:firstLine="560"/>
        <w:rPr>
          <w:rFonts w:hint="default"/>
          <w:sz w:val="32"/>
          <w:szCs w:val="32"/>
          <w:lang w:val="en-US" w:eastAsia="zh-CN"/>
        </w:rPr>
      </w:pPr>
      <w:r>
        <w:rPr>
          <w:rFonts w:hint="eastAsia"/>
          <w:b/>
          <w:bCs/>
          <w:sz w:val="32"/>
          <w:szCs w:val="32"/>
          <w:lang w:val="en-US" w:eastAsia="zh-CN"/>
        </w:rPr>
        <w:t>（2）区</w:t>
      </w:r>
      <w:r>
        <w:rPr>
          <w:rFonts w:hint="eastAsia" w:hAnsi="Arial Unicode MS" w:cs="Arial Unicode MS"/>
          <w:b/>
          <w:bCs w:val="0"/>
          <w:sz w:val="32"/>
          <w:szCs w:val="32"/>
          <w:lang w:val="en-US" w:eastAsia="zh-CN"/>
        </w:rPr>
        <w:t>级政策文件</w:t>
      </w:r>
    </w:p>
    <w:p>
      <w:pPr>
        <w:ind w:firstLine="560"/>
        <w:rPr>
          <w:rFonts w:hint="eastAsia"/>
          <w:sz w:val="32"/>
          <w:szCs w:val="32"/>
          <w:lang w:val="en-US" w:eastAsia="zh-CN"/>
        </w:rPr>
      </w:pPr>
      <w:r>
        <w:rPr>
          <w:rFonts w:hint="eastAsia"/>
          <w:sz w:val="32"/>
          <w:szCs w:val="32"/>
          <w:lang w:val="en-US" w:eastAsia="zh-CN"/>
        </w:rPr>
        <w:t>《上海市崇明区民政局上海市崇明区财政局关于印发〈上海市崇明区区级福利彩票公益金使用管理办法〉的通知》（沪崇民</w:t>
      </w:r>
      <w:r>
        <w:rPr>
          <w:rFonts w:hint="eastAsia"/>
          <w:sz w:val="32"/>
          <w:szCs w:val="32"/>
          <w:lang w:eastAsia="zh-CN"/>
        </w:rPr>
        <w:t>〔20</w:t>
      </w:r>
      <w:r>
        <w:rPr>
          <w:rFonts w:hint="eastAsia"/>
          <w:sz w:val="32"/>
          <w:szCs w:val="32"/>
          <w:lang w:val="en-US" w:eastAsia="zh-CN"/>
        </w:rPr>
        <w:t>21</w:t>
      </w:r>
      <w:r>
        <w:rPr>
          <w:rFonts w:hint="eastAsia"/>
          <w:sz w:val="32"/>
          <w:szCs w:val="32"/>
          <w:lang w:eastAsia="zh-CN"/>
        </w:rPr>
        <w:t>〕</w:t>
      </w:r>
      <w:r>
        <w:rPr>
          <w:rFonts w:hint="eastAsia"/>
          <w:sz w:val="32"/>
          <w:szCs w:val="32"/>
          <w:lang w:val="en-US" w:eastAsia="zh-CN"/>
        </w:rPr>
        <w:t>17号）</w:t>
      </w:r>
    </w:p>
    <w:p>
      <w:pPr>
        <w:ind w:firstLine="560"/>
        <w:rPr>
          <w:rFonts w:hint="eastAsia" w:eastAsia="仿宋_GB2312"/>
          <w:sz w:val="32"/>
          <w:szCs w:val="32"/>
          <w:lang w:eastAsia="zh-CN"/>
        </w:rPr>
      </w:pPr>
      <w:r>
        <w:rPr>
          <w:rFonts w:hint="eastAsia"/>
          <w:sz w:val="32"/>
          <w:szCs w:val="32"/>
          <w:lang w:val="en-US" w:eastAsia="zh-CN"/>
        </w:rPr>
        <w:t>“第三条 区级福彩公益金专项用于社会福利和相关公益事业发展支出，包括预算安排在区民政局的区级福彩公益金和通过转移支付下达给乡镇的区级福彩公益金。”</w:t>
      </w:r>
    </w:p>
    <w:p>
      <w:pPr>
        <w:pStyle w:val="3"/>
        <w:rPr>
          <w:rFonts w:hint="eastAsia" w:ascii="方正楷体_GB2312" w:hAnsi="方正楷体_GB2312" w:eastAsia="方正楷体_GB2312" w:cs="方正楷体_GB2312"/>
          <w:sz w:val="32"/>
          <w:szCs w:val="32"/>
        </w:rPr>
        <w:sectPr>
          <w:footerReference r:id="rId14" w:type="default"/>
          <w:pgSz w:w="11906" w:h="16838"/>
          <w:pgMar w:top="1440" w:right="1797" w:bottom="1440" w:left="1797" w:header="851" w:footer="567" w:gutter="0"/>
          <w:pgNumType w:start="1"/>
          <w:cols w:space="720" w:num="1"/>
          <w:docGrid w:linePitch="381" w:charSpace="0"/>
        </w:sectPr>
      </w:pPr>
      <w:bookmarkStart w:id="19" w:name="_Toc4849"/>
      <w:bookmarkStart w:id="20" w:name="_Toc320534547"/>
      <w:bookmarkStart w:id="21" w:name="_Toc313951560"/>
      <w:bookmarkStart w:id="22" w:name="_Toc314496157"/>
    </w:p>
    <w:p>
      <w:pPr>
        <w:pStyle w:val="3"/>
        <w:rPr>
          <w:rFonts w:hint="default" w:eastAsia="方正楷体_GB2312"/>
          <w:sz w:val="32"/>
          <w:szCs w:val="32"/>
          <w:lang w:val="en-US" w:eastAsia="zh-CN"/>
        </w:rPr>
      </w:pPr>
      <w:bookmarkStart w:id="23" w:name="_Toc22496"/>
      <w:r>
        <w:rPr>
          <w:rFonts w:hint="eastAsia" w:ascii="方正楷体_GB2312" w:hAnsi="方正楷体_GB2312" w:eastAsia="方正楷体_GB2312" w:cs="方正楷体_GB2312"/>
          <w:sz w:val="32"/>
          <w:szCs w:val="32"/>
        </w:rPr>
        <w:t>（</w:t>
      </w:r>
      <w:r>
        <w:rPr>
          <w:rFonts w:hint="eastAsia" w:ascii="方正楷体_GB2312" w:hAnsi="方正楷体_GB2312" w:eastAsia="方正楷体_GB2312" w:cs="方正楷体_GB2312"/>
          <w:sz w:val="32"/>
          <w:szCs w:val="32"/>
          <w:lang w:val="en-US" w:eastAsia="zh-CN"/>
        </w:rPr>
        <w:t>二</w:t>
      </w:r>
      <w:r>
        <w:rPr>
          <w:rFonts w:hint="eastAsia" w:ascii="方正楷体_GB2312" w:hAnsi="方正楷体_GB2312" w:eastAsia="方正楷体_GB2312" w:cs="方正楷体_GB2312"/>
          <w:sz w:val="32"/>
          <w:szCs w:val="32"/>
        </w:rPr>
        <w:t>）项目实施计划</w:t>
      </w:r>
      <w:bookmarkEnd w:id="19"/>
      <w:r>
        <w:rPr>
          <w:rFonts w:hint="eastAsia" w:ascii="方正楷体_GB2312" w:hAnsi="方正楷体_GB2312" w:eastAsia="方正楷体_GB2312" w:cs="方正楷体_GB2312"/>
          <w:sz w:val="32"/>
          <w:szCs w:val="32"/>
          <w:lang w:val="en-US" w:eastAsia="zh-CN"/>
        </w:rPr>
        <w:t>及完成情况</w:t>
      </w:r>
      <w:bookmarkEnd w:id="23"/>
    </w:p>
    <w:p>
      <w:pPr>
        <w:ind w:firstLine="646" w:firstLineChars="202"/>
        <w:contextualSpacing w:val="0"/>
        <w:rPr>
          <w:rFonts w:hint="default" w:eastAsia="仿宋_GB2312"/>
          <w:sz w:val="32"/>
          <w:szCs w:val="32"/>
          <w:lang w:val="en-US" w:eastAsia="zh-CN"/>
        </w:rPr>
      </w:pPr>
      <w:bookmarkStart w:id="24" w:name="_Toc1663"/>
      <w:r>
        <w:rPr>
          <w:rFonts w:hint="eastAsia"/>
          <w:sz w:val="32"/>
          <w:szCs w:val="32"/>
          <w:lang w:val="en-US" w:eastAsia="zh-CN"/>
        </w:rPr>
        <w:t>项目包含4个子项目，分别是</w:t>
      </w:r>
      <w:r>
        <w:rPr>
          <w:rFonts w:hint="eastAsia"/>
          <w:sz w:val="32"/>
          <w:szCs w:val="32"/>
          <w:highlight w:val="none"/>
          <w:lang w:val="en-US" w:eastAsia="zh-CN"/>
        </w:rPr>
        <w:t>失智老人护理用品款、示范睦邻点一次性补贴、社区综合为老服务中心建设补贴和养老机构综合责任保险费用区级配套经费，</w:t>
      </w:r>
      <w:r>
        <w:rPr>
          <w:rFonts w:hint="eastAsia"/>
          <w:sz w:val="32"/>
          <w:szCs w:val="32"/>
        </w:rPr>
        <w:t>截至</w:t>
      </w:r>
      <w:r>
        <w:rPr>
          <w:rFonts w:hint="eastAsia"/>
          <w:sz w:val="32"/>
          <w:szCs w:val="32"/>
          <w:lang w:val="en-US" w:eastAsia="zh-CN"/>
        </w:rPr>
        <w:t>2022年底</w:t>
      </w:r>
      <w:r>
        <w:rPr>
          <w:rFonts w:hint="eastAsia"/>
          <w:sz w:val="32"/>
          <w:szCs w:val="32"/>
        </w:rPr>
        <w:t>，</w:t>
      </w:r>
      <w:r>
        <w:rPr>
          <w:rFonts w:hint="eastAsia"/>
          <w:sz w:val="32"/>
          <w:szCs w:val="32"/>
          <w:lang w:val="en-US" w:eastAsia="zh-CN"/>
        </w:rPr>
        <w:t>完成情况如下：</w:t>
      </w:r>
    </w:p>
    <w:p>
      <w:pPr>
        <w:ind w:firstLine="646" w:firstLineChars="202"/>
        <w:contextualSpacing w:val="0"/>
        <w:rPr>
          <w:rFonts w:hint="eastAsia"/>
          <w:sz w:val="32"/>
          <w:szCs w:val="32"/>
          <w:lang w:val="en-US" w:eastAsia="zh-CN"/>
        </w:rPr>
      </w:pPr>
      <w:r>
        <w:rPr>
          <w:rFonts w:hint="eastAsia"/>
          <w:sz w:val="32"/>
          <w:szCs w:val="32"/>
          <w:highlight w:val="none"/>
          <w:lang w:val="en-US" w:eastAsia="zh-CN"/>
        </w:rPr>
        <w:t>1.失智老人护理用品款项目计划实施内容：</w:t>
      </w:r>
      <w:r>
        <w:rPr>
          <w:rFonts w:hint="eastAsia"/>
          <w:sz w:val="32"/>
          <w:szCs w:val="32"/>
          <w:lang w:val="en-US" w:eastAsia="zh-CN"/>
        </w:rPr>
        <w:t>（1）日常配送：根据每月符合条件的失智老人名单，由区红十字会向护理用品生产企业统一订购尿布（95元/箱），并由企业配送至各乡镇，再由乡镇红十字会安排志愿者把护理用品送至服务对象；（2）申报审批：项目有线上平台系统，乡镇红十字会每月根据辖区新增申请和退出申请的救助对象审批情况，上报系统当月补贴人数增减情况；分为日常审批:区红十字会每年双月10日前审批乡镇红十字会上报的新增人员的申报材料；年度集中申报:每年的6月5日前进行年度集中审核申报，由镇(乡)红十字会向区红十字会上报本辖区所有符合项目条件(含新增人员)的失智失能老人申报材料。</w:t>
      </w:r>
    </w:p>
    <w:p>
      <w:pPr>
        <w:ind w:firstLine="646" w:firstLineChars="202"/>
        <w:contextualSpacing w:val="0"/>
        <w:rPr>
          <w:rFonts w:hint="default"/>
          <w:sz w:val="32"/>
          <w:szCs w:val="32"/>
          <w:lang w:val="en-US" w:eastAsia="zh-CN"/>
        </w:rPr>
      </w:pPr>
      <w:r>
        <w:rPr>
          <w:rFonts w:hint="eastAsia"/>
          <w:sz w:val="32"/>
          <w:szCs w:val="32"/>
          <w:lang w:val="en-US" w:eastAsia="zh-CN"/>
        </w:rPr>
        <w:t>2.</w:t>
      </w:r>
      <w:r>
        <w:rPr>
          <w:rFonts w:hint="eastAsia"/>
          <w:sz w:val="32"/>
          <w:szCs w:val="32"/>
          <w:highlight w:val="none"/>
          <w:lang w:val="en-US" w:eastAsia="zh-CN"/>
        </w:rPr>
        <w:t>示范睦邻点一次性补贴项目计划实施内容：</w:t>
      </w:r>
      <w:r>
        <w:rPr>
          <w:rFonts w:hint="eastAsia"/>
          <w:sz w:val="32"/>
          <w:szCs w:val="32"/>
          <w:lang w:val="en-US" w:eastAsia="zh-CN"/>
        </w:rPr>
        <w:t>对2021年验收通过的80个示范睦邻点按照市、区各1万元的标准给予以一次性补贴，其中区级福彩公益金补贴80万元.</w:t>
      </w:r>
    </w:p>
    <w:p>
      <w:pPr>
        <w:ind w:firstLine="646" w:firstLineChars="202"/>
        <w:contextualSpacing w:val="0"/>
        <w:rPr>
          <w:rFonts w:hint="eastAsia"/>
          <w:sz w:val="32"/>
          <w:szCs w:val="32"/>
          <w:lang w:val="en-US" w:eastAsia="zh-CN"/>
        </w:rPr>
      </w:pPr>
      <w:r>
        <w:rPr>
          <w:rFonts w:hint="eastAsia"/>
          <w:sz w:val="32"/>
          <w:szCs w:val="32"/>
          <w:lang w:val="en-US" w:eastAsia="zh-CN"/>
        </w:rPr>
        <w:t>3.</w:t>
      </w:r>
      <w:r>
        <w:rPr>
          <w:rFonts w:hint="eastAsia"/>
          <w:sz w:val="32"/>
          <w:szCs w:val="32"/>
          <w:highlight w:val="none"/>
          <w:lang w:val="en-US" w:eastAsia="zh-CN"/>
        </w:rPr>
        <w:t>社区综合为老服务中心建设补贴项目计划实施内容：</w:t>
      </w:r>
      <w:r>
        <w:rPr>
          <w:rFonts w:hint="eastAsia"/>
          <w:sz w:val="32"/>
          <w:szCs w:val="32"/>
          <w:lang w:val="en-US" w:eastAsia="zh-CN"/>
        </w:rPr>
        <w:t>补贴3家新建社区综合为老服务中心，包括：建设镇综合为老服务中心旭升分中心、坚新镇综合为老服务中心油桥分中心和新河镇综合为老服务中心井亭分中心。</w:t>
      </w:r>
    </w:p>
    <w:p>
      <w:pPr>
        <w:ind w:firstLine="646" w:firstLineChars="202"/>
        <w:contextualSpacing w:val="0"/>
        <w:rPr>
          <w:rFonts w:hint="default"/>
          <w:sz w:val="32"/>
          <w:szCs w:val="32"/>
          <w:lang w:val="en-US" w:eastAsia="zh-CN"/>
        </w:rPr>
      </w:pPr>
      <w:r>
        <w:rPr>
          <w:rFonts w:hint="eastAsia"/>
          <w:sz w:val="32"/>
          <w:szCs w:val="32"/>
          <w:lang w:val="en-US" w:eastAsia="zh-CN"/>
        </w:rPr>
        <w:t>4.</w:t>
      </w:r>
      <w:r>
        <w:rPr>
          <w:rFonts w:hint="eastAsia"/>
          <w:sz w:val="32"/>
          <w:szCs w:val="32"/>
          <w:highlight w:val="none"/>
          <w:lang w:val="en-US" w:eastAsia="zh-CN"/>
        </w:rPr>
        <w:t>养老机构综合责任保险费用区级配套经费项目计划实施内容：督促各养老机构在2022年5月底前完成与中标保险公司的签约工作，每个投保床位的基本保费为180元/床位/年，根据各养老机构实际投保的床位数，市民政局和区民政局各拨付60元/床位/年的补贴至相关保险公司，剩余部分保费由各养老机构自行承担。</w:t>
      </w:r>
    </w:p>
    <w:p>
      <w:pPr>
        <w:ind w:firstLine="646" w:firstLineChars="202"/>
        <w:contextualSpacing w:val="0"/>
        <w:rPr>
          <w:rFonts w:hint="eastAsia" w:hAnsi="Microsoft JhengHei"/>
          <w:b/>
          <w:bCs/>
          <w:sz w:val="24"/>
          <w:szCs w:val="24"/>
        </w:rPr>
      </w:pPr>
      <w:r>
        <w:rPr>
          <w:rFonts w:hint="eastAsia"/>
          <w:sz w:val="32"/>
          <w:szCs w:val="32"/>
          <w:lang w:val="en-US" w:eastAsia="zh-CN"/>
        </w:rPr>
        <w:t>补贴项目发放明细、全区综合为老服务中心建设及运营情况详见附件4。</w:t>
      </w:r>
      <w:r>
        <w:rPr>
          <w:rFonts w:hint="eastAsia"/>
          <w:sz w:val="32"/>
          <w:szCs w:val="32"/>
          <w:highlight w:val="none"/>
          <w:lang w:val="en-US" w:eastAsia="zh-CN"/>
        </w:rPr>
        <w:t>计划及完成数据对比情况如下表1-1：</w:t>
      </w:r>
    </w:p>
    <w:p>
      <w:pPr>
        <w:ind w:firstLine="0" w:firstLineChars="0"/>
        <w:jc w:val="center"/>
        <w:rPr>
          <w:rFonts w:hint="eastAsia" w:hAnsi="Microsoft JhengHei" w:eastAsia="仿宋_GB2312"/>
          <w:lang w:eastAsia="zh-CN"/>
        </w:rPr>
      </w:pPr>
      <w:r>
        <w:rPr>
          <w:rFonts w:hint="eastAsia" w:hAnsi="Microsoft JhengHei"/>
          <w:b/>
          <w:bCs/>
          <w:sz w:val="24"/>
          <w:szCs w:val="24"/>
        </w:rPr>
        <w:t>表</w:t>
      </w:r>
      <w:r>
        <w:rPr>
          <w:rFonts w:hint="eastAsia" w:hAnsi="Microsoft JhengHei"/>
          <w:b/>
          <w:bCs/>
          <w:sz w:val="24"/>
          <w:szCs w:val="24"/>
          <w:lang w:val="en-US" w:eastAsia="zh-CN"/>
        </w:rPr>
        <w:t>1-1</w:t>
      </w:r>
      <w:r>
        <w:rPr>
          <w:rFonts w:hint="eastAsia" w:hAnsi="Microsoft JhengHei"/>
          <w:b/>
          <w:bCs/>
          <w:sz w:val="24"/>
          <w:szCs w:val="24"/>
        </w:rPr>
        <w:t xml:space="preserve"> </w:t>
      </w:r>
      <w:r>
        <w:rPr>
          <w:rFonts w:hint="eastAsia" w:hAnsi="Microsoft JhengHei"/>
          <w:b/>
          <w:bCs/>
          <w:sz w:val="24"/>
          <w:szCs w:val="24"/>
          <w:lang w:val="en-US" w:eastAsia="zh-CN"/>
        </w:rPr>
        <w:t>项目计划及完成情况</w:t>
      </w:r>
      <w:r>
        <w:rPr>
          <w:rFonts w:hint="eastAsia" w:hAnsi="Microsoft JhengHei"/>
          <w:b/>
          <w:bCs/>
          <w:sz w:val="24"/>
          <w:szCs w:val="24"/>
        </w:rPr>
        <w:t>表</w:t>
      </w:r>
    </w:p>
    <w:tbl>
      <w:tblPr>
        <w:tblStyle w:val="37"/>
        <w:tblW w:w="14025" w:type="dxa"/>
        <w:tblInd w:w="108" w:type="dxa"/>
        <w:tblLayout w:type="fixed"/>
        <w:tblCellMar>
          <w:top w:w="0" w:type="dxa"/>
          <w:left w:w="108" w:type="dxa"/>
          <w:bottom w:w="0" w:type="dxa"/>
          <w:right w:w="108" w:type="dxa"/>
        </w:tblCellMar>
      </w:tblPr>
      <w:tblGrid>
        <w:gridCol w:w="682"/>
        <w:gridCol w:w="1740"/>
        <w:gridCol w:w="3475"/>
        <w:gridCol w:w="6724"/>
        <w:gridCol w:w="1404"/>
      </w:tblGrid>
      <w:tr>
        <w:tblPrEx>
          <w:tblLayout w:type="fixed"/>
          <w:tblCellMar>
            <w:top w:w="0" w:type="dxa"/>
            <w:left w:w="108" w:type="dxa"/>
            <w:bottom w:w="0" w:type="dxa"/>
            <w:right w:w="108" w:type="dxa"/>
          </w:tblCellMar>
        </w:tblPrEx>
        <w:trPr>
          <w:trHeight w:val="327" w:hRule="atLeast"/>
          <w:tblHeader/>
        </w:trPr>
        <w:tc>
          <w:tcPr>
            <w:tcW w:w="682"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Ansi="宋体" w:cs="宋体"/>
                <w:b/>
                <w:bCs/>
                <w:color w:val="000000"/>
                <w:kern w:val="0"/>
                <w:sz w:val="21"/>
                <w:szCs w:val="21"/>
              </w:rPr>
            </w:pPr>
            <w:r>
              <w:rPr>
                <w:rFonts w:hint="eastAsia" w:hAnsi="宋体" w:cs="宋体"/>
                <w:b/>
                <w:bCs/>
                <w:color w:val="000000"/>
                <w:kern w:val="0"/>
                <w:sz w:val="21"/>
                <w:szCs w:val="21"/>
              </w:rPr>
              <w:t>序号</w:t>
            </w:r>
          </w:p>
        </w:tc>
        <w:tc>
          <w:tcPr>
            <w:tcW w:w="1740"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b/>
                <w:bCs/>
                <w:color w:val="000000"/>
                <w:kern w:val="0"/>
                <w:sz w:val="21"/>
                <w:szCs w:val="21"/>
                <w:lang w:val="en-US" w:eastAsia="zh-CN"/>
              </w:rPr>
            </w:pPr>
            <w:r>
              <w:rPr>
                <w:rFonts w:hint="eastAsia" w:hAnsi="宋体" w:cs="宋体"/>
                <w:b/>
                <w:bCs/>
                <w:color w:val="000000"/>
                <w:kern w:val="0"/>
                <w:sz w:val="21"/>
                <w:szCs w:val="21"/>
                <w:lang w:val="en-US" w:eastAsia="zh-CN"/>
              </w:rPr>
              <w:t>子项目</w:t>
            </w:r>
          </w:p>
        </w:tc>
        <w:tc>
          <w:tcPr>
            <w:tcW w:w="3475"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b/>
                <w:bCs/>
                <w:color w:val="000000"/>
                <w:kern w:val="0"/>
                <w:sz w:val="21"/>
                <w:szCs w:val="21"/>
                <w:lang w:val="en-US" w:eastAsia="zh-CN"/>
              </w:rPr>
            </w:pPr>
            <w:r>
              <w:rPr>
                <w:rFonts w:hint="eastAsia" w:hAnsi="宋体" w:cs="宋体"/>
                <w:b/>
                <w:bCs/>
                <w:color w:val="000000"/>
                <w:kern w:val="0"/>
                <w:sz w:val="21"/>
                <w:szCs w:val="21"/>
                <w:lang w:val="en-US" w:eastAsia="zh-CN"/>
              </w:rPr>
              <w:t>计划开展内容</w:t>
            </w:r>
          </w:p>
        </w:tc>
        <w:tc>
          <w:tcPr>
            <w:tcW w:w="6724"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hAnsi="宋体" w:cs="宋体"/>
                <w:b/>
                <w:bCs/>
                <w:color w:val="000000"/>
                <w:kern w:val="0"/>
                <w:sz w:val="21"/>
                <w:szCs w:val="21"/>
                <w:lang w:val="en-US" w:eastAsia="zh-CN"/>
              </w:rPr>
            </w:pPr>
            <w:r>
              <w:rPr>
                <w:rFonts w:hint="eastAsia" w:hAnsi="宋体" w:cs="宋体"/>
                <w:b/>
                <w:bCs/>
                <w:color w:val="000000"/>
                <w:kern w:val="0"/>
                <w:sz w:val="21"/>
                <w:szCs w:val="21"/>
                <w:lang w:val="en-US" w:eastAsia="zh-CN"/>
              </w:rPr>
              <w:t>实际完成情况</w:t>
            </w:r>
          </w:p>
        </w:tc>
        <w:tc>
          <w:tcPr>
            <w:tcW w:w="1404"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cs="宋体"/>
                <w:b/>
                <w:bCs/>
                <w:color w:val="000000"/>
                <w:kern w:val="0"/>
                <w:sz w:val="21"/>
                <w:szCs w:val="21"/>
                <w:lang w:val="en-US" w:eastAsia="zh-CN"/>
              </w:rPr>
            </w:pPr>
            <w:r>
              <w:rPr>
                <w:rFonts w:hint="eastAsia" w:hAnsi="宋体" w:cs="宋体"/>
                <w:b/>
                <w:bCs/>
                <w:color w:val="000000"/>
                <w:kern w:val="0"/>
                <w:sz w:val="21"/>
                <w:szCs w:val="21"/>
                <w:lang w:val="en-US" w:eastAsia="zh-CN"/>
              </w:rPr>
              <w:t>说明</w:t>
            </w:r>
          </w:p>
        </w:tc>
      </w:tr>
      <w:tr>
        <w:tblPrEx>
          <w:tblLayout w:type="fixed"/>
          <w:tblCellMar>
            <w:top w:w="0" w:type="dxa"/>
            <w:left w:w="108" w:type="dxa"/>
            <w:bottom w:w="0" w:type="dxa"/>
            <w:right w:w="108" w:type="dxa"/>
          </w:tblCellMar>
        </w:tblPrEx>
        <w:trPr>
          <w:trHeight w:val="327"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r>
              <w:rPr>
                <w:rFonts w:hint="eastAsia" w:hAnsi="宋体" w:cs="宋体"/>
                <w:color w:val="000000"/>
                <w:kern w:val="0"/>
                <w:sz w:val="21"/>
                <w:szCs w:val="21"/>
              </w:rPr>
              <w:t>1</w:t>
            </w:r>
          </w:p>
        </w:tc>
        <w:tc>
          <w:tcPr>
            <w:tcW w:w="1740"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color w:val="000000"/>
                <w:kern w:val="0"/>
                <w:sz w:val="21"/>
                <w:szCs w:val="21"/>
                <w:lang w:val="en-US" w:eastAsia="zh-CN"/>
              </w:rPr>
            </w:pPr>
            <w:r>
              <w:rPr>
                <w:rFonts w:hint="eastAsia"/>
                <w:sz w:val="21"/>
                <w:szCs w:val="21"/>
                <w:highlight w:val="none"/>
                <w:lang w:val="en-US" w:eastAsia="zh-CN"/>
              </w:rPr>
              <w:t>失智老人护理用品款</w:t>
            </w:r>
          </w:p>
        </w:tc>
        <w:tc>
          <w:tcPr>
            <w:tcW w:w="3475"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spacing w:line="240" w:lineRule="auto"/>
              <w:ind w:left="0" w:leftChars="0" w:firstLine="0" w:firstLineChars="0"/>
              <w:jc w:val="left"/>
              <w:rPr>
                <w:rFonts w:hint="eastAsia"/>
                <w:sz w:val="21"/>
                <w:szCs w:val="21"/>
                <w:highlight w:val="none"/>
                <w:lang w:val="en-US" w:eastAsia="zh-CN"/>
              </w:rPr>
            </w:pPr>
            <w:r>
              <w:rPr>
                <w:rFonts w:hint="eastAsia" w:hAnsi="宋体" w:cs="宋体"/>
                <w:color w:val="000000"/>
                <w:kern w:val="0"/>
                <w:sz w:val="21"/>
                <w:szCs w:val="21"/>
                <w:highlight w:val="none"/>
                <w:lang w:val="en-US" w:eastAsia="zh-CN"/>
              </w:rPr>
              <w:t>①按月完成全年日常配送工作</w:t>
            </w:r>
            <w:r>
              <w:rPr>
                <w:rFonts w:hint="eastAsia"/>
                <w:sz w:val="21"/>
                <w:szCs w:val="21"/>
                <w:highlight w:val="none"/>
                <w:lang w:val="en-US" w:eastAsia="zh-CN"/>
              </w:rPr>
              <w:t>；</w:t>
            </w:r>
          </w:p>
          <w:p>
            <w:pPr>
              <w:keepNext w:val="0"/>
              <w:keepLines w:val="0"/>
              <w:widowControl/>
              <w:suppressLineNumbers w:val="0"/>
              <w:spacing w:line="240" w:lineRule="auto"/>
              <w:ind w:left="0" w:leftChars="0" w:firstLine="0" w:firstLineChars="0"/>
              <w:jc w:val="left"/>
              <w:rPr>
                <w:rFonts w:hint="default"/>
                <w:sz w:val="21"/>
                <w:szCs w:val="21"/>
                <w:highlight w:val="none"/>
                <w:lang w:val="en-US" w:eastAsia="zh-CN"/>
              </w:rPr>
            </w:pPr>
            <w:r>
              <w:rPr>
                <w:rFonts w:hint="eastAsia"/>
                <w:sz w:val="21"/>
                <w:szCs w:val="21"/>
                <w:highlight w:val="none"/>
                <w:lang w:val="en-US" w:eastAsia="zh-CN"/>
              </w:rPr>
              <w:t>②区红十字会每年双月10日前开展日常审批工作;</w:t>
            </w:r>
          </w:p>
          <w:p>
            <w:pPr>
              <w:keepNext w:val="0"/>
              <w:keepLines w:val="0"/>
              <w:widowControl/>
              <w:suppressLineNumbers w:val="0"/>
              <w:spacing w:line="240" w:lineRule="auto"/>
              <w:ind w:left="0" w:leftChars="0" w:firstLine="0" w:firstLineChars="0"/>
              <w:jc w:val="left"/>
              <w:rPr>
                <w:rFonts w:hint="default"/>
                <w:sz w:val="21"/>
                <w:szCs w:val="21"/>
                <w:highlight w:val="none"/>
                <w:lang w:val="en-US" w:eastAsia="zh-CN"/>
              </w:rPr>
            </w:pPr>
            <w:r>
              <w:rPr>
                <w:rFonts w:hint="eastAsia"/>
                <w:sz w:val="21"/>
                <w:szCs w:val="21"/>
                <w:highlight w:val="none"/>
                <w:lang w:val="en-US" w:eastAsia="zh-CN"/>
              </w:rPr>
              <w:t>每年的6月5日前进行年度集中审核申报。</w:t>
            </w:r>
          </w:p>
        </w:tc>
        <w:tc>
          <w:tcPr>
            <w:tcW w:w="6724"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spacing w:line="240" w:lineRule="auto"/>
              <w:ind w:left="0" w:leftChars="0" w:firstLine="0" w:firstLineChars="0"/>
              <w:jc w:val="left"/>
              <w:rPr>
                <w:rFonts w:hint="eastAsia" w:hAnsi="宋体" w:cs="宋体"/>
                <w:color w:val="000000"/>
                <w:kern w:val="0"/>
                <w:sz w:val="21"/>
                <w:szCs w:val="21"/>
                <w:lang w:val="en-US" w:eastAsia="zh-CN"/>
              </w:rPr>
            </w:pPr>
            <w:r>
              <w:rPr>
                <w:rFonts w:hint="eastAsia" w:hAnsi="宋体" w:cs="宋体"/>
                <w:color w:val="000000"/>
                <w:kern w:val="0"/>
                <w:sz w:val="21"/>
                <w:szCs w:val="21"/>
                <w:highlight w:val="none"/>
                <w:lang w:val="en-US" w:eastAsia="zh-CN"/>
              </w:rPr>
              <w:t>①日常配送：</w:t>
            </w:r>
            <w:r>
              <w:rPr>
                <w:rFonts w:hint="eastAsia" w:hAnsi="宋体" w:cs="宋体"/>
                <w:color w:val="000000"/>
                <w:kern w:val="0"/>
                <w:sz w:val="21"/>
                <w:szCs w:val="21"/>
                <w:lang w:val="en-US" w:eastAsia="zh-CN"/>
              </w:rPr>
              <w:t>2021年底，崇明区红十字会与浙江珍琦护理用品有限公司签订成人纸尿裤供货合同，约定由厂家每月为每个乡镇红十字会配送一次指定护理用品（一箱尿布，95元/箱），再由乡镇红十字会安排志愿者为每位老人完成配送，项目全年服务老人27570人次；</w:t>
            </w:r>
          </w:p>
          <w:p>
            <w:pPr>
              <w:keepNext w:val="0"/>
              <w:keepLines w:val="0"/>
              <w:widowControl/>
              <w:suppressLineNumbers w:val="0"/>
              <w:spacing w:line="240" w:lineRule="auto"/>
              <w:ind w:left="0" w:leftChars="0" w:firstLine="0" w:firstLineChars="0"/>
              <w:jc w:val="left"/>
              <w:rPr>
                <w:rFonts w:hint="default"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②申报审批：按计划完成</w:t>
            </w:r>
          </w:p>
        </w:tc>
        <w:tc>
          <w:tcPr>
            <w:tcW w:w="1404"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spacing w:line="240" w:lineRule="auto"/>
              <w:ind w:left="0" w:leftChars="0" w:firstLine="0" w:firstLineChars="0"/>
              <w:jc w:val="center"/>
              <w:rPr>
                <w:rFonts w:hint="default"/>
                <w:sz w:val="21"/>
                <w:szCs w:val="21"/>
                <w:highlight w:val="none"/>
                <w:lang w:val="en-US" w:eastAsia="zh-CN"/>
              </w:rPr>
            </w:pPr>
            <w:r>
              <w:rPr>
                <w:rFonts w:hint="eastAsia"/>
                <w:sz w:val="21"/>
                <w:szCs w:val="21"/>
                <w:highlight w:val="none"/>
                <w:lang w:val="en-US" w:eastAsia="zh-CN"/>
              </w:rPr>
              <w:t>全部按计划完成</w:t>
            </w:r>
          </w:p>
        </w:tc>
      </w:tr>
      <w:tr>
        <w:tblPrEx>
          <w:tblLayout w:type="fixed"/>
          <w:tblCellMar>
            <w:top w:w="0" w:type="dxa"/>
            <w:left w:w="108" w:type="dxa"/>
            <w:bottom w:w="0" w:type="dxa"/>
            <w:right w:w="108" w:type="dxa"/>
          </w:tblCellMar>
        </w:tblPrEx>
        <w:trPr>
          <w:trHeight w:val="342"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r>
              <w:rPr>
                <w:rFonts w:hint="eastAsia" w:hAnsi="宋体" w:cs="宋体"/>
                <w:color w:val="000000"/>
                <w:kern w:val="0"/>
                <w:sz w:val="21"/>
                <w:szCs w:val="21"/>
              </w:rPr>
              <w:t>2</w:t>
            </w:r>
          </w:p>
        </w:tc>
        <w:tc>
          <w:tcPr>
            <w:tcW w:w="1740"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示范睦邻点一次性补贴</w:t>
            </w:r>
          </w:p>
        </w:tc>
        <w:tc>
          <w:tcPr>
            <w:tcW w:w="3475" w:type="dxa"/>
            <w:tcBorders>
              <w:top w:val="nil"/>
              <w:left w:val="nil"/>
              <w:bottom w:val="single" w:color="000000" w:sz="8" w:space="0"/>
              <w:right w:val="single" w:color="000000" w:sz="8" w:space="0"/>
            </w:tcBorders>
            <w:vAlign w:val="center"/>
          </w:tcPr>
          <w:p>
            <w:pPr>
              <w:keepNext w:val="0"/>
              <w:keepLines w:val="0"/>
              <w:widowControl/>
              <w:suppressLineNumbers w:val="0"/>
              <w:spacing w:line="240" w:lineRule="auto"/>
              <w:ind w:left="0" w:leftChars="0" w:firstLine="0" w:firstLineChars="0"/>
              <w:jc w:val="left"/>
              <w:rPr>
                <w:rFonts w:hint="default" w:ascii="仿宋_GB2312" w:hAnsi="宋体" w:eastAsia="仿宋_GB2312" w:cs="宋体"/>
                <w:color w:val="000000"/>
                <w:kern w:val="0"/>
                <w:sz w:val="21"/>
                <w:szCs w:val="21"/>
                <w:lang w:val="en-US" w:eastAsia="zh-CN" w:bidi="ar-SA"/>
              </w:rPr>
            </w:pPr>
            <w:r>
              <w:rPr>
                <w:rFonts w:hint="default" w:ascii="仿宋_GB2312" w:hAnsi="宋体" w:eastAsia="仿宋_GB2312" w:cs="宋体"/>
                <w:color w:val="000000"/>
                <w:kern w:val="0"/>
                <w:sz w:val="21"/>
                <w:szCs w:val="21"/>
                <w:lang w:val="en-US" w:eastAsia="zh-CN" w:bidi="ar-SA"/>
              </w:rPr>
              <w:t>对80个符合要求的示范睦邻点按照市、区各1万元的标准给予以一次性补贴，其中区级福彩公益金补贴80万元</w:t>
            </w:r>
          </w:p>
        </w:tc>
        <w:tc>
          <w:tcPr>
            <w:tcW w:w="6724" w:type="dxa"/>
            <w:tcBorders>
              <w:top w:val="nil"/>
              <w:left w:val="nil"/>
              <w:bottom w:val="single" w:color="000000" w:sz="8" w:space="0"/>
              <w:right w:val="single" w:color="000000" w:sz="8" w:space="0"/>
            </w:tcBorders>
            <w:vAlign w:val="center"/>
          </w:tcPr>
          <w:p>
            <w:pPr>
              <w:keepNext w:val="0"/>
              <w:keepLines w:val="0"/>
              <w:widowControl/>
              <w:suppressLineNumbers w:val="0"/>
              <w:spacing w:line="240" w:lineRule="auto"/>
              <w:ind w:left="0" w:leftChars="0" w:firstLine="0" w:firstLineChars="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highlight w:val="none"/>
                <w:lang w:val="en-US" w:eastAsia="zh-CN" w:bidi="ar-SA"/>
              </w:rPr>
              <w:t>根据2021年建设验收结果，</w:t>
            </w:r>
            <w:r>
              <w:rPr>
                <w:rFonts w:hint="default" w:ascii="仿宋_GB2312" w:hAnsi="宋体" w:eastAsia="仿宋_GB2312" w:cs="宋体"/>
                <w:color w:val="000000"/>
                <w:kern w:val="0"/>
                <w:sz w:val="21"/>
                <w:szCs w:val="21"/>
                <w:highlight w:val="none"/>
                <w:lang w:val="en-US" w:eastAsia="zh-CN" w:bidi="ar-SA"/>
              </w:rPr>
              <w:t>对</w:t>
            </w:r>
            <w:r>
              <w:rPr>
                <w:rFonts w:hint="eastAsia" w:hAnsi="宋体" w:cs="宋体"/>
                <w:color w:val="000000"/>
                <w:kern w:val="0"/>
                <w:sz w:val="21"/>
                <w:szCs w:val="21"/>
                <w:highlight w:val="none"/>
                <w:lang w:val="en-US" w:eastAsia="zh-CN" w:bidi="ar-SA"/>
              </w:rPr>
              <w:t>80</w:t>
            </w:r>
            <w:r>
              <w:rPr>
                <w:rFonts w:hint="default" w:ascii="仿宋_GB2312" w:hAnsi="宋体" w:eastAsia="仿宋_GB2312" w:cs="宋体"/>
                <w:color w:val="000000"/>
                <w:kern w:val="0"/>
                <w:sz w:val="21"/>
                <w:szCs w:val="21"/>
                <w:highlight w:val="none"/>
                <w:lang w:val="en-US" w:eastAsia="zh-CN" w:bidi="ar-SA"/>
              </w:rPr>
              <w:t>个示范睦邻点按照市、区各1万元的标准给予以一次性补贴，</w:t>
            </w:r>
            <w:r>
              <w:rPr>
                <w:rFonts w:hint="eastAsia" w:hAnsi="宋体" w:cs="宋体"/>
                <w:color w:val="000000"/>
                <w:kern w:val="0"/>
                <w:sz w:val="21"/>
                <w:szCs w:val="21"/>
                <w:highlight w:val="none"/>
                <w:lang w:val="en-US" w:eastAsia="zh-CN" w:bidi="ar-SA"/>
              </w:rPr>
              <w:t>2022年2月23日，区财政局、区民政局印发《关于下达2021年度示范睦邻点市级和区级补贴资金的通知》（沪崇财社</w:t>
            </w:r>
            <w:r>
              <w:rPr>
                <w:rFonts w:hint="default"/>
                <w:sz w:val="21"/>
                <w:szCs w:val="21"/>
                <w:highlight w:val="none"/>
                <w:lang w:val="en-US" w:eastAsia="zh-CN"/>
              </w:rPr>
              <w:t>〔202</w:t>
            </w:r>
            <w:r>
              <w:rPr>
                <w:rFonts w:hint="eastAsia"/>
                <w:sz w:val="21"/>
                <w:szCs w:val="21"/>
                <w:highlight w:val="none"/>
                <w:lang w:val="en-US" w:eastAsia="zh-CN"/>
              </w:rPr>
              <w:t>2</w:t>
            </w:r>
            <w:r>
              <w:rPr>
                <w:rFonts w:hint="default"/>
                <w:sz w:val="21"/>
                <w:szCs w:val="21"/>
                <w:highlight w:val="none"/>
                <w:lang w:val="en-US" w:eastAsia="zh-CN"/>
              </w:rPr>
              <w:t>〕</w:t>
            </w:r>
            <w:r>
              <w:rPr>
                <w:rFonts w:hint="eastAsia" w:hAnsi="宋体" w:cs="宋体"/>
                <w:color w:val="000000"/>
                <w:kern w:val="0"/>
                <w:sz w:val="21"/>
                <w:szCs w:val="21"/>
                <w:highlight w:val="none"/>
                <w:lang w:val="en-US" w:eastAsia="zh-CN" w:bidi="ar-SA"/>
              </w:rPr>
              <w:t>5号），下达2021年度示范睦邻点市级和区级补贴资金合计160万元（其中：2021年度市级福彩公益金80万元，2022年度区级福彩公益金80万元），纳入2022年区对乡镇专项转移支付。</w:t>
            </w:r>
          </w:p>
        </w:tc>
        <w:tc>
          <w:tcPr>
            <w:tcW w:w="1404" w:type="dxa"/>
            <w:tcBorders>
              <w:top w:val="nil"/>
              <w:left w:val="nil"/>
              <w:bottom w:val="single" w:color="000000" w:sz="8" w:space="0"/>
              <w:right w:val="single" w:color="000000" w:sz="8" w:space="0"/>
            </w:tcBorders>
            <w:vAlign w:val="center"/>
          </w:tcPr>
          <w:p>
            <w:pPr>
              <w:keepNext w:val="0"/>
              <w:keepLines w:val="0"/>
              <w:widowControl/>
              <w:suppressLineNumbers w:val="0"/>
              <w:spacing w:line="240" w:lineRule="auto"/>
              <w:ind w:left="0" w:leftChars="0" w:firstLine="0" w:firstLineChars="0"/>
              <w:jc w:val="center"/>
              <w:rPr>
                <w:rFonts w:hint="default"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全部按计划完成</w:t>
            </w:r>
          </w:p>
        </w:tc>
      </w:tr>
      <w:tr>
        <w:tblPrEx>
          <w:tblLayout w:type="fixed"/>
          <w:tblCellMar>
            <w:top w:w="0" w:type="dxa"/>
            <w:left w:w="108" w:type="dxa"/>
            <w:bottom w:w="0" w:type="dxa"/>
            <w:right w:w="108" w:type="dxa"/>
          </w:tblCellMar>
        </w:tblPrEx>
        <w:trPr>
          <w:trHeight w:val="342"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cs="宋体"/>
                <w:color w:val="000000"/>
                <w:kern w:val="0"/>
                <w:sz w:val="21"/>
                <w:szCs w:val="21"/>
              </w:rPr>
            </w:pPr>
            <w:r>
              <w:rPr>
                <w:rFonts w:hint="eastAsia" w:hAnsi="宋体" w:cs="宋体"/>
                <w:color w:val="000000"/>
                <w:kern w:val="0"/>
                <w:sz w:val="21"/>
                <w:szCs w:val="21"/>
              </w:rPr>
              <w:t>3</w:t>
            </w:r>
          </w:p>
        </w:tc>
        <w:tc>
          <w:tcPr>
            <w:tcW w:w="1740"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sz w:val="21"/>
                <w:szCs w:val="21"/>
                <w:highlight w:val="none"/>
                <w:lang w:val="en-US" w:eastAsia="zh-CN"/>
              </w:rPr>
              <w:t>社区综合为老服务中心建设补贴</w:t>
            </w:r>
          </w:p>
        </w:tc>
        <w:tc>
          <w:tcPr>
            <w:tcW w:w="3475"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根据乡镇2020和2021年的</w:t>
            </w:r>
            <w:r>
              <w:rPr>
                <w:rFonts w:hint="eastAsia"/>
                <w:sz w:val="21"/>
                <w:szCs w:val="21"/>
                <w:highlight w:val="none"/>
                <w:lang w:val="en-US" w:eastAsia="zh-CN"/>
              </w:rPr>
              <w:t>社区综合为老服务中心建设补贴申报情况，2022年计划补贴3家社区综合为老服务中心，包括：建设镇综合为老服务中心旭升分中心、坚新镇综合为老服务中心油桥分中心和新河镇综合为老服务中心井亭分中心。</w:t>
            </w:r>
          </w:p>
        </w:tc>
        <w:tc>
          <w:tcPr>
            <w:tcW w:w="6724"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sz w:val="21"/>
                <w:szCs w:val="21"/>
                <w:highlight w:val="none"/>
                <w:lang w:val="en-US" w:eastAsia="zh-CN"/>
              </w:rPr>
            </w:pPr>
            <w:r>
              <w:rPr>
                <w:rFonts w:hint="eastAsia" w:hAnsi="宋体" w:cs="宋体"/>
                <w:color w:val="000000"/>
                <w:kern w:val="0"/>
                <w:sz w:val="21"/>
                <w:szCs w:val="21"/>
                <w:highlight w:val="none"/>
                <w:lang w:val="en-US" w:eastAsia="zh-CN"/>
              </w:rPr>
              <w:t>根据乡镇</w:t>
            </w:r>
            <w:r>
              <w:rPr>
                <w:rFonts w:hint="eastAsia"/>
                <w:sz w:val="21"/>
                <w:szCs w:val="21"/>
                <w:highlight w:val="none"/>
                <w:lang w:val="en-US" w:eastAsia="zh-CN"/>
              </w:rPr>
              <w:t>2022年各乡镇社区综合为老服务中心建设的审计结果，实际获得补贴的仅有1家，为建设镇综合为老服务中心旭升分中心，其余2家由于市级补贴政策有所变动（新出台的十四五政策提高了补贴门槛），不再符合补贴要求，故取消补贴申请。</w:t>
            </w:r>
          </w:p>
          <w:p>
            <w:pPr>
              <w:widowControl/>
              <w:spacing w:line="240" w:lineRule="auto"/>
              <w:ind w:firstLine="0" w:firstLineChars="0"/>
              <w:contextualSpacing w:val="0"/>
              <w:jc w:val="left"/>
              <w:rPr>
                <w:rFonts w:hint="eastAsia" w:ascii="仿宋_GB2312" w:hAnsi="仿宋_GB2312" w:eastAsia="仿宋_GB2312" w:cs="仿宋_GB2312"/>
                <w:kern w:val="2"/>
                <w:sz w:val="21"/>
                <w:szCs w:val="21"/>
                <w:highlight w:val="none"/>
                <w:lang w:val="en-US" w:eastAsia="zh-CN" w:bidi="ar-SA"/>
              </w:rPr>
            </w:pPr>
            <w:r>
              <w:rPr>
                <w:rFonts w:hint="default"/>
                <w:sz w:val="21"/>
                <w:szCs w:val="21"/>
                <w:highlight w:val="none"/>
                <w:lang w:val="en-US" w:eastAsia="zh-CN"/>
              </w:rPr>
              <w:t>2020年7月，</w:t>
            </w:r>
            <w:r>
              <w:rPr>
                <w:rFonts w:hint="eastAsia"/>
                <w:sz w:val="21"/>
                <w:szCs w:val="21"/>
                <w:highlight w:val="none"/>
                <w:lang w:val="en-US" w:eastAsia="zh-CN"/>
              </w:rPr>
              <w:t>建设</w:t>
            </w:r>
            <w:r>
              <w:rPr>
                <w:rFonts w:hint="default"/>
                <w:sz w:val="21"/>
                <w:szCs w:val="21"/>
                <w:highlight w:val="none"/>
                <w:lang w:val="en-US" w:eastAsia="zh-CN"/>
              </w:rPr>
              <w:t>镇以《关于建设镇利用农民集中居住区配套房屋装修改造为旭升综合为老服务中心工程可行性研究报告(兼项目建议书)的请示》(沪崇建府〔2020〕86号)报区发改委，2020年8月4日，经区发改委批复同意该项目建设。建设镇综合为老服务中心旭升分中心(以下简称“中心”)位于上海市崇明区建设镇农民集中居住区，建筑面积1340.8</w:t>
            </w:r>
            <w:r>
              <w:rPr>
                <w:rFonts w:hint="eastAsia"/>
                <w:sz w:val="21"/>
                <w:szCs w:val="21"/>
                <w:highlight w:val="none"/>
                <w:lang w:val="en-US" w:eastAsia="zh-CN"/>
              </w:rPr>
              <w:t>平方米</w:t>
            </w:r>
            <w:r>
              <w:rPr>
                <w:rFonts w:hint="default"/>
                <w:sz w:val="21"/>
                <w:szCs w:val="21"/>
                <w:highlight w:val="none"/>
                <w:lang w:val="en-US" w:eastAsia="zh-CN"/>
              </w:rPr>
              <w:t>，其投资主体为建设镇人民政府，建设形式为装修改造</w:t>
            </w:r>
            <w:r>
              <w:rPr>
                <w:rFonts w:hint="eastAsia"/>
                <w:sz w:val="21"/>
                <w:szCs w:val="21"/>
                <w:highlight w:val="none"/>
                <w:lang w:val="en-US" w:eastAsia="zh-CN"/>
              </w:rPr>
              <w:t>，</w:t>
            </w:r>
            <w:r>
              <w:rPr>
                <w:rFonts w:hint="default"/>
                <w:sz w:val="21"/>
                <w:szCs w:val="21"/>
                <w:highlight w:val="none"/>
                <w:lang w:val="en-US" w:eastAsia="zh-CN"/>
              </w:rPr>
              <w:t>运营单位为建设镇人民政府，投资额为194.1029万元，项目内容为室内硬装工程、强电工程、弱电工程、空调工程、给排水工程、灯饰工程洁具配置安装工程、智能监控系统工程、家具配置工程、软装窗帘工程厨房设备工程等。项目于2020年10月10日正式开工，于2021年5月31日竣工。中心内标识、标牌，各类设施设备已配备齐全，设有社区长者食堂、日间照料中心、老年活动室、为民服务工作站、医务室、助餐点、法律咨询室、休息区、助浴间、文化娱乐室、健身区、多功能厅、阅览书画室、谈心室、康复室等功能，为建设镇建设片区老年人提供各类服务。中心在2020年已分别申报2021年社区综合为老服务中心(不含长者食堂)和综合为老服务中心(长者食堂)实事项目</w:t>
            </w:r>
            <w:r>
              <w:rPr>
                <w:rFonts w:hint="eastAsia"/>
                <w:sz w:val="21"/>
                <w:szCs w:val="21"/>
                <w:highlight w:val="none"/>
                <w:lang w:val="en-US" w:eastAsia="zh-CN"/>
              </w:rPr>
              <w:t>。</w:t>
            </w:r>
          </w:p>
        </w:tc>
        <w:tc>
          <w:tcPr>
            <w:tcW w:w="1404"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计划补贴3家，实际仅有1家符合十四五补贴政策标准并获得补贴</w:t>
            </w:r>
          </w:p>
        </w:tc>
      </w:tr>
      <w:tr>
        <w:tblPrEx>
          <w:tblLayout w:type="fixed"/>
          <w:tblCellMar>
            <w:top w:w="0" w:type="dxa"/>
            <w:left w:w="108" w:type="dxa"/>
            <w:bottom w:w="0" w:type="dxa"/>
            <w:right w:w="108" w:type="dxa"/>
          </w:tblCellMar>
        </w:tblPrEx>
        <w:trPr>
          <w:trHeight w:val="90"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r>
              <w:rPr>
                <w:rFonts w:hint="eastAsia" w:hAnsi="宋体" w:cs="宋体"/>
                <w:color w:val="000000"/>
                <w:kern w:val="0"/>
                <w:sz w:val="21"/>
                <w:szCs w:val="21"/>
              </w:rPr>
              <w:t>4</w:t>
            </w:r>
          </w:p>
        </w:tc>
        <w:tc>
          <w:tcPr>
            <w:tcW w:w="1740"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highlight w:val="none"/>
                <w:lang w:val="en-US" w:eastAsia="zh-CN" w:bidi="ar-SA"/>
              </w:rPr>
            </w:pPr>
            <w:r>
              <w:rPr>
                <w:rFonts w:hint="eastAsia"/>
                <w:sz w:val="21"/>
                <w:szCs w:val="21"/>
                <w:highlight w:val="none"/>
                <w:lang w:val="en-US" w:eastAsia="zh-CN"/>
              </w:rPr>
              <w:t>养老机构综合责任保险费用区级配套经费</w:t>
            </w:r>
          </w:p>
        </w:tc>
        <w:tc>
          <w:tcPr>
            <w:tcW w:w="3475"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hAnsi="宋体" w:cs="宋体"/>
                <w:color w:val="000000"/>
                <w:kern w:val="0"/>
                <w:sz w:val="21"/>
                <w:szCs w:val="21"/>
                <w:highlight w:val="none"/>
                <w:lang w:val="en-US" w:eastAsia="zh-CN"/>
              </w:rPr>
            </w:pPr>
            <w:r>
              <w:rPr>
                <w:rFonts w:hint="eastAsia" w:hAnsi="宋体" w:cs="宋体"/>
                <w:color w:val="000000"/>
                <w:kern w:val="0"/>
                <w:sz w:val="21"/>
                <w:szCs w:val="21"/>
                <w:highlight w:val="none"/>
                <w:lang w:val="en-US" w:eastAsia="zh-CN"/>
              </w:rPr>
              <w:t>市民政局和区民政局各拨付60元/床位/年的补贴至相关保险公司</w:t>
            </w:r>
          </w:p>
        </w:tc>
        <w:tc>
          <w:tcPr>
            <w:tcW w:w="6724"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eastAsia"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2022年7月28日，上海市民政局养老服务处印发《关于做好2022年度全市养老机构综合责任保险签约工作的通知》，文件显示：上海市民政局委托上海市政府采购中心对养老机构综合责任保险项目进行国内公开招标采购，确定了三家中标保险公司为：第1包中国太平洋财产保险股份有限公司上海分公司中标；第2包太平洋安信农业财产保险股份有限公司上海分公司中标；第3包中国平安财产保险股份有限公司上海分公司中标。根据中标结果，崇明区</w:t>
            </w:r>
            <w:r>
              <w:rPr>
                <w:rFonts w:hint="eastAsia" w:hAnsi="宋体" w:cs="宋体"/>
                <w:color w:val="000000"/>
                <w:kern w:val="0"/>
                <w:sz w:val="21"/>
                <w:szCs w:val="21"/>
                <w:lang w:val="en-US" w:eastAsia="zh-CN"/>
              </w:rPr>
              <w:t>养老机构</w:t>
            </w:r>
            <w:r>
              <w:rPr>
                <w:rFonts w:hint="eastAsia"/>
                <w:sz w:val="21"/>
                <w:szCs w:val="21"/>
                <w:highlight w:val="none"/>
                <w:lang w:val="en-US" w:eastAsia="zh-CN"/>
              </w:rPr>
              <w:t>被划分在第1包中，</w:t>
            </w:r>
            <w:r>
              <w:rPr>
                <w:rFonts w:hint="eastAsia" w:hAnsi="宋体" w:cs="宋体"/>
                <w:color w:val="000000"/>
                <w:kern w:val="0"/>
                <w:sz w:val="21"/>
                <w:szCs w:val="21"/>
                <w:lang w:val="en-US" w:eastAsia="zh-CN"/>
              </w:rPr>
              <w:t>区各养老机构在2022年8月底前完成与中标保险公司的签约工作（疫情原因较往年推迟），2022年全区43家参保养老机构合计投保3914张床位，区民政局根据实际投保的床位数，按照60元/床位/年的标准将补贴拨付至保险公司（中国太平洋财产保险股份有限公司上海分公司）</w:t>
            </w:r>
          </w:p>
        </w:tc>
        <w:tc>
          <w:tcPr>
            <w:tcW w:w="1404"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center"/>
              <w:rPr>
                <w:rFonts w:hint="eastAsia" w:hAnsi="宋体" w:cs="宋体"/>
                <w:color w:val="000000"/>
                <w:kern w:val="0"/>
                <w:sz w:val="21"/>
                <w:szCs w:val="21"/>
                <w:highlight w:val="none"/>
                <w:lang w:val="en-US" w:eastAsia="zh-CN"/>
              </w:rPr>
            </w:pPr>
            <w:r>
              <w:rPr>
                <w:rFonts w:hint="eastAsia"/>
                <w:sz w:val="21"/>
                <w:szCs w:val="21"/>
                <w:highlight w:val="none"/>
                <w:lang w:val="en-US" w:eastAsia="zh-CN"/>
              </w:rPr>
              <w:t>全部按计划完成</w:t>
            </w:r>
          </w:p>
        </w:tc>
      </w:tr>
    </w:tbl>
    <w:p>
      <w:pPr>
        <w:ind w:left="0" w:leftChars="0" w:firstLine="0" w:firstLineChars="0"/>
        <w:rPr>
          <w:rFonts w:hint="eastAsia" w:ascii="仿宋_GB2312" w:eastAsia="仿宋_GB2312"/>
          <w:b/>
          <w:bCs/>
          <w:lang w:val="en-US" w:eastAsia="zh-CN"/>
        </w:rPr>
      </w:pPr>
    </w:p>
    <w:p>
      <w:pPr>
        <w:outlineLvl w:val="2"/>
        <w:rPr>
          <w:rFonts w:hint="eastAsia" w:ascii="仿宋_GB2312" w:eastAsia="仿宋_GB2312"/>
          <w:b/>
          <w:bCs/>
          <w:sz w:val="32"/>
          <w:szCs w:val="32"/>
          <w:lang w:val="en-US" w:eastAsia="zh-CN"/>
        </w:rPr>
        <w:sectPr>
          <w:pgSz w:w="16838" w:h="11906" w:orient="landscape"/>
          <w:pgMar w:top="1797" w:right="1440" w:bottom="1797" w:left="1440" w:header="851" w:footer="567" w:gutter="0"/>
          <w:cols w:space="720" w:num="1"/>
          <w:docGrid w:linePitch="381" w:charSpace="0"/>
        </w:sectPr>
      </w:pPr>
    </w:p>
    <w:p>
      <w:pPr>
        <w:pStyle w:val="3"/>
        <w:ind w:left="0" w:leftChars="0" w:firstLine="643" w:firstLineChars="200"/>
        <w:rPr>
          <w:rFonts w:hint="default" w:eastAsia="仿宋_GB2312"/>
          <w:sz w:val="32"/>
          <w:szCs w:val="32"/>
          <w:lang w:val="en-US" w:eastAsia="zh-CN"/>
        </w:rPr>
      </w:pPr>
      <w:bookmarkStart w:id="25" w:name="_Toc30371"/>
      <w:r>
        <w:rPr>
          <w:rFonts w:hint="eastAsia" w:ascii="方正楷体_GB2312" w:hAnsi="方正楷体_GB2312" w:eastAsia="方正楷体_GB2312" w:cs="方正楷体_GB2312"/>
          <w:sz w:val="32"/>
          <w:szCs w:val="32"/>
        </w:rPr>
        <w:t>（</w:t>
      </w:r>
      <w:r>
        <w:rPr>
          <w:rFonts w:hint="eastAsia" w:ascii="方正楷体_GB2312" w:hAnsi="方正楷体_GB2312" w:eastAsia="方正楷体_GB2312" w:cs="方正楷体_GB2312"/>
          <w:sz w:val="32"/>
          <w:szCs w:val="32"/>
          <w:lang w:val="en-US" w:eastAsia="zh-CN"/>
        </w:rPr>
        <w:t>三</w:t>
      </w:r>
      <w:r>
        <w:rPr>
          <w:rFonts w:hint="eastAsia" w:ascii="方正楷体_GB2312" w:hAnsi="方正楷体_GB2312" w:eastAsia="方正楷体_GB2312" w:cs="方正楷体_GB2312"/>
          <w:sz w:val="32"/>
          <w:szCs w:val="32"/>
        </w:rPr>
        <w:t>）</w:t>
      </w:r>
      <w:bookmarkEnd w:id="24"/>
      <w:r>
        <w:rPr>
          <w:rFonts w:hint="eastAsia" w:ascii="方正楷体_GB2312" w:hAnsi="方正楷体_GB2312" w:eastAsia="方正楷体_GB2312" w:cs="方正楷体_GB2312"/>
          <w:sz w:val="32"/>
          <w:szCs w:val="32"/>
        </w:rPr>
        <w:t>项目资金来源、项目预算及资金使用情况</w:t>
      </w:r>
      <w:bookmarkEnd w:id="25"/>
    </w:p>
    <w:p>
      <w:pPr>
        <w:ind w:left="2" w:firstLine="562"/>
        <w:contextualSpacing w:val="0"/>
        <w:outlineLvl w:val="2"/>
        <w:rPr>
          <w:rFonts w:hAnsi="Times New Roman" w:cs="Times New Roman"/>
          <w:b/>
          <w:sz w:val="32"/>
          <w:szCs w:val="32"/>
        </w:rPr>
      </w:pPr>
      <w:bookmarkStart w:id="26" w:name="_Toc8157"/>
      <w:bookmarkStart w:id="27" w:name="_Toc1744"/>
      <w:r>
        <w:rPr>
          <w:rFonts w:hint="eastAsia" w:hAnsi="Times New Roman" w:cs="Times New Roman"/>
          <w:b/>
          <w:sz w:val="32"/>
          <w:szCs w:val="32"/>
          <w:lang w:val="en-US" w:eastAsia="zh-CN"/>
        </w:rPr>
        <w:t>1.2022年</w:t>
      </w:r>
      <w:r>
        <w:rPr>
          <w:rFonts w:hint="eastAsia" w:hAnsi="Times New Roman" w:cs="Times New Roman"/>
          <w:b/>
          <w:sz w:val="32"/>
          <w:szCs w:val="32"/>
        </w:rPr>
        <w:t>预算金额及资金来源</w:t>
      </w:r>
      <w:bookmarkEnd w:id="26"/>
      <w:bookmarkEnd w:id="27"/>
    </w:p>
    <w:p>
      <w:pPr>
        <w:ind w:firstLine="560"/>
        <w:contextualSpacing w:val="0"/>
        <w:rPr>
          <w:rFonts w:hint="default" w:hAnsi="Times New Roman" w:cs="Times New Roman"/>
          <w:sz w:val="32"/>
          <w:szCs w:val="32"/>
          <w:highlight w:val="yellow"/>
          <w:lang w:val="en-US" w:eastAsia="zh-CN"/>
        </w:rPr>
      </w:pPr>
      <w:r>
        <w:rPr>
          <w:rFonts w:hint="eastAsia" w:hAnsi="Times New Roman" w:cs="Times New Roman"/>
          <w:sz w:val="32"/>
          <w:szCs w:val="32"/>
          <w:highlight w:val="none"/>
        </w:rPr>
        <w:t>本项目</w:t>
      </w:r>
      <w:r>
        <w:rPr>
          <w:rFonts w:hint="eastAsia" w:hAnsi="Times New Roman" w:cs="Times New Roman"/>
          <w:sz w:val="32"/>
          <w:szCs w:val="32"/>
          <w:highlight w:val="none"/>
          <w:lang w:val="en-US" w:eastAsia="zh-CN"/>
        </w:rPr>
        <w:t>2022年年初预算为438</w:t>
      </w:r>
      <w:r>
        <w:rPr>
          <w:rFonts w:hint="eastAsia" w:hAnsi="Times New Roman" w:cs="Times New Roman"/>
          <w:sz w:val="32"/>
          <w:szCs w:val="32"/>
          <w:highlight w:val="none"/>
        </w:rPr>
        <w:t>万元，</w:t>
      </w:r>
      <w:r>
        <w:rPr>
          <w:rFonts w:hint="eastAsia" w:hAnsi="Times New Roman" w:cs="Times New Roman"/>
          <w:sz w:val="32"/>
          <w:szCs w:val="32"/>
          <w:highlight w:val="none"/>
          <w:lang w:val="en-US" w:eastAsia="zh-CN"/>
        </w:rPr>
        <w:t>年中进行预算调整，调减93.52万元，预算调整率为-21.35%，调整后预算为344.48万元。项目资金均为区级政府性基金预算，来源均为区本级留存福彩公益金</w:t>
      </w:r>
      <w:r>
        <w:rPr>
          <w:rFonts w:hint="eastAsia" w:hAnsi="Times New Roman" w:cs="Times New Roman"/>
          <w:sz w:val="32"/>
          <w:szCs w:val="32"/>
          <w:highlight w:val="none"/>
        </w:rPr>
        <w:t>。</w:t>
      </w:r>
    </w:p>
    <w:p>
      <w:pPr>
        <w:ind w:firstLine="560"/>
        <w:contextualSpacing w:val="0"/>
        <w:outlineLvl w:val="2"/>
        <w:rPr>
          <w:rFonts w:hint="default" w:hAnsi="Times New Roman" w:cs="Times New Roman"/>
          <w:sz w:val="32"/>
          <w:szCs w:val="32"/>
          <w:highlight w:val="none"/>
          <w:lang w:val="en-US" w:eastAsia="zh-CN"/>
        </w:rPr>
      </w:pPr>
      <w:bookmarkStart w:id="28" w:name="_Toc26962"/>
      <w:bookmarkStart w:id="29" w:name="_Toc24855"/>
      <w:r>
        <w:rPr>
          <w:rFonts w:hint="eastAsia" w:hAnsi="Times New Roman" w:cs="Times New Roman"/>
          <w:b/>
          <w:bCs w:val="0"/>
          <w:sz w:val="32"/>
          <w:szCs w:val="32"/>
          <w:highlight w:val="none"/>
          <w:lang w:val="en-US" w:eastAsia="zh-CN"/>
        </w:rPr>
        <w:t>2.</w:t>
      </w:r>
      <w:r>
        <w:rPr>
          <w:rFonts w:hint="eastAsia" w:hAnsi="Times New Roman" w:cs="Times New Roman"/>
          <w:b/>
          <w:bCs/>
          <w:sz w:val="32"/>
          <w:szCs w:val="32"/>
          <w:highlight w:val="none"/>
          <w:lang w:val="en-US" w:eastAsia="zh-CN"/>
        </w:rPr>
        <w:t>2022年预算安排及调整说明</w:t>
      </w:r>
      <w:bookmarkEnd w:id="28"/>
      <w:bookmarkEnd w:id="29"/>
    </w:p>
    <w:p>
      <w:pPr>
        <w:ind w:firstLine="560"/>
        <w:contextualSpacing w:val="0"/>
        <w:rPr>
          <w:rFonts w:hint="default" w:hAnsi="Times New Roman" w:cs="Times New Roman"/>
          <w:sz w:val="32"/>
          <w:szCs w:val="32"/>
          <w:highlight w:val="none"/>
          <w:lang w:val="en-US" w:eastAsia="zh-CN"/>
        </w:rPr>
      </w:pPr>
      <w:r>
        <w:rPr>
          <w:rFonts w:hint="eastAsia" w:hAnsi="Times New Roman" w:cs="Times New Roman"/>
          <w:sz w:val="32"/>
          <w:szCs w:val="32"/>
          <w:highlight w:val="none"/>
          <w:lang w:val="en-US" w:eastAsia="zh-CN"/>
        </w:rPr>
        <w:t>（1）失智老人护理用品款项目：区级福彩公益金预算较2020和2021年增加58万元，主要原因是2021全年服务老人人次数（26521人次）较2020全年服务老人人次数（22275人次）有较大提升（19.06%），根据2021年11月份配送人次数数据（2260人次左右），预估2022年全年项目支出为2260人次×95元/月×12月=257.64万元，市红会下达100万元不变，经区红会与区财政局、区民政局沟通，余下经费由区福彩公益金保障，即安排158万元，再有超出部分，由区红会承担，预算安排合理。</w:t>
      </w:r>
    </w:p>
    <w:p>
      <w:pPr>
        <w:ind w:firstLine="560"/>
        <w:contextualSpacing w:val="0"/>
        <w:rPr>
          <w:rFonts w:hint="eastAsia" w:hAnsi="Times New Roman" w:cs="Times New Roman"/>
          <w:sz w:val="32"/>
          <w:szCs w:val="32"/>
          <w:highlight w:val="none"/>
          <w:lang w:val="en-US" w:eastAsia="zh-CN"/>
        </w:rPr>
      </w:pPr>
      <w:r>
        <w:rPr>
          <w:rFonts w:hint="eastAsia" w:hAnsi="Times New Roman" w:cs="Times New Roman"/>
          <w:sz w:val="32"/>
          <w:szCs w:val="32"/>
          <w:highlight w:val="none"/>
          <w:lang w:val="en-US" w:eastAsia="zh-CN"/>
        </w:rPr>
        <w:t>（2）示范睦邻点一次性补贴项目：年初安排100万元，包括清算2020年示范睦邻点的补贴20万元（建设完成65个示范睦邻点，区级补贴65万元，2021年初预下达45万元，余下20万元需清算），和拨付2021年建成的80个示范睦邻点补贴80万元，后2021年12月部门编制2022年的项目预算为100万元，而清算的20万元实际于2021年12月10日下达乡镇，故项目实际100万元全部完成支出，20万元列入2021年决算，80万元列入2022年决算，预算安排合理。</w:t>
      </w:r>
    </w:p>
    <w:p>
      <w:pPr>
        <w:ind w:firstLine="560"/>
        <w:contextualSpacing w:val="0"/>
        <w:rPr>
          <w:rFonts w:hint="default" w:cs="仿宋_GB2312"/>
          <w:sz w:val="32"/>
          <w:szCs w:val="32"/>
          <w:lang w:val="en-US" w:eastAsia="zh-CN"/>
        </w:rPr>
      </w:pPr>
      <w:r>
        <w:rPr>
          <w:rFonts w:hint="eastAsia" w:hAnsi="Times New Roman" w:cs="Times New Roman"/>
          <w:sz w:val="32"/>
          <w:szCs w:val="32"/>
          <w:highlight w:val="none"/>
          <w:lang w:val="en-US" w:eastAsia="zh-CN"/>
        </w:rPr>
        <w:t>（3）社区综合为老服务中心建设补贴：年初计划补贴3家，每家50万元，故预算安排150万元，而根据当年度最新发布的</w:t>
      </w:r>
      <w:r>
        <w:rPr>
          <w:rFonts w:hint="eastAsia"/>
          <w:sz w:val="32"/>
          <w:szCs w:val="32"/>
          <w:lang w:val="en-US" w:eastAsia="zh-CN"/>
        </w:rPr>
        <w:t>《上海市人民政府办公厅关于推进本市“十四五”期间养老服务设施建设的实施意见》（沪府办规〔2021〕13号）中的补贴标准，</w:t>
      </w:r>
      <w:r>
        <w:rPr>
          <w:rFonts w:hint="eastAsia" w:ascii="仿宋_GB2312" w:hAnsi="仿宋_GB2312" w:eastAsia="仿宋_GB2312" w:cs="仿宋_GB2312"/>
          <w:sz w:val="32"/>
          <w:szCs w:val="32"/>
        </w:rPr>
        <w:t>社区嵌入式养老服务设施相关的市级补贴资金，不超过相应设施实际投资金额的50%</w:t>
      </w:r>
      <w:r>
        <w:rPr>
          <w:rFonts w:hint="eastAsia" w:cs="仿宋_GB2312"/>
          <w:sz w:val="32"/>
          <w:szCs w:val="32"/>
          <w:lang w:eastAsia="zh-CN"/>
        </w:rPr>
        <w:t>，</w:t>
      </w:r>
      <w:r>
        <w:rPr>
          <w:rFonts w:hint="eastAsia" w:cs="仿宋_GB2312"/>
          <w:sz w:val="32"/>
          <w:szCs w:val="32"/>
          <w:lang w:val="en-US" w:eastAsia="zh-CN"/>
        </w:rPr>
        <w:t>根据此标准，</w:t>
      </w:r>
      <w:r>
        <w:rPr>
          <w:rFonts w:hint="eastAsia" w:hAnsi="Times New Roman" w:cs="Times New Roman"/>
          <w:sz w:val="32"/>
          <w:szCs w:val="32"/>
          <w:highlight w:val="none"/>
          <w:lang w:val="en-US" w:eastAsia="zh-CN"/>
        </w:rPr>
        <w:t>年中进行预算</w:t>
      </w:r>
      <w:r>
        <w:rPr>
          <w:rFonts w:hint="eastAsia" w:cs="仿宋_GB2312"/>
          <w:sz w:val="32"/>
          <w:szCs w:val="32"/>
          <w:lang w:val="en-US" w:eastAsia="zh-CN"/>
        </w:rPr>
        <w:t>调整时预估其中2家仍然符合补贴标准，金额约为83万元（其中，预估竖新镇50万，建设镇33万），故调整预算至83万元，后年终实际符合补贴条件的仅剩建设镇综合为老服务中心旭升分中心1家，该中心建设的审计结算价为194.1万元，其中包含社区长者食堂的建设费用52.4万元（这部分费用已申请其他市级相关补贴），扣除这部分费用后，旭升分中心的建设费用为141.7万元，市级按政策补贴50%，为70.85万元，区级按市级补贴的50%配套，最终核定补贴35.43万元，余下部分由乡镇自行承担。项目未能充分运用预算调整机制，对补贴变动的预判不够准确，也是本项目最终预算执行率不高的原因之一。</w:t>
      </w:r>
    </w:p>
    <w:p>
      <w:pPr>
        <w:ind w:firstLine="560"/>
        <w:contextualSpacing w:val="0"/>
        <w:rPr>
          <w:rFonts w:hint="default" w:cs="仿宋_GB2312"/>
          <w:sz w:val="32"/>
          <w:szCs w:val="32"/>
          <w:lang w:val="en-US" w:eastAsia="zh-CN"/>
        </w:rPr>
      </w:pPr>
      <w:r>
        <w:rPr>
          <w:rFonts w:hint="eastAsia" w:cs="仿宋_GB2312"/>
          <w:sz w:val="32"/>
          <w:szCs w:val="32"/>
          <w:lang w:val="en-US" w:eastAsia="zh-CN"/>
        </w:rPr>
        <w:t>（4）养老机构综合责任保险费用区级配套经费：根据近三年投保数据，2019年参保养老机构42家，核定床位数6274张，实际投保床位数4073张，2020年参保养老机构46家，核定床位数6671张，实际投保床位数4222张，2021年参保养老机构42家，核定床位数6077张，实际投保床位数3862张。考虑每年的投保床位数上下浮动的不确定性，2022年预估5000张床位数，对应安排预算30万元。后续的预算调整则是根据当年度实际补贴的床位数进行操作。项目预算对应床位数较2021年实际投保床位数上涨29.47%，较三年平均投保床位数上涨23.39%，而三年间投保床位数上下浮动不超过±10%，预估床位数上浮比例过大，预算安排欠合理。</w:t>
      </w:r>
    </w:p>
    <w:p>
      <w:pPr>
        <w:ind w:firstLine="560"/>
        <w:contextualSpacing w:val="0"/>
        <w:outlineLvl w:val="2"/>
        <w:rPr>
          <w:rFonts w:hint="eastAsia" w:hAnsi="Times New Roman" w:cs="Times New Roman"/>
          <w:b/>
          <w:bCs/>
          <w:sz w:val="32"/>
          <w:szCs w:val="32"/>
          <w:highlight w:val="none"/>
          <w:lang w:val="en-US" w:eastAsia="zh-CN"/>
        </w:rPr>
        <w:sectPr>
          <w:pgSz w:w="11906" w:h="16838"/>
          <w:pgMar w:top="1440" w:right="1797" w:bottom="1440" w:left="1797" w:header="851" w:footer="567" w:gutter="0"/>
          <w:cols w:space="720" w:num="1"/>
          <w:docGrid w:linePitch="381" w:charSpace="0"/>
        </w:sectPr>
      </w:pPr>
      <w:bookmarkStart w:id="30" w:name="_Toc19621"/>
    </w:p>
    <w:p>
      <w:pPr>
        <w:ind w:firstLine="560"/>
        <w:contextualSpacing w:val="0"/>
        <w:outlineLvl w:val="2"/>
        <w:rPr>
          <w:rFonts w:hint="eastAsia" w:hAnsi="Times New Roman" w:cs="Times New Roman"/>
          <w:sz w:val="32"/>
          <w:szCs w:val="32"/>
          <w:highlight w:val="none"/>
          <w:lang w:val="en-US" w:eastAsia="zh-CN"/>
        </w:rPr>
      </w:pPr>
      <w:bookmarkStart w:id="31" w:name="_Toc331"/>
      <w:r>
        <w:rPr>
          <w:rFonts w:hint="eastAsia" w:hAnsi="Times New Roman" w:cs="Times New Roman"/>
          <w:b/>
          <w:bCs/>
          <w:sz w:val="32"/>
          <w:szCs w:val="32"/>
          <w:highlight w:val="none"/>
          <w:lang w:val="en-US" w:eastAsia="zh-CN"/>
        </w:rPr>
        <w:t>3.</w:t>
      </w:r>
      <w:r>
        <w:rPr>
          <w:rFonts w:hint="eastAsia" w:hAnsi="Times New Roman" w:cs="Times New Roman"/>
          <w:b/>
          <w:bCs w:val="0"/>
          <w:sz w:val="32"/>
          <w:szCs w:val="32"/>
          <w:highlight w:val="none"/>
          <w:lang w:val="en-US" w:eastAsia="zh-CN"/>
        </w:rPr>
        <w:t>三年预算执行情况</w:t>
      </w:r>
      <w:bookmarkEnd w:id="30"/>
      <w:bookmarkEnd w:id="31"/>
    </w:p>
    <w:p>
      <w:pPr>
        <w:ind w:firstLine="560"/>
        <w:contextualSpacing w:val="0"/>
        <w:rPr>
          <w:rFonts w:hint="eastAsia" w:hAnsi="Times New Roman" w:cs="Times New Roman"/>
          <w:sz w:val="32"/>
          <w:szCs w:val="32"/>
          <w:highlight w:val="none"/>
          <w:lang w:val="en-US" w:eastAsia="zh-CN"/>
        </w:rPr>
      </w:pPr>
      <w:r>
        <w:rPr>
          <w:rFonts w:hint="eastAsia" w:hAnsi="Times New Roman" w:cs="Times New Roman"/>
          <w:sz w:val="32"/>
          <w:szCs w:val="32"/>
          <w:highlight w:val="none"/>
          <w:lang w:val="en-US" w:eastAsia="zh-CN"/>
        </w:rPr>
        <w:t>2022年</w:t>
      </w:r>
      <w:r>
        <w:rPr>
          <w:rFonts w:hAnsi="Times New Roman" w:cs="Times New Roman"/>
          <w:sz w:val="32"/>
          <w:szCs w:val="32"/>
          <w:highlight w:val="none"/>
        </w:rPr>
        <w:t>，</w:t>
      </w:r>
      <w:r>
        <w:rPr>
          <w:rFonts w:hint="eastAsia" w:hAnsi="Times New Roman" w:cs="Times New Roman"/>
          <w:sz w:val="32"/>
          <w:szCs w:val="32"/>
          <w:highlight w:val="none"/>
          <w:lang w:val="en-US" w:eastAsia="zh-CN"/>
        </w:rPr>
        <w:t>本项目实际共计支出296.91万元，预算执行率为86.19%。2020年和2021年度的预算执行率分别为100%和95.2%（子项目有所变化）。项目三年预算及执行明细见下表1-2：</w:t>
      </w:r>
      <w:bookmarkStart w:id="32" w:name="_Toc11431"/>
    </w:p>
    <w:p>
      <w:pPr>
        <w:ind w:left="0" w:leftChars="0" w:firstLine="0" w:firstLineChars="0"/>
        <w:contextualSpacing w:val="0"/>
        <w:jc w:val="center"/>
        <w:rPr>
          <w:rFonts w:hint="eastAsia" w:hAnsi="Times New Roman" w:cs="Times New Roman"/>
          <w:b/>
          <w:bCs/>
          <w:sz w:val="24"/>
          <w:szCs w:val="24"/>
          <w:highlight w:val="none"/>
          <w:lang w:val="en-US" w:eastAsia="zh-CN"/>
        </w:rPr>
      </w:pPr>
      <w:r>
        <w:rPr>
          <w:rFonts w:hint="eastAsia" w:hAnsi="Times New Roman" w:cs="Times New Roman"/>
          <w:b/>
          <w:bCs/>
          <w:sz w:val="24"/>
          <w:szCs w:val="24"/>
          <w:highlight w:val="none"/>
          <w:lang w:val="en-US" w:eastAsia="zh-CN"/>
        </w:rPr>
        <w:t>表1-2 2020-2022年预算支出明细表</w:t>
      </w:r>
    </w:p>
    <w:p>
      <w:pPr>
        <w:ind w:left="0" w:leftChars="0" w:firstLine="0" w:firstLineChars="0"/>
        <w:contextualSpacing w:val="0"/>
        <w:jc w:val="right"/>
        <w:rPr>
          <w:rFonts w:hint="default" w:hAnsi="Times New Roman" w:cs="Times New Roman"/>
          <w:b/>
          <w:bCs/>
          <w:sz w:val="24"/>
          <w:szCs w:val="24"/>
          <w:highlight w:val="none"/>
          <w:lang w:val="en-US" w:eastAsia="zh-CN"/>
        </w:rPr>
      </w:pPr>
      <w:r>
        <w:rPr>
          <w:rFonts w:hint="eastAsia" w:hAnsi="Times New Roman" w:cs="Times New Roman"/>
          <w:b/>
          <w:bCs/>
          <w:sz w:val="24"/>
          <w:szCs w:val="24"/>
          <w:highlight w:val="none"/>
          <w:lang w:val="en-US" w:eastAsia="zh-CN"/>
        </w:rPr>
        <w:t>金额单位：万元</w:t>
      </w:r>
    </w:p>
    <w:tbl>
      <w:tblPr>
        <w:tblStyle w:val="38"/>
        <w:tblW w:w="1411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5"/>
        <w:gridCol w:w="4066"/>
        <w:gridCol w:w="1332"/>
        <w:gridCol w:w="1356"/>
        <w:gridCol w:w="1152"/>
        <w:gridCol w:w="1320"/>
        <w:gridCol w:w="42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序号</w:t>
            </w:r>
          </w:p>
        </w:tc>
        <w:tc>
          <w:tcPr>
            <w:tcW w:w="406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2022年子项目</w:t>
            </w:r>
          </w:p>
        </w:tc>
        <w:tc>
          <w:tcPr>
            <w:tcW w:w="1332" w:type="dxa"/>
            <w:vAlign w:val="center"/>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kern w:val="2"/>
                <w:sz w:val="21"/>
                <w:szCs w:val="21"/>
                <w:highlight w:val="none"/>
                <w:vertAlign w:val="baseline"/>
                <w:lang w:val="en-US" w:eastAsia="zh-CN" w:bidi="ar-SA"/>
              </w:rPr>
              <w:t>年初预算</w:t>
            </w:r>
          </w:p>
        </w:tc>
        <w:tc>
          <w:tcPr>
            <w:tcW w:w="1356" w:type="dxa"/>
            <w:vAlign w:val="center"/>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kern w:val="2"/>
                <w:sz w:val="21"/>
                <w:szCs w:val="21"/>
                <w:highlight w:val="none"/>
                <w:vertAlign w:val="baseline"/>
                <w:lang w:val="en-US" w:eastAsia="zh-CN" w:bidi="ar-SA"/>
              </w:rPr>
              <w:t>调整后预算</w:t>
            </w:r>
          </w:p>
        </w:tc>
        <w:tc>
          <w:tcPr>
            <w:tcW w:w="1152" w:type="dxa"/>
            <w:vAlign w:val="center"/>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实际支出</w:t>
            </w:r>
          </w:p>
        </w:tc>
        <w:tc>
          <w:tcPr>
            <w:tcW w:w="1320" w:type="dxa"/>
            <w:vAlign w:val="center"/>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预算执行率</w:t>
            </w:r>
          </w:p>
        </w:tc>
        <w:tc>
          <w:tcPr>
            <w:tcW w:w="4236" w:type="dxa"/>
            <w:vAlign w:val="center"/>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w:t>
            </w:r>
          </w:p>
        </w:tc>
        <w:tc>
          <w:tcPr>
            <w:tcW w:w="4066" w:type="dxa"/>
            <w:vAlign w:val="center"/>
          </w:tcPr>
          <w:p>
            <w:pPr>
              <w:widowControl/>
              <w:spacing w:line="240" w:lineRule="auto"/>
              <w:ind w:firstLine="0" w:firstLineChars="0"/>
              <w:contextualSpacing w:val="0"/>
              <w:jc w:val="center"/>
              <w:rPr>
                <w:rFonts w:hint="default"/>
                <w:sz w:val="21"/>
                <w:szCs w:val="21"/>
                <w:highlight w:val="none"/>
                <w:lang w:val="en-US" w:eastAsia="zh-CN"/>
              </w:rPr>
            </w:pPr>
            <w:r>
              <w:rPr>
                <w:rFonts w:hint="eastAsia"/>
                <w:sz w:val="21"/>
                <w:szCs w:val="21"/>
                <w:highlight w:val="none"/>
                <w:lang w:val="en-US" w:eastAsia="zh-CN"/>
              </w:rPr>
              <w:t>失智老人护理用品款</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158</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158</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158</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4236" w:type="dxa"/>
            <w:vAlign w:val="center"/>
          </w:tcPr>
          <w:p>
            <w:pPr>
              <w:spacing w:line="240" w:lineRule="auto"/>
              <w:ind w:firstLine="0" w:firstLineChars="0"/>
              <w:contextualSpacing w:val="0"/>
              <w:jc w:val="left"/>
              <w:rPr>
                <w:rFonts w:hint="eastAsia" w:hAnsi="Times New Roman" w:cs="Times New Roman"/>
                <w:sz w:val="21"/>
                <w:szCs w:val="21"/>
                <w:highlight w:val="none"/>
                <w:vertAlign w:val="baseline"/>
                <w:lang w:val="en-US" w:eastAsia="zh-CN"/>
              </w:rPr>
            </w:pPr>
            <w:r>
              <w:rPr>
                <w:rFonts w:hint="eastAsia"/>
                <w:sz w:val="21"/>
                <w:szCs w:val="21"/>
                <w:highlight w:val="none"/>
                <w:lang w:val="en-US" w:eastAsia="zh-CN"/>
              </w:rPr>
              <w:t>项目2022年总支出261.92万元，其中100万元由市红会下达，158万元从区福彩公益金中支出，余下3.92万元由区红会承担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8" w:hRule="atLeast"/>
        </w:trPr>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w:t>
            </w:r>
          </w:p>
        </w:tc>
        <w:tc>
          <w:tcPr>
            <w:tcW w:w="4066" w:type="dxa"/>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示范睦邻点一次性补贴</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80</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80</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4236" w:type="dxa"/>
            <w:vAlign w:val="center"/>
          </w:tcPr>
          <w:p>
            <w:pPr>
              <w:spacing w:line="240" w:lineRule="auto"/>
              <w:ind w:firstLine="0" w:firstLineChars="0"/>
              <w:contextualSpacing w:val="0"/>
              <w:jc w:val="left"/>
              <w:rPr>
                <w:rFonts w:hint="default" w:hAnsi="Times New Roman" w:cs="Times New Roman"/>
                <w:sz w:val="21"/>
                <w:szCs w:val="21"/>
                <w:highlight w:val="none"/>
                <w:vertAlign w:val="baseline"/>
                <w:lang w:val="en-US" w:eastAsia="zh-CN"/>
              </w:rPr>
            </w:pPr>
            <w:r>
              <w:rPr>
                <w:rFonts w:hint="eastAsia"/>
                <w:sz w:val="21"/>
                <w:szCs w:val="21"/>
                <w:highlight w:val="none"/>
                <w:lang w:val="en-US" w:eastAsia="zh-CN"/>
              </w:rPr>
              <w:t>项目2022年总支出160万元，另80万元为市级福彩公益金（市区补贴1：1）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3</w:t>
            </w:r>
          </w:p>
        </w:tc>
        <w:tc>
          <w:tcPr>
            <w:tcW w:w="4066" w:type="dxa"/>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社区综合为老服务中心建设补贴</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150</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83</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35.43</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42.69%</w:t>
            </w:r>
          </w:p>
        </w:tc>
        <w:tc>
          <w:tcPr>
            <w:tcW w:w="4236" w:type="dxa"/>
            <w:vAlign w:val="center"/>
          </w:tcPr>
          <w:p>
            <w:pPr>
              <w:spacing w:line="240" w:lineRule="auto"/>
              <w:ind w:firstLine="0" w:firstLineChars="0"/>
              <w:contextualSpacing w:val="0"/>
              <w:jc w:val="left"/>
              <w:rPr>
                <w:rFonts w:hint="eastAsia" w:hAnsi="Times New Roman" w:cs="Times New Roman"/>
                <w:sz w:val="21"/>
                <w:szCs w:val="21"/>
                <w:highlight w:val="none"/>
                <w:vertAlign w:val="baseline"/>
                <w:lang w:val="en-US" w:eastAsia="zh-CN"/>
              </w:rPr>
            </w:pPr>
            <w:r>
              <w:rPr>
                <w:rFonts w:hint="eastAsia"/>
                <w:sz w:val="21"/>
                <w:szCs w:val="21"/>
                <w:highlight w:val="none"/>
                <w:lang w:val="en-US" w:eastAsia="zh-CN"/>
              </w:rPr>
              <w:t>项目2022年总支出106.28万元，另70.85万元为市级福彩公益金（市区补贴2：1）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4</w:t>
            </w:r>
          </w:p>
        </w:tc>
        <w:tc>
          <w:tcPr>
            <w:tcW w:w="4066" w:type="dxa"/>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养老机构综合责任保险费用区级配套经费</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30</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23.48</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23.48</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4236" w:type="dxa"/>
            <w:vAlign w:val="center"/>
          </w:tcPr>
          <w:p>
            <w:pPr>
              <w:spacing w:line="240" w:lineRule="auto"/>
              <w:ind w:firstLine="0" w:firstLineChars="0"/>
              <w:contextualSpacing w:val="0"/>
              <w:jc w:val="left"/>
              <w:rPr>
                <w:rFonts w:hint="default" w:hAnsi="Times New Roman" w:cs="Times New Roman"/>
                <w:sz w:val="21"/>
                <w:szCs w:val="21"/>
                <w:highlight w:val="none"/>
                <w:vertAlign w:val="baseline"/>
                <w:lang w:val="en-US" w:eastAsia="zh-CN"/>
              </w:rPr>
            </w:pPr>
            <w:r>
              <w:rPr>
                <w:rFonts w:hint="eastAsia"/>
                <w:sz w:val="21"/>
                <w:szCs w:val="21"/>
                <w:highlight w:val="none"/>
                <w:lang w:val="en-US" w:eastAsia="zh-CN"/>
              </w:rPr>
              <w:t>项目2022年总保费63.02万元，其中市级福彩公益金和区级福彩公益金各承担23.48万元，养老机构自行承担16.05万元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0" w:hRule="atLeast"/>
        </w:trPr>
        <w:tc>
          <w:tcPr>
            <w:tcW w:w="4721" w:type="dxa"/>
            <w:gridSpan w:val="2"/>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合计</w:t>
            </w:r>
          </w:p>
        </w:tc>
        <w:tc>
          <w:tcPr>
            <w:tcW w:w="1332" w:type="dxa"/>
          </w:tcPr>
          <w:p>
            <w:pPr>
              <w:spacing w:line="240" w:lineRule="auto"/>
              <w:ind w:firstLine="0" w:firstLineChars="0"/>
              <w:contextualSpacing w:val="0"/>
              <w:jc w:val="center"/>
              <w:rPr>
                <w:rFonts w:hint="default"/>
                <w:b/>
                <w:bCs/>
                <w:sz w:val="21"/>
                <w:szCs w:val="21"/>
                <w:vertAlign w:val="baseline"/>
                <w:lang w:val="en-US" w:eastAsia="zh-CN"/>
              </w:rPr>
            </w:pPr>
            <w:r>
              <w:rPr>
                <w:rFonts w:hint="eastAsia"/>
                <w:b/>
                <w:bCs/>
                <w:sz w:val="21"/>
                <w:szCs w:val="21"/>
                <w:vertAlign w:val="baseline"/>
                <w:lang w:val="en-US" w:eastAsia="zh-CN"/>
              </w:rPr>
              <w:t>438</w:t>
            </w:r>
          </w:p>
        </w:tc>
        <w:tc>
          <w:tcPr>
            <w:tcW w:w="1356"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344.48</w:t>
            </w:r>
          </w:p>
        </w:tc>
        <w:tc>
          <w:tcPr>
            <w:tcW w:w="1152"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296.91</w:t>
            </w:r>
          </w:p>
        </w:tc>
        <w:tc>
          <w:tcPr>
            <w:tcW w:w="1320"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86.19%</w:t>
            </w:r>
          </w:p>
        </w:tc>
        <w:tc>
          <w:tcPr>
            <w:tcW w:w="4236"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序号</w:t>
            </w:r>
          </w:p>
        </w:tc>
        <w:tc>
          <w:tcPr>
            <w:tcW w:w="406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2021年子项目</w:t>
            </w:r>
          </w:p>
        </w:tc>
        <w:tc>
          <w:tcPr>
            <w:tcW w:w="1332" w:type="dxa"/>
            <w:vAlign w:val="center"/>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kern w:val="2"/>
                <w:sz w:val="21"/>
                <w:szCs w:val="21"/>
                <w:highlight w:val="none"/>
                <w:vertAlign w:val="baseline"/>
                <w:lang w:val="en-US" w:eastAsia="zh-CN" w:bidi="ar-SA"/>
              </w:rPr>
              <w:t>年初预算</w:t>
            </w:r>
          </w:p>
        </w:tc>
        <w:tc>
          <w:tcPr>
            <w:tcW w:w="1356" w:type="dxa"/>
            <w:vAlign w:val="center"/>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kern w:val="2"/>
                <w:sz w:val="21"/>
                <w:szCs w:val="21"/>
                <w:highlight w:val="none"/>
                <w:vertAlign w:val="baseline"/>
                <w:lang w:val="en-US" w:eastAsia="zh-CN" w:bidi="ar-SA"/>
              </w:rPr>
              <w:t>调整后预算</w:t>
            </w:r>
          </w:p>
        </w:tc>
        <w:tc>
          <w:tcPr>
            <w:tcW w:w="1152" w:type="dxa"/>
            <w:vAlign w:val="center"/>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实际支出</w:t>
            </w:r>
          </w:p>
        </w:tc>
        <w:tc>
          <w:tcPr>
            <w:tcW w:w="1320" w:type="dxa"/>
            <w:vAlign w:val="center"/>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预算执行率</w:t>
            </w:r>
          </w:p>
        </w:tc>
        <w:tc>
          <w:tcPr>
            <w:tcW w:w="4236" w:type="dxa"/>
            <w:vAlign w:val="center"/>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w:t>
            </w:r>
          </w:p>
        </w:tc>
        <w:tc>
          <w:tcPr>
            <w:tcW w:w="4066" w:type="dxa"/>
            <w:vAlign w:val="center"/>
          </w:tcPr>
          <w:p>
            <w:pPr>
              <w:widowControl/>
              <w:spacing w:line="240" w:lineRule="auto"/>
              <w:ind w:firstLine="0" w:firstLineChars="0"/>
              <w:contextualSpacing w:val="0"/>
              <w:jc w:val="center"/>
              <w:rPr>
                <w:rFonts w:hint="default"/>
                <w:sz w:val="21"/>
                <w:szCs w:val="21"/>
                <w:highlight w:val="none"/>
                <w:lang w:val="en-US" w:eastAsia="zh-CN"/>
              </w:rPr>
            </w:pPr>
            <w:r>
              <w:rPr>
                <w:rFonts w:hint="eastAsia"/>
                <w:sz w:val="21"/>
                <w:szCs w:val="21"/>
                <w:highlight w:val="none"/>
                <w:lang w:val="en-US" w:eastAsia="zh-CN"/>
              </w:rPr>
              <w:t>失智老人护理用品款</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4236" w:type="dxa"/>
            <w:vAlign w:val="center"/>
          </w:tcPr>
          <w:p>
            <w:pPr>
              <w:spacing w:line="240" w:lineRule="auto"/>
              <w:ind w:firstLine="0" w:firstLineChars="0"/>
              <w:contextualSpacing w:val="0"/>
              <w:jc w:val="left"/>
              <w:rPr>
                <w:rFonts w:hint="eastAsia" w:hAnsi="Times New Roman" w:cs="Times New Roman"/>
                <w:sz w:val="21"/>
                <w:szCs w:val="21"/>
                <w:highlight w:val="none"/>
                <w:vertAlign w:val="baseline"/>
                <w:lang w:val="en-US" w:eastAsia="zh-CN"/>
              </w:rPr>
            </w:pPr>
            <w:r>
              <w:rPr>
                <w:rFonts w:hint="eastAsia"/>
                <w:sz w:val="21"/>
                <w:szCs w:val="21"/>
                <w:highlight w:val="none"/>
                <w:lang w:val="en-US" w:eastAsia="zh-CN"/>
              </w:rPr>
              <w:t>项目2021年总支出251.95万元，其中100万元由市红会下达，100万元从区福彩公益金中支出，余下51.95万元由区红会承担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2" w:hRule="atLeast"/>
        </w:trPr>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w:t>
            </w:r>
          </w:p>
        </w:tc>
        <w:tc>
          <w:tcPr>
            <w:tcW w:w="4066" w:type="dxa"/>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示范睦邻点一次性补贴</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45</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65</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65</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4236" w:type="dxa"/>
            <w:vAlign w:val="center"/>
          </w:tcPr>
          <w:p>
            <w:pPr>
              <w:spacing w:line="240" w:lineRule="auto"/>
              <w:ind w:firstLine="0" w:firstLineChars="0"/>
              <w:contextualSpacing w:val="0"/>
              <w:jc w:val="left"/>
              <w:rPr>
                <w:rFonts w:hint="default" w:hAnsi="Times New Roman" w:cs="Times New Roman"/>
                <w:sz w:val="21"/>
                <w:szCs w:val="21"/>
                <w:highlight w:val="none"/>
                <w:vertAlign w:val="baseline"/>
                <w:lang w:val="en-US" w:eastAsia="zh-CN"/>
              </w:rPr>
            </w:pPr>
            <w:r>
              <w:rPr>
                <w:rFonts w:hint="eastAsia"/>
                <w:sz w:val="21"/>
                <w:szCs w:val="21"/>
                <w:highlight w:val="none"/>
                <w:lang w:val="en-US" w:eastAsia="zh-CN"/>
              </w:rPr>
              <w:t>项目2021年总支出130万元，另65万元为市级福彩公益金（市区补贴1：1）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8" w:hRule="atLeast"/>
        </w:trPr>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3</w:t>
            </w:r>
          </w:p>
        </w:tc>
        <w:tc>
          <w:tcPr>
            <w:tcW w:w="4066" w:type="dxa"/>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社区老年人日间照护机构一次性建设补贴</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250</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202.5</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195</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96.3%</w:t>
            </w:r>
          </w:p>
        </w:tc>
        <w:tc>
          <w:tcPr>
            <w:tcW w:w="4236" w:type="dxa"/>
            <w:vAlign w:val="center"/>
          </w:tcPr>
          <w:p>
            <w:pPr>
              <w:spacing w:line="240" w:lineRule="auto"/>
              <w:ind w:firstLine="0" w:firstLineChars="0"/>
              <w:contextualSpacing w:val="0"/>
              <w:jc w:val="left"/>
              <w:rPr>
                <w:rFonts w:hint="eastAsia" w:hAnsi="Times New Roman" w:cs="Times New Roman"/>
                <w:sz w:val="21"/>
                <w:szCs w:val="21"/>
                <w:highlight w:val="none"/>
                <w:vertAlign w:val="baseline"/>
                <w:lang w:val="en-US" w:eastAsia="zh-CN"/>
              </w:rPr>
            </w:pPr>
            <w:r>
              <w:rPr>
                <w:rFonts w:hint="eastAsia"/>
                <w:sz w:val="21"/>
                <w:szCs w:val="21"/>
                <w:highlight w:val="none"/>
                <w:lang w:val="en-US" w:eastAsia="zh-CN"/>
              </w:rPr>
              <w:t>项目2021年总支出585万元，另390万元为市级福彩公益金（市区补贴2：1）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9" w:hRule="atLeast"/>
        </w:trPr>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4</w:t>
            </w:r>
          </w:p>
        </w:tc>
        <w:tc>
          <w:tcPr>
            <w:tcW w:w="4066" w:type="dxa"/>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养老机构综合责任保险费用区级配套经费</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36</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36</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24.14</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67.06%</w:t>
            </w:r>
          </w:p>
        </w:tc>
        <w:tc>
          <w:tcPr>
            <w:tcW w:w="4236" w:type="dxa"/>
            <w:vAlign w:val="center"/>
          </w:tcPr>
          <w:p>
            <w:pPr>
              <w:spacing w:line="240" w:lineRule="auto"/>
              <w:ind w:firstLine="0" w:firstLineChars="0"/>
              <w:contextualSpacing w:val="0"/>
              <w:jc w:val="left"/>
              <w:rPr>
                <w:rFonts w:hint="default" w:hAnsi="Times New Roman" w:cs="Times New Roman"/>
                <w:sz w:val="21"/>
                <w:szCs w:val="21"/>
                <w:highlight w:val="none"/>
                <w:vertAlign w:val="baseline"/>
                <w:lang w:val="en-US" w:eastAsia="zh-CN"/>
              </w:rPr>
            </w:pPr>
            <w:r>
              <w:rPr>
                <w:rFonts w:hint="eastAsia"/>
                <w:sz w:val="21"/>
                <w:szCs w:val="21"/>
                <w:highlight w:val="none"/>
                <w:lang w:val="en-US" w:eastAsia="zh-CN"/>
              </w:rPr>
              <w:t>项目2021年总支出61.91万元，其中市级福彩公益金和区级福彩公益金各承担</w:t>
            </w:r>
            <w:r>
              <w:rPr>
                <w:rFonts w:hint="eastAsia" w:hAnsi="Times New Roman" w:cs="Times New Roman"/>
                <w:sz w:val="21"/>
                <w:szCs w:val="21"/>
                <w:highlight w:val="none"/>
                <w:vertAlign w:val="baseline"/>
                <w:lang w:val="en-US" w:eastAsia="zh-CN"/>
              </w:rPr>
              <w:t>24.14</w:t>
            </w:r>
            <w:r>
              <w:rPr>
                <w:rFonts w:hint="eastAsia"/>
                <w:sz w:val="21"/>
                <w:szCs w:val="21"/>
                <w:highlight w:val="none"/>
                <w:lang w:val="en-US" w:eastAsia="zh-CN"/>
              </w:rPr>
              <w:t>万元元，养老机构自行承担13.63万元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721" w:type="dxa"/>
            <w:gridSpan w:val="2"/>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合计</w:t>
            </w:r>
          </w:p>
        </w:tc>
        <w:tc>
          <w:tcPr>
            <w:tcW w:w="1332" w:type="dxa"/>
          </w:tcPr>
          <w:p>
            <w:pPr>
              <w:spacing w:line="240" w:lineRule="auto"/>
              <w:ind w:firstLine="0" w:firstLineChars="0"/>
              <w:contextualSpacing w:val="0"/>
              <w:jc w:val="center"/>
              <w:rPr>
                <w:rFonts w:hint="default"/>
                <w:b/>
                <w:bCs/>
                <w:sz w:val="21"/>
                <w:szCs w:val="21"/>
                <w:vertAlign w:val="baseline"/>
                <w:lang w:val="en-US" w:eastAsia="zh-CN"/>
              </w:rPr>
            </w:pPr>
            <w:r>
              <w:rPr>
                <w:rFonts w:hint="eastAsia"/>
                <w:b/>
                <w:bCs/>
                <w:sz w:val="21"/>
                <w:szCs w:val="21"/>
                <w:vertAlign w:val="baseline"/>
                <w:lang w:val="en-US" w:eastAsia="zh-CN"/>
              </w:rPr>
              <w:t>431</w:t>
            </w:r>
          </w:p>
        </w:tc>
        <w:tc>
          <w:tcPr>
            <w:tcW w:w="1356"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403.5</w:t>
            </w:r>
          </w:p>
        </w:tc>
        <w:tc>
          <w:tcPr>
            <w:tcW w:w="1152"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384.14</w:t>
            </w:r>
          </w:p>
        </w:tc>
        <w:tc>
          <w:tcPr>
            <w:tcW w:w="1320"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95.2%</w:t>
            </w:r>
          </w:p>
        </w:tc>
        <w:tc>
          <w:tcPr>
            <w:tcW w:w="4236"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序号</w:t>
            </w:r>
          </w:p>
        </w:tc>
        <w:tc>
          <w:tcPr>
            <w:tcW w:w="406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2020年子项目</w:t>
            </w:r>
          </w:p>
        </w:tc>
        <w:tc>
          <w:tcPr>
            <w:tcW w:w="1332" w:type="dxa"/>
            <w:vAlign w:val="center"/>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kern w:val="2"/>
                <w:sz w:val="21"/>
                <w:szCs w:val="21"/>
                <w:highlight w:val="none"/>
                <w:vertAlign w:val="baseline"/>
                <w:lang w:val="en-US" w:eastAsia="zh-CN" w:bidi="ar-SA"/>
              </w:rPr>
              <w:t>年初预算</w:t>
            </w:r>
          </w:p>
        </w:tc>
        <w:tc>
          <w:tcPr>
            <w:tcW w:w="1356" w:type="dxa"/>
            <w:vAlign w:val="center"/>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kern w:val="2"/>
                <w:sz w:val="21"/>
                <w:szCs w:val="21"/>
                <w:highlight w:val="none"/>
                <w:vertAlign w:val="baseline"/>
                <w:lang w:val="en-US" w:eastAsia="zh-CN" w:bidi="ar-SA"/>
              </w:rPr>
              <w:t>调整后预算</w:t>
            </w:r>
          </w:p>
        </w:tc>
        <w:tc>
          <w:tcPr>
            <w:tcW w:w="1152" w:type="dxa"/>
            <w:vAlign w:val="center"/>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实际支出</w:t>
            </w:r>
          </w:p>
        </w:tc>
        <w:tc>
          <w:tcPr>
            <w:tcW w:w="1320" w:type="dxa"/>
            <w:vAlign w:val="center"/>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预算执行率</w:t>
            </w:r>
          </w:p>
        </w:tc>
        <w:tc>
          <w:tcPr>
            <w:tcW w:w="4236" w:type="dxa"/>
            <w:vAlign w:val="center"/>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w:t>
            </w:r>
          </w:p>
        </w:tc>
        <w:tc>
          <w:tcPr>
            <w:tcW w:w="4066" w:type="dxa"/>
            <w:vAlign w:val="center"/>
          </w:tcPr>
          <w:p>
            <w:pPr>
              <w:widowControl/>
              <w:spacing w:line="240" w:lineRule="auto"/>
              <w:ind w:firstLine="0" w:firstLineChars="0"/>
              <w:contextualSpacing w:val="0"/>
              <w:jc w:val="center"/>
              <w:rPr>
                <w:rFonts w:hint="default"/>
                <w:sz w:val="21"/>
                <w:szCs w:val="21"/>
                <w:highlight w:val="none"/>
                <w:lang w:val="en-US" w:eastAsia="zh-CN"/>
              </w:rPr>
            </w:pPr>
            <w:r>
              <w:rPr>
                <w:rFonts w:hint="eastAsia"/>
                <w:sz w:val="21"/>
                <w:szCs w:val="21"/>
                <w:highlight w:val="none"/>
                <w:lang w:val="en-US" w:eastAsia="zh-CN"/>
              </w:rPr>
              <w:t>失智老人护理用品款</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4236" w:type="dxa"/>
            <w:vAlign w:val="center"/>
          </w:tcPr>
          <w:p>
            <w:pPr>
              <w:spacing w:line="240" w:lineRule="auto"/>
              <w:ind w:firstLine="0" w:firstLineChars="0"/>
              <w:contextualSpacing w:val="0"/>
              <w:jc w:val="left"/>
              <w:rPr>
                <w:rFonts w:hint="eastAsia" w:hAnsi="Times New Roman" w:cs="Times New Roman"/>
                <w:sz w:val="21"/>
                <w:szCs w:val="21"/>
                <w:highlight w:val="none"/>
                <w:vertAlign w:val="baseline"/>
                <w:lang w:val="en-US" w:eastAsia="zh-CN"/>
              </w:rPr>
            </w:pPr>
            <w:r>
              <w:rPr>
                <w:rFonts w:hint="eastAsia"/>
                <w:sz w:val="21"/>
                <w:szCs w:val="21"/>
                <w:highlight w:val="none"/>
                <w:lang w:val="en-US" w:eastAsia="zh-CN"/>
              </w:rPr>
              <w:t>项目2020年总支出211.61万元，其中85万元由市红会下达，100万元从区福彩公益金中支出，余下26.61万元由区红会承担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w:t>
            </w:r>
          </w:p>
        </w:tc>
        <w:tc>
          <w:tcPr>
            <w:tcW w:w="4066" w:type="dxa"/>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长者照护之家运营补贴</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88.3</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78.4</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78.4</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423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3</w:t>
            </w:r>
          </w:p>
        </w:tc>
        <w:tc>
          <w:tcPr>
            <w:tcW w:w="4066" w:type="dxa"/>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社区公益招投标</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12</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12</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12</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4236" w:type="dxa"/>
            <w:vAlign w:val="center"/>
          </w:tcPr>
          <w:p>
            <w:pPr>
              <w:spacing w:line="240" w:lineRule="auto"/>
              <w:ind w:firstLine="0" w:firstLineChars="0"/>
              <w:contextualSpacing w:val="0"/>
              <w:jc w:val="left"/>
              <w:rPr>
                <w:rFonts w:hint="eastAsia" w:hAnsi="Times New Roman" w:cs="Times New Roman"/>
                <w:sz w:val="21"/>
                <w:szCs w:val="21"/>
                <w:highlight w:val="none"/>
                <w:vertAlign w:val="baseline"/>
                <w:lang w:val="en-US" w:eastAsia="zh-CN"/>
              </w:rPr>
            </w:pPr>
            <w:r>
              <w:rPr>
                <w:rFonts w:hint="eastAsia"/>
                <w:sz w:val="21"/>
                <w:szCs w:val="21"/>
                <w:highlight w:val="none"/>
                <w:lang w:val="en-US" w:eastAsia="zh-CN"/>
              </w:rPr>
              <w:t>项目2020年总支出161.16万元，另149.16万元为市级福彩公益金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4</w:t>
            </w:r>
          </w:p>
        </w:tc>
        <w:tc>
          <w:tcPr>
            <w:tcW w:w="4066" w:type="dxa"/>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sz w:val="21"/>
                <w:szCs w:val="21"/>
                <w:highlight w:val="none"/>
                <w:lang w:val="en-US" w:eastAsia="zh-CN"/>
              </w:rPr>
              <w:t>养老机构综合责任保险费用区级配套经费</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33</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25.33</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25.33</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100%</w:t>
            </w:r>
          </w:p>
        </w:tc>
        <w:tc>
          <w:tcPr>
            <w:tcW w:w="4236" w:type="dxa"/>
            <w:vAlign w:val="center"/>
          </w:tcPr>
          <w:p>
            <w:pPr>
              <w:spacing w:line="240" w:lineRule="auto"/>
              <w:ind w:firstLine="0" w:firstLineChars="0"/>
              <w:contextualSpacing w:val="0"/>
              <w:jc w:val="left"/>
              <w:rPr>
                <w:rFonts w:hint="default" w:hAnsi="Times New Roman" w:cs="Times New Roman"/>
                <w:sz w:val="21"/>
                <w:szCs w:val="21"/>
                <w:highlight w:val="none"/>
                <w:vertAlign w:val="baseline"/>
                <w:lang w:val="en-US" w:eastAsia="zh-CN"/>
              </w:rPr>
            </w:pPr>
            <w:r>
              <w:rPr>
                <w:rFonts w:hint="eastAsia"/>
                <w:sz w:val="21"/>
                <w:szCs w:val="21"/>
                <w:highlight w:val="none"/>
                <w:lang w:val="en-US" w:eastAsia="zh-CN"/>
              </w:rPr>
              <w:t>项目2020年总支出67.31万元，其中市级福彩公益金和区级福彩公益金各承担</w:t>
            </w:r>
            <w:r>
              <w:rPr>
                <w:rFonts w:hint="eastAsia" w:hAnsi="Times New Roman" w:cs="Times New Roman"/>
                <w:sz w:val="21"/>
                <w:szCs w:val="21"/>
                <w:highlight w:val="none"/>
                <w:vertAlign w:val="baseline"/>
                <w:lang w:val="en-US" w:eastAsia="zh-CN"/>
              </w:rPr>
              <w:t>25.33</w:t>
            </w:r>
            <w:r>
              <w:rPr>
                <w:rFonts w:hint="eastAsia"/>
                <w:sz w:val="21"/>
                <w:szCs w:val="21"/>
                <w:highlight w:val="none"/>
                <w:lang w:val="en-US" w:eastAsia="zh-CN"/>
              </w:rPr>
              <w:t>万元，养老机构自行承担16.65万元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55"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5</w:t>
            </w:r>
          </w:p>
        </w:tc>
        <w:tc>
          <w:tcPr>
            <w:tcW w:w="4066" w:type="dxa"/>
            <w:vAlign w:val="center"/>
          </w:tcPr>
          <w:p>
            <w:pPr>
              <w:widowControl/>
              <w:spacing w:line="240" w:lineRule="auto"/>
              <w:ind w:firstLine="0" w:firstLineChars="0"/>
              <w:contextualSpacing w:val="0"/>
              <w:jc w:val="center"/>
              <w:rPr>
                <w:rFonts w:hint="eastAsia"/>
                <w:sz w:val="21"/>
                <w:szCs w:val="21"/>
                <w:highlight w:val="none"/>
                <w:lang w:val="en-US" w:eastAsia="zh-CN"/>
              </w:rPr>
            </w:pPr>
            <w:r>
              <w:rPr>
                <w:rFonts w:hint="eastAsia"/>
                <w:sz w:val="21"/>
                <w:szCs w:val="21"/>
                <w:highlight w:val="none"/>
                <w:lang w:val="en-US" w:eastAsia="zh-CN"/>
              </w:rPr>
              <w:t>养老机构新增305张床位补贴</w:t>
            </w:r>
          </w:p>
        </w:tc>
        <w:tc>
          <w:tcPr>
            <w:tcW w:w="133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198</w:t>
            </w:r>
          </w:p>
        </w:tc>
        <w:tc>
          <w:tcPr>
            <w:tcW w:w="1356"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0</w:t>
            </w:r>
          </w:p>
        </w:tc>
        <w:tc>
          <w:tcPr>
            <w:tcW w:w="1152"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0</w:t>
            </w:r>
          </w:p>
        </w:tc>
        <w:tc>
          <w:tcPr>
            <w:tcW w:w="1320" w:type="dxa"/>
            <w:vAlign w:val="center"/>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sz w:val="21"/>
                <w:szCs w:val="21"/>
                <w:highlight w:val="none"/>
                <w:vertAlign w:val="baseline"/>
                <w:lang w:val="en-US" w:eastAsia="zh-CN"/>
              </w:rPr>
              <w:t>/</w:t>
            </w:r>
          </w:p>
        </w:tc>
        <w:tc>
          <w:tcPr>
            <w:tcW w:w="4236" w:type="dxa"/>
            <w:vAlign w:val="center"/>
          </w:tcPr>
          <w:p>
            <w:pPr>
              <w:spacing w:line="240" w:lineRule="auto"/>
              <w:ind w:firstLine="0" w:firstLineChars="0"/>
              <w:contextualSpacing w:val="0"/>
              <w:jc w:val="center"/>
              <w:rPr>
                <w:rFonts w:hint="default"/>
                <w:sz w:val="21"/>
                <w:szCs w:val="21"/>
                <w:highlight w:val="none"/>
                <w:lang w:val="en-US" w:eastAsia="zh-CN"/>
              </w:rPr>
            </w:pPr>
            <w:r>
              <w:rPr>
                <w:rFonts w:hint="eastAsia"/>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721" w:type="dxa"/>
            <w:gridSpan w:val="2"/>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合计</w:t>
            </w:r>
          </w:p>
        </w:tc>
        <w:tc>
          <w:tcPr>
            <w:tcW w:w="1332" w:type="dxa"/>
          </w:tcPr>
          <w:p>
            <w:pPr>
              <w:spacing w:line="240" w:lineRule="auto"/>
              <w:ind w:firstLine="0" w:firstLineChars="0"/>
              <w:contextualSpacing w:val="0"/>
              <w:jc w:val="center"/>
              <w:rPr>
                <w:rFonts w:hint="default"/>
                <w:b/>
                <w:bCs/>
                <w:sz w:val="21"/>
                <w:szCs w:val="21"/>
                <w:vertAlign w:val="baseline"/>
                <w:lang w:val="en-US" w:eastAsia="zh-CN"/>
              </w:rPr>
            </w:pPr>
            <w:r>
              <w:rPr>
                <w:rFonts w:hint="default"/>
                <w:b/>
                <w:bCs/>
                <w:sz w:val="21"/>
                <w:szCs w:val="21"/>
                <w:vertAlign w:val="baseline"/>
                <w:lang w:val="en-US" w:eastAsia="zh-CN"/>
              </w:rPr>
              <w:t>431.3</w:t>
            </w:r>
          </w:p>
        </w:tc>
        <w:tc>
          <w:tcPr>
            <w:tcW w:w="1356"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215.73</w:t>
            </w:r>
          </w:p>
        </w:tc>
        <w:tc>
          <w:tcPr>
            <w:tcW w:w="1152"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215.73</w:t>
            </w:r>
          </w:p>
        </w:tc>
        <w:tc>
          <w:tcPr>
            <w:tcW w:w="1320"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100%</w:t>
            </w:r>
          </w:p>
        </w:tc>
        <w:tc>
          <w:tcPr>
            <w:tcW w:w="4236"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w:t>
            </w:r>
          </w:p>
        </w:tc>
      </w:tr>
    </w:tbl>
    <w:p>
      <w:pPr>
        <w:pStyle w:val="3"/>
        <w:ind w:left="0" w:leftChars="0" w:firstLine="0" w:firstLineChars="0"/>
        <w:rPr>
          <w:rFonts w:hint="eastAsia"/>
          <w:sz w:val="32"/>
          <w:szCs w:val="32"/>
        </w:rPr>
        <w:sectPr>
          <w:pgSz w:w="16838" w:h="11906" w:orient="landscape"/>
          <w:pgMar w:top="1797" w:right="1440" w:bottom="1797" w:left="1440" w:header="851" w:footer="567" w:gutter="0"/>
          <w:cols w:space="720" w:num="1"/>
          <w:docGrid w:linePitch="381" w:charSpace="0"/>
        </w:sectPr>
      </w:pPr>
    </w:p>
    <w:p>
      <w:pPr>
        <w:pStyle w:val="3"/>
        <w:rPr>
          <w:sz w:val="32"/>
          <w:szCs w:val="32"/>
        </w:rPr>
      </w:pPr>
      <w:bookmarkStart w:id="33" w:name="_Toc25925"/>
      <w:r>
        <w:rPr>
          <w:rFonts w:hint="eastAsia"/>
          <w:sz w:val="32"/>
          <w:szCs w:val="32"/>
        </w:rPr>
        <w:t>（</w:t>
      </w:r>
      <w:r>
        <w:rPr>
          <w:rFonts w:hint="eastAsia"/>
          <w:sz w:val="32"/>
          <w:szCs w:val="32"/>
          <w:lang w:val="en-US" w:eastAsia="zh-CN"/>
        </w:rPr>
        <w:t>四</w:t>
      </w:r>
      <w:r>
        <w:rPr>
          <w:rFonts w:hint="eastAsia"/>
          <w:sz w:val="32"/>
          <w:szCs w:val="32"/>
        </w:rPr>
        <w:t>）项目的组织及管理</w:t>
      </w:r>
      <w:bookmarkEnd w:id="32"/>
      <w:bookmarkEnd w:id="33"/>
    </w:p>
    <w:p>
      <w:pPr>
        <w:ind w:firstLine="562"/>
        <w:outlineLvl w:val="2"/>
        <w:rPr>
          <w:rFonts w:hint="default" w:hAnsi="仿宋" w:eastAsia="仿宋_GB2312"/>
          <w:b/>
          <w:sz w:val="32"/>
          <w:szCs w:val="32"/>
          <w:lang w:val="en-US" w:eastAsia="zh-CN"/>
        </w:rPr>
      </w:pPr>
      <w:bookmarkStart w:id="34" w:name="_Toc13956"/>
      <w:r>
        <w:rPr>
          <w:rFonts w:hint="eastAsia" w:hAnsi="仿宋"/>
          <w:b/>
          <w:sz w:val="32"/>
          <w:szCs w:val="32"/>
        </w:rPr>
        <w:t>1.项目组织</w:t>
      </w:r>
      <w:r>
        <w:rPr>
          <w:rFonts w:hint="eastAsia" w:hAnsi="仿宋"/>
          <w:b/>
          <w:sz w:val="32"/>
          <w:szCs w:val="32"/>
          <w:lang w:val="en-US" w:eastAsia="zh-CN"/>
        </w:rPr>
        <w:t>与职责</w:t>
      </w:r>
      <w:bookmarkEnd w:id="34"/>
    </w:p>
    <w:p>
      <w:pPr>
        <w:ind w:firstLine="560"/>
        <w:rPr>
          <w:rFonts w:hint="eastAsia"/>
          <w:sz w:val="32"/>
          <w:szCs w:val="32"/>
          <w:lang w:val="en-US" w:eastAsia="zh-CN"/>
        </w:rPr>
      </w:pPr>
      <w:r>
        <w:rPr>
          <w:rFonts w:hint="eastAsia"/>
          <w:sz w:val="32"/>
          <w:szCs w:val="32"/>
          <w:lang w:val="en-US" w:eastAsia="zh-CN"/>
        </w:rPr>
        <w:t>（1）资金拨款单位：上海市财政局、上海市红十字会，</w:t>
      </w:r>
      <w:r>
        <w:rPr>
          <w:rFonts w:hint="eastAsia" w:ascii="仿宋_GB2312" w:hAnsi="仿宋_GB2312" w:eastAsia="仿宋_GB2312" w:cs="仿宋_GB2312"/>
          <w:sz w:val="32"/>
          <w:szCs w:val="32"/>
        </w:rPr>
        <w:t>负责</w:t>
      </w:r>
      <w:r>
        <w:rPr>
          <w:rFonts w:hint="eastAsia" w:cs="仿宋_GB2312"/>
          <w:sz w:val="32"/>
          <w:szCs w:val="32"/>
          <w:lang w:val="en-US" w:eastAsia="zh-CN"/>
        </w:rPr>
        <w:t>市</w:t>
      </w:r>
      <w:r>
        <w:rPr>
          <w:rFonts w:hint="eastAsia"/>
          <w:sz w:val="32"/>
          <w:szCs w:val="32"/>
          <w:lang w:val="en-US" w:eastAsia="zh-CN"/>
        </w:rPr>
        <w:t>级补助资金的拨付</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上海市崇明区</w:t>
      </w:r>
      <w:r>
        <w:rPr>
          <w:rFonts w:hint="eastAsia" w:cs="仿宋_GB2312"/>
          <w:sz w:val="32"/>
          <w:szCs w:val="32"/>
          <w:lang w:val="en-US" w:eastAsia="zh-CN"/>
        </w:rPr>
        <w:t>财政</w:t>
      </w:r>
      <w:r>
        <w:rPr>
          <w:rFonts w:hint="eastAsia" w:ascii="仿宋_GB2312" w:hAnsi="仿宋_GB2312" w:eastAsia="仿宋_GB2312" w:cs="仿宋_GB2312"/>
          <w:sz w:val="32"/>
          <w:szCs w:val="32"/>
        </w:rPr>
        <w:t>局负责</w:t>
      </w:r>
      <w:r>
        <w:rPr>
          <w:rFonts w:hint="eastAsia" w:cs="仿宋_GB2312"/>
          <w:sz w:val="32"/>
          <w:szCs w:val="32"/>
          <w:lang w:val="en-US" w:eastAsia="zh-CN"/>
        </w:rPr>
        <w:t>区</w:t>
      </w:r>
      <w:r>
        <w:rPr>
          <w:rFonts w:hint="eastAsia"/>
          <w:sz w:val="32"/>
          <w:szCs w:val="32"/>
          <w:lang w:val="en-US" w:eastAsia="zh-CN"/>
        </w:rPr>
        <w:t>级补助资金的拨付</w:t>
      </w:r>
      <w:r>
        <w:rPr>
          <w:rFonts w:hint="eastAsia" w:ascii="仿宋_GB2312" w:hAnsi="仿宋_GB2312" w:eastAsia="仿宋_GB2312" w:cs="仿宋_GB2312"/>
          <w:sz w:val="32"/>
          <w:szCs w:val="32"/>
          <w:lang w:eastAsia="zh-CN"/>
        </w:rPr>
        <w:t>。</w:t>
      </w:r>
    </w:p>
    <w:p>
      <w:pPr>
        <w:ind w:firstLine="560"/>
        <w:rPr>
          <w:rFonts w:hint="default"/>
          <w:sz w:val="32"/>
          <w:szCs w:val="32"/>
          <w:lang w:val="en-US" w:eastAsia="zh-CN"/>
        </w:rPr>
      </w:pPr>
      <w:r>
        <w:rPr>
          <w:rFonts w:hint="eastAsia"/>
          <w:sz w:val="32"/>
          <w:szCs w:val="32"/>
          <w:lang w:val="en-US" w:eastAsia="zh-CN"/>
        </w:rPr>
        <w:t>（2）市级业务主管部门：上海市民政局，负责新建社区综合为老服务中心的统一验收工作。上海市红十字会，负责失智老人护理用品发放工作的指导和培训。</w:t>
      </w:r>
    </w:p>
    <w:p>
      <w:pPr>
        <w:ind w:firstLine="560"/>
        <w:rPr>
          <w:rFonts w:hint="eastAsia" w:eastAsia="仿宋_GB2312"/>
          <w:sz w:val="32"/>
          <w:szCs w:val="32"/>
          <w:lang w:val="en-US" w:eastAsia="zh-CN"/>
        </w:rPr>
      </w:pPr>
      <w:r>
        <w:rPr>
          <w:rFonts w:hint="eastAsia"/>
          <w:sz w:val="32"/>
          <w:szCs w:val="32"/>
          <w:lang w:val="en-US" w:eastAsia="zh-CN"/>
        </w:rPr>
        <w:t>（3）区级预算主管部门：</w:t>
      </w:r>
      <w:r>
        <w:rPr>
          <w:rFonts w:hint="eastAsia"/>
          <w:sz w:val="32"/>
          <w:szCs w:val="32"/>
        </w:rPr>
        <w:t>上海市</w:t>
      </w:r>
      <w:r>
        <w:rPr>
          <w:rFonts w:hint="eastAsia"/>
          <w:sz w:val="32"/>
          <w:szCs w:val="32"/>
          <w:lang w:eastAsia="zh-CN"/>
        </w:rPr>
        <w:t>崇明区民政局。</w:t>
      </w:r>
    </w:p>
    <w:p>
      <w:pPr>
        <w:ind w:firstLine="560"/>
        <w:rPr>
          <w:rFonts w:hint="eastAsia" w:eastAsia="仿宋_GB2312"/>
          <w:sz w:val="32"/>
          <w:szCs w:val="32"/>
          <w:lang w:val="en-US" w:eastAsia="zh-CN"/>
        </w:rPr>
      </w:pPr>
      <w:r>
        <w:rPr>
          <w:rFonts w:hint="eastAsia"/>
          <w:sz w:val="32"/>
          <w:szCs w:val="32"/>
          <w:lang w:val="en-US" w:eastAsia="zh-CN"/>
        </w:rPr>
        <w:t>（4）项目预算单位：</w:t>
      </w:r>
      <w:r>
        <w:rPr>
          <w:rFonts w:hint="eastAsia"/>
          <w:sz w:val="32"/>
          <w:szCs w:val="32"/>
        </w:rPr>
        <w:t>上海市</w:t>
      </w:r>
      <w:r>
        <w:rPr>
          <w:rFonts w:hint="eastAsia"/>
          <w:sz w:val="32"/>
          <w:szCs w:val="32"/>
          <w:lang w:eastAsia="zh-CN"/>
        </w:rPr>
        <w:t>崇明区民政局，</w:t>
      </w:r>
      <w:r>
        <w:rPr>
          <w:rFonts w:hint="eastAsia"/>
          <w:sz w:val="32"/>
          <w:szCs w:val="32"/>
          <w:lang w:val="en-US" w:eastAsia="zh-CN"/>
        </w:rPr>
        <w:t>负责项目的</w:t>
      </w:r>
      <w:r>
        <w:rPr>
          <w:rFonts w:hint="eastAsia"/>
          <w:sz w:val="32"/>
          <w:szCs w:val="32"/>
          <w:highlight w:val="none"/>
          <w:lang w:val="en-US" w:eastAsia="zh-CN"/>
        </w:rPr>
        <w:t>预算编制和绩效目标申报</w:t>
      </w:r>
      <w:r>
        <w:rPr>
          <w:rFonts w:hint="eastAsia"/>
          <w:sz w:val="32"/>
          <w:szCs w:val="32"/>
          <w:lang w:val="en-US" w:eastAsia="zh-CN"/>
        </w:rPr>
        <w:t>，</w:t>
      </w:r>
      <w:r>
        <w:rPr>
          <w:rFonts w:hint="eastAsia"/>
          <w:sz w:val="32"/>
          <w:szCs w:val="32"/>
        </w:rPr>
        <w:t>按资金使用范围编制区级资金预算建议、督促预算资金执行、开展项目绩效管理、监督检查等日常管理工作。</w:t>
      </w:r>
    </w:p>
    <w:p>
      <w:pPr>
        <w:ind w:firstLine="560"/>
        <w:rPr>
          <w:rFonts w:hint="default"/>
          <w:sz w:val="32"/>
          <w:szCs w:val="32"/>
          <w:lang w:val="en-US"/>
        </w:rPr>
      </w:pPr>
      <w:r>
        <w:rPr>
          <w:rFonts w:hint="eastAsia"/>
          <w:sz w:val="32"/>
          <w:szCs w:val="32"/>
          <w:lang w:val="en-US" w:eastAsia="zh-CN"/>
        </w:rPr>
        <w:t>（5）其他管理单位：</w:t>
      </w:r>
      <w:r>
        <w:rPr>
          <w:rFonts w:hint="eastAsia"/>
          <w:sz w:val="32"/>
          <w:szCs w:val="32"/>
        </w:rPr>
        <w:t>上海市崇明区</w:t>
      </w:r>
      <w:r>
        <w:rPr>
          <w:rFonts w:hint="eastAsia"/>
          <w:sz w:val="32"/>
          <w:szCs w:val="32"/>
          <w:lang w:val="en-US" w:eastAsia="zh-CN"/>
        </w:rPr>
        <w:t>发展和改革委员会</w:t>
      </w:r>
      <w:r>
        <w:rPr>
          <w:rFonts w:hint="eastAsia"/>
          <w:sz w:val="32"/>
          <w:szCs w:val="32"/>
          <w:lang w:eastAsia="zh-CN"/>
        </w:rPr>
        <w:t>负责</w:t>
      </w:r>
      <w:r>
        <w:rPr>
          <w:rFonts w:hint="eastAsia"/>
          <w:sz w:val="32"/>
          <w:szCs w:val="32"/>
          <w:lang w:val="en-US" w:eastAsia="zh-CN"/>
        </w:rPr>
        <w:t>乡镇社区综合为老服务中心</w:t>
      </w:r>
      <w:r>
        <w:rPr>
          <w:rFonts w:hint="eastAsia"/>
          <w:sz w:val="32"/>
          <w:szCs w:val="32"/>
          <w:lang w:eastAsia="zh-CN"/>
        </w:rPr>
        <w:t>项目的立项审批工作；</w:t>
      </w:r>
      <w:r>
        <w:rPr>
          <w:rFonts w:hint="eastAsia"/>
          <w:sz w:val="32"/>
          <w:szCs w:val="32"/>
          <w:lang w:val="en-US" w:eastAsia="zh-CN"/>
        </w:rPr>
        <w:t>上海市崇明区红十字会，负责失智老人护理用品项目的审批、采购、业务培训和指导；建设镇人民政府，负责综合为老服务中心旭升分中心建设项目的属地管理工作；各乡镇红十字会，负责接收企业每月配送的护理用品，并安排志愿者配送至服务老人家庭。</w:t>
      </w:r>
    </w:p>
    <w:p>
      <w:pPr>
        <w:ind w:firstLine="560"/>
        <w:rPr>
          <w:rFonts w:hint="eastAsia"/>
          <w:sz w:val="32"/>
          <w:szCs w:val="32"/>
          <w:lang w:val="en-US" w:eastAsia="zh-CN"/>
        </w:rPr>
      </w:pPr>
      <w:r>
        <w:rPr>
          <w:rFonts w:hint="eastAsia"/>
          <w:sz w:val="32"/>
          <w:szCs w:val="32"/>
          <w:lang w:eastAsia="zh-CN"/>
        </w:rPr>
        <w:t>（</w:t>
      </w:r>
      <w:r>
        <w:rPr>
          <w:rFonts w:hint="eastAsia"/>
          <w:sz w:val="32"/>
          <w:szCs w:val="32"/>
          <w:lang w:val="en-US" w:eastAsia="zh-CN"/>
        </w:rPr>
        <w:t>6</w:t>
      </w:r>
      <w:r>
        <w:rPr>
          <w:rFonts w:hint="eastAsia"/>
          <w:sz w:val="32"/>
          <w:szCs w:val="32"/>
          <w:lang w:eastAsia="zh-CN"/>
        </w:rPr>
        <w:t>）</w:t>
      </w:r>
      <w:r>
        <w:rPr>
          <w:rFonts w:hint="eastAsia"/>
          <w:sz w:val="32"/>
          <w:szCs w:val="32"/>
          <w:lang w:val="en-US" w:eastAsia="zh-CN"/>
        </w:rPr>
        <w:t>项目相关方：各乡镇社区建设办公室，负责辖区内示范睦邻点建设的指导工作；各相关村居委，负责村居内示范睦邻点的意向征集、申报、筹备辅导等工作，受理失智老人补贴申请并初步审核；乡镇红十字会志愿者，完成护理用品配送的“最后一公里”。</w:t>
      </w:r>
    </w:p>
    <w:p>
      <w:pPr>
        <w:rPr>
          <w:rFonts w:hint="eastAsia"/>
          <w:sz w:val="32"/>
          <w:szCs w:val="32"/>
          <w:lang w:val="en-US" w:eastAsia="zh-CN"/>
        </w:rPr>
      </w:pPr>
      <w:r>
        <w:rPr>
          <w:rFonts w:hint="eastAsia"/>
          <w:sz w:val="32"/>
          <w:szCs w:val="32"/>
          <w:lang w:val="en-US" w:eastAsia="zh-CN"/>
        </w:rPr>
        <w:br w:type="page"/>
      </w:r>
    </w:p>
    <w:p>
      <w:pPr>
        <w:ind w:left="0" w:leftChars="0" w:firstLine="640" w:firstLineChars="200"/>
        <w:rPr>
          <w:rFonts w:hint="default"/>
          <w:sz w:val="32"/>
          <w:szCs w:val="32"/>
          <w:lang w:val="en-US" w:eastAsia="zh-CN"/>
        </w:rPr>
      </w:pPr>
      <w:r>
        <w:rPr>
          <w:rFonts w:hint="eastAsia"/>
          <w:sz w:val="32"/>
          <w:szCs w:val="32"/>
          <w:lang w:val="en-US" w:eastAsia="zh-CN"/>
        </w:rPr>
        <w:t>项目组织架构图如下图1：</w:t>
      </w:r>
    </w:p>
    <w:p>
      <w:pPr>
        <w:spacing w:line="240" w:lineRule="auto"/>
        <w:ind w:left="0" w:leftChars="0" w:firstLine="0" w:firstLineChars="0"/>
        <w:rPr>
          <w:rFonts w:hint="eastAsia" w:eastAsia="仿宋_GB2312"/>
          <w:lang w:eastAsia="zh-CN"/>
        </w:rPr>
      </w:pPr>
      <w:r>
        <w:rPr>
          <w:rFonts w:hint="eastAsia" w:eastAsia="仿宋_GB2312"/>
          <w:lang w:eastAsia="zh-CN"/>
        </w:rPr>
        <w:drawing>
          <wp:inline distT="0" distB="0" distL="114300" distR="114300">
            <wp:extent cx="5276215" cy="3336925"/>
            <wp:effectExtent l="0" t="0" r="12065" b="635"/>
            <wp:docPr id="93" name="图片 93" descr="组织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descr="组织图"/>
                    <pic:cNvPicPr>
                      <a:picLocks noChangeAspect="1"/>
                    </pic:cNvPicPr>
                  </pic:nvPicPr>
                  <pic:blipFill>
                    <a:blip r:embed="rId18"/>
                    <a:stretch>
                      <a:fillRect/>
                    </a:stretch>
                  </pic:blipFill>
                  <pic:spPr>
                    <a:xfrm>
                      <a:off x="0" y="0"/>
                      <a:ext cx="5276215" cy="3336925"/>
                    </a:xfrm>
                    <a:prstGeom prst="rect">
                      <a:avLst/>
                    </a:prstGeom>
                  </pic:spPr>
                </pic:pic>
              </a:graphicData>
            </a:graphic>
          </wp:inline>
        </w:drawing>
      </w:r>
    </w:p>
    <w:p>
      <w:pPr>
        <w:spacing w:line="240" w:lineRule="auto"/>
        <w:ind w:left="0" w:leftChars="0" w:firstLine="0" w:firstLineChars="0"/>
        <w:jc w:val="center"/>
        <w:rPr>
          <w:rFonts w:hint="eastAsia"/>
          <w:lang w:val="en-US" w:eastAsia="zh-CN"/>
        </w:rPr>
      </w:pPr>
      <w:r>
        <w:rPr>
          <w:rFonts w:hint="eastAsia" w:ascii="仿宋_GB2312" w:hAnsi="仿宋_GB2312" w:eastAsia="仿宋_GB2312" w:cs="仿宋_GB2312"/>
          <w:b/>
          <w:bCs/>
          <w:sz w:val="24"/>
          <w:szCs w:val="24"/>
          <w:lang w:val="en-US" w:eastAsia="zh-CN"/>
        </w:rPr>
        <w:t>图</w:t>
      </w:r>
      <w:r>
        <w:rPr>
          <w:rFonts w:hint="eastAsia" w:cs="仿宋_GB2312"/>
          <w:b/>
          <w:bCs/>
          <w:sz w:val="24"/>
          <w:szCs w:val="24"/>
          <w:lang w:val="en-US" w:eastAsia="zh-CN"/>
        </w:rPr>
        <w:t>1</w:t>
      </w:r>
      <w:r>
        <w:rPr>
          <w:rFonts w:hint="eastAsia" w:ascii="仿宋_GB2312" w:hAnsi="仿宋_GB2312" w:eastAsia="仿宋_GB2312" w:cs="仿宋_GB2312"/>
          <w:b/>
          <w:bCs/>
          <w:sz w:val="24"/>
          <w:szCs w:val="24"/>
          <w:lang w:val="en-US" w:eastAsia="zh-CN"/>
        </w:rPr>
        <w:t xml:space="preserve"> </w:t>
      </w:r>
      <w:r>
        <w:rPr>
          <w:rFonts w:hint="eastAsia" w:cs="仿宋_GB2312"/>
          <w:b/>
          <w:bCs/>
          <w:sz w:val="24"/>
          <w:szCs w:val="24"/>
          <w:lang w:val="en-US" w:eastAsia="zh-CN"/>
        </w:rPr>
        <w:t>组织架构</w:t>
      </w:r>
      <w:r>
        <w:rPr>
          <w:rFonts w:hint="eastAsia" w:ascii="仿宋_GB2312" w:hAnsi="仿宋_GB2312" w:eastAsia="仿宋_GB2312" w:cs="仿宋_GB2312"/>
          <w:b/>
          <w:bCs/>
          <w:sz w:val="24"/>
          <w:szCs w:val="24"/>
          <w:lang w:val="en-US" w:eastAsia="zh-CN"/>
        </w:rPr>
        <w:t>图</w:t>
      </w:r>
    </w:p>
    <w:p>
      <w:pPr>
        <w:ind w:firstLine="562"/>
        <w:rPr>
          <w:rFonts w:hint="eastAsia" w:hAnsi="仿宋"/>
          <w:b/>
          <w:sz w:val="32"/>
          <w:szCs w:val="32"/>
        </w:rPr>
        <w:sectPr>
          <w:pgSz w:w="11906" w:h="16838"/>
          <w:pgMar w:top="1440" w:right="1797" w:bottom="1440" w:left="1797" w:header="851" w:footer="567" w:gutter="0"/>
          <w:cols w:space="720" w:num="1"/>
          <w:docGrid w:linePitch="381" w:charSpace="0"/>
        </w:sectPr>
      </w:pPr>
    </w:p>
    <w:p>
      <w:pPr>
        <w:ind w:firstLine="562"/>
        <w:outlineLvl w:val="2"/>
        <w:rPr>
          <w:rFonts w:hint="eastAsia" w:hAnsi="仿宋"/>
          <w:b/>
          <w:sz w:val="32"/>
          <w:szCs w:val="32"/>
          <w:highlight w:val="none"/>
          <w:lang w:val="en-US" w:eastAsia="zh-CN"/>
        </w:rPr>
      </w:pPr>
      <w:bookmarkStart w:id="35" w:name="_Toc10862"/>
      <w:r>
        <w:rPr>
          <w:rFonts w:hint="eastAsia" w:hAnsi="仿宋"/>
          <w:b/>
          <w:sz w:val="32"/>
          <w:szCs w:val="32"/>
        </w:rPr>
        <w:t>2.</w:t>
      </w:r>
      <w:r>
        <w:rPr>
          <w:rFonts w:hint="eastAsia" w:hAnsi="仿宋"/>
          <w:b/>
          <w:sz w:val="32"/>
          <w:szCs w:val="32"/>
          <w:highlight w:val="none"/>
          <w:lang w:val="en-US" w:eastAsia="zh-CN"/>
        </w:rPr>
        <w:t>项目管理</w:t>
      </w:r>
      <w:bookmarkEnd w:id="35"/>
    </w:p>
    <w:p>
      <w:pPr>
        <w:ind w:firstLine="562"/>
        <w:outlineLvl w:val="9"/>
        <w:rPr>
          <w:rFonts w:hint="default" w:hAnsi="仿宋"/>
          <w:b w:val="0"/>
          <w:bCs/>
          <w:sz w:val="32"/>
          <w:szCs w:val="32"/>
          <w:highlight w:val="none"/>
          <w:lang w:val="en-US" w:eastAsia="zh-CN"/>
        </w:rPr>
      </w:pPr>
      <w:r>
        <w:rPr>
          <w:rFonts w:hint="eastAsia" w:hAnsi="仿宋"/>
          <w:b w:val="0"/>
          <w:bCs/>
          <w:sz w:val="32"/>
          <w:szCs w:val="32"/>
          <w:highlight w:val="none"/>
          <w:lang w:val="en-US" w:eastAsia="zh-CN"/>
        </w:rPr>
        <w:t>（1）管理制度</w:t>
      </w:r>
    </w:p>
    <w:p>
      <w:pPr>
        <w:ind w:firstLine="560"/>
        <w:rPr>
          <w:rFonts w:hint="default"/>
          <w:sz w:val="32"/>
          <w:szCs w:val="32"/>
          <w:lang w:val="en-US" w:eastAsia="zh-CN"/>
        </w:rPr>
      </w:pPr>
      <w:r>
        <w:rPr>
          <w:rFonts w:hint="eastAsia" w:hAnsi="仿宋"/>
          <w:b w:val="0"/>
          <w:bCs/>
          <w:sz w:val="32"/>
          <w:szCs w:val="32"/>
          <w:highlight w:val="none"/>
          <w:lang w:val="en-US" w:eastAsia="zh-CN"/>
        </w:rPr>
        <w:t>①区级层面：业务管理制度：</w:t>
      </w:r>
      <w:r>
        <w:rPr>
          <w:rFonts w:hint="eastAsia"/>
          <w:sz w:val="32"/>
          <w:szCs w:val="32"/>
          <w:lang w:val="en-US" w:eastAsia="zh-CN"/>
        </w:rPr>
        <w:t>《上海市崇明区区级福利彩票公益金使用管理办法》；《中共上海市崇明区民政局党组议事决策制度》《上海市崇明区民政局关于党政领导班子决定“三重一大”事项的若干规定》；区民政局</w:t>
      </w:r>
      <w:r>
        <w:rPr>
          <w:rFonts w:hint="eastAsia"/>
          <w:sz w:val="32"/>
          <w:szCs w:val="32"/>
          <w:highlight w:val="none"/>
          <w:lang w:val="en-US" w:eastAsia="zh-CN"/>
        </w:rPr>
        <w:t>合同管理内部控制制度、政府采购内部控制管理制度。参照执行市级相关标准，包括：《社区综合为老服务中心评估标准》《上海市农村老年人示范睦邻点建设指引》。</w:t>
      </w:r>
    </w:p>
    <w:p>
      <w:pPr>
        <w:ind w:firstLine="560"/>
        <w:rPr>
          <w:rFonts w:hint="eastAsia"/>
          <w:sz w:val="32"/>
          <w:szCs w:val="32"/>
          <w:highlight w:val="none"/>
          <w:lang w:val="en-US" w:eastAsia="zh-CN"/>
        </w:rPr>
      </w:pPr>
      <w:r>
        <w:rPr>
          <w:rFonts w:hint="eastAsia"/>
          <w:sz w:val="32"/>
          <w:szCs w:val="32"/>
          <w:highlight w:val="none"/>
          <w:lang w:val="en-US" w:eastAsia="zh-CN"/>
        </w:rPr>
        <w:t>财务管理制度：参照执行《上海市崇明区民政局内部控制规范》，包括预算管理内部控制制度和收支业务内控管理制度。</w:t>
      </w:r>
    </w:p>
    <w:p>
      <w:pPr>
        <w:ind w:firstLine="560"/>
        <w:rPr>
          <w:rFonts w:hint="default"/>
          <w:sz w:val="32"/>
          <w:szCs w:val="32"/>
          <w:lang w:val="en-US" w:eastAsia="zh-CN"/>
        </w:rPr>
      </w:pPr>
      <w:r>
        <w:rPr>
          <w:rFonts w:hint="eastAsia"/>
          <w:sz w:val="32"/>
          <w:szCs w:val="32"/>
          <w:lang w:val="en-US" w:eastAsia="zh-CN"/>
        </w:rPr>
        <w:t>②镇级层面：</w:t>
      </w:r>
      <w:r>
        <w:rPr>
          <w:rFonts w:hint="eastAsia" w:hAnsi="仿宋"/>
          <w:b w:val="0"/>
          <w:bCs/>
          <w:sz w:val="32"/>
          <w:szCs w:val="32"/>
          <w:highlight w:val="none"/>
          <w:lang w:val="en-US" w:eastAsia="zh-CN"/>
        </w:rPr>
        <w:t>业务管理制度：</w:t>
      </w:r>
      <w:r>
        <w:rPr>
          <w:rFonts w:hint="eastAsia"/>
          <w:sz w:val="32"/>
          <w:szCs w:val="32"/>
          <w:lang w:val="en-US" w:eastAsia="zh-CN"/>
        </w:rPr>
        <w:t>参照执行区级有关制度，包括《上海市崇明区政府投资项目事前事中事后监管办法》《上海市崇明区政府投资项目财务监理管理办法》《上海市崇明区政府投资项目审计监督办法》等；《建设镇“三重一大”事项集体决策制度》。</w:t>
      </w:r>
    </w:p>
    <w:p>
      <w:pPr>
        <w:ind w:firstLine="560"/>
        <w:rPr>
          <w:rFonts w:hint="default"/>
          <w:sz w:val="32"/>
          <w:szCs w:val="32"/>
          <w:lang w:val="en-US" w:eastAsia="zh-CN"/>
        </w:rPr>
      </w:pPr>
    </w:p>
    <w:p>
      <w:pPr>
        <w:ind w:firstLine="480" w:firstLineChars="150"/>
        <w:rPr>
          <w:rFonts w:hint="eastAsia" w:hAnsi="仿宋"/>
          <w:sz w:val="32"/>
          <w:szCs w:val="32"/>
          <w:lang w:val="en-US" w:eastAsia="zh-CN"/>
        </w:rPr>
        <w:sectPr>
          <w:pgSz w:w="11906" w:h="16838"/>
          <w:pgMar w:top="1440" w:right="1797" w:bottom="1440" w:left="1797" w:header="851" w:footer="567" w:gutter="0"/>
          <w:cols w:space="720" w:num="1"/>
          <w:docGrid w:linePitch="381" w:charSpace="0"/>
        </w:sectPr>
      </w:pPr>
    </w:p>
    <w:p>
      <w:pPr>
        <w:ind w:firstLine="480" w:firstLineChars="150"/>
        <w:rPr>
          <w:rFonts w:hint="eastAsia" w:hAnsi="仿宋"/>
          <w:sz w:val="32"/>
          <w:szCs w:val="32"/>
          <w:lang w:val="en-US" w:eastAsia="zh-CN"/>
        </w:rPr>
      </w:pPr>
      <w:r>
        <w:rPr>
          <w:rFonts w:hint="eastAsia" w:hAnsi="仿宋"/>
          <w:sz w:val="32"/>
          <w:szCs w:val="32"/>
          <w:lang w:val="en-US" w:eastAsia="zh-CN"/>
        </w:rPr>
        <w:t>（2）业务管理</w:t>
      </w:r>
    </w:p>
    <w:p>
      <w:pPr>
        <w:ind w:left="0" w:leftChars="0" w:firstLine="640" w:firstLineChars="200"/>
        <w:rPr>
          <w:rFonts w:hint="eastAsia" w:hAnsi="仿宋"/>
          <w:sz w:val="32"/>
          <w:szCs w:val="32"/>
          <w:lang w:val="en-US" w:eastAsia="zh-CN"/>
        </w:rPr>
      </w:pPr>
      <w:r>
        <w:rPr>
          <w:rFonts w:hint="eastAsia" w:hAnsi="仿宋"/>
          <w:sz w:val="32"/>
          <w:szCs w:val="32"/>
          <w:lang w:val="en-US" w:eastAsia="zh-CN"/>
        </w:rPr>
        <w:t>本项目各子项目的业务管理流程如下：</w:t>
      </w:r>
    </w:p>
    <w:p>
      <w:pPr>
        <w:ind w:left="0" w:leftChars="0" w:firstLine="643" w:firstLineChars="200"/>
        <w:rPr>
          <w:rFonts w:hint="eastAsia" w:hAnsi="仿宋"/>
          <w:sz w:val="32"/>
          <w:szCs w:val="32"/>
          <w:lang w:val="en-US" w:eastAsia="zh-CN"/>
        </w:rPr>
      </w:pPr>
      <w:r>
        <w:rPr>
          <w:rFonts w:hint="eastAsia"/>
          <w:b/>
          <w:bCs/>
          <w:sz w:val="32"/>
          <w:szCs w:val="32"/>
          <w:highlight w:val="none"/>
          <w:lang w:val="en-US" w:eastAsia="zh-CN"/>
        </w:rPr>
        <w:t>失智老人护理用品款项目：</w:t>
      </w:r>
    </w:p>
    <w:p>
      <w:pPr>
        <w:ind w:left="0" w:leftChars="0" w:firstLine="640" w:firstLineChars="200"/>
        <w:rPr>
          <w:rFonts w:hint="default" w:hAnsi="仿宋"/>
          <w:sz w:val="32"/>
          <w:szCs w:val="32"/>
          <w:lang w:val="en-US" w:eastAsia="zh-CN"/>
        </w:rPr>
      </w:pPr>
      <w:r>
        <w:rPr>
          <w:rFonts w:hint="eastAsia" w:hAnsi="仿宋"/>
          <w:sz w:val="32"/>
          <w:szCs w:val="32"/>
          <w:lang w:val="en-US" w:eastAsia="zh-CN"/>
        </w:rPr>
        <w:t>①综合政务网和随申办等网上渠道信息公开、村居委公示宣传栏、乡镇红十字会制作宣传板和宣传单等方式，扩大项目在基层的政策知晓率，指引相关家庭的监护人了解并根据自身情况做出需求判断；</w:t>
      </w:r>
    </w:p>
    <w:p>
      <w:pPr>
        <w:ind w:left="0" w:leftChars="0" w:firstLine="640" w:firstLineChars="200"/>
        <w:rPr>
          <w:rFonts w:hint="eastAsia" w:hAnsi="仿宋"/>
          <w:sz w:val="32"/>
          <w:szCs w:val="32"/>
          <w:lang w:val="en-US" w:eastAsia="zh-CN"/>
        </w:rPr>
      </w:pPr>
      <w:r>
        <w:rPr>
          <w:rFonts w:hint="eastAsia" w:hAnsi="仿宋"/>
          <w:sz w:val="32"/>
          <w:szCs w:val="32"/>
          <w:lang w:val="en-US" w:eastAsia="zh-CN"/>
        </w:rPr>
        <w:t>②符合条件且愿意接受服务的失智老人，由其监护人填写《社区失智、失能困难老人服务项目申请审批表》向户口所在地村(居)委提交申请;</w:t>
      </w:r>
    </w:p>
    <w:p>
      <w:pPr>
        <w:ind w:left="0" w:leftChars="0" w:firstLine="640" w:firstLineChars="200"/>
        <w:rPr>
          <w:rFonts w:hint="eastAsia" w:hAnsi="仿宋"/>
          <w:sz w:val="32"/>
          <w:szCs w:val="32"/>
          <w:lang w:val="en-US" w:eastAsia="zh-CN"/>
        </w:rPr>
      </w:pPr>
      <w:r>
        <w:rPr>
          <w:rFonts w:hint="eastAsia" w:hAnsi="仿宋"/>
          <w:sz w:val="32"/>
          <w:szCs w:val="32"/>
          <w:lang w:val="en-US" w:eastAsia="zh-CN"/>
        </w:rPr>
        <w:t>③村(居)委依据项目要求核实、初审，通过后报镇(乡)红十字会;</w:t>
      </w:r>
    </w:p>
    <w:p>
      <w:pPr>
        <w:ind w:left="0" w:leftChars="0" w:firstLine="640" w:firstLineChars="200"/>
        <w:rPr>
          <w:rFonts w:hint="eastAsia" w:hAnsi="仿宋"/>
          <w:sz w:val="32"/>
          <w:szCs w:val="32"/>
          <w:lang w:val="en-US" w:eastAsia="zh-CN"/>
        </w:rPr>
      </w:pPr>
      <w:r>
        <w:rPr>
          <w:rFonts w:hint="eastAsia" w:hAnsi="仿宋"/>
          <w:sz w:val="32"/>
          <w:szCs w:val="32"/>
          <w:lang w:val="en-US" w:eastAsia="zh-CN"/>
        </w:rPr>
        <w:t>④镇(乡)红十字会对材料进行审核，通过后汇总上报区红十字会，并将救助对象名单录入系统;</w:t>
      </w:r>
    </w:p>
    <w:p>
      <w:pPr>
        <w:ind w:left="0" w:leftChars="0" w:firstLine="640" w:firstLineChars="200"/>
        <w:rPr>
          <w:rFonts w:hint="eastAsia" w:hAnsi="仿宋"/>
          <w:sz w:val="32"/>
          <w:szCs w:val="32"/>
          <w:lang w:val="en-US" w:eastAsia="zh-CN"/>
        </w:rPr>
      </w:pPr>
      <w:r>
        <w:rPr>
          <w:rFonts w:hint="eastAsia" w:hAnsi="仿宋"/>
          <w:sz w:val="32"/>
          <w:szCs w:val="32"/>
          <w:lang w:val="en-US" w:eastAsia="zh-CN"/>
        </w:rPr>
        <w:t>⑤区红十字会和区民政局复核，通过后的人员名单由镇(乡)红十字会在服务对象所在村(居)、区红十字会网站进行公示，公示时间一周，如无异议，批准确定服务对象;</w:t>
      </w:r>
    </w:p>
    <w:p>
      <w:pPr>
        <w:ind w:left="0" w:leftChars="0" w:firstLine="640" w:firstLineChars="200"/>
        <w:rPr>
          <w:rFonts w:hint="eastAsia" w:hAnsi="仿宋"/>
          <w:sz w:val="32"/>
          <w:szCs w:val="32"/>
          <w:lang w:val="en-US" w:eastAsia="zh-CN"/>
        </w:rPr>
      </w:pPr>
      <w:r>
        <w:rPr>
          <w:rFonts w:hint="eastAsia" w:hAnsi="仿宋"/>
          <w:sz w:val="32"/>
          <w:szCs w:val="32"/>
          <w:lang w:val="en-US" w:eastAsia="zh-CN"/>
        </w:rPr>
        <w:t>⑥生产企业每月将护理用品配送至各镇(乡)，镇(乡)、村(居)红十字志愿者负责把护理用品送达各服务对象;</w:t>
      </w:r>
    </w:p>
    <w:p>
      <w:pPr>
        <w:ind w:left="0" w:leftChars="0" w:firstLine="640" w:firstLineChars="200"/>
        <w:rPr>
          <w:rFonts w:hint="eastAsia" w:hAnsi="仿宋"/>
          <w:sz w:val="32"/>
          <w:szCs w:val="32"/>
          <w:lang w:val="en-US" w:eastAsia="zh-CN"/>
        </w:rPr>
      </w:pPr>
      <w:r>
        <w:rPr>
          <w:rFonts w:hint="eastAsia" w:hAnsi="仿宋"/>
          <w:sz w:val="32"/>
          <w:szCs w:val="32"/>
          <w:lang w:val="en-US" w:eastAsia="zh-CN"/>
        </w:rPr>
        <w:t>⑦镇(乡)红十字会做好本辖区服务对象变化情况的审核和终止，做好护理用品发放的签收工作，于发放完成后的次月将签收单交区红十字会。</w:t>
      </w:r>
    </w:p>
    <w:p>
      <w:pPr>
        <w:ind w:left="0" w:leftChars="0" w:firstLine="640" w:firstLineChars="200"/>
        <w:rPr>
          <w:rFonts w:hint="eastAsia" w:hAnsi="仿宋"/>
          <w:sz w:val="32"/>
          <w:szCs w:val="32"/>
          <w:lang w:val="en-US" w:eastAsia="zh-CN"/>
        </w:rPr>
      </w:pPr>
      <w:r>
        <w:rPr>
          <w:rFonts w:hint="eastAsia" w:hAnsi="仿宋"/>
          <w:sz w:val="32"/>
          <w:szCs w:val="32"/>
          <w:lang w:val="en-US" w:eastAsia="zh-CN"/>
        </w:rPr>
        <w:t>⑧补贴退出机制：区红会和区殡仪馆有数据对接，通过平台数据监测和检查，可及时发现由于老人去世而需要退出补贴名单的情况，避免“补贴落空”。此外，失智老人监护人也可主动向所在地村(居)委提交退出补贴申请，通过后即可及时在系统上删减配送名单。</w:t>
      </w:r>
    </w:p>
    <w:p>
      <w:pPr>
        <w:ind w:left="0" w:leftChars="0" w:firstLine="640" w:firstLineChars="200"/>
        <w:rPr>
          <w:rFonts w:hint="eastAsia" w:hAnsi="仿宋"/>
          <w:sz w:val="32"/>
          <w:szCs w:val="32"/>
          <w:lang w:val="en-US" w:eastAsia="zh-CN"/>
        </w:rPr>
      </w:pPr>
      <w:r>
        <w:rPr>
          <w:rFonts w:hint="eastAsia" w:hAnsi="仿宋"/>
          <w:sz w:val="32"/>
          <w:szCs w:val="32"/>
          <w:lang w:val="en-US" w:eastAsia="zh-CN"/>
        </w:rPr>
        <w:t>⑨政府采购情况：护理用品的供货商由市红会进行统一公开招标，确定中标对象和采购目录后，由区红会从目录中自行选择一家供货商，签订供货合同。</w:t>
      </w:r>
    </w:p>
    <w:p>
      <w:pPr>
        <w:ind w:left="0" w:leftChars="0" w:firstLine="640" w:firstLineChars="200"/>
        <w:rPr>
          <w:rFonts w:hint="default" w:hAnsi="仿宋"/>
          <w:sz w:val="32"/>
          <w:szCs w:val="32"/>
          <w:lang w:val="en-US" w:eastAsia="zh-CN"/>
        </w:rPr>
      </w:pPr>
      <w:r>
        <w:rPr>
          <w:rFonts w:hint="eastAsia" w:hAnsi="仿宋"/>
          <w:sz w:val="32"/>
          <w:szCs w:val="32"/>
          <w:lang w:val="en-US" w:eastAsia="zh-CN"/>
        </w:rPr>
        <w:t>⑩部门间职责与资金保障：本项目预算中福彩公益金承担部分的具体额度，由区民政局和区红会沟通确定，最终由市红会资金、区级福彩公益金和区红会预算资金三部分共同保障；在职责分工方面，区民政局负责项目预算申报，区红会负责项目具体执行。</w:t>
      </w:r>
    </w:p>
    <w:p>
      <w:pPr>
        <w:ind w:left="0" w:leftChars="0" w:firstLine="643" w:firstLineChars="200"/>
        <w:rPr>
          <w:rFonts w:hint="default" w:hAnsi="仿宋"/>
          <w:sz w:val="32"/>
          <w:szCs w:val="32"/>
          <w:lang w:val="en-US" w:eastAsia="zh-CN"/>
        </w:rPr>
      </w:pPr>
      <w:r>
        <w:rPr>
          <w:rFonts w:hint="eastAsia"/>
          <w:b/>
          <w:bCs/>
          <w:sz w:val="32"/>
          <w:szCs w:val="32"/>
          <w:highlight w:val="none"/>
          <w:lang w:val="en-US" w:eastAsia="zh-CN"/>
        </w:rPr>
        <w:t>示范睦邻点一次性补贴项目：</w:t>
      </w:r>
    </w:p>
    <w:p>
      <w:pPr>
        <w:ind w:left="0" w:leftChars="0" w:firstLine="640" w:firstLineChars="200"/>
        <w:rPr>
          <w:rFonts w:hint="default" w:hAnsi="仿宋"/>
          <w:sz w:val="32"/>
          <w:szCs w:val="32"/>
          <w:lang w:val="en-US" w:eastAsia="zh-CN"/>
        </w:rPr>
      </w:pPr>
      <w:r>
        <w:rPr>
          <w:rFonts w:hint="eastAsia" w:hAnsi="仿宋"/>
          <w:sz w:val="32"/>
          <w:szCs w:val="32"/>
          <w:lang w:val="en-US" w:eastAsia="zh-CN"/>
        </w:rPr>
        <w:t>由村（居）委向全体村（居）民发出睦邻点建设倡议，所在村居的村（居）民个人或非正式团体自愿响应并进行建设，经所在居村委及乡镇确认后，由乡镇社区建设办公室和居村委管理人员提供示范睦邻点建设指导，帮助发起人（团体）对示范睦邻点场地完成布置（一般包括简易装修、桌椅添置、宣传栏上墙、制作台账等），对基础设施较为完备、举办活动较为丰富的睦邻点，由村（居）委统一上报申报市级示范睦邻点，由区民政局进行统一现场验收，参照比对《上海市农村老年人示范睦邻点建设指引》的要求，对示范睦邻点的场地面积、消防和防暑降温等设备配置情况、卫生环境情况、提供文娱服务情况等进行综合评判，达到示范睦邻点建设基本要求的，即通过验收，汇总全区验收通过的示范睦邻点清单，上报市民政局审核，通过后，下达福彩公益金补贴。</w:t>
      </w:r>
    </w:p>
    <w:p>
      <w:pPr>
        <w:ind w:left="0" w:leftChars="0" w:firstLine="643" w:firstLineChars="200"/>
        <w:rPr>
          <w:rFonts w:hint="default" w:hAnsi="仿宋"/>
          <w:sz w:val="32"/>
          <w:szCs w:val="32"/>
          <w:lang w:val="en-US" w:eastAsia="zh-CN"/>
        </w:rPr>
      </w:pPr>
      <w:r>
        <w:rPr>
          <w:rFonts w:hint="eastAsia"/>
          <w:b/>
          <w:bCs/>
          <w:sz w:val="32"/>
          <w:szCs w:val="32"/>
          <w:highlight w:val="none"/>
          <w:lang w:val="en-US" w:eastAsia="zh-CN"/>
        </w:rPr>
        <w:t>社区综合为老服务中心建设补贴项目：</w:t>
      </w:r>
    </w:p>
    <w:p>
      <w:pPr>
        <w:ind w:left="0" w:leftChars="0" w:firstLine="640" w:firstLineChars="200"/>
        <w:rPr>
          <w:rFonts w:hint="default" w:hAnsi="仿宋"/>
          <w:sz w:val="32"/>
          <w:szCs w:val="32"/>
          <w:lang w:val="en-US" w:eastAsia="zh-CN"/>
        </w:rPr>
      </w:pPr>
      <w:r>
        <w:rPr>
          <w:rFonts w:hint="eastAsia" w:hAnsi="仿宋"/>
          <w:sz w:val="32"/>
          <w:szCs w:val="32"/>
          <w:lang w:val="en-US" w:eastAsia="zh-CN"/>
        </w:rPr>
        <w:t>乡镇负责研究制定新增建设社区综合为老服务中心的项目可行性，确定初步方案后上报区发改委立项，正式立项后申报市区两级补贴，项目建设完成并委托第三方出具审计报告后，由市民政局委托第三方对全市新建成的</w:t>
      </w:r>
      <w:r>
        <w:rPr>
          <w:rFonts w:hint="eastAsia"/>
          <w:sz w:val="32"/>
          <w:szCs w:val="32"/>
          <w:highlight w:val="none"/>
          <w:lang w:val="en-US" w:eastAsia="zh-CN"/>
        </w:rPr>
        <w:t>综合为老服务中心进行统一</w:t>
      </w:r>
      <w:r>
        <w:rPr>
          <w:rFonts w:hint="eastAsia" w:hAnsi="仿宋"/>
          <w:sz w:val="32"/>
          <w:szCs w:val="32"/>
          <w:lang w:val="en-US" w:eastAsia="zh-CN"/>
        </w:rPr>
        <w:t>现场验收，验收标准比对《2021年社区综合为老服务中心评估标准》，主要从“A类基础标准”和“B类扩展标准”两个方面评估，A类主要评估中心是否具备基本功能，作为判定中心“合格”、“不合格”的依据，满分100分，评分75分以上的可获得建设补贴；B类评估中心是否功能完整、设施完备、服务齐全、管理有效，作为判定中心建设是否优良的依据。验收完成后，市民政局告知区民政局《2021年度社区综合为老服务中心验收评估结果》，根据结果，市区两级民政局下达补贴。</w:t>
      </w:r>
    </w:p>
    <w:p>
      <w:pPr>
        <w:ind w:left="0" w:leftChars="0" w:firstLine="643" w:firstLineChars="200"/>
        <w:rPr>
          <w:rFonts w:hint="eastAsia"/>
          <w:sz w:val="32"/>
          <w:szCs w:val="32"/>
          <w:highlight w:val="none"/>
          <w:lang w:val="en-US" w:eastAsia="zh-CN"/>
        </w:rPr>
      </w:pPr>
      <w:r>
        <w:rPr>
          <w:rFonts w:hint="eastAsia"/>
          <w:b/>
          <w:bCs/>
          <w:sz w:val="32"/>
          <w:szCs w:val="32"/>
          <w:highlight w:val="none"/>
          <w:lang w:val="en-US" w:eastAsia="zh-CN"/>
        </w:rPr>
        <w:t>养老机构综合责任保险费用区级配套经费项目：</w:t>
      </w:r>
    </w:p>
    <w:p>
      <w:pPr>
        <w:ind w:firstLine="480" w:firstLineChars="150"/>
        <w:rPr>
          <w:rFonts w:hint="eastAsia" w:hAnsi="仿宋"/>
          <w:sz w:val="32"/>
          <w:szCs w:val="32"/>
          <w:lang w:val="en-US" w:eastAsia="zh-CN"/>
        </w:rPr>
      </w:pPr>
      <w:r>
        <w:rPr>
          <w:rFonts w:hint="eastAsia"/>
          <w:sz w:val="32"/>
          <w:szCs w:val="32"/>
          <w:highlight w:val="none"/>
          <w:lang w:val="en-US" w:eastAsia="zh-CN"/>
        </w:rPr>
        <w:t>由市民政局于年初通过公开招投标确定各区的承保保险公司，区民政局督促养老机构及时完成与指定保险公司的签约和续保工作，根据养老机构与保险公司续约保单中实际投保的床位数，市民政局和区民政局各自按照60元/床位/年的补贴标准将资金拨付至保险公司，完成年度保费的缴纳。保险期间，如有出险，由养老机构报案保险公司，保险公司派遣定损专员进行案件责任认定和理赔金额认定，养老机构按保险公司要求提交理赔所需材料后，保险公司走完内部审核程序后，将理赔款赔付至养老机构账户。每年初，保险公司将上一年度的全区养老机构出险理赔情况汇总反馈至区民政局。</w:t>
      </w:r>
    </w:p>
    <w:p>
      <w:pPr>
        <w:ind w:left="0" w:leftChars="0" w:firstLine="0" w:firstLineChars="0"/>
        <w:rPr>
          <w:rFonts w:hint="eastAsia" w:hAnsi="仿宋"/>
          <w:lang w:val="en-US" w:eastAsia="zh-CN"/>
        </w:rPr>
      </w:pPr>
    </w:p>
    <w:p>
      <w:pPr>
        <w:spacing w:line="240" w:lineRule="auto"/>
        <w:ind w:left="0" w:leftChars="0" w:firstLine="0" w:firstLineChars="0"/>
        <w:rPr>
          <w:rFonts w:hAnsi="仿宋"/>
          <w:b/>
        </w:rPr>
        <w:sectPr>
          <w:pgSz w:w="11906" w:h="16838"/>
          <w:pgMar w:top="1440" w:right="1797" w:bottom="1440" w:left="1797" w:header="851" w:footer="567" w:gutter="0"/>
          <w:cols w:space="720" w:num="1"/>
          <w:docGrid w:linePitch="381" w:charSpace="0"/>
        </w:sectPr>
      </w:pPr>
    </w:p>
    <w:p>
      <w:pPr>
        <w:outlineLvl w:val="2"/>
        <w:rPr>
          <w:rFonts w:hint="eastAsia" w:hAnsi="仿宋" w:eastAsia="仿宋_GB2312"/>
          <w:b/>
          <w:sz w:val="32"/>
          <w:szCs w:val="32"/>
          <w:highlight w:val="yellow"/>
          <w:lang w:eastAsia="zh-CN"/>
        </w:rPr>
      </w:pPr>
      <w:bookmarkStart w:id="36" w:name="_Toc14894"/>
      <w:r>
        <w:rPr>
          <w:rFonts w:hint="eastAsia" w:hAnsi="仿宋"/>
          <w:b/>
          <w:sz w:val="32"/>
          <w:szCs w:val="32"/>
        </w:rPr>
        <w:t>3.</w:t>
      </w:r>
      <w:r>
        <w:rPr>
          <w:rFonts w:hint="eastAsia" w:hAnsi="仿宋"/>
          <w:b/>
          <w:sz w:val="32"/>
          <w:szCs w:val="32"/>
          <w:highlight w:val="none"/>
          <w:lang w:val="en-US" w:eastAsia="zh-CN"/>
        </w:rPr>
        <w:t>财务管理</w:t>
      </w:r>
      <w:bookmarkEnd w:id="36"/>
    </w:p>
    <w:p>
      <w:pPr>
        <w:ind w:firstLine="480" w:firstLineChars="150"/>
        <w:rPr>
          <w:rFonts w:hint="eastAsia" w:hAnsi="仿宋" w:eastAsia="仿宋_GB2312"/>
          <w:sz w:val="32"/>
          <w:szCs w:val="32"/>
          <w:lang w:eastAsia="zh-CN"/>
        </w:rPr>
      </w:pPr>
      <w:r>
        <w:rPr>
          <w:rFonts w:hint="eastAsia" w:hAnsi="仿宋"/>
          <w:sz w:val="32"/>
          <w:szCs w:val="32"/>
          <w:lang w:eastAsia="zh-CN"/>
        </w:rPr>
        <w:t>（</w:t>
      </w:r>
      <w:r>
        <w:rPr>
          <w:rFonts w:hint="eastAsia" w:hAnsi="仿宋"/>
          <w:sz w:val="32"/>
          <w:szCs w:val="32"/>
          <w:lang w:val="en-US" w:eastAsia="zh-CN"/>
        </w:rPr>
        <w:t>1</w:t>
      </w:r>
      <w:r>
        <w:rPr>
          <w:rFonts w:hint="eastAsia" w:hAnsi="仿宋"/>
          <w:sz w:val="32"/>
          <w:szCs w:val="32"/>
          <w:lang w:eastAsia="zh-CN"/>
        </w:rPr>
        <w:t>）</w:t>
      </w:r>
      <w:r>
        <w:rPr>
          <w:rFonts w:hint="eastAsia" w:ascii="仿宋_GB2312" w:eastAsia="仿宋_GB2312"/>
          <w:sz w:val="32"/>
          <w:szCs w:val="32"/>
        </w:rPr>
        <w:t>预算管理</w:t>
      </w:r>
    </w:p>
    <w:p>
      <w:pPr>
        <w:ind w:firstLine="480" w:firstLineChars="150"/>
        <w:rPr>
          <w:rFonts w:hint="eastAsia" w:hAnsi="仿宋"/>
          <w:sz w:val="32"/>
          <w:szCs w:val="32"/>
        </w:rPr>
      </w:pPr>
      <w:r>
        <w:rPr>
          <w:rFonts w:hint="eastAsia" w:hAnsi="仿宋"/>
          <w:sz w:val="32"/>
          <w:szCs w:val="32"/>
          <w:lang w:val="en-US" w:eastAsia="zh-CN"/>
        </w:rPr>
        <w:t>本项目资金全部来源于</w:t>
      </w:r>
      <w:r>
        <w:rPr>
          <w:rFonts w:hint="eastAsia" w:hAnsi="仿宋"/>
          <w:sz w:val="32"/>
          <w:szCs w:val="32"/>
        </w:rPr>
        <w:t>区级</w:t>
      </w:r>
      <w:r>
        <w:rPr>
          <w:rFonts w:hint="eastAsia" w:hAnsi="仿宋"/>
          <w:sz w:val="32"/>
          <w:szCs w:val="32"/>
          <w:lang w:val="en-US" w:eastAsia="zh-CN"/>
        </w:rPr>
        <w:t>福彩公益金</w:t>
      </w:r>
      <w:r>
        <w:rPr>
          <w:rFonts w:hint="eastAsia" w:hAnsi="仿宋"/>
          <w:sz w:val="32"/>
          <w:szCs w:val="32"/>
        </w:rPr>
        <w:t>，</w:t>
      </w:r>
      <w:r>
        <w:rPr>
          <w:rFonts w:hint="eastAsia" w:hAnsi="仿宋"/>
          <w:sz w:val="32"/>
          <w:szCs w:val="32"/>
          <w:lang w:val="en-US" w:eastAsia="zh-CN"/>
        </w:rPr>
        <w:t>根据</w:t>
      </w:r>
      <w:r>
        <w:rPr>
          <w:rFonts w:hint="eastAsia"/>
          <w:sz w:val="32"/>
          <w:szCs w:val="32"/>
          <w:lang w:val="en-US" w:eastAsia="zh-CN"/>
        </w:rPr>
        <w:t>《上海市崇明区区级福利彩票公益金使用管理办法》</w:t>
      </w:r>
      <w:r>
        <w:rPr>
          <w:rFonts w:hint="eastAsia" w:hAnsi="仿宋"/>
          <w:sz w:val="32"/>
          <w:szCs w:val="32"/>
        </w:rPr>
        <w:t>的规定，</w:t>
      </w:r>
      <w:r>
        <w:rPr>
          <w:rFonts w:hint="eastAsia" w:hAnsi="仿宋"/>
          <w:sz w:val="32"/>
          <w:szCs w:val="32"/>
          <w:highlight w:val="none"/>
          <w:lang w:val="en-US" w:eastAsia="zh-CN"/>
        </w:rPr>
        <w:t>区级福彩公益金纳入区级政府性基金预算，区民政局、区财政局按职责共同管理。区民政局负责按资金使用范围编制区级资金预算建议、督促预算资金执行、开展项目绩效管理、监督检查等日常管理工作:区财政局负责审核区民政局报送的预算编制建议、批复预算，会同区民政局分配下达资金、对资金使用情况进行监督和绩效管理。其他申请使用区级福彩公益金的单位、群团组织（如区红十字会）根据各自的职责,对本单位使用的区级福彩公益金进行监督和使用管理工作。</w:t>
      </w:r>
    </w:p>
    <w:p>
      <w:pPr>
        <w:ind w:firstLine="480" w:firstLineChars="150"/>
        <w:rPr>
          <w:rFonts w:hint="eastAsia" w:hAnsi="仿宋" w:eastAsia="仿宋_GB2312"/>
          <w:sz w:val="32"/>
          <w:szCs w:val="32"/>
          <w:lang w:eastAsia="zh-CN"/>
        </w:rPr>
      </w:pPr>
      <w:r>
        <w:rPr>
          <w:rFonts w:hint="eastAsia" w:hAnsi="仿宋"/>
          <w:sz w:val="32"/>
          <w:szCs w:val="32"/>
          <w:lang w:eastAsia="zh-CN"/>
        </w:rPr>
        <w:t>（</w:t>
      </w:r>
      <w:r>
        <w:rPr>
          <w:rFonts w:hint="eastAsia" w:hAnsi="仿宋"/>
          <w:sz w:val="32"/>
          <w:szCs w:val="32"/>
          <w:lang w:val="en-US" w:eastAsia="zh-CN"/>
        </w:rPr>
        <w:t>2</w:t>
      </w:r>
      <w:r>
        <w:rPr>
          <w:rFonts w:hint="eastAsia" w:hAnsi="仿宋"/>
          <w:sz w:val="32"/>
          <w:szCs w:val="32"/>
          <w:lang w:eastAsia="zh-CN"/>
        </w:rPr>
        <w:t>）</w:t>
      </w:r>
      <w:r>
        <w:rPr>
          <w:rFonts w:hint="eastAsia" w:ascii="仿宋_GB2312" w:eastAsia="仿宋_GB2312"/>
          <w:sz w:val="32"/>
          <w:szCs w:val="32"/>
        </w:rPr>
        <w:t>资金拨付</w:t>
      </w:r>
    </w:p>
    <w:p>
      <w:pPr>
        <w:ind w:firstLine="480" w:firstLineChars="150"/>
        <w:rPr>
          <w:rFonts w:hint="eastAsia" w:hAnsi="仿宋"/>
          <w:sz w:val="32"/>
          <w:szCs w:val="32"/>
        </w:rPr>
      </w:pPr>
      <w:r>
        <w:rPr>
          <w:rFonts w:hint="eastAsia" w:hAnsi="仿宋"/>
          <w:sz w:val="32"/>
          <w:szCs w:val="32"/>
        </w:rPr>
        <w:t>本项目</w:t>
      </w:r>
      <w:r>
        <w:rPr>
          <w:rFonts w:hint="eastAsia" w:hAnsi="仿宋"/>
          <w:sz w:val="32"/>
          <w:szCs w:val="32"/>
          <w:lang w:val="en-US" w:eastAsia="zh-CN"/>
        </w:rPr>
        <w:t>资金申请及拨付流程视子项目不同而略有区别，具体拨付流程图如下图2所示：</w:t>
      </w:r>
    </w:p>
    <w:p>
      <w:pPr>
        <w:spacing w:line="240" w:lineRule="auto"/>
        <w:ind w:left="0" w:leftChars="0" w:firstLine="0" w:firstLineChars="0"/>
        <w:jc w:val="center"/>
      </w:pPr>
      <w:r>
        <w:drawing>
          <wp:inline distT="0" distB="0" distL="114300" distR="114300">
            <wp:extent cx="4762500" cy="2964180"/>
            <wp:effectExtent l="0" t="0" r="7620" b="7620"/>
            <wp:docPr id="9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6"/>
                    <pic:cNvPicPr>
                      <a:picLocks noChangeAspect="1"/>
                    </pic:cNvPicPr>
                  </pic:nvPicPr>
                  <pic:blipFill>
                    <a:blip r:embed="rId19"/>
                    <a:stretch>
                      <a:fillRect/>
                    </a:stretch>
                  </pic:blipFill>
                  <pic:spPr>
                    <a:xfrm>
                      <a:off x="0" y="0"/>
                      <a:ext cx="4762500" cy="2964180"/>
                    </a:xfrm>
                    <a:prstGeom prst="rect">
                      <a:avLst/>
                    </a:prstGeom>
                    <a:noFill/>
                    <a:ln>
                      <a:noFill/>
                    </a:ln>
                  </pic:spPr>
                </pic:pic>
              </a:graphicData>
            </a:graphic>
          </wp:inline>
        </w:drawing>
      </w:r>
    </w:p>
    <w:p>
      <w:pPr>
        <w:spacing w:line="240" w:lineRule="auto"/>
        <w:ind w:left="0" w:leftChars="0" w:firstLine="0" w:firstLineChars="0"/>
        <w:jc w:val="center"/>
        <w:rPr>
          <w:rFonts w:hint="eastAsia"/>
          <w:lang w:eastAsia="zh-CN"/>
        </w:rPr>
      </w:pPr>
      <w:r>
        <w:drawing>
          <wp:inline distT="0" distB="0" distL="114300" distR="114300">
            <wp:extent cx="5273040" cy="3270885"/>
            <wp:effectExtent l="0" t="0" r="0" b="5715"/>
            <wp:docPr id="9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17"/>
                    <pic:cNvPicPr>
                      <a:picLocks noChangeAspect="1"/>
                    </pic:cNvPicPr>
                  </pic:nvPicPr>
                  <pic:blipFill>
                    <a:blip r:embed="rId20"/>
                    <a:stretch>
                      <a:fillRect/>
                    </a:stretch>
                  </pic:blipFill>
                  <pic:spPr>
                    <a:xfrm>
                      <a:off x="0" y="0"/>
                      <a:ext cx="5273040" cy="3270885"/>
                    </a:xfrm>
                    <a:prstGeom prst="rect">
                      <a:avLst/>
                    </a:prstGeom>
                    <a:noFill/>
                    <a:ln>
                      <a:noFill/>
                    </a:ln>
                  </pic:spPr>
                </pic:pic>
              </a:graphicData>
            </a:graphic>
          </wp:inline>
        </w:drawing>
      </w:r>
    </w:p>
    <w:p>
      <w:pPr>
        <w:spacing w:line="240" w:lineRule="auto"/>
        <w:ind w:firstLine="361" w:firstLineChars="150"/>
        <w:jc w:val="center"/>
        <w:rPr>
          <w:rFonts w:hint="default" w:hAnsi="仿宋" w:eastAsia="仿宋_GB2312"/>
          <w:lang w:val="en-US" w:eastAsia="zh-CN"/>
        </w:rPr>
      </w:pPr>
      <w:r>
        <w:rPr>
          <w:rFonts w:hint="eastAsia" w:hAnsi="仿宋"/>
          <w:b/>
          <w:bCs/>
          <w:sz w:val="24"/>
          <w:szCs w:val="24"/>
          <w:lang w:val="en-US" w:eastAsia="zh-CN"/>
        </w:rPr>
        <w:t>图2 资金拨付流程图</w:t>
      </w:r>
    </w:p>
    <w:p>
      <w:pPr>
        <w:ind w:firstLine="562"/>
        <w:rPr>
          <w:rFonts w:hint="eastAsia" w:hAnsi="Arial Unicode MS" w:cs="Arial Unicode MS"/>
          <w:b w:val="0"/>
          <w:bCs/>
          <w:sz w:val="32"/>
          <w:szCs w:val="32"/>
          <w:lang w:eastAsia="zh-CN"/>
        </w:rPr>
      </w:pPr>
      <w:r>
        <w:rPr>
          <w:rFonts w:hint="eastAsia" w:hAnsi="Arial Unicode MS" w:cs="Arial Unicode MS"/>
          <w:b w:val="0"/>
          <w:bCs/>
          <w:sz w:val="32"/>
          <w:szCs w:val="32"/>
          <w:lang w:eastAsia="zh-CN"/>
        </w:rPr>
        <w:t>（</w:t>
      </w:r>
      <w:r>
        <w:rPr>
          <w:rFonts w:hint="eastAsia" w:hAnsi="Arial Unicode MS" w:cs="Arial Unicode MS"/>
          <w:b w:val="0"/>
          <w:bCs/>
          <w:sz w:val="32"/>
          <w:szCs w:val="32"/>
          <w:lang w:val="en-US" w:eastAsia="zh-CN"/>
        </w:rPr>
        <w:t>3</w:t>
      </w:r>
      <w:r>
        <w:rPr>
          <w:rFonts w:hint="eastAsia" w:hAnsi="Arial Unicode MS" w:cs="Arial Unicode MS"/>
          <w:b w:val="0"/>
          <w:bCs/>
          <w:sz w:val="32"/>
          <w:szCs w:val="32"/>
          <w:lang w:eastAsia="zh-CN"/>
        </w:rPr>
        <w:t>）</w:t>
      </w:r>
      <w:r>
        <w:rPr>
          <w:rFonts w:hint="eastAsia" w:hAnsi="Arial Unicode MS" w:cs="Arial Unicode MS"/>
          <w:b w:val="0"/>
          <w:bCs/>
          <w:sz w:val="32"/>
          <w:szCs w:val="32"/>
        </w:rPr>
        <w:t>财务监管</w:t>
      </w:r>
    </w:p>
    <w:p>
      <w:pPr>
        <w:ind w:firstLine="562"/>
        <w:rPr>
          <w:rFonts w:hint="eastAsia" w:hAnsi="Arial Unicode MS" w:eastAsia="仿宋_GB2312" w:cs="Arial Unicode MS"/>
          <w:b w:val="0"/>
          <w:bCs/>
          <w:sz w:val="32"/>
          <w:szCs w:val="32"/>
          <w:lang w:eastAsia="zh-CN"/>
        </w:rPr>
      </w:pPr>
      <w:r>
        <w:rPr>
          <w:rFonts w:hint="eastAsia" w:hAnsi="Arial Unicode MS" w:cs="Arial Unicode MS"/>
          <w:b w:val="0"/>
          <w:bCs/>
          <w:sz w:val="32"/>
          <w:szCs w:val="32"/>
          <w:lang w:val="en-US" w:eastAsia="zh-CN"/>
        </w:rPr>
        <w:t>区级福彩公益金使用管理严格执行国家法律法规和财务规章制度，专款专用，接受各级民政、财政、审计等部门或由上述部门委托的第三方机构的监督和检查。每年6月底前，区民政局根据有关规定，在政府门户网站上公开上一年度区级福彩公益金使用规模、资助项目、执行情况和实际效果等相关信息，接受社会监督。将各单位的区级福彩公益金使用管理情况纳入年度财务制度执行情况考核范围,区民政局对区级福彩公益金使用管理中出现挤占挪用等违规行为的，缓拨、停拨或收回已拨付资金，情节严重的，削减或取消下一年度区级福彩公益金预算额度，情节特别严重的，依法依纪追究有关单位和个人责任。</w:t>
      </w:r>
    </w:p>
    <w:p>
      <w:pPr>
        <w:pStyle w:val="3"/>
        <w:rPr>
          <w:sz w:val="32"/>
          <w:szCs w:val="32"/>
        </w:rPr>
      </w:pPr>
      <w:bookmarkStart w:id="37" w:name="_Toc28272"/>
      <w:bookmarkStart w:id="38" w:name="_Toc8482"/>
      <w:r>
        <w:rPr>
          <w:rFonts w:hint="eastAsia" w:ascii="方正楷体_GB2312" w:hAnsi="方正楷体_GB2312" w:eastAsia="方正楷体_GB2312" w:cs="方正楷体_GB2312"/>
          <w:sz w:val="32"/>
          <w:szCs w:val="32"/>
        </w:rPr>
        <w:t>（</w:t>
      </w:r>
      <w:r>
        <w:rPr>
          <w:rFonts w:hint="eastAsia" w:ascii="方正楷体_GB2312" w:hAnsi="方正楷体_GB2312" w:eastAsia="方正楷体_GB2312" w:cs="方正楷体_GB2312"/>
          <w:sz w:val="32"/>
          <w:szCs w:val="32"/>
          <w:lang w:val="en-US" w:eastAsia="zh-CN"/>
        </w:rPr>
        <w:t>五</w:t>
      </w:r>
      <w:r>
        <w:rPr>
          <w:rFonts w:hint="eastAsia" w:ascii="方正楷体_GB2312" w:hAnsi="方正楷体_GB2312" w:eastAsia="方正楷体_GB2312" w:cs="方正楷体_GB2312"/>
          <w:sz w:val="32"/>
          <w:szCs w:val="32"/>
        </w:rPr>
        <w:t>）项目绩效目标</w:t>
      </w:r>
      <w:bookmarkEnd w:id="37"/>
      <w:bookmarkEnd w:id="38"/>
    </w:p>
    <w:bookmarkEnd w:id="20"/>
    <w:bookmarkEnd w:id="21"/>
    <w:bookmarkEnd w:id="22"/>
    <w:p>
      <w:pPr>
        <w:ind w:firstLine="562"/>
        <w:rPr>
          <w:rFonts w:hint="eastAsia" w:hAnsi="Arial Unicode MS" w:cs="Arial Unicode MS"/>
          <w:b w:val="0"/>
          <w:bCs/>
          <w:sz w:val="32"/>
          <w:szCs w:val="32"/>
          <w:highlight w:val="none"/>
          <w:lang w:eastAsia="zh-CN"/>
        </w:rPr>
      </w:pPr>
      <w:bookmarkStart w:id="39" w:name="_Toc313951561"/>
      <w:bookmarkStart w:id="40" w:name="_Toc314496158"/>
      <w:bookmarkStart w:id="41" w:name="_Toc320534548"/>
      <w:bookmarkStart w:id="42" w:name="_Toc22058"/>
      <w:r>
        <w:rPr>
          <w:rFonts w:hint="eastAsia" w:hAnsi="Arial Unicode MS" w:cs="Arial Unicode MS"/>
          <w:b w:val="0"/>
          <w:bCs/>
          <w:sz w:val="32"/>
          <w:szCs w:val="32"/>
          <w:highlight w:val="none"/>
          <w:lang w:val="en-US" w:eastAsia="zh-CN"/>
        </w:rPr>
        <w:t>预算单位编制的年初绩效目标表基本符合</w:t>
      </w:r>
      <w:r>
        <w:rPr>
          <w:rFonts w:hint="eastAsia" w:hAnsi="Arial Unicode MS" w:cs="Arial Unicode MS"/>
          <w:b w:val="0"/>
          <w:bCs/>
          <w:sz w:val="32"/>
          <w:szCs w:val="32"/>
        </w:rPr>
        <w:t>崇明区财政局对绩效目标的设定框架要求</w:t>
      </w:r>
      <w:r>
        <w:rPr>
          <w:rFonts w:hint="eastAsia" w:hAnsi="Arial Unicode MS" w:cs="Arial Unicode MS"/>
          <w:b w:val="0"/>
          <w:bCs/>
          <w:sz w:val="32"/>
          <w:szCs w:val="32"/>
          <w:highlight w:val="none"/>
          <w:lang w:val="en-US" w:eastAsia="zh-CN"/>
        </w:rPr>
        <w:t>，但存在个别目标设置不合理，例如产出数量指标“发给失智失能老人的护理用品金额”指标的目标值设置为“&gt;=100万元”，发放金额不宜作为目标；部分指标不明确，例如社会效益指标“</w:t>
      </w:r>
      <w:r>
        <w:rPr>
          <w:rFonts w:hint="eastAsia" w:ascii="仿宋_GB2312" w:hAnsi="仿宋_GB2312" w:eastAsia="仿宋_GB2312" w:cs="仿宋_GB2312"/>
          <w:i w:val="0"/>
          <w:iCs w:val="0"/>
          <w:color w:val="000000"/>
          <w:kern w:val="0"/>
          <w:sz w:val="32"/>
          <w:szCs w:val="32"/>
          <w:u w:val="none"/>
          <w:lang w:val="en-US" w:eastAsia="zh-CN" w:bidi="ar"/>
        </w:rPr>
        <w:t>提升社会对老年人的关注度</w:t>
      </w:r>
      <w:r>
        <w:rPr>
          <w:rFonts w:hint="eastAsia" w:hAnsi="Arial Unicode MS" w:cs="Arial Unicode MS"/>
          <w:b w:val="0"/>
          <w:bCs/>
          <w:sz w:val="32"/>
          <w:szCs w:val="32"/>
          <w:highlight w:val="none"/>
          <w:lang w:val="en-US" w:eastAsia="zh-CN"/>
        </w:rPr>
        <w:t>”的目标为“形成尊老爱老的氛围”，指标值不够清晰可衡量。具体目标表详见附件5</w:t>
      </w:r>
      <w:r>
        <w:rPr>
          <w:rFonts w:hint="eastAsia" w:hAnsi="Arial Unicode MS" w:cs="Arial Unicode MS"/>
          <w:b w:val="0"/>
          <w:bCs/>
          <w:sz w:val="32"/>
          <w:szCs w:val="32"/>
          <w:highlight w:val="none"/>
          <w:lang w:eastAsia="zh-CN"/>
        </w:rPr>
        <w:t>。</w:t>
      </w:r>
    </w:p>
    <w:p>
      <w:pPr>
        <w:ind w:firstLine="562"/>
        <w:rPr>
          <w:rFonts w:hint="eastAsia" w:hAnsi="Arial Unicode MS" w:cs="Arial Unicode MS"/>
          <w:b w:val="0"/>
          <w:bCs/>
          <w:sz w:val="32"/>
          <w:szCs w:val="32"/>
        </w:rPr>
      </w:pPr>
      <w:r>
        <w:rPr>
          <w:rFonts w:hint="eastAsia" w:hAnsi="Arial Unicode MS" w:cs="Arial Unicode MS"/>
          <w:b w:val="0"/>
          <w:bCs/>
          <w:sz w:val="32"/>
          <w:szCs w:val="32"/>
          <w:lang w:val="en-US" w:eastAsia="zh-CN"/>
        </w:rPr>
        <w:t>基于上述情况，结合项目特点，</w:t>
      </w:r>
      <w:r>
        <w:rPr>
          <w:rFonts w:hint="eastAsia" w:hAnsi="Arial Unicode MS" w:cs="Arial Unicode MS"/>
          <w:b w:val="0"/>
          <w:bCs/>
          <w:sz w:val="32"/>
          <w:szCs w:val="32"/>
        </w:rPr>
        <w:t>评价组按照《关于印发</w:t>
      </w:r>
      <w:r>
        <w:rPr>
          <w:rFonts w:hint="eastAsia" w:hAnsi="Arial Unicode MS" w:cs="Arial Unicode MS"/>
          <w:b w:val="0"/>
          <w:bCs/>
          <w:sz w:val="32"/>
          <w:szCs w:val="32"/>
          <w:lang w:eastAsia="zh-CN"/>
        </w:rPr>
        <w:t>〈</w:t>
      </w:r>
      <w:r>
        <w:rPr>
          <w:rFonts w:hint="eastAsia" w:hAnsi="Arial Unicode MS" w:cs="Arial Unicode MS"/>
          <w:b w:val="0"/>
          <w:bCs/>
          <w:sz w:val="32"/>
          <w:szCs w:val="32"/>
        </w:rPr>
        <w:t>上海市财政项目支出预算绩效管理办法（试行）</w:t>
      </w:r>
      <w:r>
        <w:rPr>
          <w:rFonts w:hint="eastAsia" w:hAnsi="Arial Unicode MS" w:cs="Arial Unicode MS"/>
          <w:b w:val="0"/>
          <w:bCs/>
          <w:sz w:val="32"/>
          <w:szCs w:val="32"/>
          <w:lang w:eastAsia="zh-CN"/>
        </w:rPr>
        <w:t>〉</w:t>
      </w:r>
      <w:r>
        <w:rPr>
          <w:rFonts w:hint="eastAsia" w:hAnsi="Arial Unicode MS" w:cs="Arial Unicode MS"/>
          <w:b w:val="0"/>
          <w:bCs/>
          <w:sz w:val="32"/>
          <w:szCs w:val="32"/>
        </w:rPr>
        <w:t>的通知》（沪财绩〔2020〕6号）、《关于印发202</w:t>
      </w:r>
      <w:r>
        <w:rPr>
          <w:rFonts w:hint="eastAsia" w:hAnsi="Arial Unicode MS" w:cs="Arial Unicode MS"/>
          <w:b w:val="0"/>
          <w:bCs/>
          <w:sz w:val="32"/>
          <w:szCs w:val="32"/>
          <w:lang w:val="en-US" w:eastAsia="zh-CN"/>
        </w:rPr>
        <w:t>3</w:t>
      </w:r>
      <w:r>
        <w:rPr>
          <w:rFonts w:hint="eastAsia" w:hAnsi="Arial Unicode MS" w:cs="Arial Unicode MS"/>
          <w:b w:val="0"/>
          <w:bCs/>
          <w:sz w:val="32"/>
          <w:szCs w:val="32"/>
        </w:rPr>
        <w:t>年崇明区预算绩效管理工作要点的通知》（沪崇财绩〔202</w:t>
      </w:r>
      <w:r>
        <w:rPr>
          <w:rFonts w:hint="eastAsia" w:hAnsi="Arial Unicode MS" w:cs="Arial Unicode MS"/>
          <w:b w:val="0"/>
          <w:bCs/>
          <w:sz w:val="32"/>
          <w:szCs w:val="32"/>
          <w:lang w:val="en-US" w:eastAsia="zh-CN"/>
        </w:rPr>
        <w:t>3</w:t>
      </w:r>
      <w:r>
        <w:rPr>
          <w:rFonts w:hint="eastAsia" w:hAnsi="Arial Unicode MS" w:cs="Arial Unicode MS"/>
          <w:b w:val="0"/>
          <w:bCs/>
          <w:sz w:val="32"/>
          <w:szCs w:val="32"/>
        </w:rPr>
        <w:t>〕1号）以及崇明区财政局对绩效目标的设定框架新要求，结合实际情况，重新梳理并调整项目总目标、年度绩效目标，并经</w:t>
      </w:r>
      <w:r>
        <w:rPr>
          <w:rFonts w:hint="eastAsia" w:hAnsi="Arial Unicode MS" w:cs="Arial Unicode MS"/>
          <w:b w:val="0"/>
          <w:bCs/>
          <w:sz w:val="32"/>
          <w:szCs w:val="32"/>
          <w:lang w:val="en-US" w:eastAsia="zh-CN"/>
        </w:rPr>
        <w:t>预算</w:t>
      </w:r>
      <w:r>
        <w:rPr>
          <w:rFonts w:hint="eastAsia" w:hAnsi="Arial Unicode MS" w:cs="Arial Unicode MS"/>
          <w:b w:val="0"/>
          <w:bCs/>
          <w:sz w:val="32"/>
          <w:szCs w:val="32"/>
        </w:rPr>
        <w:t>单位确认，具体如下：</w:t>
      </w:r>
    </w:p>
    <w:p>
      <w:pPr>
        <w:ind w:firstLine="562"/>
        <w:outlineLvl w:val="2"/>
        <w:rPr>
          <w:rFonts w:hAnsi="Arial Unicode MS" w:cs="Arial Unicode MS"/>
          <w:b/>
          <w:sz w:val="32"/>
          <w:szCs w:val="32"/>
        </w:rPr>
      </w:pPr>
      <w:bookmarkStart w:id="43" w:name="_Toc15415"/>
      <w:bookmarkStart w:id="44" w:name="_Toc24472"/>
      <w:r>
        <w:rPr>
          <w:rFonts w:hint="eastAsia" w:hAnsi="Arial Unicode MS" w:cs="Arial Unicode MS"/>
          <w:b/>
          <w:sz w:val="32"/>
          <w:szCs w:val="32"/>
        </w:rPr>
        <w:t>1.总目标</w:t>
      </w:r>
      <w:bookmarkEnd w:id="43"/>
      <w:bookmarkEnd w:id="44"/>
    </w:p>
    <w:p>
      <w:pPr>
        <w:ind w:firstLine="560"/>
        <w:rPr>
          <w:sz w:val="32"/>
          <w:szCs w:val="32"/>
        </w:rPr>
      </w:pPr>
      <w:r>
        <w:rPr>
          <w:rFonts w:hint="eastAsia"/>
          <w:sz w:val="32"/>
          <w:szCs w:val="32"/>
          <w:lang w:val="en-US" w:eastAsia="zh-CN"/>
        </w:rPr>
        <w:t>始终</w:t>
      </w:r>
      <w:r>
        <w:rPr>
          <w:rFonts w:hint="eastAsia"/>
          <w:sz w:val="32"/>
          <w:szCs w:val="32"/>
          <w:lang w:eastAsia="zh-CN"/>
        </w:rPr>
        <w:t>遵循福利彩票“扶老、助残、救孤、济困”的发行宗旨，</w:t>
      </w:r>
      <w:r>
        <w:rPr>
          <w:rFonts w:hint="eastAsia"/>
          <w:sz w:val="32"/>
          <w:szCs w:val="32"/>
          <w:highlight w:val="none"/>
          <w:lang w:val="en-US" w:eastAsia="zh-CN"/>
        </w:rPr>
        <w:t>充分发挥福利彩票公益金的公益属性</w:t>
      </w:r>
      <w:r>
        <w:rPr>
          <w:rFonts w:hint="eastAsia"/>
          <w:sz w:val="32"/>
          <w:szCs w:val="32"/>
          <w:lang w:val="en-US" w:eastAsia="zh-CN"/>
        </w:rPr>
        <w:t>，持续开展</w:t>
      </w:r>
      <w:r>
        <w:rPr>
          <w:rFonts w:hint="eastAsia"/>
          <w:sz w:val="32"/>
          <w:szCs w:val="32"/>
          <w:lang w:eastAsia="zh-CN"/>
        </w:rPr>
        <w:t>为</w:t>
      </w:r>
      <w:r>
        <w:rPr>
          <w:rFonts w:hint="eastAsia"/>
          <w:sz w:val="32"/>
          <w:szCs w:val="32"/>
          <w:lang w:val="en-US" w:eastAsia="zh-CN"/>
        </w:rPr>
        <w:t>本区</w:t>
      </w:r>
      <w:r>
        <w:rPr>
          <w:rFonts w:hint="eastAsia"/>
          <w:sz w:val="32"/>
          <w:szCs w:val="32"/>
          <w:lang w:eastAsia="zh-CN"/>
        </w:rPr>
        <w:t>老年人、残疾人、儿童和其他基本生活特别困难人员等特殊群体提供服务的社会福利项目，</w:t>
      </w:r>
      <w:r>
        <w:rPr>
          <w:rFonts w:hint="eastAsia"/>
          <w:sz w:val="32"/>
          <w:szCs w:val="32"/>
          <w:lang w:val="en-US" w:eastAsia="zh-CN"/>
        </w:rPr>
        <w:t>不断提升相关困难群体的幸福感、获得感和满意度，助力崇明世界级生态岛建设、提升全区养老服务工作水平。</w:t>
      </w:r>
    </w:p>
    <w:p>
      <w:pPr>
        <w:ind w:firstLine="562"/>
        <w:outlineLvl w:val="2"/>
        <w:rPr>
          <w:rFonts w:hAnsi="Arial Unicode MS" w:cs="Arial Unicode MS"/>
          <w:b/>
          <w:sz w:val="32"/>
          <w:szCs w:val="32"/>
        </w:rPr>
      </w:pPr>
      <w:bookmarkStart w:id="45" w:name="_Toc12163"/>
      <w:bookmarkStart w:id="46" w:name="_Toc26739"/>
      <w:r>
        <w:rPr>
          <w:rFonts w:hint="eastAsia" w:hAnsi="Arial Unicode MS" w:cs="Arial Unicode MS"/>
          <w:b/>
          <w:sz w:val="32"/>
          <w:szCs w:val="32"/>
        </w:rPr>
        <w:t>2.年度绩效目标</w:t>
      </w:r>
      <w:bookmarkEnd w:id="45"/>
      <w:bookmarkEnd w:id="46"/>
    </w:p>
    <w:p>
      <w:pPr>
        <w:ind w:firstLine="567" w:firstLineChars="0"/>
        <w:rPr>
          <w:rFonts w:hAnsiTheme="minorHAnsi" w:cstheme="minorHAnsi"/>
          <w:b/>
          <w:sz w:val="32"/>
          <w:szCs w:val="32"/>
        </w:rPr>
      </w:pPr>
      <w:r>
        <w:rPr>
          <w:rFonts w:hint="eastAsia" w:hAnsiTheme="minorHAnsi" w:cstheme="minorHAnsi"/>
          <w:b/>
          <w:sz w:val="32"/>
          <w:szCs w:val="32"/>
        </w:rPr>
        <w:t>（1）产出类目标</w:t>
      </w:r>
    </w:p>
    <w:p>
      <w:pPr>
        <w:pStyle w:val="57"/>
        <w:numPr>
          <w:ilvl w:val="0"/>
          <w:numId w:val="0"/>
        </w:numPr>
        <w:ind w:firstLine="640" w:firstLineChars="200"/>
        <w:rPr>
          <w:rFonts w:ascii="仿宋_GB2312" w:hAnsiTheme="minorHAnsi" w:cstheme="minorHAnsi"/>
          <w:sz w:val="32"/>
          <w:szCs w:val="32"/>
        </w:rPr>
      </w:pPr>
      <w:r>
        <w:rPr>
          <w:rFonts w:hint="eastAsia" w:ascii="仿宋_GB2312" w:hAnsi="仿宋_GB2312" w:cs="仿宋_GB2312"/>
          <w:kern w:val="2"/>
          <w:sz w:val="32"/>
          <w:szCs w:val="32"/>
          <w:lang w:val="en-US" w:eastAsia="zh-CN" w:bidi="ar-SA"/>
        </w:rPr>
        <w:t>完成年初工作计划制定的目标，</w:t>
      </w:r>
      <w:r>
        <w:rPr>
          <w:rFonts w:hint="eastAsia" w:ascii="仿宋_GB2312" w:hAnsiTheme="minorHAnsi" w:cstheme="minorHAnsi"/>
          <w:sz w:val="32"/>
          <w:szCs w:val="32"/>
          <w:lang w:val="en-US" w:eastAsia="zh-CN"/>
        </w:rPr>
        <w:t>各项审批工作准确、验收达标，护理用品配送和补贴下达及时、及时完成养老设施建设和续保。</w:t>
      </w:r>
    </w:p>
    <w:p>
      <w:pPr>
        <w:ind w:left="560" w:firstLine="0" w:firstLineChars="0"/>
        <w:rPr>
          <w:rFonts w:hAnsiTheme="minorHAnsi" w:cstheme="minorHAnsi"/>
          <w:b/>
          <w:sz w:val="32"/>
          <w:szCs w:val="32"/>
        </w:rPr>
      </w:pPr>
      <w:r>
        <w:rPr>
          <w:rFonts w:hint="eastAsia" w:hAnsiTheme="minorHAnsi" w:cstheme="minorHAnsi"/>
          <w:b/>
          <w:sz w:val="32"/>
          <w:szCs w:val="32"/>
        </w:rPr>
        <w:t>（</w:t>
      </w:r>
      <w:r>
        <w:rPr>
          <w:rFonts w:hAnsiTheme="minorHAnsi" w:cstheme="minorHAnsi"/>
          <w:b/>
          <w:sz w:val="32"/>
          <w:szCs w:val="32"/>
        </w:rPr>
        <w:t>2</w:t>
      </w:r>
      <w:r>
        <w:rPr>
          <w:rFonts w:hint="eastAsia" w:hAnsiTheme="minorHAnsi" w:cstheme="minorHAnsi"/>
          <w:b/>
          <w:sz w:val="32"/>
          <w:szCs w:val="32"/>
        </w:rPr>
        <w:t>）效果类目标</w:t>
      </w:r>
    </w:p>
    <w:p>
      <w:pPr>
        <w:pStyle w:val="57"/>
        <w:numPr>
          <w:ilvl w:val="0"/>
          <w:numId w:val="0"/>
        </w:numPr>
        <w:tabs>
          <w:tab w:val="left" w:pos="634"/>
        </w:tabs>
        <w:ind w:firstLine="640" w:firstLineChars="200"/>
        <w:rPr>
          <w:rFonts w:hAnsiTheme="minorHAnsi" w:cstheme="minorHAnsi"/>
        </w:rPr>
      </w:pPr>
      <w:r>
        <w:rPr>
          <w:rFonts w:hint="eastAsia" w:ascii="仿宋_GB2312" w:hAnsiTheme="minorHAnsi" w:cstheme="minorHAnsi"/>
          <w:sz w:val="32"/>
          <w:szCs w:val="32"/>
          <w:lang w:val="en-US" w:eastAsia="zh-CN"/>
        </w:rPr>
        <w:t>项目的开展体现了对困难老年群体的关怀、提升了村居养老服务可及性、提升了养老机构风险管理意识</w:t>
      </w:r>
      <w:r>
        <w:rPr>
          <w:rFonts w:hint="eastAsia" w:ascii="仿宋_GB2312"/>
          <w:sz w:val="32"/>
          <w:szCs w:val="32"/>
          <w:lang w:val="en-US" w:eastAsia="zh-CN"/>
        </w:rPr>
        <w:t>；</w:t>
      </w:r>
      <w:r>
        <w:rPr>
          <w:rFonts w:hint="eastAsia" w:ascii="仿宋_GB2312" w:hAnsiTheme="minorHAnsi" w:cstheme="minorHAnsi"/>
          <w:sz w:val="32"/>
          <w:szCs w:val="32"/>
          <w:lang w:val="en-US" w:eastAsia="zh-CN"/>
        </w:rPr>
        <w:t>项目的实施有益于</w:t>
      </w:r>
      <w:r>
        <w:rPr>
          <w:rFonts w:hint="eastAsia" w:hAnsi="黑体" w:cs="Times New Roman"/>
          <w:sz w:val="32"/>
          <w:szCs w:val="32"/>
          <w:lang w:val="en-US" w:eastAsia="zh-CN"/>
        </w:rPr>
        <w:t>构建老年宜居社区</w:t>
      </w:r>
      <w:r>
        <w:rPr>
          <w:rFonts w:hint="eastAsia" w:ascii="仿宋_GB2312" w:hAnsiTheme="minorHAnsi" w:cstheme="minorHAnsi"/>
          <w:sz w:val="32"/>
          <w:szCs w:val="32"/>
          <w:lang w:val="en-US" w:eastAsia="zh-CN"/>
        </w:rPr>
        <w:t>、</w:t>
      </w:r>
      <w:r>
        <w:rPr>
          <w:rFonts w:hint="eastAsia" w:ascii="仿宋_GB2312" w:hAnsi="仿宋_GB2312" w:cs="仿宋_GB2312"/>
          <w:sz w:val="32"/>
          <w:szCs w:val="32"/>
          <w:lang w:val="en-US" w:eastAsia="zh-CN"/>
        </w:rPr>
        <w:t>彰显福彩公益金的社会价值、新增养老设施得到有效利用</w:t>
      </w:r>
      <w:r>
        <w:rPr>
          <w:rFonts w:hint="eastAsia" w:ascii="仿宋_GB2312" w:hAnsi="仿宋_GB2312" w:eastAsia="仿宋_GB2312" w:cs="仿宋_GB2312"/>
          <w:sz w:val="32"/>
          <w:szCs w:val="32"/>
          <w:lang w:val="en-US" w:eastAsia="zh-CN"/>
        </w:rPr>
        <w:t>；受益人员对</w:t>
      </w:r>
      <w:r>
        <w:rPr>
          <w:rFonts w:hint="eastAsia" w:ascii="仿宋_GB2312" w:hAnsi="仿宋_GB2312" w:cs="仿宋_GB2312"/>
          <w:sz w:val="32"/>
          <w:szCs w:val="32"/>
          <w:lang w:val="en-US" w:eastAsia="zh-CN"/>
        </w:rPr>
        <w:t>项目实施的综合满意度高</w:t>
      </w:r>
      <w:r>
        <w:rPr>
          <w:rFonts w:hint="eastAsia" w:ascii="仿宋_GB2312" w:hAnsi="仿宋_GB2312" w:eastAsia="仿宋_GB2312" w:cs="仿宋_GB2312"/>
          <w:sz w:val="32"/>
          <w:szCs w:val="32"/>
          <w:lang w:val="en-US" w:eastAsia="zh-CN"/>
        </w:rPr>
        <w:t>。</w:t>
      </w:r>
    </w:p>
    <w:p>
      <w:pPr>
        <w:ind w:firstLine="0" w:firstLineChars="0"/>
        <w:jc w:val="center"/>
        <w:rPr>
          <w:rFonts w:hAnsi="Microsoft JhengHei"/>
          <w:b/>
          <w:bCs/>
          <w:sz w:val="24"/>
          <w:szCs w:val="24"/>
        </w:rPr>
      </w:pPr>
      <w:r>
        <w:rPr>
          <w:rFonts w:hint="eastAsia" w:hAnsi="Microsoft JhengHei"/>
          <w:b/>
          <w:bCs/>
          <w:sz w:val="24"/>
          <w:szCs w:val="24"/>
        </w:rPr>
        <w:t>表</w:t>
      </w:r>
      <w:r>
        <w:rPr>
          <w:rFonts w:hint="eastAsia" w:hAnsi="Microsoft JhengHei"/>
          <w:b/>
          <w:bCs/>
          <w:sz w:val="24"/>
          <w:szCs w:val="24"/>
          <w:lang w:val="en-US" w:eastAsia="zh-CN"/>
        </w:rPr>
        <w:t>1-3</w:t>
      </w:r>
      <w:r>
        <w:rPr>
          <w:rFonts w:hint="eastAsia" w:hAnsi="Microsoft JhengHei"/>
          <w:b/>
          <w:bCs/>
          <w:sz w:val="24"/>
          <w:szCs w:val="24"/>
        </w:rPr>
        <w:t xml:space="preserve"> 年度绩效目标</w:t>
      </w:r>
    </w:p>
    <w:tbl>
      <w:tblPr>
        <w:tblStyle w:val="38"/>
        <w:tblW w:w="8544" w:type="dxa"/>
        <w:tblInd w:w="-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32"/>
        <w:gridCol w:w="1308"/>
        <w:gridCol w:w="2628"/>
        <w:gridCol w:w="1560"/>
        <w:gridCol w:w="17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trPr>
        <w:tc>
          <w:tcPr>
            <w:tcW w:w="133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一级目标</w:t>
            </w:r>
          </w:p>
        </w:tc>
        <w:tc>
          <w:tcPr>
            <w:tcW w:w="13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二级目标</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三级目标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目标值</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目标值依据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8" w:hRule="atLeast"/>
        </w:trPr>
        <w:tc>
          <w:tcPr>
            <w:tcW w:w="1332"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产出目标</w:t>
            </w: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数量目标</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为失智老人配送护理用品</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=12个月</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项目工作计划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default" w:hAnsi="黑体" w:cs="Times New Roman"/>
                <w:kern w:val="2"/>
                <w:sz w:val="21"/>
                <w:szCs w:val="21"/>
                <w:lang w:eastAsia="zh-CN" w:bidi="ar-SA"/>
              </w:rPr>
              <w:t>扶持</w:t>
            </w:r>
            <w:r>
              <w:rPr>
                <w:rFonts w:hint="eastAsia" w:hAnsi="黑体" w:cs="Times New Roman"/>
                <w:kern w:val="2"/>
                <w:sz w:val="21"/>
                <w:szCs w:val="21"/>
                <w:lang w:val="en-US" w:eastAsia="zh-CN" w:bidi="ar-SA"/>
              </w:rPr>
              <w:t>示范睦邻点</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80个</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w:t>
            </w:r>
            <w:r>
              <w:rPr>
                <w:rFonts w:hint="eastAsia" w:hAnsi="黑体" w:cs="Times New Roman"/>
                <w:kern w:val="2"/>
                <w:sz w:val="21"/>
                <w:szCs w:val="21"/>
                <w:lang w:val="en-US" w:eastAsia="zh-CN" w:bidi="ar-SA"/>
              </w:rPr>
              <w:t>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扶持社区综合为老服务中心建设</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3家</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w:t>
            </w:r>
            <w:r>
              <w:rPr>
                <w:rFonts w:hint="eastAsia" w:hAnsi="黑体" w:cs="Times New Roman"/>
                <w:kern w:val="2"/>
                <w:sz w:val="21"/>
                <w:szCs w:val="21"/>
                <w:lang w:val="en-US" w:eastAsia="zh-CN" w:bidi="ar-SA"/>
              </w:rPr>
              <w:t>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highlight w:val="none"/>
                <w:lang w:val="en-US" w:eastAsia="zh-CN" w:bidi="ar-SA"/>
              </w:rPr>
            </w:pPr>
            <w:r>
              <w:rPr>
                <w:rFonts w:hint="eastAsia" w:hAnsi="黑体" w:cs="Times New Roman"/>
                <w:kern w:val="2"/>
                <w:sz w:val="21"/>
                <w:szCs w:val="21"/>
                <w:highlight w:val="none"/>
                <w:lang w:val="en-US" w:eastAsia="zh-CN" w:bidi="ar-SA"/>
              </w:rPr>
              <w:t>养老机构投保综合责任保险床位数</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highlight w:val="none"/>
                <w:lang w:val="en-US" w:eastAsia="zh-CN" w:bidi="ar-SA"/>
              </w:rPr>
            </w:pPr>
            <w:r>
              <w:rPr>
                <w:rFonts w:hint="eastAsia" w:hAnsi="黑体" w:cs="Times New Roman"/>
                <w:kern w:val="2"/>
                <w:sz w:val="21"/>
                <w:szCs w:val="21"/>
                <w:highlight w:val="none"/>
                <w:lang w:val="en-US" w:eastAsia="zh-CN" w:bidi="ar-SA"/>
              </w:rPr>
              <w:t>3862张（含）至5000张（含）</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w:t>
            </w:r>
            <w:r>
              <w:rPr>
                <w:rFonts w:hint="eastAsia" w:hAnsi="黑体" w:cs="Times New Roman"/>
                <w:kern w:val="2"/>
                <w:sz w:val="21"/>
                <w:szCs w:val="21"/>
                <w:lang w:val="en-US" w:eastAsia="zh-CN" w:bidi="ar-SA"/>
              </w:rPr>
              <w:t>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质量目标</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highlight w:val="none"/>
                <w:lang w:val="en-US" w:eastAsia="zh-CN" w:bidi="ar-SA"/>
              </w:rPr>
            </w:pPr>
            <w:r>
              <w:rPr>
                <w:rFonts w:hint="eastAsia" w:hAnsi="黑体" w:cs="Times New Roman"/>
                <w:kern w:val="2"/>
                <w:sz w:val="21"/>
                <w:szCs w:val="21"/>
                <w:lang w:val="en-US" w:eastAsia="zh-CN" w:bidi="ar-SA"/>
              </w:rPr>
              <w:t>失智</w:t>
            </w:r>
            <w:r>
              <w:rPr>
                <w:rFonts w:hint="eastAsia" w:hAnsi="黑体" w:cs="Times New Roman"/>
                <w:kern w:val="2"/>
                <w:sz w:val="21"/>
                <w:szCs w:val="21"/>
                <w:highlight w:val="none"/>
                <w:lang w:val="en-US" w:eastAsia="zh-CN" w:bidi="ar-SA"/>
              </w:rPr>
              <w:t>老人审批和管理工作准确率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100%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w:t>
            </w:r>
            <w:r>
              <w:rPr>
                <w:rFonts w:hint="eastAsia" w:hAnsi="黑体" w:cs="Times New Roman"/>
                <w:kern w:val="2"/>
                <w:sz w:val="21"/>
                <w:szCs w:val="21"/>
                <w:lang w:val="en-US" w:eastAsia="zh-CN" w:bidi="ar-SA"/>
              </w:rPr>
              <w:t>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highlight w:val="none"/>
                <w:lang w:val="en-US" w:eastAsia="zh-CN" w:bidi="ar-SA"/>
              </w:rPr>
            </w:pPr>
            <w:r>
              <w:rPr>
                <w:rFonts w:hint="eastAsia" w:hAnsi="黑体" w:cs="Times New Roman"/>
                <w:kern w:val="2"/>
                <w:sz w:val="21"/>
                <w:szCs w:val="21"/>
                <w:highlight w:val="none"/>
                <w:lang w:val="en-US" w:eastAsia="zh-CN" w:bidi="ar-SA"/>
              </w:rPr>
              <w:t>示范睦邻点验收通过率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100%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w:t>
            </w:r>
            <w:r>
              <w:rPr>
                <w:rFonts w:hint="eastAsia" w:hAnsi="黑体" w:cs="Times New Roman"/>
                <w:kern w:val="2"/>
                <w:sz w:val="21"/>
                <w:szCs w:val="21"/>
                <w:lang w:val="en-US" w:eastAsia="zh-CN" w:bidi="ar-SA"/>
              </w:rPr>
              <w:t>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highlight w:val="none"/>
                <w:lang w:val="en-US" w:eastAsia="zh-CN" w:bidi="ar-SA"/>
              </w:rPr>
            </w:pPr>
            <w:r>
              <w:rPr>
                <w:rFonts w:hint="eastAsia" w:hAnsi="黑体" w:cs="Times New Roman"/>
                <w:kern w:val="2"/>
                <w:sz w:val="21"/>
                <w:szCs w:val="21"/>
                <w:highlight w:val="none"/>
                <w:lang w:val="en-US" w:eastAsia="zh-CN" w:bidi="ar-SA"/>
              </w:rPr>
              <w:t>工程验收通过率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100%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w:t>
            </w:r>
            <w:r>
              <w:rPr>
                <w:rFonts w:hint="eastAsia" w:hAnsi="黑体" w:cs="Times New Roman"/>
                <w:kern w:val="2"/>
                <w:sz w:val="21"/>
                <w:szCs w:val="21"/>
                <w:lang w:val="en-US" w:eastAsia="zh-CN" w:bidi="ar-SA"/>
              </w:rPr>
              <w:t>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highlight w:val="none"/>
                <w:lang w:val="en-US" w:eastAsia="zh-CN" w:bidi="ar-SA"/>
              </w:rPr>
            </w:pPr>
            <w:r>
              <w:rPr>
                <w:rFonts w:hint="eastAsia" w:hAnsi="黑体" w:cs="Times New Roman"/>
                <w:kern w:val="2"/>
                <w:sz w:val="21"/>
                <w:szCs w:val="21"/>
                <w:highlight w:val="none"/>
                <w:lang w:val="en-US" w:eastAsia="zh-CN" w:bidi="ar-SA"/>
              </w:rPr>
              <w:t>床位应保尽保率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100%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w:t>
            </w:r>
            <w:r>
              <w:rPr>
                <w:rFonts w:hint="eastAsia" w:hAnsi="黑体" w:cs="Times New Roman"/>
                <w:kern w:val="2"/>
                <w:sz w:val="21"/>
                <w:szCs w:val="21"/>
                <w:lang w:val="en-US" w:eastAsia="zh-CN" w:bidi="ar-SA"/>
              </w:rPr>
              <w:t>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时效目标</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highlight w:val="none"/>
                <w:lang w:val="en-US" w:eastAsia="zh-CN" w:bidi="ar-SA"/>
              </w:rPr>
            </w:pPr>
            <w:r>
              <w:rPr>
                <w:rFonts w:hint="eastAsia" w:hAnsi="黑体" w:cs="Times New Roman"/>
                <w:kern w:val="2"/>
                <w:sz w:val="21"/>
                <w:szCs w:val="21"/>
                <w:highlight w:val="none"/>
                <w:lang w:val="en-US" w:eastAsia="zh-CN" w:bidi="ar-SA"/>
              </w:rPr>
              <w:t>护理用品配送及时率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按月完成配送</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w:t>
            </w:r>
            <w:r>
              <w:rPr>
                <w:rFonts w:hint="eastAsia" w:hAnsi="黑体" w:cs="Times New Roman"/>
                <w:kern w:val="2"/>
                <w:sz w:val="21"/>
                <w:szCs w:val="21"/>
                <w:lang w:val="en-US" w:eastAsia="zh-CN" w:bidi="ar-SA"/>
              </w:rPr>
              <w:t>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highlight w:val="none"/>
                <w:lang w:val="en-US" w:eastAsia="zh-CN"/>
              </w:rPr>
            </w:pPr>
            <w:r>
              <w:rPr>
                <w:rFonts w:hint="eastAsia" w:hAnsi="黑体" w:cs="Times New Roman"/>
                <w:sz w:val="21"/>
                <w:szCs w:val="21"/>
                <w:highlight w:val="none"/>
                <w:lang w:val="en-US" w:eastAsia="zh-CN"/>
              </w:rPr>
              <w:t>示范睦邻点补贴发放及时性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2022年11月底前完成</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w:t>
            </w:r>
            <w:r>
              <w:rPr>
                <w:rFonts w:hint="eastAsia" w:hAnsi="黑体" w:cs="Times New Roman"/>
                <w:kern w:val="2"/>
                <w:sz w:val="21"/>
                <w:szCs w:val="21"/>
                <w:lang w:val="en-US" w:eastAsia="zh-CN" w:bidi="ar-SA"/>
              </w:rPr>
              <w:t>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highlight w:val="none"/>
                <w:lang w:val="en-US" w:eastAsia="zh-CN"/>
              </w:rPr>
            </w:pPr>
            <w:r>
              <w:rPr>
                <w:rFonts w:hint="eastAsia" w:hAnsi="黑体" w:cs="Times New Roman"/>
                <w:sz w:val="21"/>
                <w:szCs w:val="21"/>
                <w:highlight w:val="none"/>
                <w:lang w:val="en-US" w:eastAsia="zh-CN"/>
              </w:rPr>
              <w:t>工程完成及时性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2020年12月底前完成建设</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项目施工合同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highlight w:val="none"/>
                <w:lang w:val="en-US" w:eastAsia="zh-CN"/>
              </w:rPr>
            </w:pPr>
            <w:r>
              <w:rPr>
                <w:rFonts w:hint="eastAsia" w:hAnsi="黑体" w:cs="Times New Roman"/>
                <w:sz w:val="21"/>
                <w:szCs w:val="21"/>
                <w:highlight w:val="none"/>
                <w:lang w:val="en-US" w:eastAsia="zh-CN"/>
              </w:rPr>
              <w:t>保险签约和续保工作完成及时性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2022年8月底前完成</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市级文件通知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效益目标</w:t>
            </w: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社会效益</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重度困难失智老人群体护理水平改善占比</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≥90%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default" w:hAnsi="黑体" w:cs="Times New Roman"/>
                <w:kern w:val="2"/>
                <w:sz w:val="21"/>
                <w:szCs w:val="21"/>
                <w:lang w:val="en-US" w:eastAsia="zh-CN" w:bidi="ar-SA"/>
              </w:rPr>
              <w:t>邻里关系增进</w:t>
            </w:r>
            <w:r>
              <w:rPr>
                <w:rFonts w:hint="eastAsia" w:hAnsi="黑体" w:cs="Times New Roman"/>
                <w:kern w:val="2"/>
                <w:sz w:val="21"/>
                <w:szCs w:val="21"/>
                <w:lang w:val="en-US" w:eastAsia="zh-CN" w:bidi="ar-SA"/>
              </w:rPr>
              <w:t>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≥90%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lang w:val="en-US" w:eastAsia="zh-CN" w:bidi="ar-SA"/>
              </w:rPr>
            </w:pPr>
            <w:r>
              <w:rPr>
                <w:rFonts w:hint="eastAsia" w:hAnsi="黑体" w:cs="Times New Roman"/>
                <w:kern w:val="2"/>
                <w:sz w:val="21"/>
                <w:szCs w:val="21"/>
                <w:lang w:val="en-US" w:eastAsia="zh-CN" w:bidi="ar-SA"/>
              </w:rPr>
              <w:t>全区村居养老服务设施有效供给增加</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83处</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养老机构抗风险能力提升率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≥90%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生态效益</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构建老年宜居社区</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构建</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eastAsia="仿宋_GB2312" w:cs="Times New Roman"/>
                <w:sz w:val="21"/>
                <w:szCs w:val="21"/>
                <w:lang w:val="en-US" w:eastAsia="zh-CN"/>
              </w:rPr>
            </w:pPr>
            <w:r>
              <w:rPr>
                <w:rFonts w:hint="eastAsia" w:hAnsi="黑体" w:cs="Times New Roman"/>
                <w:sz w:val="21"/>
                <w:szCs w:val="21"/>
                <w:lang w:val="en-US" w:eastAsia="zh-CN"/>
              </w:rPr>
              <w:t>可持续影响</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项目长效管理制度健全性和执行有效性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健全有效</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项目基本要求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福彩公益金资助标识设置率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100%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公益金使用要求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补贴退出机制健全性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健全</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项目基本要求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示范睦邻点综合使用率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≥50%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项目</w:t>
            </w:r>
            <w:r>
              <w:rPr>
                <w:rFonts w:hint="eastAsia" w:ascii="仿宋_GB2312" w:hAnsi="黑体" w:cs="Times New Roman"/>
                <w:kern w:val="2"/>
                <w:sz w:val="21"/>
                <w:szCs w:val="21"/>
                <w:lang w:val="en-US" w:eastAsia="zh-CN"/>
              </w:rPr>
              <w:t>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widowControl/>
              <w:spacing w:line="240" w:lineRule="auto"/>
              <w:ind w:firstLine="0" w:firstLineChars="0"/>
              <w:contextualSpacing w:val="0"/>
              <w:jc w:val="center"/>
              <w:rPr>
                <w:rFonts w:hint="eastAsia" w:ascii="仿宋_GB2312" w:hAnsi="黑体" w:eastAsia="仿宋_GB2312" w:cs="Times New Roman"/>
                <w:kern w:val="2"/>
                <w:sz w:val="21"/>
                <w:szCs w:val="21"/>
                <w:lang w:val="en-US" w:eastAsia="zh-CN" w:bidi="ar-SA"/>
              </w:rPr>
            </w:pPr>
            <w:r>
              <w:rPr>
                <w:rFonts w:hint="eastAsia" w:hAnsi="宋体" w:cs="宋体"/>
                <w:color w:val="000000"/>
                <w:kern w:val="0"/>
                <w:sz w:val="21"/>
                <w:szCs w:val="21"/>
                <w:lang w:val="en-US" w:eastAsia="zh-CN"/>
              </w:rPr>
              <w:t>信息公开规范性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规范</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满意度</w:t>
            </w:r>
          </w:p>
        </w:tc>
        <w:tc>
          <w:tcPr>
            <w:tcW w:w="2628" w:type="dxa"/>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受益人员对护理用品发放项目的综合满意度</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eastAsia="仿宋_GB2312" w:cs="Times New Roman"/>
                <w:sz w:val="21"/>
                <w:szCs w:val="21"/>
                <w:lang w:val="en-US" w:eastAsia="zh-CN"/>
              </w:rPr>
            </w:pPr>
            <w:r>
              <w:rPr>
                <w:rFonts w:hint="eastAsia" w:hAnsi="黑体" w:cs="Times New Roman"/>
                <w:sz w:val="21"/>
                <w:szCs w:val="21"/>
                <w:lang w:val="en-US" w:eastAsia="zh-CN"/>
              </w:rPr>
              <w:t>≥95%</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eastAsia="仿宋_GB2312" w:cs="Times New Roman"/>
                <w:sz w:val="21"/>
                <w:szCs w:val="21"/>
                <w:lang w:val="en-US" w:eastAsia="zh-CN"/>
              </w:rPr>
            </w:pPr>
            <w:r>
              <w:rPr>
                <w:rFonts w:hint="eastAsia" w:hAnsi="黑体" w:cs="Times New Roman"/>
                <w:sz w:val="21"/>
                <w:szCs w:val="21"/>
              </w:rPr>
              <w:t>项目实施目的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受益人员对示范睦邻点的综合满意度</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≥90%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r>
              <w:rPr>
                <w:rFonts w:hint="eastAsia" w:hAnsi="黑体" w:cs="Times New Roman"/>
                <w:sz w:val="21"/>
                <w:szCs w:val="21"/>
              </w:rPr>
              <w:t>项目实施目的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0"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受益养老机构对</w:t>
            </w:r>
            <w:r>
              <w:rPr>
                <w:rFonts w:hint="eastAsia" w:hAnsi="黑体" w:cs="Times New Roman"/>
                <w:kern w:val="2"/>
                <w:sz w:val="21"/>
                <w:szCs w:val="21"/>
                <w:lang w:val="en-US" w:eastAsia="zh-CN" w:bidi="ar-SA"/>
              </w:rPr>
              <w:t>投保综合责任保险</w:t>
            </w:r>
            <w:r>
              <w:rPr>
                <w:rFonts w:hint="eastAsia" w:hAnsi="黑体" w:cs="Times New Roman"/>
                <w:sz w:val="21"/>
                <w:szCs w:val="21"/>
                <w:lang w:val="en-US" w:eastAsia="zh-CN"/>
              </w:rPr>
              <w:t>的满意度</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lang w:val="en-US" w:eastAsia="zh-CN"/>
              </w:rPr>
              <w:t>≥95</w:t>
            </w:r>
            <w:r>
              <w:rPr>
                <w:rFonts w:hint="eastAsia" w:hAnsi="黑体" w:cs="Times New Roman"/>
                <w:sz w:val="21"/>
                <w:szCs w:val="21"/>
              </w:rPr>
              <w:t>%</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项目实施目的</w:t>
            </w:r>
          </w:p>
        </w:tc>
      </w:tr>
      <w:bookmarkEnd w:id="39"/>
      <w:bookmarkEnd w:id="40"/>
      <w:bookmarkEnd w:id="41"/>
    </w:tbl>
    <w:p>
      <w:pPr>
        <w:pStyle w:val="2"/>
        <w:ind w:firstLine="602" w:firstLineChars="200"/>
        <w:rPr>
          <w:rFonts w:hint="eastAsia"/>
        </w:rPr>
        <w:sectPr>
          <w:pgSz w:w="11906" w:h="16838"/>
          <w:pgMar w:top="1440" w:right="1797" w:bottom="1440" w:left="1797" w:header="851" w:footer="567" w:gutter="0"/>
          <w:cols w:space="720" w:num="1"/>
          <w:docGrid w:linePitch="381" w:charSpace="0"/>
        </w:sectPr>
      </w:pPr>
    </w:p>
    <w:p>
      <w:pPr>
        <w:pStyle w:val="2"/>
        <w:ind w:firstLine="643" w:firstLineChars="200"/>
        <w:rPr>
          <w:rFonts w:hint="eastAsia" w:eastAsia="仿宋_GB2312"/>
          <w:sz w:val="32"/>
          <w:szCs w:val="32"/>
          <w:lang w:val="en-US" w:eastAsia="zh-CN"/>
        </w:rPr>
      </w:pPr>
      <w:bookmarkStart w:id="47" w:name="_Toc26274"/>
      <w:r>
        <w:rPr>
          <w:rFonts w:hint="eastAsia" w:ascii="黑体" w:hAnsi="黑体" w:eastAsia="黑体" w:cs="黑体"/>
          <w:sz w:val="32"/>
          <w:szCs w:val="32"/>
        </w:rPr>
        <w:t>二、</w:t>
      </w:r>
      <w:bookmarkEnd w:id="42"/>
      <w:r>
        <w:rPr>
          <w:rFonts w:hint="eastAsia" w:ascii="黑体" w:hAnsi="黑体" w:eastAsia="黑体" w:cs="黑体"/>
          <w:sz w:val="32"/>
          <w:szCs w:val="32"/>
        </w:rPr>
        <w:t>绩效评价工作情况</w:t>
      </w:r>
      <w:bookmarkEnd w:id="47"/>
    </w:p>
    <w:p>
      <w:pPr>
        <w:pStyle w:val="3"/>
        <w:rPr>
          <w:rFonts w:hint="eastAsia" w:eastAsia="方正楷体_GB2312"/>
          <w:sz w:val="32"/>
          <w:szCs w:val="32"/>
          <w:lang w:eastAsia="zh-CN"/>
        </w:rPr>
      </w:pPr>
      <w:bookmarkStart w:id="48" w:name="_Toc105"/>
      <w:bookmarkStart w:id="49" w:name="_Toc12676"/>
      <w:r>
        <w:rPr>
          <w:rFonts w:hint="eastAsia" w:ascii="方正楷体_GB2312" w:hAnsi="方正楷体_GB2312" w:eastAsia="方正楷体_GB2312" w:cs="方正楷体_GB2312"/>
          <w:sz w:val="32"/>
          <w:szCs w:val="32"/>
        </w:rPr>
        <w:t>（一）</w:t>
      </w:r>
      <w:bookmarkEnd w:id="48"/>
      <w:r>
        <w:rPr>
          <w:rFonts w:hint="eastAsia" w:ascii="方正楷体_GB2312" w:hAnsi="方正楷体_GB2312" w:eastAsia="方正楷体_GB2312" w:cs="方正楷体_GB2312"/>
          <w:sz w:val="32"/>
          <w:szCs w:val="32"/>
        </w:rPr>
        <w:t>绩效评价目的、对象和范围</w:t>
      </w:r>
      <w:bookmarkEnd w:id="49"/>
    </w:p>
    <w:p>
      <w:pPr>
        <w:ind w:firstLine="562"/>
        <w:outlineLvl w:val="9"/>
        <w:rPr>
          <w:rFonts w:hAnsi="仿宋"/>
          <w:b/>
          <w:sz w:val="32"/>
          <w:szCs w:val="32"/>
        </w:rPr>
      </w:pPr>
      <w:r>
        <w:rPr>
          <w:rFonts w:hint="eastAsia" w:hAnsi="仿宋"/>
          <w:b/>
          <w:sz w:val="32"/>
          <w:szCs w:val="32"/>
        </w:rPr>
        <w:t>1.评价目的</w:t>
      </w:r>
    </w:p>
    <w:p>
      <w:pPr>
        <w:ind w:firstLine="560"/>
        <w:rPr>
          <w:rFonts w:ascii="仿宋_GB2312" w:hAnsi="Microsoft JhengHei" w:cs="Times New Roman"/>
          <w:sz w:val="32"/>
          <w:szCs w:val="32"/>
        </w:rPr>
      </w:pPr>
      <w:r>
        <w:rPr>
          <w:rFonts w:hint="eastAsia" w:hAnsi="黑体" w:cs="Times New Roman"/>
          <w:sz w:val="32"/>
          <w:szCs w:val="32"/>
          <w:highlight w:val="none"/>
          <w:lang w:val="en-US" w:eastAsia="zh-CN"/>
        </w:rPr>
        <w:t>结合委托方的要求和项目特点，</w:t>
      </w:r>
      <w:r>
        <w:rPr>
          <w:rFonts w:hint="eastAsia" w:hAnsi="黑体" w:cs="Times New Roman"/>
          <w:sz w:val="32"/>
          <w:szCs w:val="32"/>
          <w:highlight w:val="none"/>
        </w:rPr>
        <w:t>本次绩效评价工作开展的</w:t>
      </w:r>
      <w:r>
        <w:rPr>
          <w:rFonts w:hint="eastAsia" w:hAnsi="黑体" w:cs="Times New Roman"/>
          <w:sz w:val="32"/>
          <w:szCs w:val="32"/>
          <w:highlight w:val="none"/>
          <w:lang w:val="en-US" w:eastAsia="zh-CN"/>
        </w:rPr>
        <w:t>主要</w:t>
      </w:r>
      <w:r>
        <w:rPr>
          <w:rFonts w:hint="eastAsia" w:hAnsi="黑体" w:cs="Times New Roman"/>
          <w:sz w:val="32"/>
          <w:szCs w:val="32"/>
          <w:highlight w:val="none"/>
        </w:rPr>
        <w:t>目的是</w:t>
      </w:r>
      <w:r>
        <w:rPr>
          <w:rFonts w:hint="eastAsia" w:hAnsi="黑体" w:cs="Times New Roman"/>
          <w:sz w:val="32"/>
          <w:szCs w:val="32"/>
          <w:highlight w:val="none"/>
          <w:lang w:val="en-US" w:eastAsia="zh-CN"/>
        </w:rPr>
        <w:t>考察项目支出范围的合理性和资金使用的合规性</w:t>
      </w:r>
      <w:r>
        <w:rPr>
          <w:rFonts w:hint="eastAsia" w:hAnsi="黑体" w:cs="Times New Roman"/>
          <w:sz w:val="32"/>
          <w:szCs w:val="32"/>
          <w:highlight w:val="none"/>
        </w:rPr>
        <w:t>，</w:t>
      </w:r>
      <w:r>
        <w:rPr>
          <w:rFonts w:hint="eastAsia" w:hAnsi="黑体" w:cs="Times New Roman"/>
          <w:sz w:val="32"/>
          <w:szCs w:val="32"/>
          <w:highlight w:val="none"/>
          <w:lang w:val="en-US" w:eastAsia="zh-CN"/>
        </w:rPr>
        <w:t>并通过访谈调研等方式深入了解各子项目开展实效，发现管理和执行过程中可能存在的问题并提出具有可操作性的建议</w:t>
      </w:r>
      <w:r>
        <w:rPr>
          <w:rFonts w:hint="eastAsia" w:hAnsi="黑体" w:cs="Times New Roman"/>
          <w:sz w:val="32"/>
          <w:szCs w:val="32"/>
          <w:highlight w:val="none"/>
        </w:rPr>
        <w:t>，</w:t>
      </w:r>
      <w:r>
        <w:rPr>
          <w:rFonts w:hint="eastAsia" w:hAnsi="黑体" w:cs="Times New Roman"/>
          <w:sz w:val="32"/>
          <w:szCs w:val="32"/>
          <w:highlight w:val="none"/>
          <w:lang w:val="en-US" w:eastAsia="zh-CN"/>
        </w:rPr>
        <w:t>帮助</w:t>
      </w:r>
      <w:r>
        <w:rPr>
          <w:rFonts w:hint="eastAsia" w:hAnsi="黑体" w:cs="Times New Roman"/>
          <w:sz w:val="32"/>
          <w:szCs w:val="32"/>
          <w:highlight w:val="none"/>
        </w:rPr>
        <w:t>今后年度</w:t>
      </w:r>
      <w:r>
        <w:rPr>
          <w:rFonts w:hint="eastAsia" w:hAnsi="黑体" w:cs="Times New Roman"/>
          <w:sz w:val="32"/>
          <w:szCs w:val="32"/>
          <w:highlight w:val="none"/>
          <w:lang w:val="en-US" w:eastAsia="zh-CN"/>
        </w:rPr>
        <w:t>该</w:t>
      </w:r>
      <w:r>
        <w:rPr>
          <w:rFonts w:hint="eastAsia" w:hAnsi="黑体" w:cs="Times New Roman"/>
          <w:sz w:val="32"/>
          <w:szCs w:val="32"/>
          <w:highlight w:val="none"/>
        </w:rPr>
        <w:t>项目更好地开展。</w:t>
      </w:r>
    </w:p>
    <w:p>
      <w:pPr>
        <w:pageBreakBefore w:val="0"/>
        <w:widowControl w:val="0"/>
        <w:kinsoku/>
        <w:wordWrap/>
        <w:overflowPunct/>
        <w:topLinePunct w:val="0"/>
        <w:autoSpaceDE/>
        <w:autoSpaceDN/>
        <w:bidi w:val="0"/>
        <w:adjustRightInd/>
        <w:snapToGrid/>
        <w:ind w:firstLine="562"/>
        <w:textAlignment w:val="auto"/>
        <w:outlineLvl w:val="9"/>
        <w:rPr>
          <w:rFonts w:hAnsi="仿宋"/>
          <w:b/>
          <w:sz w:val="32"/>
          <w:szCs w:val="32"/>
          <w:highlight w:val="none"/>
        </w:rPr>
      </w:pPr>
      <w:r>
        <w:rPr>
          <w:rFonts w:hint="eastAsia" w:hAnsi="仿宋"/>
          <w:b/>
          <w:sz w:val="32"/>
          <w:szCs w:val="32"/>
          <w:highlight w:val="none"/>
          <w:lang w:val="en-US" w:eastAsia="zh-CN"/>
        </w:rPr>
        <w:t>2</w:t>
      </w:r>
      <w:r>
        <w:rPr>
          <w:rFonts w:hint="eastAsia" w:hAnsi="仿宋"/>
          <w:b/>
          <w:sz w:val="32"/>
          <w:szCs w:val="32"/>
          <w:highlight w:val="none"/>
        </w:rPr>
        <w:t>.评价对象</w:t>
      </w:r>
    </w:p>
    <w:p>
      <w:pPr>
        <w:ind w:firstLine="562"/>
        <w:rPr>
          <w:rFonts w:hint="eastAsia" w:hAnsi="仿宋"/>
          <w:b/>
          <w:sz w:val="32"/>
          <w:szCs w:val="32"/>
        </w:rPr>
      </w:pPr>
      <w:r>
        <w:rPr>
          <w:rFonts w:hint="eastAsia" w:hAnsi="黑体"/>
          <w:sz w:val="32"/>
          <w:szCs w:val="32"/>
          <w:highlight w:val="none"/>
        </w:rPr>
        <w:t>本次绩效评价的对象为</w:t>
      </w:r>
      <w:r>
        <w:rPr>
          <w:rFonts w:hint="eastAsia" w:hAnsi="黑体"/>
          <w:sz w:val="32"/>
          <w:szCs w:val="32"/>
          <w:highlight w:val="none"/>
          <w:lang w:val="en-US" w:eastAsia="zh-CN"/>
        </w:rPr>
        <w:t>2022年福利彩票公益金支出项目</w:t>
      </w:r>
      <w:r>
        <w:rPr>
          <w:rFonts w:hint="eastAsia" w:hAnsi="黑体"/>
          <w:sz w:val="32"/>
          <w:szCs w:val="32"/>
          <w:highlight w:val="none"/>
        </w:rPr>
        <w:t>，项目</w:t>
      </w:r>
      <w:r>
        <w:rPr>
          <w:rFonts w:hint="eastAsia" w:hAnsi="黑体"/>
          <w:sz w:val="32"/>
          <w:szCs w:val="32"/>
          <w:highlight w:val="none"/>
          <w:lang w:val="en-US" w:eastAsia="zh-CN"/>
        </w:rPr>
        <w:t>年初预算为438万元</w:t>
      </w:r>
      <w:r>
        <w:rPr>
          <w:rFonts w:hint="eastAsia" w:hAnsi="黑体"/>
          <w:sz w:val="32"/>
          <w:szCs w:val="32"/>
          <w:highlight w:val="none"/>
        </w:rPr>
        <w:t>。</w:t>
      </w:r>
    </w:p>
    <w:p>
      <w:pPr>
        <w:pageBreakBefore w:val="0"/>
        <w:widowControl w:val="0"/>
        <w:kinsoku/>
        <w:wordWrap/>
        <w:overflowPunct/>
        <w:topLinePunct w:val="0"/>
        <w:autoSpaceDE/>
        <w:autoSpaceDN/>
        <w:bidi w:val="0"/>
        <w:adjustRightInd/>
        <w:snapToGrid/>
        <w:ind w:firstLine="562"/>
        <w:textAlignment w:val="auto"/>
        <w:outlineLvl w:val="9"/>
        <w:rPr>
          <w:rFonts w:hAnsi="仿宋"/>
          <w:b/>
          <w:sz w:val="32"/>
          <w:szCs w:val="32"/>
        </w:rPr>
      </w:pPr>
      <w:r>
        <w:rPr>
          <w:rFonts w:hint="eastAsia" w:hAnsi="仿宋"/>
          <w:b/>
          <w:sz w:val="32"/>
          <w:szCs w:val="32"/>
          <w:lang w:val="en-US" w:eastAsia="zh-CN"/>
        </w:rPr>
        <w:t>3</w:t>
      </w:r>
      <w:r>
        <w:rPr>
          <w:rFonts w:hint="eastAsia" w:hAnsi="仿宋"/>
          <w:b/>
          <w:sz w:val="32"/>
          <w:szCs w:val="32"/>
        </w:rPr>
        <w:t>.</w:t>
      </w:r>
      <w:bookmarkStart w:id="50" w:name="_Toc26196"/>
      <w:r>
        <w:rPr>
          <w:rFonts w:hint="eastAsia" w:hAnsi="仿宋"/>
          <w:b/>
          <w:sz w:val="32"/>
          <w:szCs w:val="32"/>
        </w:rPr>
        <w:t>评价范围</w:t>
      </w:r>
    </w:p>
    <w:p>
      <w:pPr>
        <w:pStyle w:val="57"/>
        <w:numPr>
          <w:ilvl w:val="0"/>
          <w:numId w:val="0"/>
        </w:numPr>
        <w:ind w:firstLine="640" w:firstLineChars="200"/>
        <w:contextualSpacing w:val="0"/>
        <w:rPr>
          <w:rFonts w:hint="eastAsia" w:ascii="仿宋_GB2312" w:hAnsi="仿宋_GB2312" w:eastAsia="仿宋_GB2312" w:cs="仿宋_GB2312"/>
          <w:sz w:val="32"/>
          <w:szCs w:val="32"/>
        </w:rPr>
      </w:pPr>
      <w:r>
        <w:rPr>
          <w:rFonts w:hint="eastAsia" w:hAnsi="黑体"/>
          <w:sz w:val="32"/>
          <w:szCs w:val="32"/>
          <w:highlight w:val="none"/>
        </w:rPr>
        <w:t>评价范围为</w:t>
      </w:r>
      <w:r>
        <w:rPr>
          <w:rFonts w:hint="eastAsia" w:ascii="仿宋_GB2312" w:hAnsi="仿宋_GB2312" w:cs="仿宋_GB2312"/>
          <w:kern w:val="2"/>
          <w:sz w:val="32"/>
          <w:szCs w:val="32"/>
          <w:highlight w:val="none"/>
          <w:lang w:val="en-US" w:eastAsia="zh-CN" w:bidi="ar-SA"/>
        </w:rPr>
        <w:t>2022年福利彩票公益金支出项目</w:t>
      </w:r>
      <w:r>
        <w:rPr>
          <w:rFonts w:hint="eastAsia" w:ascii="仿宋_GB2312" w:hAnsi="仿宋_GB2312" w:eastAsia="仿宋_GB2312" w:cs="仿宋_GB2312"/>
          <w:kern w:val="2"/>
          <w:sz w:val="32"/>
          <w:szCs w:val="32"/>
          <w:highlight w:val="none"/>
          <w:lang w:val="en-US" w:eastAsia="zh-CN" w:bidi="ar-SA"/>
        </w:rPr>
        <w:t>，</w:t>
      </w:r>
      <w:r>
        <w:rPr>
          <w:rFonts w:hint="eastAsia" w:ascii="仿宋_GB2312" w:hAnsi="仿宋_GB2312" w:cs="仿宋_GB2312"/>
          <w:kern w:val="2"/>
          <w:sz w:val="32"/>
          <w:szCs w:val="32"/>
          <w:highlight w:val="none"/>
          <w:lang w:val="en-US" w:eastAsia="zh-CN" w:bidi="ar-SA"/>
        </w:rPr>
        <w:t>包括政府性基金的</w:t>
      </w:r>
      <w:r>
        <w:rPr>
          <w:rFonts w:hint="eastAsia" w:ascii="仿宋_GB2312" w:hAnsi="仿宋_GB2312" w:eastAsia="仿宋_GB2312" w:cs="仿宋_GB2312"/>
          <w:kern w:val="2"/>
          <w:sz w:val="32"/>
          <w:szCs w:val="32"/>
          <w:highlight w:val="none"/>
          <w:lang w:val="en-US" w:eastAsia="zh-CN" w:bidi="ar-SA"/>
        </w:rPr>
        <w:t>使用情况、财务管理状况；绩效目标的实现程度，包括是否达到预定产出和效果等。</w:t>
      </w:r>
    </w:p>
    <w:p>
      <w:pPr>
        <w:pStyle w:val="57"/>
        <w:numPr>
          <w:ilvl w:val="0"/>
          <w:numId w:val="0"/>
        </w:numPr>
        <w:ind w:firstLine="640" w:firstLineChars="200"/>
        <w:contextualSpacing w:val="0"/>
        <w:rPr>
          <w:rFonts w:hint="eastAsia" w:ascii="仿宋_GB2312" w:hAnsi="仿宋_GB2312" w:eastAsia="仿宋_GB2312" w:cs="仿宋_GB2312"/>
          <w:sz w:val="32"/>
          <w:szCs w:val="32"/>
        </w:rPr>
      </w:pPr>
    </w:p>
    <w:p>
      <w:pPr>
        <w:pStyle w:val="3"/>
        <w:rPr>
          <w:rFonts w:hint="default" w:eastAsia="方正楷体_GB2312"/>
          <w:sz w:val="32"/>
          <w:szCs w:val="32"/>
          <w:lang w:val="en-US" w:eastAsia="zh-CN"/>
        </w:rPr>
      </w:pPr>
      <w:bookmarkStart w:id="51" w:name="_Toc4480"/>
      <w:r>
        <w:rPr>
          <w:rFonts w:hint="eastAsia" w:ascii="方正楷体_GB2312" w:hAnsi="方正楷体_GB2312" w:eastAsia="方正楷体_GB2312" w:cs="方正楷体_GB2312"/>
          <w:sz w:val="32"/>
          <w:szCs w:val="32"/>
        </w:rPr>
        <w:t>（二）</w:t>
      </w:r>
      <w:bookmarkEnd w:id="50"/>
      <w:r>
        <w:rPr>
          <w:rFonts w:hint="eastAsia" w:ascii="方正楷体_GB2312" w:hAnsi="方正楷体_GB2312" w:eastAsia="方正楷体_GB2312" w:cs="方正楷体_GB2312"/>
          <w:sz w:val="32"/>
          <w:szCs w:val="32"/>
        </w:rPr>
        <w:t>绩效评价的依据</w:t>
      </w:r>
      <w:bookmarkEnd w:id="51"/>
    </w:p>
    <w:p>
      <w:pPr>
        <w:rPr>
          <w:rFonts w:hAnsi="仿宋"/>
          <w:b/>
          <w:sz w:val="32"/>
          <w:szCs w:val="32"/>
        </w:rPr>
      </w:pPr>
      <w:bookmarkStart w:id="52" w:name="_Toc11214"/>
      <w:r>
        <w:rPr>
          <w:rFonts w:hint="eastAsia" w:hAnsi="仿宋"/>
          <w:b/>
          <w:sz w:val="32"/>
          <w:szCs w:val="32"/>
          <w:lang w:val="en-US" w:eastAsia="zh-CN"/>
        </w:rPr>
        <w:t>1.评价类</w:t>
      </w:r>
      <w:r>
        <w:rPr>
          <w:rFonts w:hAnsi="仿宋"/>
          <w:b/>
          <w:sz w:val="32"/>
          <w:szCs w:val="32"/>
        </w:rPr>
        <w:t>依据</w:t>
      </w:r>
      <w:r>
        <w:rPr>
          <w:rFonts w:hint="eastAsia" w:hAnsi="仿宋"/>
          <w:b/>
          <w:sz w:val="32"/>
          <w:szCs w:val="32"/>
        </w:rPr>
        <w:t>：</w:t>
      </w:r>
    </w:p>
    <w:p>
      <w:pPr>
        <w:numPr>
          <w:ilvl w:val="0"/>
          <w:numId w:val="0"/>
        </w:numPr>
        <w:ind w:firstLine="640" w:firstLineChars="200"/>
        <w:rPr>
          <w:rFonts w:hAnsi="黑体" w:cs="Times New Roman"/>
          <w:sz w:val="32"/>
          <w:szCs w:val="32"/>
        </w:rPr>
      </w:pPr>
      <w:r>
        <w:rPr>
          <w:rFonts w:hint="eastAsia" w:hAnsi="黑体" w:cs="Times New Roman"/>
          <w:sz w:val="32"/>
          <w:szCs w:val="32"/>
          <w:lang w:eastAsia="zh-CN"/>
        </w:rPr>
        <w:t>（</w:t>
      </w:r>
      <w:r>
        <w:rPr>
          <w:rFonts w:hint="eastAsia" w:hAnsi="黑体" w:cs="Times New Roman"/>
          <w:sz w:val="32"/>
          <w:szCs w:val="32"/>
          <w:lang w:val="en-US" w:eastAsia="zh-CN"/>
        </w:rPr>
        <w:t>1</w:t>
      </w:r>
      <w:r>
        <w:rPr>
          <w:rFonts w:hint="eastAsia" w:hAnsi="黑体" w:cs="Times New Roman"/>
          <w:sz w:val="32"/>
          <w:szCs w:val="32"/>
          <w:lang w:eastAsia="zh-CN"/>
        </w:rPr>
        <w:t>）</w:t>
      </w:r>
      <w:r>
        <w:rPr>
          <w:rFonts w:hint="eastAsia" w:hAnsi="黑体" w:cs="Times New Roman"/>
          <w:sz w:val="32"/>
          <w:szCs w:val="32"/>
        </w:rPr>
        <w:t>《中共上海市委 上海市人民政府关于我市全面实施预算绩效管理的实施意见》（沪委发〔2019〕12号）；</w:t>
      </w:r>
    </w:p>
    <w:p>
      <w:pPr>
        <w:numPr>
          <w:ilvl w:val="0"/>
          <w:numId w:val="0"/>
        </w:numPr>
        <w:ind w:firstLine="640" w:firstLineChars="200"/>
        <w:rPr>
          <w:rFonts w:hAnsi="黑体" w:cs="Times New Roman"/>
          <w:sz w:val="32"/>
          <w:szCs w:val="32"/>
        </w:rPr>
      </w:pPr>
      <w:r>
        <w:rPr>
          <w:rFonts w:hint="eastAsia" w:hAnsi="黑体" w:cs="Times New Roman"/>
          <w:sz w:val="32"/>
          <w:szCs w:val="32"/>
          <w:lang w:eastAsia="zh-CN"/>
        </w:rPr>
        <w:t>（</w:t>
      </w:r>
      <w:r>
        <w:rPr>
          <w:rFonts w:hint="eastAsia" w:hAnsi="黑体" w:cs="Times New Roman"/>
          <w:sz w:val="32"/>
          <w:szCs w:val="32"/>
          <w:lang w:val="en-US" w:eastAsia="zh-CN"/>
        </w:rPr>
        <w:t>2</w:t>
      </w:r>
      <w:r>
        <w:rPr>
          <w:rFonts w:hint="eastAsia" w:hAnsi="黑体" w:cs="Times New Roman"/>
          <w:sz w:val="32"/>
          <w:szCs w:val="32"/>
          <w:lang w:eastAsia="zh-CN"/>
        </w:rPr>
        <w:t>）</w:t>
      </w:r>
      <w:r>
        <w:rPr>
          <w:rFonts w:hint="eastAsia" w:hAnsi="黑体" w:cs="Times New Roman"/>
          <w:sz w:val="32"/>
          <w:szCs w:val="32"/>
        </w:rPr>
        <w:t>《关于印发</w:t>
      </w:r>
      <w:r>
        <w:rPr>
          <w:rFonts w:hAnsi="黑体" w:cs="Times New Roman"/>
          <w:sz w:val="32"/>
          <w:szCs w:val="32"/>
        </w:rPr>
        <w:t>&lt;上海市</w:t>
      </w:r>
      <w:r>
        <w:rPr>
          <w:rFonts w:hint="eastAsia" w:hAnsi="黑体" w:cs="Times New Roman"/>
          <w:sz w:val="32"/>
          <w:szCs w:val="32"/>
        </w:rPr>
        <w:t>财政项目支出</w:t>
      </w:r>
      <w:r>
        <w:rPr>
          <w:rFonts w:hAnsi="黑体" w:cs="Times New Roman"/>
          <w:sz w:val="32"/>
          <w:szCs w:val="32"/>
        </w:rPr>
        <w:t>预算绩效管理办法</w:t>
      </w:r>
      <w:r>
        <w:rPr>
          <w:rFonts w:hint="eastAsia" w:hAnsi="黑体" w:cs="Times New Roman"/>
          <w:sz w:val="32"/>
          <w:szCs w:val="32"/>
        </w:rPr>
        <w:t>（试行）</w:t>
      </w:r>
      <w:r>
        <w:rPr>
          <w:rFonts w:hAnsi="黑体" w:cs="Times New Roman"/>
          <w:sz w:val="32"/>
          <w:szCs w:val="32"/>
        </w:rPr>
        <w:t>&gt;的通知》（沪财绩〔2020〕6号）</w:t>
      </w:r>
      <w:r>
        <w:rPr>
          <w:rFonts w:hint="eastAsia" w:hAnsi="黑体" w:cs="Times New Roman"/>
          <w:sz w:val="32"/>
          <w:szCs w:val="32"/>
        </w:rPr>
        <w:t>；</w:t>
      </w:r>
    </w:p>
    <w:p>
      <w:pPr>
        <w:numPr>
          <w:ilvl w:val="0"/>
          <w:numId w:val="0"/>
        </w:numPr>
        <w:ind w:firstLine="640" w:firstLineChars="200"/>
        <w:rPr>
          <w:rFonts w:hAnsi="黑体" w:cs="Times New Roman"/>
          <w:sz w:val="32"/>
          <w:szCs w:val="32"/>
        </w:rPr>
      </w:pPr>
      <w:r>
        <w:rPr>
          <w:rFonts w:hint="eastAsia" w:hAnsi="黑体" w:cs="Times New Roman"/>
          <w:sz w:val="32"/>
          <w:szCs w:val="32"/>
          <w:lang w:eastAsia="zh-CN"/>
        </w:rPr>
        <w:t>（</w:t>
      </w:r>
      <w:r>
        <w:rPr>
          <w:rFonts w:hint="eastAsia" w:hAnsi="黑体" w:cs="Times New Roman"/>
          <w:sz w:val="32"/>
          <w:szCs w:val="32"/>
          <w:lang w:val="en-US" w:eastAsia="zh-CN"/>
        </w:rPr>
        <w:t>3</w:t>
      </w:r>
      <w:r>
        <w:rPr>
          <w:rFonts w:hint="eastAsia" w:hAnsi="黑体" w:cs="Times New Roman"/>
          <w:sz w:val="32"/>
          <w:szCs w:val="32"/>
          <w:lang w:eastAsia="zh-CN"/>
        </w:rPr>
        <w:t>）</w:t>
      </w:r>
      <w:r>
        <w:rPr>
          <w:rFonts w:hint="eastAsia" w:hAnsi="黑体" w:cs="Times New Roman"/>
          <w:sz w:val="32"/>
          <w:szCs w:val="32"/>
        </w:rPr>
        <w:t>《中共上海市崇明区委 上海市崇明区人民政府关于我区全面实施预算绩效管理的实施意见》（崇委发〔2019〕21号）；</w:t>
      </w:r>
    </w:p>
    <w:p>
      <w:pPr>
        <w:numPr>
          <w:ilvl w:val="0"/>
          <w:numId w:val="0"/>
        </w:numPr>
        <w:ind w:firstLine="640" w:firstLineChars="200"/>
        <w:rPr>
          <w:rFonts w:hAnsi="黑体" w:cs="Times New Roman"/>
          <w:sz w:val="32"/>
          <w:szCs w:val="32"/>
        </w:rPr>
      </w:pPr>
      <w:r>
        <w:rPr>
          <w:rFonts w:hint="eastAsia" w:hAnsi="黑体" w:cs="Times New Roman"/>
          <w:sz w:val="32"/>
          <w:szCs w:val="32"/>
          <w:lang w:eastAsia="zh-CN"/>
        </w:rPr>
        <w:t>（</w:t>
      </w:r>
      <w:r>
        <w:rPr>
          <w:rFonts w:hint="eastAsia" w:hAnsi="黑体" w:cs="Times New Roman"/>
          <w:sz w:val="32"/>
          <w:szCs w:val="32"/>
          <w:lang w:val="en-US" w:eastAsia="zh-CN"/>
        </w:rPr>
        <w:t>4</w:t>
      </w:r>
      <w:r>
        <w:rPr>
          <w:rFonts w:hint="eastAsia" w:hAnsi="黑体" w:cs="Times New Roman"/>
          <w:sz w:val="32"/>
          <w:szCs w:val="32"/>
          <w:lang w:eastAsia="zh-CN"/>
        </w:rPr>
        <w:t>）</w:t>
      </w:r>
      <w:r>
        <w:rPr>
          <w:rFonts w:hint="eastAsia" w:hAnsi="黑体" w:cs="Times New Roman"/>
          <w:sz w:val="32"/>
          <w:szCs w:val="32"/>
        </w:rPr>
        <w:t>《关于印发&lt;202</w:t>
      </w:r>
      <w:r>
        <w:rPr>
          <w:rFonts w:hint="eastAsia" w:hAnsi="黑体" w:cs="Times New Roman"/>
          <w:sz w:val="32"/>
          <w:szCs w:val="32"/>
          <w:lang w:val="en-US" w:eastAsia="zh-CN"/>
        </w:rPr>
        <w:t>3</w:t>
      </w:r>
      <w:r>
        <w:rPr>
          <w:rFonts w:hint="eastAsia" w:hAnsi="黑体" w:cs="Times New Roman"/>
          <w:sz w:val="32"/>
          <w:szCs w:val="32"/>
        </w:rPr>
        <w:t>年崇明区预算绩效管理工作要点&gt;的通知》（沪崇财绩〔202</w:t>
      </w:r>
      <w:r>
        <w:rPr>
          <w:rFonts w:hint="eastAsia" w:hAnsi="黑体" w:cs="Times New Roman"/>
          <w:sz w:val="32"/>
          <w:szCs w:val="32"/>
          <w:lang w:val="en-US" w:eastAsia="zh-CN"/>
        </w:rPr>
        <w:t>3</w:t>
      </w:r>
      <w:r>
        <w:rPr>
          <w:rFonts w:hint="eastAsia" w:hAnsi="黑体" w:cs="Times New Roman"/>
          <w:sz w:val="32"/>
          <w:szCs w:val="32"/>
        </w:rPr>
        <w:t>〕1号）</w:t>
      </w:r>
      <w:r>
        <w:rPr>
          <w:rFonts w:hint="eastAsia" w:hAnsi="Times New Roman" w:cs="Times New Roman"/>
          <w:sz w:val="32"/>
          <w:szCs w:val="32"/>
        </w:rPr>
        <w:t>。</w:t>
      </w:r>
    </w:p>
    <w:p>
      <w:pPr>
        <w:ind w:firstLine="562"/>
        <w:rPr>
          <w:b/>
          <w:sz w:val="32"/>
          <w:szCs w:val="32"/>
        </w:rPr>
      </w:pPr>
      <w:r>
        <w:rPr>
          <w:rFonts w:hint="eastAsia"/>
          <w:b/>
          <w:sz w:val="32"/>
          <w:szCs w:val="32"/>
          <w:lang w:val="en-US" w:eastAsia="zh-CN"/>
        </w:rPr>
        <w:t>2.</w:t>
      </w:r>
      <w:r>
        <w:rPr>
          <w:rFonts w:hint="eastAsia" w:ascii="仿宋_GB2312" w:eastAsia="仿宋_GB2312"/>
          <w:b/>
          <w:sz w:val="32"/>
          <w:szCs w:val="32"/>
          <w:lang w:val="en-US" w:eastAsia="zh-CN"/>
        </w:rPr>
        <w:t>业务类</w:t>
      </w:r>
      <w:r>
        <w:rPr>
          <w:rFonts w:hint="eastAsia"/>
          <w:b/>
          <w:sz w:val="32"/>
          <w:szCs w:val="32"/>
        </w:rPr>
        <w:t>依据：</w:t>
      </w:r>
    </w:p>
    <w:p>
      <w:pPr>
        <w:pStyle w:val="57"/>
        <w:numPr>
          <w:ilvl w:val="0"/>
          <w:numId w:val="0"/>
        </w:numPr>
        <w:ind w:firstLine="640" w:firstLineChars="200"/>
        <w:contextualSpacing w:val="0"/>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sz w:val="32"/>
          <w:szCs w:val="32"/>
          <w:lang w:val="en-US" w:eastAsia="zh-CN"/>
        </w:rPr>
        <w:t>《上海市崇明区民政局上海市崇明区财政局关于印发〈上海市崇明区区级福利彩票公益金使用管理办法〉的通知》（</w:t>
      </w:r>
      <w:r>
        <w:rPr>
          <w:rFonts w:hint="eastAsia" w:ascii="仿宋_GB2312" w:hAnsi="仿宋_GB2312" w:eastAsia="仿宋_GB2312" w:cs="仿宋_GB2312"/>
          <w:sz w:val="32"/>
          <w:szCs w:val="32"/>
          <w:lang w:val="en-US" w:eastAsia="zh-CN"/>
        </w:rPr>
        <w:t>沪崇民</w:t>
      </w:r>
      <w:r>
        <w:rPr>
          <w:rFonts w:hint="eastAsia" w:ascii="仿宋_GB2312" w:hAnsi="仿宋_GB2312" w:eastAsia="仿宋_GB2312" w:cs="仿宋_GB2312"/>
          <w:sz w:val="32"/>
          <w:szCs w:val="32"/>
          <w:lang w:eastAsia="zh-CN"/>
        </w:rPr>
        <w:t>〔20</w:t>
      </w:r>
      <w:r>
        <w:rPr>
          <w:rFonts w:hint="eastAsia" w:ascii="仿宋_GB2312" w:hAnsi="仿宋_GB2312" w:eastAsia="仿宋_GB2312" w:cs="仿宋_GB2312"/>
          <w:sz w:val="32"/>
          <w:szCs w:val="32"/>
          <w:lang w:val="en-US" w:eastAsia="zh-CN"/>
        </w:rPr>
        <w:t>21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17号）</w:t>
      </w:r>
      <w:r>
        <w:rPr>
          <w:rFonts w:hint="eastAsia" w:ascii="仿宋_GB2312" w:hAnsi="仿宋_GB2312" w:cs="仿宋_GB2312"/>
          <w:sz w:val="32"/>
          <w:szCs w:val="32"/>
          <w:lang w:eastAsia="zh-CN"/>
        </w:rPr>
        <w:t>；</w:t>
      </w:r>
    </w:p>
    <w:p>
      <w:pPr>
        <w:ind w:firstLine="560"/>
        <w:rPr>
          <w:rFonts w:hint="eastAsia"/>
          <w:sz w:val="32"/>
          <w:szCs w:val="32"/>
          <w:lang w:val="en-US" w:eastAsia="zh-CN"/>
        </w:rPr>
      </w:pPr>
      <w:r>
        <w:rPr>
          <w:rFonts w:hint="eastAsia"/>
          <w:sz w:val="32"/>
          <w:szCs w:val="32"/>
          <w:lang w:eastAsia="zh-CN"/>
        </w:rPr>
        <w:t>（</w:t>
      </w:r>
      <w:r>
        <w:rPr>
          <w:rFonts w:hint="eastAsia"/>
          <w:sz w:val="32"/>
          <w:szCs w:val="32"/>
          <w:lang w:val="en-US" w:eastAsia="zh-CN"/>
        </w:rPr>
        <w:t>2</w:t>
      </w:r>
      <w:r>
        <w:rPr>
          <w:rFonts w:hint="eastAsia"/>
          <w:sz w:val="32"/>
          <w:szCs w:val="32"/>
          <w:lang w:eastAsia="zh-CN"/>
        </w:rPr>
        <w:t>）</w:t>
      </w:r>
      <w:r>
        <w:rPr>
          <w:rFonts w:hint="eastAsia" w:ascii="仿宋_GB2312" w:hAnsi="黑体" w:eastAsia="仿宋_GB2312" w:cs="Times New Roman"/>
          <w:kern w:val="2"/>
          <w:sz w:val="32"/>
          <w:szCs w:val="32"/>
          <w:lang w:val="en-US" w:eastAsia="zh-CN" w:bidi="ar-SA"/>
        </w:rPr>
        <w:t>《上海市农村老年人示范睦邻点建设指引》</w:t>
      </w:r>
      <w:r>
        <w:rPr>
          <w:rFonts w:hint="eastAsia" w:ascii="仿宋_GB2312" w:hAnsi="黑体" w:cs="Times New Roman"/>
          <w:kern w:val="2"/>
          <w:sz w:val="32"/>
          <w:szCs w:val="32"/>
          <w:lang w:val="en-US" w:eastAsia="zh-CN" w:bidi="ar-SA"/>
        </w:rPr>
        <w:t>（沪民养老发</w:t>
      </w:r>
      <w:r>
        <w:rPr>
          <w:rFonts w:hint="eastAsia"/>
          <w:sz w:val="32"/>
          <w:szCs w:val="32"/>
          <w:lang w:eastAsia="zh-CN"/>
        </w:rPr>
        <w:t>〔</w:t>
      </w:r>
      <w:r>
        <w:rPr>
          <w:rFonts w:hint="eastAsia" w:ascii="仿宋_GB2312" w:hAnsi="黑体" w:cs="Times New Roman"/>
          <w:kern w:val="2"/>
          <w:sz w:val="32"/>
          <w:szCs w:val="32"/>
          <w:lang w:val="en-US" w:eastAsia="zh-CN" w:bidi="ar-SA"/>
        </w:rPr>
        <w:t>2021</w:t>
      </w:r>
      <w:r>
        <w:rPr>
          <w:rFonts w:hint="eastAsia"/>
          <w:sz w:val="32"/>
          <w:szCs w:val="32"/>
          <w:lang w:eastAsia="zh-CN"/>
        </w:rPr>
        <w:t>〕</w:t>
      </w:r>
      <w:r>
        <w:rPr>
          <w:rFonts w:hint="eastAsia" w:ascii="仿宋_GB2312" w:hAnsi="黑体" w:cs="Times New Roman"/>
          <w:kern w:val="2"/>
          <w:sz w:val="32"/>
          <w:szCs w:val="32"/>
          <w:lang w:val="en-US" w:eastAsia="zh-CN" w:bidi="ar-SA"/>
        </w:rPr>
        <w:t>18号）</w:t>
      </w:r>
      <w:r>
        <w:rPr>
          <w:rFonts w:hint="eastAsia"/>
          <w:sz w:val="32"/>
          <w:szCs w:val="32"/>
          <w:lang w:val="en-US" w:eastAsia="zh-CN"/>
        </w:rPr>
        <w:t>；</w:t>
      </w:r>
    </w:p>
    <w:p>
      <w:pPr>
        <w:pStyle w:val="57"/>
        <w:numPr>
          <w:ilvl w:val="0"/>
          <w:numId w:val="0"/>
        </w:numPr>
        <w:ind w:firstLine="640" w:firstLineChars="200"/>
        <w:contextualSpacing w:val="0"/>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2021年社区综合为</w:t>
      </w:r>
      <w:r>
        <w:rPr>
          <w:rFonts w:hint="eastAsia"/>
          <w:sz w:val="32"/>
          <w:szCs w:val="32"/>
          <w:lang w:val="en-US" w:eastAsia="zh-CN"/>
        </w:rPr>
        <w:t>老服务中心评估标准</w:t>
      </w:r>
      <w:r>
        <w:rPr>
          <w:rFonts w:hint="eastAsia"/>
          <w:sz w:val="32"/>
          <w:szCs w:val="32"/>
          <w:lang w:eastAsia="zh-CN"/>
        </w:rPr>
        <w:t>》（</w:t>
      </w:r>
      <w:r>
        <w:rPr>
          <w:rFonts w:hint="eastAsia"/>
          <w:sz w:val="32"/>
          <w:szCs w:val="32"/>
          <w:lang w:val="en-US" w:eastAsia="zh-CN"/>
        </w:rPr>
        <w:t>市民政局</w:t>
      </w:r>
      <w:r>
        <w:rPr>
          <w:rFonts w:hint="eastAsia"/>
          <w:sz w:val="32"/>
          <w:szCs w:val="32"/>
          <w:lang w:eastAsia="zh-CN"/>
        </w:rPr>
        <w:t>）</w:t>
      </w:r>
      <w:r>
        <w:rPr>
          <w:rFonts w:hint="eastAsia"/>
          <w:sz w:val="32"/>
          <w:szCs w:val="32"/>
          <w:lang w:val="en-US" w:eastAsia="zh-CN"/>
        </w:rPr>
        <w:t>；</w:t>
      </w:r>
    </w:p>
    <w:p>
      <w:pPr>
        <w:pStyle w:val="57"/>
        <w:numPr>
          <w:ilvl w:val="0"/>
          <w:numId w:val="0"/>
        </w:numPr>
        <w:ind w:firstLine="640" w:firstLineChars="200"/>
        <w:contextualSpacing w:val="0"/>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lang w:eastAsia="zh-CN"/>
        </w:rPr>
        <w:t>）</w:t>
      </w:r>
      <w:r>
        <w:rPr>
          <w:rFonts w:hint="eastAsia" w:ascii="仿宋_GB2312" w:hAnsi="仿宋_GB2312" w:cs="仿宋_GB2312"/>
          <w:sz w:val="32"/>
          <w:szCs w:val="32"/>
          <w:lang w:val="en-US" w:eastAsia="zh-CN"/>
        </w:rPr>
        <w:t>本项目签订的各项合同</w:t>
      </w:r>
      <w:r>
        <w:rPr>
          <w:rFonts w:hint="eastAsia" w:ascii="仿宋_GB2312" w:hAnsi="仿宋_GB2312" w:cs="仿宋_GB2312"/>
          <w:sz w:val="32"/>
          <w:szCs w:val="32"/>
          <w:lang w:eastAsia="zh-CN"/>
        </w:rPr>
        <w:t>；</w:t>
      </w:r>
    </w:p>
    <w:p>
      <w:pPr>
        <w:pStyle w:val="57"/>
        <w:numPr>
          <w:ilvl w:val="0"/>
          <w:numId w:val="0"/>
        </w:numPr>
        <w:ind w:firstLine="640" w:firstLineChars="200"/>
        <w:contextualSpacing w:val="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lang w:eastAsia="zh-CN"/>
        </w:rPr>
        <w:t>）</w:t>
      </w:r>
      <w:r>
        <w:rPr>
          <w:rFonts w:hint="eastAsia" w:ascii="仿宋_GB2312" w:hAnsi="仿宋_GB2312" w:cs="仿宋_GB2312"/>
          <w:sz w:val="32"/>
          <w:szCs w:val="32"/>
          <w:lang w:val="en-US" w:eastAsia="zh-CN"/>
        </w:rPr>
        <w:t>相关子</w:t>
      </w:r>
      <w:r>
        <w:rPr>
          <w:rFonts w:hint="eastAsia" w:ascii="仿宋_GB2312" w:hAnsi="仿宋_GB2312" w:eastAsia="仿宋_GB2312" w:cs="仿宋_GB2312"/>
          <w:sz w:val="32"/>
          <w:szCs w:val="32"/>
        </w:rPr>
        <w:t>项目</w:t>
      </w:r>
      <w:r>
        <w:rPr>
          <w:rFonts w:hint="eastAsia" w:ascii="仿宋_GB2312" w:hAnsi="仿宋_GB2312" w:cs="仿宋_GB2312"/>
          <w:sz w:val="32"/>
          <w:szCs w:val="32"/>
          <w:lang w:val="en-US" w:eastAsia="zh-CN"/>
        </w:rPr>
        <w:t>的</w:t>
      </w:r>
      <w:r>
        <w:rPr>
          <w:rFonts w:hint="eastAsia" w:ascii="仿宋_GB2312" w:hAnsi="仿宋_GB2312" w:eastAsia="仿宋_GB2312" w:cs="仿宋_GB2312"/>
          <w:sz w:val="32"/>
          <w:szCs w:val="32"/>
          <w:lang w:val="en-US" w:eastAsia="zh-CN"/>
        </w:rPr>
        <w:t>设计</w:t>
      </w:r>
      <w:r>
        <w:rPr>
          <w:rFonts w:hint="eastAsia" w:ascii="仿宋_GB2312" w:hAnsi="仿宋_GB2312" w:eastAsia="仿宋_GB2312" w:cs="仿宋_GB2312"/>
          <w:sz w:val="32"/>
          <w:szCs w:val="32"/>
        </w:rPr>
        <w:t>方案、</w:t>
      </w:r>
      <w:r>
        <w:rPr>
          <w:rFonts w:hint="eastAsia" w:ascii="仿宋_GB2312" w:hAnsi="仿宋_GB2312" w:eastAsia="仿宋_GB2312" w:cs="仿宋_GB2312"/>
          <w:sz w:val="32"/>
          <w:szCs w:val="32"/>
          <w:lang w:val="en-US" w:eastAsia="zh-CN"/>
        </w:rPr>
        <w:t>可研报告、</w:t>
      </w:r>
      <w:r>
        <w:rPr>
          <w:rFonts w:hint="eastAsia" w:ascii="仿宋_GB2312" w:hAnsi="仿宋_GB2312" w:cs="仿宋_GB2312"/>
          <w:sz w:val="32"/>
          <w:szCs w:val="32"/>
          <w:lang w:val="en-US" w:eastAsia="zh-CN"/>
        </w:rPr>
        <w:t>招投标文件</w:t>
      </w:r>
      <w:r>
        <w:rPr>
          <w:rFonts w:hint="eastAsia" w:ascii="仿宋_GB2312" w:hAnsi="仿宋_GB2312" w:eastAsia="仿宋_GB2312" w:cs="仿宋_GB2312"/>
          <w:sz w:val="32"/>
          <w:szCs w:val="32"/>
        </w:rPr>
        <w:t>等；</w:t>
      </w:r>
    </w:p>
    <w:p>
      <w:pPr>
        <w:pStyle w:val="57"/>
        <w:numPr>
          <w:ilvl w:val="0"/>
          <w:numId w:val="0"/>
        </w:numPr>
        <w:ind w:firstLine="640" w:firstLineChars="200"/>
        <w:contextualSpacing w:val="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6</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本项目支出凭证等财务资料；</w:t>
      </w:r>
    </w:p>
    <w:p>
      <w:pPr>
        <w:pStyle w:val="57"/>
        <w:numPr>
          <w:ilvl w:val="0"/>
          <w:numId w:val="0"/>
        </w:numPr>
        <w:ind w:firstLine="640" w:firstLineChars="200"/>
        <w:contextualSpacing w:val="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7</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与项目单位</w:t>
      </w:r>
      <w:r>
        <w:rPr>
          <w:rFonts w:hint="eastAsia" w:ascii="仿宋_GB2312" w:hAnsi="仿宋_GB2312" w:eastAsia="仿宋_GB2312" w:cs="仿宋_GB2312"/>
          <w:sz w:val="32"/>
          <w:szCs w:val="32"/>
          <w:lang w:val="en-US" w:eastAsia="zh-CN"/>
        </w:rPr>
        <w:t>管理人员</w:t>
      </w:r>
      <w:r>
        <w:rPr>
          <w:rFonts w:hint="eastAsia" w:ascii="仿宋_GB2312" w:hAnsi="仿宋_GB2312" w:eastAsia="仿宋_GB2312" w:cs="仿宋_GB2312"/>
          <w:sz w:val="32"/>
          <w:szCs w:val="32"/>
        </w:rPr>
        <w:t>的访谈记录、项目受益方的满意度反馈等社会调查结果；</w:t>
      </w:r>
    </w:p>
    <w:p>
      <w:pPr>
        <w:pageBreakBefore w:val="0"/>
        <w:widowControl w:val="0"/>
        <w:kinsoku/>
        <w:wordWrap/>
        <w:overflowPunct/>
        <w:topLinePunct w:val="0"/>
        <w:autoSpaceDE/>
        <w:autoSpaceDN/>
        <w:bidi w:val="0"/>
        <w:adjustRightInd/>
        <w:snapToGrid/>
        <w:ind w:firstLine="560"/>
        <w:textAlignment w:val="auto"/>
        <w:rPr>
          <w:rFonts w:hint="eastAsia"/>
          <w:sz w:val="32"/>
          <w:szCs w:val="32"/>
        </w:rPr>
      </w:pPr>
      <w:r>
        <w:rPr>
          <w:rFonts w:hint="eastAsia" w:ascii="仿宋_GB2312" w:hAnsi="仿宋_GB2312" w:cs="仿宋_GB2312"/>
          <w:sz w:val="32"/>
          <w:szCs w:val="32"/>
          <w:lang w:eastAsia="zh-CN"/>
        </w:rPr>
        <w:t>（</w:t>
      </w:r>
      <w:r>
        <w:rPr>
          <w:rFonts w:hint="eastAsia" w:ascii="仿宋_GB2312" w:hAnsi="仿宋_GB2312" w:cs="仿宋_GB2312"/>
          <w:sz w:val="32"/>
          <w:szCs w:val="32"/>
          <w:lang w:val="en-US" w:eastAsia="zh-CN"/>
        </w:rPr>
        <w:t>8</w:t>
      </w:r>
      <w:r>
        <w:rPr>
          <w:rFonts w:hint="eastAsia" w:ascii="仿宋_GB2312" w:hAnsi="仿宋_GB2312" w:cs="仿宋_GB2312"/>
          <w:sz w:val="32"/>
          <w:szCs w:val="32"/>
          <w:lang w:eastAsia="zh-CN"/>
        </w:rPr>
        <w:t>）</w:t>
      </w:r>
      <w:r>
        <w:rPr>
          <w:rFonts w:hint="eastAsia" w:ascii="仿宋_GB2312" w:hAnsi="仿宋_GB2312" w:eastAsia="仿宋_GB2312" w:cs="仿宋_GB2312"/>
          <w:sz w:val="32"/>
          <w:szCs w:val="32"/>
        </w:rPr>
        <w:t>现场</w:t>
      </w:r>
      <w:r>
        <w:rPr>
          <w:rFonts w:hint="eastAsia" w:ascii="仿宋_GB2312" w:hAnsi="仿宋_GB2312" w:eastAsia="仿宋_GB2312" w:cs="仿宋_GB2312"/>
          <w:sz w:val="32"/>
          <w:szCs w:val="32"/>
          <w:lang w:val="en-US" w:eastAsia="zh-CN"/>
        </w:rPr>
        <w:t>调研</w:t>
      </w:r>
      <w:r>
        <w:rPr>
          <w:rFonts w:hint="eastAsia" w:ascii="仿宋_GB2312" w:hAnsi="仿宋_GB2312" w:eastAsia="仿宋_GB2312" w:cs="仿宋_GB2312"/>
          <w:sz w:val="32"/>
          <w:szCs w:val="32"/>
        </w:rPr>
        <w:t>图片。</w:t>
      </w:r>
    </w:p>
    <w:bookmarkEnd w:id="52"/>
    <w:p>
      <w:pPr>
        <w:numPr>
          <w:ilvl w:val="0"/>
          <w:numId w:val="0"/>
        </w:numPr>
        <w:ind w:leftChars="0" w:firstLine="643" w:firstLineChars="200"/>
        <w:outlineLvl w:val="1"/>
        <w:rPr>
          <w:rFonts w:hint="default" w:ascii="仿宋_GB2312" w:hAnsi="仿宋_GB2312" w:eastAsia="仿宋_GB2312" w:cs="Times New Roman"/>
          <w:b/>
          <w:bCs w:val="0"/>
          <w:kern w:val="44"/>
          <w:sz w:val="32"/>
          <w:szCs w:val="32"/>
          <w:lang w:val="en-US" w:eastAsia="zh-CN" w:bidi="ar-SA"/>
        </w:rPr>
      </w:pPr>
      <w:bookmarkStart w:id="53" w:name="_Toc15575"/>
      <w:bookmarkStart w:id="54" w:name="_Toc17955"/>
      <w:r>
        <w:rPr>
          <w:rFonts w:hint="eastAsia" w:ascii="方正楷体_GB2312" w:hAnsi="方正楷体_GB2312" w:eastAsia="方正楷体_GB2312" w:cs="方正楷体_GB2312"/>
          <w:b/>
          <w:bCs w:val="0"/>
          <w:kern w:val="44"/>
          <w:sz w:val="32"/>
          <w:szCs w:val="32"/>
          <w:lang w:val="en-US" w:eastAsia="zh-CN" w:bidi="ar-SA"/>
        </w:rPr>
        <w:t>（三）绩效评价原则、评价方法等</w:t>
      </w:r>
      <w:bookmarkEnd w:id="53"/>
    </w:p>
    <w:p>
      <w:pPr>
        <w:numPr>
          <w:ilvl w:val="0"/>
          <w:numId w:val="0"/>
        </w:numPr>
        <w:ind w:leftChars="0" w:firstLine="643" w:firstLineChars="200"/>
        <w:outlineLvl w:val="9"/>
        <w:rPr>
          <w:rFonts w:hint="eastAsia" w:cs="Times New Roman"/>
          <w:b/>
          <w:bCs w:val="0"/>
          <w:kern w:val="44"/>
          <w:sz w:val="32"/>
          <w:szCs w:val="32"/>
          <w:lang w:val="en-US" w:eastAsia="zh-CN" w:bidi="ar-SA"/>
        </w:rPr>
      </w:pPr>
      <w:r>
        <w:rPr>
          <w:rFonts w:hint="eastAsia" w:cs="Times New Roman"/>
          <w:b/>
          <w:bCs w:val="0"/>
          <w:kern w:val="44"/>
          <w:sz w:val="32"/>
          <w:szCs w:val="32"/>
          <w:lang w:val="en-US" w:eastAsia="zh-CN" w:bidi="ar-SA"/>
        </w:rPr>
        <w:t>1.评价原则</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（1）科学规范。绩效评价注重财政支出的经济性、效率性和有效性，严格执行规定的程序，采用定量与定性分析相结合的方法。</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（2）公正公开。绩效评价客观、公正，标准统一、资料可靠，保证评价结果的真实性、公正性和报告的公信力。</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（3）绩效相关。绩效评价针对具体支出及其产出绩效进行评价，结果清晰反映支出和产出绩效之间的紧密对应关系。</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（4）经济性原则。应当通俗易懂、简便易行，数据的获得应当考虑现实条件和可操作性，符合成本效益原则。</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根据以上原则，绩效评价应遵循如下要求：</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（1）在数据采集时，采取客观数据，以保证各项指标的真实性。</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（2）保证评价结果的真实性、公正性，提高评价报告的公信力。</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（3）绩效评价报告除了对绩效评价的过程、结果描述外，还应总结经验，指出问题，并就共性问题提出可操作性改进建议。</w:t>
      </w:r>
    </w:p>
    <w:p>
      <w:pPr>
        <w:numPr>
          <w:ilvl w:val="0"/>
          <w:numId w:val="0"/>
        </w:numPr>
        <w:ind w:leftChars="0" w:firstLine="643" w:firstLineChars="200"/>
        <w:outlineLvl w:val="9"/>
        <w:rPr>
          <w:rFonts w:hint="default" w:cs="Times New Roman"/>
          <w:b w:val="0"/>
          <w:bCs/>
          <w:kern w:val="44"/>
          <w:sz w:val="32"/>
          <w:szCs w:val="32"/>
          <w:lang w:val="en-US" w:eastAsia="zh-CN" w:bidi="ar-SA"/>
        </w:rPr>
      </w:pPr>
      <w:r>
        <w:rPr>
          <w:rFonts w:hint="eastAsia" w:cs="Times New Roman"/>
          <w:b/>
          <w:bCs w:val="0"/>
          <w:kern w:val="44"/>
          <w:sz w:val="32"/>
          <w:szCs w:val="32"/>
          <w:lang w:val="en-US" w:eastAsia="zh-CN" w:bidi="ar-SA"/>
        </w:rPr>
        <w:t>2.评价方法</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本次评价综合运用比较法、因素分析法、公众评判法等评价方法。</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（1）比较法。通过</w:t>
      </w:r>
      <w:r>
        <w:rPr>
          <w:rFonts w:hint="eastAsia" w:cs="Times New Roman"/>
          <w:b w:val="0"/>
          <w:bCs/>
          <w:kern w:val="44"/>
          <w:sz w:val="32"/>
          <w:szCs w:val="32"/>
          <w:lang w:val="en-US" w:eastAsia="zh-CN" w:bidi="ar-SA"/>
        </w:rPr>
        <w:t>抽查对比普通睦邻点和示范睦邻点的运营效果、对比</w:t>
      </w:r>
      <w:r>
        <w:rPr>
          <w:rFonts w:hint="eastAsia" w:ascii="仿宋_GB2312" w:hAnsi="Microsoft JhengHei" w:cs="Times New Roman"/>
          <w:sz w:val="32"/>
          <w:szCs w:val="32"/>
          <w:highlight w:val="none"/>
          <w:lang w:val="en-US" w:eastAsia="zh-CN"/>
        </w:rPr>
        <w:t>新建综合为老服务中心</w:t>
      </w:r>
      <w:r>
        <w:rPr>
          <w:rFonts w:hint="eastAsia" w:hAnsi="Microsoft JhengHei" w:cs="Times New Roman"/>
          <w:sz w:val="32"/>
          <w:szCs w:val="32"/>
          <w:highlight w:val="none"/>
          <w:lang w:val="en-US" w:eastAsia="zh-CN"/>
        </w:rPr>
        <w:t>建设前后的功能配置、对比投保</w:t>
      </w:r>
      <w:r>
        <w:rPr>
          <w:rFonts w:hint="eastAsia" w:ascii="仿宋_GB2312" w:hAnsi="Microsoft JhengHei" w:cs="Times New Roman"/>
          <w:sz w:val="32"/>
          <w:szCs w:val="32"/>
          <w:highlight w:val="none"/>
          <w:lang w:val="en-US" w:eastAsia="zh-CN"/>
        </w:rPr>
        <w:t>养老机构综合责任险</w:t>
      </w:r>
      <w:r>
        <w:rPr>
          <w:rFonts w:hint="eastAsia" w:hAnsi="Microsoft JhengHei" w:cs="Times New Roman"/>
          <w:sz w:val="32"/>
          <w:szCs w:val="32"/>
          <w:highlight w:val="none"/>
          <w:lang w:val="en-US" w:eastAsia="zh-CN"/>
        </w:rPr>
        <w:t>后对老人权益的保护是否更有效</w:t>
      </w:r>
      <w:r>
        <w:rPr>
          <w:rFonts w:hint="default" w:cs="Times New Roman"/>
          <w:b w:val="0"/>
          <w:bCs/>
          <w:kern w:val="44"/>
          <w:sz w:val="32"/>
          <w:szCs w:val="32"/>
          <w:lang w:val="en-US" w:eastAsia="zh-CN" w:bidi="ar-SA"/>
        </w:rPr>
        <w:t>等情况，分析项目</w:t>
      </w:r>
      <w:r>
        <w:rPr>
          <w:rFonts w:hint="eastAsia" w:cs="Times New Roman"/>
          <w:b w:val="0"/>
          <w:bCs/>
          <w:kern w:val="44"/>
          <w:sz w:val="32"/>
          <w:szCs w:val="32"/>
          <w:lang w:val="en-US" w:eastAsia="zh-CN" w:bidi="ar-SA"/>
        </w:rPr>
        <w:t>实施成效</w:t>
      </w:r>
      <w:r>
        <w:rPr>
          <w:rFonts w:hint="default" w:cs="Times New Roman"/>
          <w:b w:val="0"/>
          <w:bCs/>
          <w:kern w:val="44"/>
          <w:sz w:val="32"/>
          <w:szCs w:val="32"/>
          <w:lang w:val="en-US" w:eastAsia="zh-CN" w:bidi="ar-SA"/>
        </w:rPr>
        <w:t>。</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（2）因素分析法。通过将影响项目投入的各项因素如</w:t>
      </w:r>
      <w:r>
        <w:rPr>
          <w:rFonts w:hint="eastAsia" w:cs="Times New Roman"/>
          <w:b w:val="0"/>
          <w:bCs/>
          <w:kern w:val="44"/>
          <w:sz w:val="32"/>
          <w:szCs w:val="32"/>
          <w:lang w:val="en-US" w:eastAsia="zh-CN" w:bidi="ar-SA"/>
        </w:rPr>
        <w:t>服务老人人次数、投保床位数</w:t>
      </w:r>
      <w:r>
        <w:rPr>
          <w:rFonts w:hint="default" w:cs="Times New Roman"/>
          <w:b w:val="0"/>
          <w:bCs/>
          <w:kern w:val="44"/>
          <w:sz w:val="32"/>
          <w:szCs w:val="32"/>
          <w:lang w:val="en-US" w:eastAsia="zh-CN" w:bidi="ar-SA"/>
        </w:rPr>
        <w:t>等，与影响产出的各项因素如</w:t>
      </w:r>
      <w:r>
        <w:rPr>
          <w:rFonts w:hint="eastAsia" w:cs="Times New Roman"/>
          <w:b w:val="0"/>
          <w:bCs/>
          <w:kern w:val="44"/>
          <w:sz w:val="32"/>
          <w:szCs w:val="32"/>
          <w:lang w:val="en-US" w:eastAsia="zh-CN" w:bidi="ar-SA"/>
        </w:rPr>
        <w:t>村居客观条件</w:t>
      </w:r>
      <w:r>
        <w:rPr>
          <w:rFonts w:hint="default" w:cs="Times New Roman"/>
          <w:b w:val="0"/>
          <w:bCs/>
          <w:kern w:val="44"/>
          <w:sz w:val="32"/>
          <w:szCs w:val="32"/>
          <w:lang w:val="en-US" w:eastAsia="zh-CN" w:bidi="ar-SA"/>
        </w:rPr>
        <w:t>、</w:t>
      </w:r>
      <w:r>
        <w:rPr>
          <w:rFonts w:hint="eastAsia" w:cs="Times New Roman"/>
          <w:b w:val="0"/>
          <w:bCs/>
          <w:kern w:val="44"/>
          <w:sz w:val="32"/>
          <w:szCs w:val="32"/>
          <w:lang w:val="en-US" w:eastAsia="zh-CN" w:bidi="ar-SA"/>
        </w:rPr>
        <w:t>资金投入情况</w:t>
      </w:r>
      <w:r>
        <w:rPr>
          <w:rFonts w:hint="default" w:cs="Times New Roman"/>
          <w:b w:val="0"/>
          <w:bCs/>
          <w:kern w:val="44"/>
          <w:sz w:val="32"/>
          <w:szCs w:val="32"/>
          <w:lang w:val="en-US" w:eastAsia="zh-CN" w:bidi="ar-SA"/>
        </w:rPr>
        <w:t>、</w:t>
      </w:r>
      <w:r>
        <w:rPr>
          <w:rFonts w:hint="eastAsia" w:cs="Times New Roman"/>
          <w:b w:val="0"/>
          <w:bCs/>
          <w:kern w:val="44"/>
          <w:sz w:val="32"/>
          <w:szCs w:val="32"/>
          <w:lang w:val="en-US" w:eastAsia="zh-CN" w:bidi="ar-SA"/>
        </w:rPr>
        <w:t>项目审批流程</w:t>
      </w:r>
      <w:r>
        <w:rPr>
          <w:rFonts w:hint="default" w:cs="Times New Roman"/>
          <w:b w:val="0"/>
          <w:bCs/>
          <w:kern w:val="44"/>
          <w:sz w:val="32"/>
          <w:szCs w:val="32"/>
          <w:lang w:val="en-US" w:eastAsia="zh-CN" w:bidi="ar-SA"/>
        </w:rPr>
        <w:t>等，将以上各项因素罗列出来分析以上各项因素对项目实施的影响程度。</w:t>
      </w:r>
    </w:p>
    <w:p>
      <w:pPr>
        <w:widowControl w:val="0"/>
        <w:numPr>
          <w:ilvl w:val="0"/>
          <w:numId w:val="0"/>
        </w:numPr>
        <w:spacing w:line="500" w:lineRule="exact"/>
        <w:ind w:firstLine="640" w:firstLineChars="200"/>
        <w:contextualSpacing/>
        <w:jc w:val="both"/>
        <w:outlineLvl w:val="9"/>
        <w:rPr>
          <w:rFonts w:hint="eastAsia" w:hAnsi="宋体" w:cs="宋体"/>
          <w:color w:val="000000"/>
          <w:kern w:val="0"/>
          <w:sz w:val="32"/>
          <w:szCs w:val="32"/>
          <w:lang w:val="en-US" w:eastAsia="zh-CN" w:bidi="ar-SA"/>
        </w:rPr>
      </w:pPr>
      <w:r>
        <w:rPr>
          <w:rFonts w:hint="default" w:cs="Times New Roman"/>
          <w:b w:val="0"/>
          <w:bCs/>
          <w:kern w:val="44"/>
          <w:sz w:val="32"/>
          <w:szCs w:val="32"/>
          <w:lang w:val="en-US" w:eastAsia="zh-CN" w:bidi="ar-SA"/>
        </w:rPr>
        <w:t>（3）公众评判法。项目方案过程以访谈的形式听取项目单位对项目实施</w:t>
      </w:r>
      <w:r>
        <w:rPr>
          <w:rFonts w:hint="eastAsia" w:cs="Times New Roman"/>
          <w:b w:val="0"/>
          <w:bCs/>
          <w:kern w:val="44"/>
          <w:sz w:val="32"/>
          <w:szCs w:val="32"/>
          <w:lang w:val="en-US" w:eastAsia="zh-CN" w:bidi="ar-SA"/>
        </w:rPr>
        <w:t>过程及</w:t>
      </w:r>
      <w:r>
        <w:rPr>
          <w:rFonts w:hint="default" w:cs="Times New Roman"/>
          <w:b w:val="0"/>
          <w:bCs/>
          <w:kern w:val="44"/>
          <w:sz w:val="32"/>
          <w:szCs w:val="32"/>
          <w:lang w:val="en-US" w:eastAsia="zh-CN" w:bidi="ar-SA"/>
        </w:rPr>
        <w:t>效果的意见，项目报告过程以问卷调查的方式反馈</w:t>
      </w:r>
      <w:r>
        <w:rPr>
          <w:rFonts w:hint="eastAsia" w:cs="Times New Roman"/>
          <w:b w:val="0"/>
          <w:bCs/>
          <w:kern w:val="44"/>
          <w:sz w:val="32"/>
          <w:szCs w:val="32"/>
          <w:lang w:val="en-US" w:eastAsia="zh-CN" w:bidi="ar-SA"/>
        </w:rPr>
        <w:t>受益各方</w:t>
      </w:r>
      <w:r>
        <w:rPr>
          <w:rFonts w:hint="default" w:cs="Times New Roman"/>
          <w:b w:val="0"/>
          <w:bCs/>
          <w:kern w:val="44"/>
          <w:sz w:val="32"/>
          <w:szCs w:val="32"/>
          <w:lang w:val="en-US" w:eastAsia="zh-CN" w:bidi="ar-SA"/>
        </w:rPr>
        <w:t>对</w:t>
      </w:r>
      <w:r>
        <w:rPr>
          <w:rFonts w:hint="eastAsia" w:cs="Times New Roman"/>
          <w:b w:val="0"/>
          <w:bCs/>
          <w:kern w:val="44"/>
          <w:sz w:val="32"/>
          <w:szCs w:val="32"/>
          <w:lang w:val="en-US" w:eastAsia="zh-CN" w:bidi="ar-SA"/>
        </w:rPr>
        <w:t>项目实施效果</w:t>
      </w:r>
      <w:r>
        <w:rPr>
          <w:rFonts w:hint="default" w:cs="Times New Roman"/>
          <w:b w:val="0"/>
          <w:bCs/>
          <w:kern w:val="44"/>
          <w:sz w:val="32"/>
          <w:szCs w:val="32"/>
          <w:lang w:val="en-US" w:eastAsia="zh-CN" w:bidi="ar-SA"/>
        </w:rPr>
        <w:t>的满意程度，报告完成后组织专家评审，对项目的立项、过程、产出、效果进行客观综合评价。</w:t>
      </w:r>
    </w:p>
    <w:p>
      <w:pPr>
        <w:widowControl w:val="0"/>
        <w:numPr>
          <w:ilvl w:val="0"/>
          <w:numId w:val="0"/>
        </w:numPr>
        <w:spacing w:line="500" w:lineRule="exact"/>
        <w:ind w:firstLine="643" w:firstLineChars="200"/>
        <w:contextualSpacing/>
        <w:jc w:val="both"/>
        <w:outlineLvl w:val="1"/>
        <w:rPr>
          <w:rFonts w:hint="default" w:ascii="方正楷体_GB2312" w:hAnsi="方正楷体_GB2312" w:eastAsia="方正楷体_GB2312" w:cs="方正楷体_GB2312"/>
          <w:b/>
          <w:bCs w:val="0"/>
          <w:kern w:val="44"/>
          <w:sz w:val="32"/>
          <w:szCs w:val="32"/>
          <w:lang w:val="en-US" w:eastAsia="zh-CN" w:bidi="ar-SA"/>
        </w:rPr>
      </w:pPr>
      <w:bookmarkStart w:id="55" w:name="_Toc29025"/>
      <w:r>
        <w:rPr>
          <w:rFonts w:hint="eastAsia" w:ascii="方正楷体_GB2312" w:hAnsi="方正楷体_GB2312" w:eastAsia="方正楷体_GB2312" w:cs="方正楷体_GB2312"/>
          <w:b/>
          <w:bCs w:val="0"/>
          <w:kern w:val="44"/>
          <w:sz w:val="32"/>
          <w:szCs w:val="32"/>
          <w:lang w:val="en-US" w:eastAsia="zh-CN" w:bidi="ar-SA"/>
        </w:rPr>
        <w:t>（四）评价重点</w:t>
      </w:r>
      <w:bookmarkEnd w:id="55"/>
    </w:p>
    <w:p>
      <w:pPr>
        <w:ind w:firstLine="560"/>
        <w:rPr>
          <w:rFonts w:hAnsi="黑体" w:cs="Times New Roman"/>
          <w:sz w:val="32"/>
          <w:szCs w:val="32"/>
          <w:highlight w:val="none"/>
        </w:rPr>
      </w:pPr>
      <w:r>
        <w:rPr>
          <w:rFonts w:hint="eastAsia" w:hAnsi="黑体" w:cs="Times New Roman"/>
          <w:sz w:val="32"/>
          <w:szCs w:val="32"/>
          <w:highlight w:val="none"/>
        </w:rPr>
        <w:t>经过</w:t>
      </w:r>
      <w:r>
        <w:rPr>
          <w:rFonts w:hint="eastAsia" w:hAnsi="黑体" w:cs="Times New Roman"/>
          <w:sz w:val="32"/>
          <w:szCs w:val="32"/>
          <w:highlight w:val="none"/>
          <w:lang w:val="en-US" w:eastAsia="zh-CN"/>
        </w:rPr>
        <w:t>评价组的</w:t>
      </w:r>
      <w:r>
        <w:rPr>
          <w:rFonts w:hint="eastAsia" w:hAnsi="黑体" w:cs="Times New Roman"/>
          <w:sz w:val="32"/>
          <w:szCs w:val="32"/>
          <w:highlight w:val="none"/>
        </w:rPr>
        <w:t>初步调研，</w:t>
      </w:r>
      <w:r>
        <w:rPr>
          <w:rFonts w:hint="eastAsia" w:hAnsi="黑体" w:cs="Times New Roman"/>
          <w:sz w:val="32"/>
          <w:szCs w:val="32"/>
          <w:highlight w:val="none"/>
          <w:lang w:val="en-US" w:eastAsia="zh-CN"/>
        </w:rPr>
        <w:t>结合前期梳理掌握的项目资料，依据“决策—过程—产出—效益”的逻辑路径，</w:t>
      </w:r>
      <w:r>
        <w:rPr>
          <w:rFonts w:hint="eastAsia" w:hAnsi="黑体" w:cs="Times New Roman"/>
          <w:sz w:val="32"/>
          <w:szCs w:val="32"/>
          <w:highlight w:val="none"/>
        </w:rPr>
        <w:t>梳理</w:t>
      </w:r>
      <w:r>
        <w:rPr>
          <w:rFonts w:hint="eastAsia" w:hAnsi="黑体" w:cs="Times New Roman"/>
          <w:sz w:val="32"/>
          <w:szCs w:val="32"/>
          <w:highlight w:val="none"/>
          <w:lang w:val="en-US" w:eastAsia="zh-CN"/>
        </w:rPr>
        <w:t>出</w:t>
      </w:r>
      <w:r>
        <w:rPr>
          <w:rFonts w:hint="eastAsia" w:hAnsi="黑体" w:cs="Times New Roman"/>
          <w:sz w:val="32"/>
          <w:szCs w:val="32"/>
          <w:highlight w:val="none"/>
        </w:rPr>
        <w:t>本项目的评价重点：</w:t>
      </w:r>
    </w:p>
    <w:p>
      <w:pPr>
        <w:pStyle w:val="57"/>
        <w:numPr>
          <w:ilvl w:val="0"/>
          <w:numId w:val="0"/>
        </w:numPr>
        <w:ind w:firstLine="640" w:firstLineChars="200"/>
        <w:rPr>
          <w:rFonts w:hint="default" w:ascii="仿宋_GB2312" w:hAnsi="Microsoft JhengHei" w:eastAsia="仿宋_GB2312" w:cs="Times New Roman"/>
          <w:sz w:val="32"/>
          <w:szCs w:val="32"/>
          <w:highlight w:val="none"/>
          <w:lang w:val="en-US" w:eastAsia="zh-CN"/>
        </w:rPr>
      </w:pP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1</w:t>
      </w: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失智老人护理用品项目的审批和管理质量：本项目作为政府实事项目，从2011年全市推广至今，已积累丰富的运营经验，项目审批工作的准确率和对退出人员管理的准确性和及时性，是评价组需要重点关注的。</w:t>
      </w:r>
    </w:p>
    <w:p>
      <w:pPr>
        <w:pStyle w:val="57"/>
        <w:numPr>
          <w:ilvl w:val="0"/>
          <w:numId w:val="0"/>
        </w:numPr>
        <w:ind w:firstLine="640" w:firstLineChars="200"/>
        <w:rPr>
          <w:rFonts w:ascii="仿宋_GB2312" w:hAnsi="Microsoft JhengHei" w:cs="Times New Roman"/>
          <w:sz w:val="32"/>
          <w:szCs w:val="32"/>
          <w:highlight w:val="none"/>
        </w:rPr>
      </w:pP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2</w:t>
      </w: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示范睦邻点的运营规范性</w:t>
      </w:r>
      <w:r>
        <w:rPr>
          <w:rFonts w:hint="eastAsia" w:ascii="仿宋_GB2312" w:hAnsi="Microsoft JhengHei" w:cs="Times New Roman"/>
          <w:sz w:val="32"/>
          <w:szCs w:val="32"/>
          <w:highlight w:val="none"/>
        </w:rPr>
        <w:t>：</w:t>
      </w:r>
      <w:r>
        <w:rPr>
          <w:rFonts w:hint="eastAsia" w:ascii="仿宋_GB2312" w:hAnsi="Microsoft JhengHei" w:cs="Times New Roman"/>
          <w:sz w:val="32"/>
          <w:szCs w:val="32"/>
          <w:highlight w:val="none"/>
          <w:lang w:val="en-US" w:eastAsia="zh-CN"/>
        </w:rPr>
        <w:t>区别于普通睦邻点，市级层面对于示范睦邻点的运营要求是比较高的，包括硬件方面的</w:t>
      </w:r>
      <w:r>
        <w:rPr>
          <w:rFonts w:hint="eastAsia" w:ascii="仿宋_GB2312" w:hAnsi="GB18030 Bitmap" w:eastAsia="仿宋_GB2312"/>
          <w:sz w:val="32"/>
          <w:szCs w:val="32"/>
        </w:rPr>
        <w:t>消防</w:t>
      </w:r>
      <w:r>
        <w:rPr>
          <w:rFonts w:hint="eastAsia" w:ascii="仿宋_GB2312" w:hAnsi="MS Mincho" w:eastAsia="仿宋_GB2312" w:cs="MS Mincho"/>
          <w:sz w:val="32"/>
          <w:szCs w:val="32"/>
        </w:rPr>
        <w:t>、</w:t>
      </w:r>
      <w:r>
        <w:rPr>
          <w:rFonts w:hint="eastAsia" w:ascii="仿宋_GB2312" w:hAnsi="GB18030 Bitmap" w:eastAsia="仿宋_GB2312"/>
          <w:sz w:val="32"/>
          <w:szCs w:val="32"/>
        </w:rPr>
        <w:t>水电煤</w:t>
      </w:r>
      <w:r>
        <w:rPr>
          <w:rFonts w:hint="eastAsia" w:ascii="仿宋_GB2312" w:hAnsi="MS Mincho" w:eastAsia="仿宋_GB2312" w:cs="MS Mincho"/>
          <w:sz w:val="32"/>
          <w:szCs w:val="32"/>
        </w:rPr>
        <w:t>、</w:t>
      </w:r>
      <w:r>
        <w:rPr>
          <w:rFonts w:hint="eastAsia" w:ascii="仿宋_GB2312" w:hAnsi="GB18030 Bitmap" w:eastAsia="仿宋_GB2312"/>
          <w:sz w:val="32"/>
          <w:szCs w:val="32"/>
        </w:rPr>
        <w:t>防暑降温</w:t>
      </w:r>
      <w:r>
        <w:rPr>
          <w:rFonts w:hint="eastAsia" w:ascii="仿宋_GB2312" w:hAnsi="MS Mincho" w:eastAsia="仿宋_GB2312" w:cs="MS Mincho"/>
          <w:sz w:val="32"/>
          <w:szCs w:val="32"/>
        </w:rPr>
        <w:t>、</w:t>
      </w:r>
      <w:r>
        <w:rPr>
          <w:rFonts w:hint="eastAsia" w:ascii="仿宋_GB2312" w:hAnsi="GB18030 Bitmap" w:eastAsia="仿宋_GB2312"/>
          <w:sz w:val="32"/>
          <w:szCs w:val="32"/>
        </w:rPr>
        <w:t>冬季取暖等设施设备</w:t>
      </w:r>
      <w:r>
        <w:rPr>
          <w:rFonts w:hint="eastAsia" w:ascii="仿宋_GB2312" w:hAnsi="GB18030 Bitmap"/>
          <w:sz w:val="32"/>
          <w:szCs w:val="32"/>
          <w:lang w:val="en-US" w:eastAsia="zh-CN"/>
        </w:rPr>
        <w:t>配套情况，制度层面的</w:t>
      </w:r>
      <w:r>
        <w:rPr>
          <w:rFonts w:hint="eastAsia" w:ascii="仿宋_GB2312" w:hAnsi="Microsoft JhengHei" w:cs="Times New Roman"/>
          <w:sz w:val="32"/>
          <w:szCs w:val="32"/>
          <w:highlight w:val="none"/>
          <w:lang w:val="en-US" w:eastAsia="zh-CN"/>
        </w:rPr>
        <w:t>内部管理公约、制度上墙、</w:t>
      </w:r>
      <w:r>
        <w:rPr>
          <w:rFonts w:hint="eastAsia" w:ascii="仿宋_GB2312" w:hAnsi="GB18030 Bitmap" w:eastAsia="仿宋_GB2312"/>
          <w:sz w:val="32"/>
          <w:szCs w:val="32"/>
        </w:rPr>
        <w:t>活动记录本</w:t>
      </w:r>
      <w:r>
        <w:rPr>
          <w:rFonts w:hint="eastAsia" w:ascii="仿宋_GB2312" w:hAnsi="MS Mincho" w:eastAsia="仿宋_GB2312" w:cs="MS Mincho"/>
          <w:sz w:val="32"/>
          <w:szCs w:val="32"/>
        </w:rPr>
        <w:t>、经费</w:t>
      </w:r>
      <w:r>
        <w:rPr>
          <w:rFonts w:hint="eastAsia" w:ascii="仿宋_GB2312" w:hAnsi="GB18030 Bitmap" w:eastAsia="仿宋_GB2312"/>
          <w:sz w:val="32"/>
          <w:szCs w:val="32"/>
        </w:rPr>
        <w:t>账本</w:t>
      </w:r>
      <w:r>
        <w:rPr>
          <w:rFonts w:hint="eastAsia" w:ascii="仿宋_GB2312" w:hAnsi="GB18030 Bitmap"/>
          <w:sz w:val="32"/>
          <w:szCs w:val="32"/>
          <w:lang w:val="en-US" w:eastAsia="zh-CN"/>
        </w:rPr>
        <w:t>等，评价组将在后续实地调研走访过程中重点关注</w:t>
      </w:r>
      <w:r>
        <w:rPr>
          <w:rFonts w:hint="eastAsia" w:ascii="仿宋_GB2312" w:hAnsi="Microsoft JhengHei" w:cs="Times New Roman"/>
          <w:sz w:val="32"/>
          <w:szCs w:val="32"/>
          <w:highlight w:val="none"/>
        </w:rPr>
        <w:t>。</w:t>
      </w:r>
    </w:p>
    <w:p>
      <w:pPr>
        <w:pStyle w:val="57"/>
        <w:numPr>
          <w:ilvl w:val="0"/>
          <w:numId w:val="0"/>
        </w:numPr>
        <w:ind w:firstLine="640" w:firstLineChars="200"/>
        <w:rPr>
          <w:rFonts w:ascii="仿宋_GB2312" w:hAnsi="Microsoft JhengHei" w:cs="Times New Roman"/>
          <w:sz w:val="32"/>
          <w:szCs w:val="32"/>
          <w:highlight w:val="none"/>
        </w:rPr>
      </w:pP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3</w:t>
      </w: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综合为老服务中心的补贴标准合理性：由于“十三五”期间市级层面对新建综合为老服务中心的补贴政策与“十四五”期间的政策细则有所变动，评价组将重点关注本项目补贴配套的依据合理性情况。</w:t>
      </w:r>
    </w:p>
    <w:p>
      <w:pPr>
        <w:widowControl w:val="0"/>
        <w:numPr>
          <w:ilvl w:val="0"/>
          <w:numId w:val="0"/>
        </w:numPr>
        <w:spacing w:line="500" w:lineRule="exact"/>
        <w:ind w:firstLine="640" w:firstLineChars="200"/>
        <w:contextualSpacing/>
        <w:jc w:val="both"/>
        <w:outlineLvl w:val="9"/>
        <w:rPr>
          <w:rFonts w:hint="eastAsia" w:ascii="方正楷体_GB2312" w:hAnsi="方正楷体_GB2312" w:eastAsia="方正楷体_GB2312" w:cs="方正楷体_GB2312"/>
          <w:b w:val="0"/>
          <w:bCs/>
          <w:kern w:val="44"/>
          <w:sz w:val="32"/>
          <w:szCs w:val="32"/>
          <w:lang w:val="en-US" w:eastAsia="zh-CN" w:bidi="ar-SA"/>
        </w:rPr>
      </w:pP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4</w:t>
      </w: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养老机构综合责任险的签约及预算执行规范性：由于责任险的签约双方是养老机构和指定保险公司，区民政局不与保险公司签订相关协议，而区级承担的60元/床位/年的补贴是由民政局直接支付给保险公司的，故评价组将重点关注养老机构和指定保险公司签订的保险合同内容的规范性，以及保费支付与发票开立的匹配性等。</w:t>
      </w:r>
    </w:p>
    <w:p>
      <w:pPr>
        <w:widowControl w:val="0"/>
        <w:numPr>
          <w:ilvl w:val="0"/>
          <w:numId w:val="0"/>
        </w:numPr>
        <w:spacing w:line="500" w:lineRule="exact"/>
        <w:ind w:firstLine="643" w:firstLineChars="200"/>
        <w:contextualSpacing/>
        <w:jc w:val="both"/>
        <w:outlineLvl w:val="1"/>
        <w:rPr>
          <w:rFonts w:hint="default" w:cs="Times New Roman"/>
          <w:b/>
          <w:bCs w:val="0"/>
          <w:kern w:val="44"/>
          <w:sz w:val="32"/>
          <w:szCs w:val="32"/>
          <w:lang w:val="en-US" w:eastAsia="zh-CN" w:bidi="ar-SA"/>
        </w:rPr>
      </w:pPr>
      <w:bookmarkStart w:id="56" w:name="_Toc9928"/>
      <w:r>
        <w:rPr>
          <w:rFonts w:hint="eastAsia" w:ascii="方正楷体_GB2312" w:hAnsi="方正楷体_GB2312" w:eastAsia="方正楷体_GB2312" w:cs="方正楷体_GB2312"/>
          <w:b/>
          <w:bCs w:val="0"/>
          <w:kern w:val="44"/>
          <w:sz w:val="32"/>
          <w:szCs w:val="32"/>
          <w:lang w:val="en-US" w:eastAsia="zh-CN" w:bidi="ar-SA"/>
        </w:rPr>
        <w:t>（五）绩效评价工作方案制定过程</w:t>
      </w:r>
      <w:bookmarkEnd w:id="56"/>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1.评价工作启动——2023年3月9日</w:t>
      </w:r>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区财政局下达绩效评价任务，明确工作要求。</w:t>
      </w:r>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2.进场取数，完成绩效评价工作方案——2023年4月10日</w:t>
      </w:r>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评价组与项目单位多次沟通、查阅资料，在对项目情况（包括项目背景、项目目的、项目内容、项目资金、项目管理机制等）充分了解之后，开展了初次访谈和调研工作，完成理论框架研究、技术研究、指标研究，编制绩效评价工作方案，提交区财政局。</w:t>
      </w:r>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3.修改完善，确定最终绩效评价工作方案——2023年5月5日</w:t>
      </w:r>
    </w:p>
    <w:p>
      <w:pPr>
        <w:widowControl w:val="0"/>
        <w:numPr>
          <w:ilvl w:val="0"/>
          <w:numId w:val="0"/>
        </w:numPr>
        <w:spacing w:line="500" w:lineRule="exact"/>
        <w:ind w:firstLine="640" w:firstLineChars="200"/>
        <w:contextualSpacing/>
        <w:jc w:val="both"/>
        <w:rPr>
          <w:rFonts w:hint="default" w:hAnsi="Times New Roman" w:cs="Times New Roman"/>
          <w:highlight w:val="none"/>
          <w:lang w:val="en-US" w:eastAsia="zh-CN"/>
        </w:rPr>
      </w:pPr>
      <w:r>
        <w:rPr>
          <w:rFonts w:hint="eastAsia" w:cs="Times New Roman"/>
          <w:b w:val="0"/>
          <w:bCs/>
          <w:kern w:val="44"/>
          <w:sz w:val="32"/>
          <w:szCs w:val="32"/>
          <w:lang w:val="en-US" w:eastAsia="zh-CN" w:bidi="ar-SA"/>
        </w:rPr>
        <w:t>经由区财政局组织的工作方案专家评审会，评价组参照专家意见进行修改，主要完善内容包括：对项目背景进行补充和完善、补充项目管理信息、完善项目计划和实际完成情况形成汇总表、修改了绩效目标的文字表述、重新梳理了评价思路、重新调整了评价指标体系、优化了社会调查方案。完成上述修改后方案定稿。</w:t>
      </w:r>
    </w:p>
    <w:p>
      <w:pPr>
        <w:widowControl w:val="0"/>
        <w:numPr>
          <w:ilvl w:val="0"/>
          <w:numId w:val="0"/>
        </w:numPr>
        <w:spacing w:line="500" w:lineRule="exact"/>
        <w:ind w:firstLine="643" w:firstLineChars="200"/>
        <w:contextualSpacing/>
        <w:jc w:val="both"/>
        <w:outlineLvl w:val="1"/>
        <w:rPr>
          <w:rFonts w:hint="default" w:hAnsi="Times New Roman" w:cs="Times New Roman"/>
          <w:highlight w:val="none"/>
          <w:lang w:val="en-US" w:eastAsia="zh-CN"/>
        </w:rPr>
      </w:pPr>
      <w:bookmarkStart w:id="57" w:name="_Toc26991"/>
      <w:r>
        <w:rPr>
          <w:rFonts w:hint="eastAsia" w:ascii="方正楷体_GB2312" w:hAnsi="方正楷体_GB2312" w:eastAsia="方正楷体_GB2312" w:cs="方正楷体_GB2312"/>
          <w:b/>
          <w:bCs w:val="0"/>
          <w:kern w:val="44"/>
          <w:sz w:val="32"/>
          <w:szCs w:val="32"/>
          <w:lang w:val="en-US" w:eastAsia="zh-CN" w:bidi="ar-SA"/>
        </w:rPr>
        <w:t>（六）绩效评价实施过程</w:t>
      </w:r>
      <w:bookmarkEnd w:id="57"/>
    </w:p>
    <w:p>
      <w:pPr>
        <w:widowControl w:val="0"/>
        <w:numPr>
          <w:ilvl w:val="0"/>
          <w:numId w:val="0"/>
        </w:numPr>
        <w:spacing w:line="500" w:lineRule="exact"/>
        <w:ind w:firstLine="640" w:firstLineChars="200"/>
        <w:contextualSpacing/>
        <w:jc w:val="both"/>
        <w:rPr>
          <w:rFonts w:hint="default" w:hAnsi="Times New Roman" w:cs="Times New Roman"/>
          <w:sz w:val="32"/>
          <w:szCs w:val="32"/>
          <w:highlight w:val="none"/>
          <w:lang w:val="en-US" w:eastAsia="zh-CN"/>
        </w:rPr>
      </w:pPr>
      <w:r>
        <w:rPr>
          <w:rFonts w:hint="default" w:hAnsi="Times New Roman" w:cs="Times New Roman"/>
          <w:sz w:val="32"/>
          <w:szCs w:val="32"/>
          <w:highlight w:val="none"/>
          <w:lang w:val="en-US" w:eastAsia="zh-CN"/>
        </w:rPr>
        <w:t>1.资料补充、社会调查和访谈沟通——202</w:t>
      </w:r>
      <w:r>
        <w:rPr>
          <w:rFonts w:hint="eastAsia" w:hAnsi="Times New Roman" w:cs="Times New Roman"/>
          <w:sz w:val="32"/>
          <w:szCs w:val="32"/>
          <w:highlight w:val="none"/>
          <w:lang w:val="en-US" w:eastAsia="zh-CN"/>
        </w:rPr>
        <w:t>3</w:t>
      </w:r>
      <w:r>
        <w:rPr>
          <w:rFonts w:hint="default" w:hAnsi="Times New Roman" w:cs="Times New Roman"/>
          <w:sz w:val="32"/>
          <w:szCs w:val="32"/>
          <w:highlight w:val="none"/>
          <w:lang w:val="en-US" w:eastAsia="zh-CN"/>
        </w:rPr>
        <w:t>年</w:t>
      </w:r>
      <w:r>
        <w:rPr>
          <w:rFonts w:hint="eastAsia" w:hAnsi="Times New Roman" w:cs="Times New Roman"/>
          <w:sz w:val="32"/>
          <w:szCs w:val="32"/>
          <w:highlight w:val="none"/>
          <w:lang w:val="en-US" w:eastAsia="zh-CN"/>
        </w:rPr>
        <w:t>5</w:t>
      </w:r>
      <w:r>
        <w:rPr>
          <w:rFonts w:hint="default" w:hAnsi="Times New Roman" w:cs="Times New Roman"/>
          <w:sz w:val="32"/>
          <w:szCs w:val="32"/>
          <w:highlight w:val="none"/>
          <w:lang w:val="en-US" w:eastAsia="zh-CN"/>
        </w:rPr>
        <w:t>月</w:t>
      </w:r>
      <w:r>
        <w:rPr>
          <w:rFonts w:hint="eastAsia" w:hAnsi="Times New Roman" w:cs="Times New Roman"/>
          <w:sz w:val="32"/>
          <w:szCs w:val="32"/>
          <w:highlight w:val="none"/>
          <w:lang w:val="en-US" w:eastAsia="zh-CN"/>
        </w:rPr>
        <w:t>2</w:t>
      </w:r>
      <w:r>
        <w:rPr>
          <w:rFonts w:hint="default" w:hAnsi="Times New Roman" w:cs="Times New Roman"/>
          <w:sz w:val="32"/>
          <w:szCs w:val="32"/>
          <w:highlight w:val="none"/>
          <w:lang w:val="en-US" w:eastAsia="zh-CN"/>
        </w:rPr>
        <w:t>0日</w:t>
      </w:r>
    </w:p>
    <w:p>
      <w:pPr>
        <w:widowControl w:val="0"/>
        <w:numPr>
          <w:ilvl w:val="0"/>
          <w:numId w:val="0"/>
        </w:numPr>
        <w:spacing w:line="500" w:lineRule="exact"/>
        <w:ind w:firstLine="640" w:firstLineChars="200"/>
        <w:contextualSpacing/>
        <w:jc w:val="both"/>
        <w:rPr>
          <w:rFonts w:hint="default" w:hAnsi="Times New Roman" w:cs="Times New Roman"/>
          <w:sz w:val="32"/>
          <w:szCs w:val="32"/>
          <w:highlight w:val="none"/>
          <w:lang w:val="en-US" w:eastAsia="zh-CN"/>
        </w:rPr>
      </w:pPr>
      <w:r>
        <w:rPr>
          <w:rFonts w:hint="default" w:hAnsi="Times New Roman" w:cs="Times New Roman"/>
          <w:sz w:val="32"/>
          <w:szCs w:val="32"/>
          <w:highlight w:val="none"/>
          <w:lang w:val="en-US" w:eastAsia="zh-CN"/>
        </w:rPr>
        <w:t>评价组与项目单位进行多次沟通并获取需要补充的项目资料，根据绩效评价工作方案深入开展社会调查和访谈工作，汇总评价基础数据和资料后，统计分析调查结果。</w:t>
      </w:r>
    </w:p>
    <w:p>
      <w:pPr>
        <w:widowControl w:val="0"/>
        <w:numPr>
          <w:ilvl w:val="0"/>
          <w:numId w:val="0"/>
        </w:numPr>
        <w:spacing w:line="500" w:lineRule="exact"/>
        <w:ind w:firstLine="640" w:firstLineChars="200"/>
        <w:contextualSpacing/>
        <w:jc w:val="both"/>
        <w:rPr>
          <w:rFonts w:hint="default" w:hAnsi="Times New Roman" w:cs="Times New Roman"/>
          <w:sz w:val="32"/>
          <w:szCs w:val="32"/>
          <w:highlight w:val="none"/>
          <w:lang w:val="en-US" w:eastAsia="zh-CN"/>
        </w:rPr>
      </w:pPr>
      <w:r>
        <w:rPr>
          <w:rFonts w:hint="default" w:hAnsi="Times New Roman" w:cs="Times New Roman"/>
          <w:sz w:val="32"/>
          <w:szCs w:val="32"/>
          <w:highlight w:val="none"/>
          <w:lang w:val="en-US" w:eastAsia="zh-CN"/>
        </w:rPr>
        <w:t>2.撰写报告并提交区财政局——202</w:t>
      </w:r>
      <w:r>
        <w:rPr>
          <w:rFonts w:hint="eastAsia" w:hAnsi="Times New Roman" w:cs="Times New Roman"/>
          <w:sz w:val="32"/>
          <w:szCs w:val="32"/>
          <w:highlight w:val="none"/>
          <w:lang w:val="en-US" w:eastAsia="zh-CN"/>
        </w:rPr>
        <w:t>3</w:t>
      </w:r>
      <w:r>
        <w:rPr>
          <w:rFonts w:hint="default" w:hAnsi="Times New Roman" w:cs="Times New Roman"/>
          <w:sz w:val="32"/>
          <w:szCs w:val="32"/>
          <w:highlight w:val="none"/>
          <w:lang w:val="en-US" w:eastAsia="zh-CN"/>
        </w:rPr>
        <w:t>年</w:t>
      </w:r>
      <w:r>
        <w:rPr>
          <w:rFonts w:hint="eastAsia" w:hAnsi="Times New Roman" w:cs="Times New Roman"/>
          <w:sz w:val="32"/>
          <w:szCs w:val="32"/>
          <w:highlight w:val="none"/>
          <w:lang w:val="en-US" w:eastAsia="zh-CN"/>
        </w:rPr>
        <w:t>6</w:t>
      </w:r>
      <w:r>
        <w:rPr>
          <w:rFonts w:hint="default" w:hAnsi="Times New Roman" w:cs="Times New Roman"/>
          <w:sz w:val="32"/>
          <w:szCs w:val="32"/>
          <w:highlight w:val="none"/>
          <w:lang w:val="en-US" w:eastAsia="zh-CN"/>
        </w:rPr>
        <w:t>月</w:t>
      </w:r>
      <w:r>
        <w:rPr>
          <w:rFonts w:hint="eastAsia" w:hAnsi="Times New Roman" w:cs="Times New Roman"/>
          <w:sz w:val="32"/>
          <w:szCs w:val="32"/>
          <w:highlight w:val="none"/>
          <w:lang w:val="en-US" w:eastAsia="zh-CN"/>
        </w:rPr>
        <w:t>10</w:t>
      </w:r>
      <w:r>
        <w:rPr>
          <w:rFonts w:hint="default" w:hAnsi="Times New Roman" w:cs="Times New Roman"/>
          <w:sz w:val="32"/>
          <w:szCs w:val="32"/>
          <w:highlight w:val="none"/>
          <w:lang w:val="en-US" w:eastAsia="zh-CN"/>
        </w:rPr>
        <w:t>日</w:t>
      </w:r>
    </w:p>
    <w:p>
      <w:pPr>
        <w:widowControl w:val="0"/>
        <w:numPr>
          <w:ilvl w:val="0"/>
          <w:numId w:val="0"/>
        </w:numPr>
        <w:spacing w:line="500" w:lineRule="exact"/>
        <w:ind w:firstLine="640" w:firstLineChars="200"/>
        <w:contextualSpacing/>
        <w:jc w:val="both"/>
        <w:rPr>
          <w:rFonts w:hint="default" w:hAnsi="Times New Roman" w:cs="Times New Roman"/>
          <w:sz w:val="32"/>
          <w:szCs w:val="32"/>
          <w:highlight w:val="none"/>
          <w:lang w:val="en-US" w:eastAsia="zh-CN"/>
        </w:rPr>
      </w:pPr>
      <w:r>
        <w:rPr>
          <w:rFonts w:hint="default" w:hAnsi="Times New Roman" w:cs="Times New Roman"/>
          <w:sz w:val="32"/>
          <w:szCs w:val="32"/>
          <w:highlight w:val="none"/>
          <w:lang w:val="en-US" w:eastAsia="zh-CN"/>
        </w:rPr>
        <w:t>评价组在整理分析项目数据、调研结果的基础上，撰写绩效评价报告。初稿完成后通过单位内部审核流程，保证报告质量，最后交由区财政组织专家进行评审。</w:t>
      </w:r>
    </w:p>
    <w:p>
      <w:pPr>
        <w:widowControl w:val="0"/>
        <w:numPr>
          <w:ilvl w:val="0"/>
          <w:numId w:val="0"/>
        </w:numPr>
        <w:spacing w:line="500" w:lineRule="exact"/>
        <w:contextualSpacing/>
        <w:jc w:val="both"/>
        <w:rPr>
          <w:rFonts w:hint="default" w:hAnsi="Times New Roman" w:cs="Times New Roman"/>
          <w:sz w:val="32"/>
          <w:szCs w:val="32"/>
          <w:highlight w:val="none"/>
          <w:lang w:val="en-US" w:eastAsia="zh-CN"/>
        </w:rPr>
      </w:pPr>
    </w:p>
    <w:p>
      <w:pPr>
        <w:pStyle w:val="2"/>
        <w:pageBreakBefore w:val="0"/>
        <w:widowControl w:val="0"/>
        <w:kinsoku/>
        <w:wordWrap/>
        <w:overflowPunct/>
        <w:topLinePunct w:val="0"/>
        <w:autoSpaceDE/>
        <w:autoSpaceDN/>
        <w:bidi w:val="0"/>
        <w:adjustRightInd/>
        <w:snapToGrid/>
        <w:ind w:firstLine="643" w:firstLineChars="200"/>
        <w:textAlignment w:val="auto"/>
        <w:rPr>
          <w:rFonts w:hint="eastAsia"/>
          <w:sz w:val="32"/>
          <w:szCs w:val="32"/>
        </w:rPr>
        <w:sectPr>
          <w:pgSz w:w="11906" w:h="16838"/>
          <w:pgMar w:top="1440" w:right="1797" w:bottom="1440" w:left="1797" w:header="851" w:footer="567" w:gutter="0"/>
          <w:cols w:space="720" w:num="1"/>
          <w:docGrid w:linePitch="381" w:charSpace="0"/>
        </w:sectPr>
      </w:pPr>
    </w:p>
    <w:p>
      <w:pPr>
        <w:pStyle w:val="2"/>
        <w:pageBreakBefore w:val="0"/>
        <w:widowControl w:val="0"/>
        <w:kinsoku/>
        <w:wordWrap/>
        <w:overflowPunct/>
        <w:topLinePunct w:val="0"/>
        <w:autoSpaceDE/>
        <w:autoSpaceDN/>
        <w:bidi w:val="0"/>
        <w:adjustRightInd/>
        <w:snapToGrid/>
        <w:ind w:firstLine="643" w:firstLineChars="200"/>
        <w:textAlignment w:val="auto"/>
        <w:rPr>
          <w:sz w:val="32"/>
          <w:szCs w:val="32"/>
        </w:rPr>
      </w:pPr>
      <w:bookmarkStart w:id="58" w:name="_Toc9492"/>
      <w:r>
        <w:rPr>
          <w:rFonts w:hint="eastAsia" w:ascii="黑体" w:hAnsi="黑体" w:eastAsia="黑体" w:cs="黑体"/>
          <w:sz w:val="32"/>
          <w:szCs w:val="32"/>
        </w:rPr>
        <w:t>三、</w:t>
      </w:r>
      <w:bookmarkEnd w:id="54"/>
      <w:r>
        <w:rPr>
          <w:rFonts w:hint="eastAsia" w:ascii="黑体" w:hAnsi="黑体" w:eastAsia="黑体" w:cs="黑体"/>
          <w:sz w:val="32"/>
          <w:szCs w:val="32"/>
        </w:rPr>
        <w:t>评价结论与绩效分析</w:t>
      </w:r>
      <w:bookmarkEnd w:id="58"/>
    </w:p>
    <w:p>
      <w:pPr>
        <w:pStyle w:val="3"/>
        <w:pageBreakBefore w:val="0"/>
        <w:widowControl w:val="0"/>
        <w:kinsoku/>
        <w:wordWrap/>
        <w:overflowPunct/>
        <w:topLinePunct w:val="0"/>
        <w:autoSpaceDE/>
        <w:autoSpaceDN/>
        <w:bidi w:val="0"/>
        <w:adjustRightInd/>
        <w:snapToGrid/>
        <w:textAlignment w:val="auto"/>
        <w:rPr>
          <w:rFonts w:hint="default" w:eastAsia="方正楷体_GB2312"/>
          <w:sz w:val="32"/>
          <w:szCs w:val="32"/>
          <w:lang w:val="en-US" w:eastAsia="zh-CN"/>
        </w:rPr>
      </w:pPr>
      <w:bookmarkStart w:id="59" w:name="_Toc1415"/>
      <w:bookmarkStart w:id="60" w:name="_Toc8909"/>
      <w:r>
        <w:rPr>
          <w:rFonts w:hint="eastAsia" w:ascii="方正楷体_GB2312" w:hAnsi="方正楷体_GB2312" w:eastAsia="方正楷体_GB2312" w:cs="方正楷体_GB2312"/>
          <w:sz w:val="32"/>
          <w:szCs w:val="32"/>
        </w:rPr>
        <w:t>（一）</w:t>
      </w:r>
      <w:bookmarkEnd w:id="59"/>
      <w:r>
        <w:rPr>
          <w:rFonts w:hint="eastAsia" w:ascii="方正楷体_GB2312" w:hAnsi="方正楷体_GB2312" w:eastAsia="方正楷体_GB2312" w:cs="方正楷体_GB2312"/>
          <w:sz w:val="32"/>
          <w:szCs w:val="32"/>
          <w:lang w:val="en-US" w:eastAsia="zh-CN"/>
        </w:rPr>
        <w:t>评价结论</w:t>
      </w:r>
      <w:bookmarkEnd w:id="60"/>
    </w:p>
    <w:p>
      <w:pPr>
        <w:ind w:firstLine="560"/>
        <w:rPr>
          <w:rFonts w:hint="default" w:eastAsia="仿宋_GB2312"/>
          <w:sz w:val="32"/>
          <w:szCs w:val="32"/>
          <w:lang w:val="en-US" w:eastAsia="zh-CN"/>
        </w:rPr>
      </w:pPr>
      <w:r>
        <w:rPr>
          <w:rFonts w:hint="eastAsia"/>
          <w:b/>
          <w:bCs/>
          <w:sz w:val="32"/>
          <w:szCs w:val="32"/>
          <w:lang w:val="en-US" w:eastAsia="zh-CN"/>
        </w:rPr>
        <w:t>1.评价结果</w:t>
      </w:r>
    </w:p>
    <w:p>
      <w:pPr>
        <w:ind w:firstLine="560"/>
        <w:rPr>
          <w:sz w:val="32"/>
          <w:szCs w:val="32"/>
        </w:rPr>
      </w:pPr>
      <w:r>
        <w:rPr>
          <w:rFonts w:hint="eastAsia"/>
          <w:sz w:val="32"/>
          <w:szCs w:val="32"/>
        </w:rPr>
        <w:t>通过数据采集、社会调查等方式，运用绩效评价指标体系，从项目决策、项目过程、项目产出、项目效益等四方面对</w:t>
      </w:r>
      <w:r>
        <w:rPr>
          <w:rFonts w:hint="eastAsia" w:hAnsi="黑体"/>
          <w:sz w:val="32"/>
          <w:szCs w:val="32"/>
          <w:highlight w:val="none"/>
          <w:lang w:val="en-US" w:eastAsia="zh-CN"/>
        </w:rPr>
        <w:t>2022年福利彩票公益金支出</w:t>
      </w:r>
      <w:r>
        <w:rPr>
          <w:rFonts w:hint="eastAsia"/>
          <w:sz w:val="32"/>
          <w:szCs w:val="32"/>
        </w:rPr>
        <w:t>项目进行客观评价，最终评分结果为</w:t>
      </w:r>
      <w:r>
        <w:rPr>
          <w:rFonts w:hint="eastAsia"/>
          <w:sz w:val="32"/>
          <w:szCs w:val="32"/>
          <w:highlight w:val="none"/>
        </w:rPr>
        <w:t>8</w:t>
      </w:r>
      <w:r>
        <w:rPr>
          <w:rFonts w:hint="eastAsia"/>
          <w:sz w:val="32"/>
          <w:szCs w:val="32"/>
          <w:highlight w:val="none"/>
          <w:lang w:val="en-US" w:eastAsia="zh-CN"/>
        </w:rPr>
        <w:t>5</w:t>
      </w:r>
      <w:r>
        <w:rPr>
          <w:rFonts w:hint="eastAsia"/>
          <w:sz w:val="32"/>
          <w:szCs w:val="32"/>
          <w:highlight w:val="none"/>
        </w:rPr>
        <w:t>.</w:t>
      </w:r>
      <w:r>
        <w:rPr>
          <w:rFonts w:hint="eastAsia"/>
          <w:sz w:val="32"/>
          <w:szCs w:val="32"/>
          <w:highlight w:val="none"/>
          <w:lang w:val="en-US" w:eastAsia="zh-CN"/>
        </w:rPr>
        <w:t>9</w:t>
      </w:r>
      <w:r>
        <w:rPr>
          <w:rFonts w:hint="eastAsia"/>
          <w:sz w:val="32"/>
          <w:szCs w:val="32"/>
          <w:highlight w:val="none"/>
        </w:rPr>
        <w:t>8分，绩效评级为“良”</w:t>
      </w:r>
      <w:r>
        <w:rPr>
          <w:rStyle w:val="36"/>
          <w:rFonts w:hint="eastAsia" w:ascii="仿宋_GB2312" w:hAnsi="仿宋_GB2312" w:eastAsia="仿宋_GB2312" w:cs="仿宋_GB2312"/>
          <w:sz w:val="28"/>
          <w:szCs w:val="28"/>
          <w:highlight w:val="none"/>
        </w:rPr>
        <w:footnoteReference w:id="1"/>
      </w:r>
      <w:r>
        <w:rPr>
          <w:rFonts w:hint="eastAsia"/>
          <w:sz w:val="32"/>
          <w:szCs w:val="32"/>
          <w:highlight w:val="none"/>
        </w:rPr>
        <w:t>。（1）项目决策类指标标准分</w:t>
      </w:r>
      <w:r>
        <w:rPr>
          <w:rFonts w:hint="eastAsia"/>
          <w:sz w:val="32"/>
          <w:szCs w:val="32"/>
          <w:highlight w:val="none"/>
          <w:lang w:val="en-US" w:eastAsia="zh-CN"/>
        </w:rPr>
        <w:t>20</w:t>
      </w:r>
      <w:r>
        <w:rPr>
          <w:rFonts w:hint="eastAsia"/>
          <w:sz w:val="32"/>
          <w:szCs w:val="32"/>
          <w:highlight w:val="none"/>
        </w:rPr>
        <w:t>分，实际得分1</w:t>
      </w:r>
      <w:r>
        <w:rPr>
          <w:rFonts w:hint="eastAsia"/>
          <w:sz w:val="32"/>
          <w:szCs w:val="32"/>
          <w:highlight w:val="none"/>
          <w:lang w:val="en-US" w:eastAsia="zh-CN"/>
        </w:rPr>
        <w:t>7</w:t>
      </w:r>
      <w:r>
        <w:rPr>
          <w:rFonts w:hint="eastAsia"/>
          <w:sz w:val="32"/>
          <w:szCs w:val="32"/>
          <w:highlight w:val="none"/>
        </w:rPr>
        <w:t>分，得分率8</w:t>
      </w:r>
      <w:r>
        <w:rPr>
          <w:rFonts w:hint="eastAsia"/>
          <w:sz w:val="32"/>
          <w:szCs w:val="32"/>
          <w:highlight w:val="none"/>
          <w:lang w:val="en-US" w:eastAsia="zh-CN"/>
        </w:rPr>
        <w:t>5</w:t>
      </w:r>
      <w:r>
        <w:rPr>
          <w:rFonts w:hint="eastAsia"/>
          <w:sz w:val="32"/>
          <w:szCs w:val="32"/>
          <w:highlight w:val="none"/>
        </w:rPr>
        <w:t>%；（2）项目过程类指标标准分2</w:t>
      </w:r>
      <w:r>
        <w:rPr>
          <w:rFonts w:hint="eastAsia"/>
          <w:sz w:val="32"/>
          <w:szCs w:val="32"/>
          <w:highlight w:val="none"/>
          <w:lang w:val="en-US" w:eastAsia="zh-CN"/>
        </w:rPr>
        <w:t>0</w:t>
      </w:r>
      <w:r>
        <w:rPr>
          <w:rFonts w:hint="eastAsia"/>
          <w:sz w:val="32"/>
          <w:szCs w:val="32"/>
          <w:highlight w:val="none"/>
        </w:rPr>
        <w:t>分，实际得分</w:t>
      </w:r>
      <w:r>
        <w:rPr>
          <w:rFonts w:hint="eastAsia"/>
          <w:sz w:val="32"/>
          <w:szCs w:val="32"/>
          <w:highlight w:val="none"/>
          <w:lang w:val="en-US" w:eastAsia="zh-CN"/>
        </w:rPr>
        <w:t>16.81</w:t>
      </w:r>
      <w:r>
        <w:rPr>
          <w:rFonts w:hint="eastAsia"/>
          <w:sz w:val="32"/>
          <w:szCs w:val="32"/>
          <w:highlight w:val="none"/>
        </w:rPr>
        <w:t>分，得分率</w:t>
      </w:r>
      <w:r>
        <w:rPr>
          <w:rFonts w:hint="eastAsia"/>
          <w:sz w:val="32"/>
          <w:szCs w:val="32"/>
          <w:highlight w:val="none"/>
          <w:lang w:val="en-US" w:eastAsia="zh-CN"/>
        </w:rPr>
        <w:t>84</w:t>
      </w:r>
      <w:r>
        <w:rPr>
          <w:rFonts w:hint="eastAsia"/>
          <w:sz w:val="32"/>
          <w:szCs w:val="32"/>
          <w:highlight w:val="none"/>
        </w:rPr>
        <w:t>.</w:t>
      </w:r>
      <w:r>
        <w:rPr>
          <w:rFonts w:hint="eastAsia"/>
          <w:sz w:val="32"/>
          <w:szCs w:val="32"/>
          <w:highlight w:val="none"/>
          <w:lang w:val="en-US" w:eastAsia="zh-CN"/>
        </w:rPr>
        <w:t>0</w:t>
      </w:r>
      <w:r>
        <w:rPr>
          <w:rFonts w:hint="eastAsia"/>
          <w:sz w:val="32"/>
          <w:szCs w:val="32"/>
          <w:highlight w:val="none"/>
        </w:rPr>
        <w:t>5%；（3）项目产出类指标标准分</w:t>
      </w:r>
      <w:r>
        <w:rPr>
          <w:rFonts w:hint="eastAsia"/>
          <w:sz w:val="32"/>
          <w:szCs w:val="32"/>
          <w:highlight w:val="none"/>
          <w:lang w:val="en-US" w:eastAsia="zh-CN"/>
        </w:rPr>
        <w:t>30</w:t>
      </w:r>
      <w:r>
        <w:rPr>
          <w:rFonts w:hint="eastAsia"/>
          <w:sz w:val="32"/>
          <w:szCs w:val="32"/>
          <w:highlight w:val="none"/>
        </w:rPr>
        <w:t>分，实际得分2</w:t>
      </w:r>
      <w:r>
        <w:rPr>
          <w:rFonts w:hint="eastAsia"/>
          <w:sz w:val="32"/>
          <w:szCs w:val="32"/>
          <w:highlight w:val="none"/>
          <w:lang w:val="en-US" w:eastAsia="zh-CN"/>
        </w:rPr>
        <w:t>8.5</w:t>
      </w:r>
      <w:r>
        <w:rPr>
          <w:rFonts w:hint="eastAsia"/>
          <w:sz w:val="32"/>
          <w:szCs w:val="32"/>
          <w:highlight w:val="none"/>
        </w:rPr>
        <w:t>分，得分率</w:t>
      </w:r>
      <w:r>
        <w:rPr>
          <w:rFonts w:hint="eastAsia"/>
          <w:sz w:val="32"/>
          <w:szCs w:val="32"/>
          <w:highlight w:val="none"/>
          <w:lang w:val="en-US" w:eastAsia="zh-CN"/>
        </w:rPr>
        <w:t>95</w:t>
      </w:r>
      <w:r>
        <w:rPr>
          <w:rFonts w:hint="eastAsia"/>
          <w:sz w:val="32"/>
          <w:szCs w:val="32"/>
          <w:highlight w:val="none"/>
        </w:rPr>
        <w:t>%；（4）项目效益类指标标准分3</w:t>
      </w:r>
      <w:r>
        <w:rPr>
          <w:rFonts w:hint="eastAsia"/>
          <w:sz w:val="32"/>
          <w:szCs w:val="32"/>
          <w:highlight w:val="none"/>
          <w:lang w:val="en-US" w:eastAsia="zh-CN"/>
        </w:rPr>
        <w:t>0</w:t>
      </w:r>
      <w:r>
        <w:rPr>
          <w:rFonts w:hint="eastAsia"/>
          <w:sz w:val="32"/>
          <w:szCs w:val="32"/>
          <w:highlight w:val="none"/>
        </w:rPr>
        <w:t>分，实际得分23</w:t>
      </w:r>
      <w:r>
        <w:rPr>
          <w:rFonts w:hint="eastAsia"/>
          <w:sz w:val="32"/>
          <w:szCs w:val="32"/>
          <w:highlight w:val="none"/>
          <w:lang w:val="en-US" w:eastAsia="zh-CN"/>
        </w:rPr>
        <w:t>.67</w:t>
      </w:r>
      <w:r>
        <w:rPr>
          <w:rFonts w:hint="eastAsia"/>
          <w:sz w:val="32"/>
          <w:szCs w:val="32"/>
          <w:highlight w:val="none"/>
        </w:rPr>
        <w:t>分，得分率</w:t>
      </w:r>
      <w:r>
        <w:rPr>
          <w:rFonts w:hint="eastAsia"/>
          <w:sz w:val="32"/>
          <w:szCs w:val="32"/>
          <w:highlight w:val="none"/>
          <w:lang w:val="en-US" w:eastAsia="zh-CN"/>
        </w:rPr>
        <w:t>78.9</w:t>
      </w:r>
      <w:r>
        <w:rPr>
          <w:rFonts w:hint="eastAsia"/>
          <w:sz w:val="32"/>
          <w:szCs w:val="32"/>
          <w:highlight w:val="none"/>
        </w:rPr>
        <w:t>%。</w:t>
      </w:r>
    </w:p>
    <w:p>
      <w:pPr>
        <w:ind w:firstLine="560"/>
        <w:rPr>
          <w:rFonts w:hint="default" w:eastAsia="仿宋_GB2312"/>
          <w:sz w:val="32"/>
          <w:szCs w:val="32"/>
          <w:highlight w:val="yellow"/>
          <w:lang w:val="en-US" w:eastAsia="zh-CN"/>
        </w:rPr>
      </w:pPr>
      <w:r>
        <w:rPr>
          <w:rFonts w:hint="eastAsia"/>
          <w:b/>
          <w:bCs/>
          <w:sz w:val="32"/>
          <w:szCs w:val="32"/>
          <w:highlight w:val="none"/>
          <w:lang w:val="en-US" w:eastAsia="zh-CN"/>
        </w:rPr>
        <w:t>2.主要绩效</w:t>
      </w:r>
    </w:p>
    <w:p>
      <w:pPr>
        <w:ind w:firstLine="560"/>
        <w:rPr>
          <w:rFonts w:hint="eastAsia"/>
          <w:sz w:val="32"/>
          <w:szCs w:val="32"/>
        </w:rPr>
      </w:pPr>
      <w:r>
        <w:rPr>
          <w:rFonts w:hint="eastAsia"/>
          <w:sz w:val="32"/>
          <w:szCs w:val="32"/>
        </w:rPr>
        <w:t>该项目总体绩效完成情况良好，主要绩效情况如下：</w:t>
      </w:r>
    </w:p>
    <w:p>
      <w:pPr>
        <w:ind w:firstLine="560"/>
        <w:rPr>
          <w:rFonts w:hint="eastAsia"/>
          <w:sz w:val="32"/>
          <w:szCs w:val="32"/>
          <w:highlight w:val="none"/>
        </w:rPr>
      </w:pPr>
      <w:r>
        <w:rPr>
          <w:rFonts w:hint="eastAsia"/>
          <w:sz w:val="32"/>
          <w:szCs w:val="32"/>
        </w:rPr>
        <w:t>（1）项目决策方面：</w:t>
      </w:r>
      <w:r>
        <w:rPr>
          <w:rFonts w:hint="eastAsia"/>
          <w:sz w:val="32"/>
          <w:szCs w:val="32"/>
          <w:highlight w:val="none"/>
        </w:rPr>
        <w:t>项目立项依据充分，立项程序规范。但</w:t>
      </w:r>
      <w:r>
        <w:rPr>
          <w:rFonts w:hint="eastAsia"/>
          <w:sz w:val="32"/>
          <w:szCs w:val="32"/>
          <w:highlight w:val="none"/>
          <w:lang w:val="en-US" w:eastAsia="zh-CN"/>
        </w:rPr>
        <w:t>综合责任险项目的预算编制欠合理；绩效目标合理性和绩效指标明确性有待提高</w:t>
      </w:r>
      <w:r>
        <w:rPr>
          <w:rFonts w:hint="eastAsia"/>
          <w:sz w:val="32"/>
          <w:szCs w:val="32"/>
          <w:highlight w:val="none"/>
        </w:rPr>
        <w:t>。</w:t>
      </w:r>
    </w:p>
    <w:p>
      <w:pPr>
        <w:ind w:firstLine="560"/>
        <w:rPr>
          <w:rFonts w:hint="eastAsia"/>
          <w:sz w:val="32"/>
          <w:szCs w:val="32"/>
          <w:highlight w:val="yellow"/>
        </w:rPr>
      </w:pPr>
      <w:r>
        <w:rPr>
          <w:rFonts w:hint="eastAsia"/>
          <w:sz w:val="32"/>
          <w:szCs w:val="32"/>
          <w:highlight w:val="none"/>
        </w:rPr>
        <w:t>（2）项目过程管理方面：</w:t>
      </w:r>
      <w:r>
        <w:rPr>
          <w:rFonts w:hint="eastAsia"/>
          <w:sz w:val="32"/>
          <w:szCs w:val="32"/>
          <w:highlight w:val="none"/>
          <w:lang w:val="en-US" w:eastAsia="zh-CN"/>
        </w:rPr>
        <w:t>项目</w:t>
      </w:r>
      <w:r>
        <w:rPr>
          <w:rFonts w:hint="eastAsia"/>
          <w:sz w:val="32"/>
          <w:szCs w:val="32"/>
          <w:highlight w:val="none"/>
        </w:rPr>
        <w:t>财务管理制度健全且执行有效，资金使用合规，业务管理制度健全，</w:t>
      </w:r>
      <w:r>
        <w:rPr>
          <w:rFonts w:hint="eastAsia"/>
          <w:sz w:val="32"/>
          <w:szCs w:val="32"/>
          <w:highlight w:val="none"/>
          <w:lang w:val="en-US" w:eastAsia="zh-CN"/>
        </w:rPr>
        <w:t>且多数业务</w:t>
      </w:r>
      <w:r>
        <w:rPr>
          <w:rFonts w:hint="eastAsia"/>
          <w:sz w:val="32"/>
          <w:szCs w:val="32"/>
          <w:highlight w:val="none"/>
        </w:rPr>
        <w:t>管理制度执行有效。但</w:t>
      </w:r>
      <w:r>
        <w:rPr>
          <w:rFonts w:hint="eastAsia"/>
          <w:sz w:val="32"/>
          <w:szCs w:val="32"/>
          <w:highlight w:val="none"/>
          <w:lang w:val="en-US" w:eastAsia="zh-CN"/>
        </w:rPr>
        <w:t>项目预算调整率和执行率均不理想；</w:t>
      </w:r>
      <w:r>
        <w:rPr>
          <w:rFonts w:hint="eastAsia"/>
          <w:sz w:val="32"/>
          <w:szCs w:val="32"/>
          <w:highlight w:val="none"/>
        </w:rPr>
        <w:t>部分合同签订缺乏必需的合同要素。</w:t>
      </w:r>
    </w:p>
    <w:p>
      <w:pPr>
        <w:ind w:firstLine="560"/>
        <w:rPr>
          <w:rFonts w:hint="eastAsia"/>
          <w:sz w:val="32"/>
          <w:szCs w:val="32"/>
        </w:rPr>
      </w:pPr>
      <w:r>
        <w:rPr>
          <w:rFonts w:hint="eastAsia"/>
          <w:sz w:val="32"/>
          <w:szCs w:val="32"/>
        </w:rPr>
        <w:t>（3）项目产出方面：</w:t>
      </w:r>
      <w:r>
        <w:rPr>
          <w:rFonts w:hint="eastAsia"/>
          <w:sz w:val="32"/>
          <w:szCs w:val="32"/>
          <w:lang w:val="en-US" w:eastAsia="zh-CN"/>
        </w:rPr>
        <w:t>顺利完成全年</w:t>
      </w:r>
      <w:r>
        <w:rPr>
          <w:rFonts w:hint="eastAsia" w:hAnsi="黑体" w:cs="Times New Roman"/>
          <w:kern w:val="2"/>
          <w:sz w:val="32"/>
          <w:szCs w:val="32"/>
          <w:lang w:val="en-US" w:eastAsia="zh-CN" w:bidi="ar-SA"/>
        </w:rPr>
        <w:t>为失智老人配送护理用品工作，</w:t>
      </w:r>
      <w:r>
        <w:rPr>
          <w:rFonts w:hint="default" w:hAnsi="黑体" w:cs="Times New Roman"/>
          <w:kern w:val="2"/>
          <w:sz w:val="32"/>
          <w:szCs w:val="32"/>
          <w:lang w:eastAsia="zh-CN" w:bidi="ar-SA"/>
        </w:rPr>
        <w:t>扶持</w:t>
      </w:r>
      <w:r>
        <w:rPr>
          <w:rFonts w:hint="eastAsia" w:hAnsi="黑体" w:cs="Times New Roman"/>
          <w:kern w:val="2"/>
          <w:sz w:val="32"/>
          <w:szCs w:val="32"/>
          <w:lang w:val="en-US" w:eastAsia="zh-CN" w:bidi="ar-SA"/>
        </w:rPr>
        <w:t>示范睦邻点80家，扶持社区综合为老服务中心建设1家，</w:t>
      </w:r>
      <w:r>
        <w:rPr>
          <w:rFonts w:hint="eastAsia" w:hAnsi="黑体" w:cs="Times New Roman"/>
          <w:kern w:val="2"/>
          <w:sz w:val="32"/>
          <w:szCs w:val="32"/>
          <w:highlight w:val="none"/>
          <w:lang w:val="en-US" w:eastAsia="zh-CN" w:bidi="ar-SA"/>
        </w:rPr>
        <w:t>养老机构投保综合责任保险床位数3914张</w:t>
      </w:r>
      <w:r>
        <w:rPr>
          <w:rFonts w:hint="eastAsia"/>
          <w:sz w:val="32"/>
          <w:szCs w:val="32"/>
          <w:highlight w:val="none"/>
        </w:rPr>
        <w:t>；</w:t>
      </w:r>
      <w:r>
        <w:rPr>
          <w:rFonts w:hint="eastAsia"/>
          <w:sz w:val="32"/>
          <w:szCs w:val="32"/>
          <w:highlight w:val="none"/>
          <w:lang w:val="en-US" w:eastAsia="zh-CN"/>
        </w:rPr>
        <w:t>失智老人审批精确，示范睦邻点和</w:t>
      </w:r>
      <w:r>
        <w:rPr>
          <w:rFonts w:hint="eastAsia" w:hAnsi="黑体" w:cs="Times New Roman"/>
          <w:kern w:val="2"/>
          <w:sz w:val="32"/>
          <w:szCs w:val="32"/>
          <w:lang w:val="en-US" w:eastAsia="zh-CN" w:bidi="ar-SA"/>
        </w:rPr>
        <w:t>综合为老服务中心建设均顺利通过验收，养老机构床位做到应保尽保</w:t>
      </w:r>
      <w:r>
        <w:rPr>
          <w:rFonts w:hint="eastAsia"/>
          <w:sz w:val="32"/>
          <w:szCs w:val="32"/>
        </w:rPr>
        <w:t>；护理用品配送及时</w:t>
      </w:r>
      <w:r>
        <w:rPr>
          <w:rFonts w:hint="eastAsia"/>
          <w:sz w:val="32"/>
          <w:szCs w:val="32"/>
          <w:lang w:val="en-US" w:eastAsia="zh-CN"/>
        </w:rPr>
        <w:t>，示范睦邻点补贴发放及时，保险签约和续保工作完成及时；</w:t>
      </w:r>
      <w:r>
        <w:rPr>
          <w:rFonts w:hint="eastAsia"/>
          <w:sz w:val="32"/>
          <w:szCs w:val="32"/>
        </w:rPr>
        <w:t>但是在建设时效性方面，</w:t>
      </w:r>
      <w:r>
        <w:rPr>
          <w:rFonts w:hint="eastAsia"/>
          <w:sz w:val="32"/>
          <w:szCs w:val="32"/>
          <w:lang w:val="en-US" w:eastAsia="zh-CN"/>
        </w:rPr>
        <w:t>建设镇</w:t>
      </w:r>
      <w:r>
        <w:rPr>
          <w:rFonts w:hint="eastAsia" w:hAnsi="黑体" w:cs="Times New Roman"/>
          <w:kern w:val="2"/>
          <w:sz w:val="32"/>
          <w:szCs w:val="32"/>
          <w:lang w:val="en-US" w:eastAsia="zh-CN" w:bidi="ar-SA"/>
        </w:rPr>
        <w:t>综合为老服务中心旭升分中心落后计划5个月</w:t>
      </w:r>
      <w:r>
        <w:rPr>
          <w:rFonts w:hint="eastAsia"/>
          <w:sz w:val="32"/>
          <w:szCs w:val="32"/>
        </w:rPr>
        <w:t>。</w:t>
      </w:r>
    </w:p>
    <w:p>
      <w:pPr>
        <w:ind w:firstLine="560"/>
        <w:rPr>
          <w:sz w:val="32"/>
          <w:szCs w:val="32"/>
        </w:rPr>
      </w:pPr>
      <w:r>
        <w:rPr>
          <w:rFonts w:hint="eastAsia"/>
          <w:sz w:val="32"/>
          <w:szCs w:val="32"/>
        </w:rPr>
        <w:t>（4）项目效益方面：</w:t>
      </w:r>
      <w:r>
        <w:rPr>
          <w:rFonts w:hint="eastAsia"/>
          <w:sz w:val="32"/>
          <w:szCs w:val="32"/>
          <w:highlight w:val="none"/>
        </w:rPr>
        <w:t>项目的实施</w:t>
      </w:r>
      <w:r>
        <w:rPr>
          <w:rFonts w:hint="eastAsia"/>
          <w:sz w:val="32"/>
          <w:szCs w:val="32"/>
          <w:highlight w:val="none"/>
          <w:lang w:val="en-US" w:eastAsia="zh-CN"/>
        </w:rPr>
        <w:t>让</w:t>
      </w:r>
      <w:r>
        <w:rPr>
          <w:rFonts w:hint="eastAsia"/>
          <w:sz w:val="32"/>
          <w:szCs w:val="32"/>
          <w:lang w:val="en-US" w:eastAsia="zh-CN"/>
        </w:rPr>
        <w:t>重度困难失智老人群体护理水平得到改善，邻里关系有所增进，全区村居养老服务设施有效供给增加77处，养老机构抗风险能力提升，有利于构建老年宜居社区</w:t>
      </w:r>
      <w:r>
        <w:rPr>
          <w:rFonts w:hint="eastAsia"/>
          <w:sz w:val="32"/>
          <w:szCs w:val="32"/>
          <w:lang w:eastAsia="zh-CN"/>
        </w:rPr>
        <w:t>；</w:t>
      </w:r>
      <w:r>
        <w:rPr>
          <w:rFonts w:hint="eastAsia"/>
          <w:sz w:val="32"/>
          <w:szCs w:val="32"/>
          <w:lang w:val="en-US" w:eastAsia="zh-CN"/>
        </w:rPr>
        <w:t>长效方面，失智老人项目和综合责任险项目长效管理制度健全</w:t>
      </w:r>
      <w:r>
        <w:rPr>
          <w:rFonts w:hint="eastAsia"/>
          <w:sz w:val="32"/>
          <w:szCs w:val="32"/>
        </w:rPr>
        <w:t>，</w:t>
      </w:r>
      <w:r>
        <w:rPr>
          <w:rFonts w:hint="eastAsia"/>
          <w:sz w:val="32"/>
          <w:szCs w:val="32"/>
          <w:lang w:val="en-US" w:eastAsia="zh-CN"/>
        </w:rPr>
        <w:t>失智老人项目补贴退出机制健全</w:t>
      </w:r>
      <w:r>
        <w:rPr>
          <w:rFonts w:hint="eastAsia"/>
          <w:sz w:val="32"/>
          <w:szCs w:val="32"/>
        </w:rPr>
        <w:t>，信息公开规范</w:t>
      </w:r>
      <w:r>
        <w:rPr>
          <w:rFonts w:hint="eastAsia"/>
          <w:sz w:val="32"/>
          <w:szCs w:val="32"/>
          <w:lang w:eastAsia="zh-CN"/>
        </w:rPr>
        <w:t>，</w:t>
      </w:r>
      <w:r>
        <w:rPr>
          <w:rFonts w:hint="eastAsia"/>
          <w:sz w:val="32"/>
          <w:szCs w:val="32"/>
          <w:lang w:val="en-US" w:eastAsia="zh-CN"/>
        </w:rPr>
        <w:t>受益人员对项目实施满意度高</w:t>
      </w:r>
      <w:r>
        <w:rPr>
          <w:rFonts w:hint="eastAsia"/>
          <w:sz w:val="32"/>
          <w:szCs w:val="32"/>
        </w:rPr>
        <w:t>；但是示范睦邻点项目</w:t>
      </w:r>
      <w:r>
        <w:rPr>
          <w:rFonts w:hint="eastAsia"/>
          <w:sz w:val="32"/>
          <w:szCs w:val="32"/>
          <w:lang w:val="en-US" w:eastAsia="zh-CN"/>
        </w:rPr>
        <w:t>和</w:t>
      </w:r>
      <w:r>
        <w:rPr>
          <w:rFonts w:hint="eastAsia" w:hAnsi="黑体" w:cs="Times New Roman"/>
          <w:kern w:val="2"/>
          <w:sz w:val="32"/>
          <w:szCs w:val="32"/>
          <w:lang w:val="en-US" w:eastAsia="zh-CN" w:bidi="ar-SA"/>
        </w:rPr>
        <w:t>综合为老服务中心项目</w:t>
      </w:r>
      <w:r>
        <w:rPr>
          <w:rFonts w:hint="eastAsia"/>
          <w:sz w:val="32"/>
          <w:szCs w:val="32"/>
        </w:rPr>
        <w:t>的</w:t>
      </w:r>
      <w:r>
        <w:rPr>
          <w:rFonts w:hint="eastAsia"/>
          <w:sz w:val="32"/>
          <w:szCs w:val="32"/>
          <w:lang w:val="en-US" w:eastAsia="zh-CN"/>
        </w:rPr>
        <w:t>长效管理机制尚不健全，</w:t>
      </w:r>
      <w:r>
        <w:rPr>
          <w:rFonts w:hint="eastAsia"/>
          <w:sz w:val="32"/>
          <w:szCs w:val="32"/>
        </w:rPr>
        <w:t>示范睦邻点综合使用率</w:t>
      </w:r>
      <w:r>
        <w:rPr>
          <w:rFonts w:hint="eastAsia"/>
          <w:sz w:val="32"/>
          <w:szCs w:val="32"/>
          <w:lang w:val="en-US" w:eastAsia="zh-CN"/>
        </w:rPr>
        <w:t>还有提升空间，福彩公益金资助标识设置不到位</w:t>
      </w:r>
      <w:r>
        <w:rPr>
          <w:rFonts w:hint="eastAsia"/>
          <w:sz w:val="32"/>
          <w:szCs w:val="32"/>
        </w:rPr>
        <w:t>。</w:t>
      </w:r>
    </w:p>
    <w:p>
      <w:pPr>
        <w:rPr>
          <w:rFonts w:hint="eastAsia" w:ascii="方正楷体_GB2312" w:hAnsi="方正楷体_GB2312" w:eastAsia="方正楷体_GB2312" w:cs="方正楷体_GB2312"/>
          <w:sz w:val="32"/>
          <w:szCs w:val="32"/>
        </w:rPr>
      </w:pPr>
      <w:bookmarkStart w:id="61" w:name="_Toc28703"/>
      <w:r>
        <w:rPr>
          <w:rFonts w:hint="eastAsia" w:ascii="方正楷体_GB2312" w:hAnsi="方正楷体_GB2312" w:eastAsia="方正楷体_GB2312" w:cs="方正楷体_GB2312"/>
          <w:sz w:val="32"/>
          <w:szCs w:val="32"/>
        </w:rPr>
        <w:br w:type="page"/>
      </w:r>
    </w:p>
    <w:p>
      <w:pPr>
        <w:pStyle w:val="3"/>
        <w:rPr>
          <w:sz w:val="32"/>
          <w:szCs w:val="32"/>
        </w:rPr>
      </w:pPr>
      <w:bookmarkStart w:id="62" w:name="_Toc9562"/>
      <w:r>
        <w:rPr>
          <w:rFonts w:hint="eastAsia" w:ascii="方正楷体_GB2312" w:hAnsi="方正楷体_GB2312" w:eastAsia="方正楷体_GB2312" w:cs="方正楷体_GB2312"/>
          <w:sz w:val="32"/>
          <w:szCs w:val="32"/>
        </w:rPr>
        <w:t>（二）</w:t>
      </w:r>
      <w:bookmarkEnd w:id="61"/>
      <w:r>
        <w:rPr>
          <w:rFonts w:hint="eastAsia" w:ascii="方正楷体_GB2312" w:hAnsi="方正楷体_GB2312" w:eastAsia="方正楷体_GB2312" w:cs="方正楷体_GB2312"/>
          <w:sz w:val="32"/>
          <w:szCs w:val="32"/>
        </w:rPr>
        <w:t>具体绩效分析</w:t>
      </w:r>
      <w:bookmarkEnd w:id="62"/>
    </w:p>
    <w:p>
      <w:pPr>
        <w:pageBreakBefore w:val="0"/>
        <w:kinsoku/>
        <w:wordWrap/>
        <w:overflowPunct/>
        <w:topLinePunct w:val="0"/>
        <w:autoSpaceDN/>
        <w:bidi w:val="0"/>
        <w:spacing w:line="500" w:lineRule="exact"/>
        <w:ind w:left="0" w:leftChars="0" w:firstLine="643" w:firstLineChars="200"/>
        <w:contextualSpacing w:val="0"/>
        <w:jc w:val="both"/>
        <w:outlineLvl w:val="2"/>
        <w:rPr>
          <w:rFonts w:hint="eastAsia" w:ascii="仿宋_GB2312" w:hAnsi="Times New Roman" w:cs="Times New Roman"/>
          <w:b/>
          <w:bCs/>
          <w:kern w:val="1"/>
          <w:sz w:val="28"/>
          <w:szCs w:val="28"/>
        </w:rPr>
      </w:pPr>
      <w:bookmarkStart w:id="63" w:name="_Toc21289"/>
      <w:bookmarkStart w:id="64" w:name="_Toc16759"/>
      <w:r>
        <w:rPr>
          <w:rFonts w:hint="eastAsia" w:ascii="仿宋_GB2312" w:hAnsi="仿宋_GB2312" w:eastAsia="仿宋_GB2312" w:cs="仿宋_GB2312"/>
          <w:b/>
          <w:bCs/>
          <w:kern w:val="1"/>
          <w:sz w:val="32"/>
          <w:szCs w:val="32"/>
        </w:rPr>
        <w:t>1.项目决策</w:t>
      </w:r>
      <w:bookmarkEnd w:id="63"/>
      <w:bookmarkEnd w:id="64"/>
    </w:p>
    <w:p>
      <w:pPr>
        <w:pageBreakBefore w:val="0"/>
        <w:kinsoku/>
        <w:wordWrap/>
        <w:overflowPunct/>
        <w:topLinePunct w:val="0"/>
        <w:autoSpaceDN/>
        <w:bidi w:val="0"/>
        <w:spacing w:line="500" w:lineRule="exact"/>
        <w:ind w:left="0" w:leftChars="0" w:firstLine="640" w:firstLineChars="200"/>
        <w:contextualSpacing w:val="0"/>
        <w:jc w:val="both"/>
        <w:rPr>
          <w:rFonts w:hint="default" w:ascii="仿宋_GB2312" w:hAnsi="Times New Roman" w:eastAsia="仿宋_GB2312" w:cs="Times New Roman"/>
          <w:b/>
          <w:bCs/>
          <w:kern w:val="1"/>
          <w:sz w:val="28"/>
          <w:szCs w:val="28"/>
          <w:lang w:val="en-US" w:eastAsia="zh-CN"/>
        </w:rPr>
      </w:pP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1</w:t>
      </w: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得分情况</w:t>
      </w:r>
    </w:p>
    <w:p>
      <w:pPr>
        <w:pageBreakBefore w:val="0"/>
        <w:kinsoku/>
        <w:wordWrap/>
        <w:overflowPunct/>
        <w:topLinePunct w:val="0"/>
        <w:autoSpaceDN/>
        <w:bidi w:val="0"/>
        <w:spacing w:line="500" w:lineRule="exact"/>
        <w:ind w:left="0" w:leftChars="0" w:firstLine="0" w:firstLineChars="0"/>
        <w:contextualSpacing w:val="0"/>
        <w:jc w:val="center"/>
        <w:rPr>
          <w:rFonts w:hint="eastAsia" w:ascii="仿宋_GB2312" w:hAnsi="Times New Roman" w:cs="Times New Roman"/>
          <w:b/>
          <w:bCs/>
          <w:kern w:val="1"/>
          <w:sz w:val="28"/>
          <w:szCs w:val="28"/>
        </w:rPr>
      </w:pPr>
      <w:r>
        <w:rPr>
          <w:rFonts w:hint="eastAsia" w:ascii="仿宋_GB2312" w:hAnsi="Times New Roman" w:cs="Times New Roman"/>
          <w:b/>
          <w:bCs/>
          <w:kern w:val="1"/>
          <w:sz w:val="24"/>
          <w:szCs w:val="24"/>
        </w:rPr>
        <w:t>表3-1项目</w:t>
      </w:r>
      <w:r>
        <w:rPr>
          <w:rFonts w:hint="eastAsia" w:ascii="仿宋_GB2312" w:hAnsi="Times New Roman" w:cs="Times New Roman"/>
          <w:b/>
          <w:bCs/>
          <w:kern w:val="1"/>
          <w:sz w:val="24"/>
          <w:szCs w:val="24"/>
          <w:lang w:val="en-US" w:eastAsia="zh-CN"/>
        </w:rPr>
        <w:t>决策类指标</w:t>
      </w:r>
      <w:r>
        <w:rPr>
          <w:rFonts w:hint="eastAsia" w:ascii="仿宋_GB2312" w:hAnsi="Times New Roman" w:cs="Times New Roman"/>
          <w:b/>
          <w:bCs/>
          <w:kern w:val="1"/>
          <w:sz w:val="24"/>
          <w:szCs w:val="24"/>
        </w:rPr>
        <w:t>得分表</w:t>
      </w:r>
    </w:p>
    <w:tbl>
      <w:tblPr>
        <w:tblStyle w:val="38"/>
        <w:tblW w:w="86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20"/>
        <w:gridCol w:w="803"/>
        <w:gridCol w:w="2508"/>
        <w:gridCol w:w="1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指标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权重</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业绩值</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left"/>
              <w:textAlignment w:val="auto"/>
              <w:rPr>
                <w:rFonts w:hint="eastAsia" w:ascii="仿宋_GB2312" w:hAnsi="仿宋_GB2312" w:eastAsia="仿宋_GB2312" w:cs="仿宋_GB2312"/>
                <w:b/>
                <w:bCs/>
                <w:kern w:val="1"/>
                <w:sz w:val="24"/>
                <w:szCs w:val="24"/>
              </w:rPr>
            </w:pPr>
            <w:r>
              <w:rPr>
                <w:rFonts w:hint="eastAsia" w:ascii="仿宋_GB2312" w:hAnsi="仿宋_GB2312" w:eastAsia="仿宋_GB2312" w:cs="仿宋_GB2312"/>
                <w:b/>
                <w:bCs/>
                <w:kern w:val="1"/>
                <w:sz w:val="24"/>
                <w:szCs w:val="24"/>
              </w:rPr>
              <w:t>A项目决策</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20</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bCs/>
                <w:color w:val="000000"/>
                <w:kern w:val="1"/>
                <w:sz w:val="24"/>
                <w:szCs w:val="24"/>
              </w:rPr>
            </w:pPr>
            <w:r>
              <w:rPr>
                <w:rFonts w:hint="eastAsia" w:ascii="仿宋_GB2312" w:hAnsi="仿宋_GB2312" w:eastAsia="仿宋_GB2312" w:cs="仿宋_GB2312"/>
                <w:b/>
                <w:bCs/>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ascii="仿宋_GB2312" w:hAnsi="仿宋_GB2312" w:eastAsia="仿宋_GB2312" w:cs="仿宋_GB2312"/>
                <w:b/>
                <w:bCs/>
                <w:color w:val="000000"/>
                <w:kern w:val="1"/>
                <w:sz w:val="24"/>
                <w:szCs w:val="24"/>
                <w:lang w:val="en-US" w:eastAsia="zh-CN"/>
              </w:rPr>
              <w:t>1</w:t>
            </w:r>
            <w:r>
              <w:rPr>
                <w:rFonts w:hint="eastAsia" w:cs="仿宋_GB2312"/>
                <w:b/>
                <w:bCs/>
                <w:color w:val="000000"/>
                <w:kern w:val="1"/>
                <w:sz w:val="24"/>
                <w:szCs w:val="24"/>
                <w:lang w:val="en-US"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A1 项目立项</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8</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A11 立项依据充分性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充分</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A12 立项</w:t>
            </w:r>
            <w:r>
              <w:rPr>
                <w:rFonts w:hint="eastAsia" w:ascii="仿宋_GB2312" w:hAnsi="仿宋_GB2312" w:eastAsia="仿宋_GB2312" w:cs="仿宋_GB2312"/>
                <w:kern w:val="1"/>
                <w:sz w:val="24"/>
                <w:szCs w:val="24"/>
                <w:lang w:val="en-US" w:eastAsia="zh-CN"/>
              </w:rPr>
              <w:t>程序</w:t>
            </w:r>
            <w:r>
              <w:rPr>
                <w:rFonts w:hint="eastAsia" w:ascii="仿宋_GB2312" w:hAnsi="仿宋_GB2312" w:eastAsia="仿宋_GB2312" w:cs="仿宋_GB2312"/>
                <w:kern w:val="1"/>
                <w:sz w:val="24"/>
                <w:szCs w:val="24"/>
              </w:rPr>
              <w:t>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A2 绩效目标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A21 绩效目标合理性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3</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较</w:t>
            </w:r>
            <w:r>
              <w:rPr>
                <w:rFonts w:hint="eastAsia" w:ascii="仿宋_GB2312" w:hAnsi="仿宋_GB2312" w:eastAsia="仿宋_GB2312" w:cs="仿宋_GB2312"/>
                <w:color w:val="000000"/>
                <w:kern w:val="1"/>
                <w:sz w:val="24"/>
                <w:szCs w:val="24"/>
                <w:lang w:val="en-US" w:eastAsia="zh-CN"/>
              </w:rPr>
              <w:t>合理</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A22 绩效指标明确性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3</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较</w:t>
            </w:r>
            <w:r>
              <w:rPr>
                <w:rFonts w:hint="eastAsia" w:ascii="仿宋_GB2312" w:hAnsi="仿宋_GB2312" w:eastAsia="仿宋_GB2312" w:cs="仿宋_GB2312"/>
                <w:color w:val="000000"/>
                <w:kern w:val="1"/>
                <w:sz w:val="24"/>
                <w:szCs w:val="24"/>
                <w:lang w:val="en-US" w:eastAsia="zh-CN"/>
              </w:rPr>
              <w:t>明确</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A3 资金投入</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A31 预算编制科学性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较</w:t>
            </w:r>
            <w:r>
              <w:rPr>
                <w:rFonts w:hint="eastAsia" w:ascii="仿宋_GB2312" w:hAnsi="仿宋_GB2312" w:cs="仿宋_GB2312"/>
                <w:color w:val="000000"/>
                <w:kern w:val="1"/>
                <w:sz w:val="24"/>
                <w:szCs w:val="24"/>
                <w:lang w:val="en-US" w:eastAsia="zh-CN"/>
              </w:rPr>
              <w:t>科学</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5</w:t>
            </w:r>
          </w:p>
        </w:tc>
      </w:tr>
    </w:tbl>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指标分析</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A11立项依据充分性 权重</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分，得分</w:t>
      </w:r>
      <w:r>
        <w:rPr>
          <w:rFonts w:hint="eastAsia" w:ascii="仿宋_GB2312" w:hAnsi="仿宋_GB2312" w:eastAsia="仿宋_GB2312" w:cs="仿宋_GB2312"/>
          <w:kern w:val="1"/>
          <w:sz w:val="32"/>
          <w:szCs w:val="32"/>
          <w:lang w:eastAsia="zh-CN"/>
        </w:rPr>
        <w:t>4</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color w:val="000000"/>
          <w:kern w:val="1"/>
          <w:sz w:val="32"/>
          <w:szCs w:val="32"/>
          <w:lang w:eastAsia="zh-CN"/>
        </w:rPr>
      </w:pPr>
      <w:r>
        <w:rPr>
          <w:rFonts w:hint="eastAsia" w:ascii="仿宋_GB2312" w:hAnsi="仿宋_GB2312" w:eastAsia="仿宋_GB2312" w:cs="仿宋_GB2312"/>
          <w:color w:val="000000"/>
          <w:kern w:val="1"/>
          <w:sz w:val="32"/>
          <w:szCs w:val="32"/>
          <w:lang w:val="en-US" w:eastAsia="zh-CN"/>
        </w:rPr>
        <w:t>①</w:t>
      </w:r>
      <w:r>
        <w:rPr>
          <w:rFonts w:hint="eastAsia" w:ascii="仿宋_GB2312" w:hAnsi="仿宋_GB2312" w:eastAsia="仿宋_GB2312" w:cs="仿宋_GB2312"/>
          <w:color w:val="000000"/>
          <w:kern w:val="1"/>
          <w:sz w:val="32"/>
          <w:szCs w:val="32"/>
          <w:lang w:eastAsia="zh-CN"/>
        </w:rPr>
        <w:t>项目立项符合国家法律法规、国民经济发展规划和相关政策</w:t>
      </w:r>
      <w:r>
        <w:rPr>
          <w:rFonts w:hint="eastAsia" w:cs="仿宋_GB2312"/>
          <w:color w:val="000000"/>
          <w:kern w:val="1"/>
          <w:sz w:val="32"/>
          <w:szCs w:val="32"/>
          <w:lang w:eastAsia="zh-CN"/>
        </w:rPr>
        <w:t>，属于公共财政支持范围，</w:t>
      </w:r>
      <w:r>
        <w:rPr>
          <w:rFonts w:hint="eastAsia" w:cs="仿宋_GB2312"/>
          <w:color w:val="000000"/>
          <w:kern w:val="1"/>
          <w:sz w:val="32"/>
          <w:szCs w:val="32"/>
          <w:lang w:val="en-US" w:eastAsia="zh-CN"/>
        </w:rPr>
        <w:t>属于</w:t>
      </w:r>
      <w:r>
        <w:rPr>
          <w:rFonts w:hint="eastAsia" w:cs="仿宋_GB2312"/>
          <w:color w:val="000000"/>
          <w:kern w:val="1"/>
          <w:sz w:val="32"/>
          <w:szCs w:val="32"/>
          <w:lang w:eastAsia="zh-CN"/>
        </w:rPr>
        <w:t>地方事权支出责任</w:t>
      </w:r>
      <w:r>
        <w:rPr>
          <w:rFonts w:hint="eastAsia" w:ascii="仿宋_GB2312" w:hAnsi="仿宋_GB2312" w:eastAsia="仿宋_GB2312" w:cs="仿宋_GB2312"/>
          <w:color w:val="000000"/>
          <w:kern w:val="1"/>
          <w:sz w:val="32"/>
          <w:szCs w:val="32"/>
          <w:lang w:eastAsia="zh-CN"/>
        </w:rPr>
        <w:t>；</w:t>
      </w:r>
      <w:r>
        <w:rPr>
          <w:rFonts w:hint="eastAsia"/>
          <w:sz w:val="32"/>
          <w:szCs w:val="32"/>
        </w:rPr>
        <w:t>上海市崇明区</w:t>
      </w:r>
      <w:r>
        <w:rPr>
          <w:rFonts w:hint="eastAsia"/>
          <w:sz w:val="32"/>
          <w:szCs w:val="32"/>
          <w:lang w:eastAsia="zh-CN"/>
        </w:rPr>
        <w:t>民政局</w:t>
      </w:r>
      <w:r>
        <w:rPr>
          <w:rFonts w:hint="eastAsia" w:ascii="仿宋_GB2312" w:hAnsi="仿宋_GB2312" w:cs="仿宋_GB2312"/>
          <w:color w:val="000000"/>
          <w:kern w:val="1"/>
          <w:sz w:val="32"/>
          <w:szCs w:val="32"/>
          <w:lang w:val="en-US" w:eastAsia="zh-CN"/>
        </w:rPr>
        <w:t>是本项目的预算单位，其</w:t>
      </w:r>
      <w:r>
        <w:rPr>
          <w:rFonts w:hint="eastAsia" w:ascii="仿宋_GB2312" w:hAnsi="仿宋_GB2312" w:eastAsia="仿宋_GB2312" w:cs="仿宋_GB2312"/>
          <w:color w:val="000000"/>
          <w:kern w:val="1"/>
          <w:sz w:val="32"/>
          <w:szCs w:val="32"/>
          <w:lang w:val="en-US" w:eastAsia="zh-CN"/>
        </w:rPr>
        <w:t>作为行业管理部门，</w:t>
      </w:r>
      <w:r>
        <w:rPr>
          <w:rFonts w:hint="eastAsia" w:ascii="仿宋_GB2312" w:hAnsi="仿宋_GB2312" w:cs="仿宋_GB2312"/>
          <w:color w:val="000000"/>
          <w:kern w:val="1"/>
          <w:sz w:val="32"/>
          <w:szCs w:val="32"/>
          <w:lang w:val="en-US" w:eastAsia="zh-CN"/>
        </w:rPr>
        <w:t>职责之一为：</w:t>
      </w:r>
      <w:r>
        <w:rPr>
          <w:rFonts w:hint="eastAsia" w:ascii="仿宋_GB2312" w:hAnsi="仿宋_GB2312" w:eastAsia="仿宋_GB2312" w:cs="仿宋_GB2312"/>
          <w:color w:val="000000"/>
          <w:kern w:val="1"/>
          <w:sz w:val="32"/>
          <w:szCs w:val="32"/>
          <w:lang w:val="en-US" w:eastAsia="zh-CN"/>
        </w:rPr>
        <w:t>负责福利彩票公益金和慈善资金使用的管理工作。</w:t>
      </w:r>
      <w:r>
        <w:rPr>
          <w:rFonts w:hint="eastAsia" w:ascii="仿宋_GB2312" w:hAnsi="仿宋_GB2312" w:eastAsia="仿宋_GB2312" w:cs="仿宋_GB2312"/>
          <w:kern w:val="1"/>
          <w:sz w:val="32"/>
          <w:szCs w:val="22"/>
          <w:lang w:val="en-US" w:eastAsia="zh-CN"/>
        </w:rPr>
        <w:t>本项目属于上述的部门职责范围内，属于部门履职所需</w:t>
      </w:r>
      <w:r>
        <w:rPr>
          <w:rFonts w:hint="eastAsia" w:cs="仿宋_GB2312"/>
          <w:kern w:val="1"/>
          <w:sz w:val="32"/>
          <w:szCs w:val="22"/>
          <w:lang w:val="en-US" w:eastAsia="zh-CN"/>
        </w:rPr>
        <w:t>。综上</w:t>
      </w:r>
      <w:r>
        <w:rPr>
          <w:rFonts w:hint="eastAsia" w:ascii="仿宋_GB2312" w:hAnsi="仿宋_GB2312" w:eastAsia="仿宋_GB2312" w:cs="仿宋_GB2312"/>
          <w:kern w:val="1"/>
          <w:sz w:val="32"/>
          <w:szCs w:val="22"/>
          <w:lang w:val="en-US" w:eastAsia="zh-CN"/>
        </w:rPr>
        <w:t>得</w:t>
      </w:r>
      <w:r>
        <w:rPr>
          <w:rFonts w:hint="eastAsia" w:cs="仿宋_GB2312"/>
          <w:kern w:val="1"/>
          <w:sz w:val="32"/>
          <w:szCs w:val="22"/>
          <w:lang w:val="en-US" w:eastAsia="zh-CN"/>
        </w:rPr>
        <w:t>2</w:t>
      </w:r>
      <w:r>
        <w:rPr>
          <w:rFonts w:hint="eastAsia" w:ascii="仿宋_GB2312" w:hAnsi="仿宋_GB2312" w:eastAsia="仿宋_GB2312" w:cs="仿宋_GB2312"/>
          <w:kern w:val="1"/>
          <w:sz w:val="32"/>
          <w:szCs w:val="2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22"/>
          <w:lang w:val="en-US" w:eastAsia="zh-CN"/>
        </w:rPr>
      </w:pPr>
      <w:r>
        <w:rPr>
          <w:rFonts w:hint="eastAsia" w:ascii="仿宋_GB2312" w:hAnsi="仿宋_GB2312" w:cs="仿宋_GB2312"/>
          <w:color w:val="000000"/>
          <w:kern w:val="1"/>
          <w:sz w:val="32"/>
          <w:szCs w:val="32"/>
          <w:lang w:val="en-US" w:eastAsia="zh-CN"/>
        </w:rPr>
        <w:t>②</w:t>
      </w:r>
      <w:r>
        <w:rPr>
          <w:rFonts w:hint="eastAsia" w:ascii="仿宋_GB2312" w:hAnsi="仿宋_GB2312" w:eastAsia="仿宋_GB2312" w:cs="仿宋_GB2312"/>
          <w:color w:val="000000"/>
          <w:kern w:val="1"/>
          <w:sz w:val="32"/>
          <w:szCs w:val="32"/>
        </w:rPr>
        <w:t>项目立项符合</w:t>
      </w:r>
      <w:r>
        <w:rPr>
          <w:rFonts w:hint="eastAsia"/>
          <w:sz w:val="32"/>
          <w:szCs w:val="32"/>
          <w:lang w:val="en-US" w:eastAsia="zh-CN"/>
        </w:rPr>
        <w:t>《上海市人民政府办公厅关于推进本市“十四五”期间养老服务设施建设的实施意见》（沪府办规〔2021〕13号）《关于做好2022年度全市养老机构综合责任保险签约工作的通知》（上海市民政局2022年7月）</w:t>
      </w:r>
      <w:r>
        <w:rPr>
          <w:rFonts w:hint="eastAsia" w:ascii="仿宋_GB2312" w:hAnsi="仿宋_GB2312" w:eastAsia="仿宋_GB2312" w:cs="仿宋_GB2312"/>
          <w:color w:val="000000"/>
          <w:kern w:val="1"/>
          <w:sz w:val="32"/>
          <w:szCs w:val="32"/>
        </w:rPr>
        <w:t>等</w:t>
      </w:r>
      <w:r>
        <w:rPr>
          <w:rFonts w:hint="eastAsia" w:ascii="仿宋_GB2312" w:hAnsi="仿宋_GB2312" w:eastAsia="仿宋_GB2312" w:cs="仿宋_GB2312"/>
          <w:color w:val="000000"/>
          <w:kern w:val="1"/>
          <w:sz w:val="32"/>
          <w:szCs w:val="32"/>
          <w:lang w:val="en-US" w:eastAsia="zh-CN"/>
        </w:rPr>
        <w:t>上级政策</w:t>
      </w:r>
      <w:r>
        <w:rPr>
          <w:rFonts w:hint="eastAsia" w:ascii="仿宋_GB2312" w:hAnsi="仿宋_GB2312" w:eastAsia="仿宋_GB2312" w:cs="仿宋_GB2312"/>
          <w:color w:val="000000"/>
          <w:kern w:val="1"/>
          <w:sz w:val="32"/>
          <w:szCs w:val="32"/>
        </w:rPr>
        <w:t>文件要求</w:t>
      </w:r>
      <w:r>
        <w:rPr>
          <w:rFonts w:hint="eastAsia" w:cs="仿宋_GB2312"/>
          <w:color w:val="000000"/>
          <w:kern w:val="1"/>
          <w:sz w:val="32"/>
          <w:szCs w:val="32"/>
          <w:lang w:eastAsia="zh-CN"/>
        </w:rPr>
        <w:t>，</w:t>
      </w:r>
      <w:r>
        <w:rPr>
          <w:rFonts w:hint="eastAsia" w:cs="仿宋_GB2312"/>
          <w:color w:val="000000"/>
          <w:kern w:val="1"/>
          <w:sz w:val="32"/>
          <w:szCs w:val="32"/>
          <w:lang w:val="en-US" w:eastAsia="zh-CN"/>
        </w:rPr>
        <w:t>且为直接相关，得2分。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A12 立项</w:t>
      </w:r>
      <w:r>
        <w:rPr>
          <w:rFonts w:hint="eastAsia" w:ascii="仿宋_GB2312" w:hAnsi="仿宋_GB2312" w:eastAsia="仿宋_GB2312" w:cs="仿宋_GB2312"/>
          <w:kern w:val="1"/>
          <w:sz w:val="32"/>
          <w:szCs w:val="32"/>
          <w:lang w:eastAsia="zh-CN"/>
        </w:rPr>
        <w:t>程序</w:t>
      </w:r>
      <w:r>
        <w:rPr>
          <w:rFonts w:hint="eastAsia" w:ascii="仿宋_GB2312" w:hAnsi="仿宋_GB2312" w:eastAsia="仿宋_GB2312" w:cs="仿宋_GB2312"/>
          <w:kern w:val="1"/>
          <w:sz w:val="32"/>
          <w:szCs w:val="32"/>
          <w:lang w:val="en-US" w:eastAsia="zh-CN"/>
        </w:rPr>
        <w:t>规范性 权重</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ascii="仿宋_GB2312" w:hAnsi="仿宋_GB2312" w:eastAsia="仿宋_GB2312" w:cs="仿宋_GB2312"/>
          <w:kern w:val="1"/>
          <w:sz w:val="32"/>
          <w:szCs w:val="32"/>
          <w:lang w:val="en-US" w:eastAsia="zh-CN"/>
        </w:rPr>
        <w:t>项目</w:t>
      </w:r>
      <w:r>
        <w:rPr>
          <w:rFonts w:hint="eastAsia" w:cs="仿宋_GB2312"/>
          <w:kern w:val="1"/>
          <w:sz w:val="32"/>
          <w:szCs w:val="32"/>
          <w:lang w:val="en-US" w:eastAsia="zh-CN"/>
        </w:rPr>
        <w:t>由</w:t>
      </w:r>
      <w:r>
        <w:rPr>
          <w:rFonts w:hint="eastAsia" w:hAnsi="仿宋"/>
          <w:sz w:val="32"/>
          <w:szCs w:val="32"/>
          <w:highlight w:val="none"/>
          <w:lang w:val="en-US" w:eastAsia="zh-CN"/>
        </w:rPr>
        <w:t>区民政局通过内部班子会议确定实施内容，并按资金使用范围编制预算建议并报送区财政局，区财政局进行审核、批复预算，项目正式立项</w:t>
      </w:r>
      <w:r>
        <w:rPr>
          <w:rFonts w:hint="eastAsia" w:ascii="仿宋_GB2312" w:hAnsi="仿宋_GB2312" w:cs="仿宋_GB2312"/>
          <w:kern w:val="1"/>
          <w:sz w:val="32"/>
          <w:szCs w:val="32"/>
          <w:lang w:val="en-US" w:eastAsia="zh-CN"/>
        </w:rPr>
        <w:t>，整体申请设立的程序符合规范，</w:t>
      </w:r>
      <w:r>
        <w:rPr>
          <w:rFonts w:hint="eastAsia" w:ascii="仿宋_GB2312" w:hAnsi="仿宋_GB2312" w:eastAsia="仿宋_GB2312" w:cs="仿宋_GB2312"/>
          <w:kern w:val="1"/>
          <w:sz w:val="32"/>
          <w:szCs w:val="32"/>
          <w:lang w:val="en-US" w:eastAsia="zh-CN"/>
        </w:rPr>
        <w:t>得</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w:t>
      </w:r>
      <w:r>
        <w:rPr>
          <w:rFonts w:hint="eastAsia" w:cs="仿宋_GB2312"/>
          <w:kern w:val="1"/>
          <w:sz w:val="32"/>
          <w:szCs w:val="32"/>
          <w:lang w:val="en-US" w:eastAsia="zh-CN"/>
        </w:rPr>
        <w:t>项目的班子会议纪要、预算</w:t>
      </w:r>
      <w:r>
        <w:rPr>
          <w:rFonts w:hint="eastAsia" w:ascii="仿宋_GB2312" w:hAnsi="仿宋_GB2312" w:eastAsia="仿宋_GB2312" w:cs="仿宋_GB2312"/>
          <w:kern w:val="1"/>
          <w:sz w:val="32"/>
          <w:szCs w:val="32"/>
          <w:lang w:val="en-US" w:eastAsia="zh-CN"/>
        </w:rPr>
        <w:t>审批材料符合相关要求，得</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eastAsia="zh-CN"/>
        </w:rPr>
        <w:t>A21</w:t>
      </w:r>
      <w:r>
        <w:rPr>
          <w:rFonts w:hint="eastAsia" w:ascii="仿宋_GB2312" w:hAnsi="仿宋_GB2312" w:eastAsia="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eastAsia="zh-CN"/>
        </w:rPr>
        <w:t>绩效目标合理性</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3</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根据前文项目绩效目标的分析，本</w:t>
      </w:r>
      <w:r>
        <w:rPr>
          <w:rFonts w:hint="eastAsia" w:ascii="仿宋_GB2312" w:hAnsi="仿宋_GB2312" w:eastAsia="仿宋_GB2312" w:cs="仿宋_GB2312"/>
          <w:kern w:val="1"/>
          <w:sz w:val="32"/>
          <w:szCs w:val="32"/>
          <w:lang w:val="en-US" w:eastAsia="zh-CN"/>
        </w:rPr>
        <w:t>项目设立了绩效目标</w:t>
      </w:r>
      <w:r>
        <w:rPr>
          <w:rFonts w:hint="eastAsia" w:cs="仿宋_GB2312"/>
          <w:kern w:val="1"/>
          <w:sz w:val="32"/>
          <w:szCs w:val="32"/>
          <w:lang w:val="en-US" w:eastAsia="zh-CN"/>
        </w:rPr>
        <w:t>，项目预期产出效益和效果符合正常的业绩水平，但存在个别目标设置不合理，</w:t>
      </w:r>
      <w:r>
        <w:rPr>
          <w:rFonts w:hint="eastAsia" w:hAnsi="Arial Unicode MS" w:cs="Arial Unicode MS"/>
          <w:b w:val="0"/>
          <w:bCs/>
          <w:sz w:val="32"/>
          <w:szCs w:val="32"/>
          <w:highlight w:val="none"/>
          <w:lang w:val="en-US" w:eastAsia="zh-CN"/>
        </w:rPr>
        <w:t>例如产出数量指标“发给失智失能老人的护理用品金额”指标的目标值设置为“&gt;=100万元”，发放金额不宜作为目标；</w:t>
      </w:r>
      <w:r>
        <w:rPr>
          <w:rFonts w:hint="eastAsia" w:cs="仿宋_GB2312"/>
          <w:kern w:val="1"/>
          <w:sz w:val="32"/>
          <w:szCs w:val="32"/>
          <w:lang w:val="en-US" w:eastAsia="zh-CN"/>
        </w:rPr>
        <w:t>这部分目标与实际工作内容相关性不高。</w:t>
      </w:r>
      <w:r>
        <w:rPr>
          <w:rFonts w:hint="eastAsia" w:ascii="仿宋_GB2312" w:hAnsi="仿宋_GB2312" w:eastAsia="仿宋_GB2312" w:cs="仿宋_GB2312"/>
          <w:kern w:val="1"/>
          <w:sz w:val="32"/>
          <w:szCs w:val="32"/>
          <w:lang w:val="en-US" w:eastAsia="zh-CN"/>
        </w:rPr>
        <w:t>根据评分标准，该指标得分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A</w:t>
      </w:r>
      <w:r>
        <w:rPr>
          <w:rFonts w:hint="eastAsia" w:ascii="仿宋_GB2312" w:hAnsi="仿宋_GB2312" w:eastAsia="仿宋_GB2312" w:cs="仿宋_GB2312"/>
          <w:kern w:val="1"/>
          <w:sz w:val="32"/>
          <w:szCs w:val="32"/>
          <w:lang w:eastAsia="zh-CN"/>
        </w:rPr>
        <w:t>22</w:t>
      </w:r>
      <w:r>
        <w:rPr>
          <w:rFonts w:hint="eastAsia" w:ascii="仿宋_GB2312" w:hAnsi="仿宋_GB2312" w:eastAsia="仿宋_GB2312" w:cs="仿宋_GB2312"/>
          <w:kern w:val="1"/>
          <w:sz w:val="32"/>
          <w:szCs w:val="32"/>
          <w:lang w:val="en-US" w:eastAsia="zh-CN"/>
        </w:rPr>
        <w:t xml:space="preserve"> 绩效</w:t>
      </w:r>
      <w:r>
        <w:rPr>
          <w:rFonts w:hint="eastAsia" w:ascii="仿宋_GB2312" w:hAnsi="仿宋_GB2312" w:eastAsia="仿宋_GB2312" w:cs="仿宋_GB2312"/>
          <w:kern w:val="1"/>
          <w:sz w:val="32"/>
          <w:szCs w:val="32"/>
          <w:lang w:eastAsia="zh-CN"/>
        </w:rPr>
        <w:t>指标明确性</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3</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根据前文项目绩效目标的分析，本</w:t>
      </w:r>
      <w:r>
        <w:rPr>
          <w:rFonts w:hint="eastAsia" w:ascii="仿宋_GB2312" w:hAnsi="仿宋_GB2312" w:eastAsia="仿宋_GB2312" w:cs="仿宋_GB2312"/>
          <w:kern w:val="1"/>
          <w:sz w:val="32"/>
          <w:szCs w:val="32"/>
          <w:lang w:val="en-US" w:eastAsia="zh-CN"/>
        </w:rPr>
        <w:t>项目</w:t>
      </w:r>
      <w:r>
        <w:rPr>
          <w:rFonts w:hint="eastAsia" w:cs="仿宋_GB2312"/>
          <w:kern w:val="1"/>
          <w:sz w:val="32"/>
          <w:szCs w:val="32"/>
          <w:lang w:val="en-US" w:eastAsia="zh-CN"/>
        </w:rPr>
        <w:t>目标表有</w:t>
      </w:r>
      <w:r>
        <w:rPr>
          <w:rFonts w:hint="eastAsia" w:ascii="仿宋_GB2312" w:hAnsi="仿宋_GB2312" w:eastAsia="仿宋_GB2312" w:cs="仿宋_GB2312"/>
          <w:kern w:val="1"/>
          <w:sz w:val="32"/>
          <w:szCs w:val="32"/>
          <w:lang w:val="en-US" w:eastAsia="zh-CN"/>
        </w:rPr>
        <w:t>将项目绩效目标细化分解为具体的绩效指标</w:t>
      </w:r>
      <w:r>
        <w:rPr>
          <w:rFonts w:hint="eastAsia" w:cs="仿宋_GB2312"/>
          <w:kern w:val="1"/>
          <w:sz w:val="32"/>
          <w:szCs w:val="32"/>
          <w:lang w:val="en-US" w:eastAsia="zh-CN"/>
        </w:rPr>
        <w:t>且</w:t>
      </w:r>
      <w:r>
        <w:rPr>
          <w:rFonts w:hint="eastAsia" w:ascii="仿宋_GB2312" w:hAnsi="仿宋_GB2312" w:eastAsia="仿宋_GB2312" w:cs="仿宋_GB2312"/>
          <w:kern w:val="1"/>
          <w:sz w:val="32"/>
          <w:szCs w:val="32"/>
          <w:lang w:val="en-US" w:eastAsia="zh-CN"/>
        </w:rPr>
        <w:t>与项目目标任务数或计划数相对应</w:t>
      </w:r>
      <w:r>
        <w:rPr>
          <w:rFonts w:hint="eastAsia" w:cs="仿宋_GB2312"/>
          <w:kern w:val="1"/>
          <w:sz w:val="32"/>
          <w:szCs w:val="32"/>
          <w:lang w:val="en-US" w:eastAsia="zh-CN"/>
        </w:rPr>
        <w:t>，但存在</w:t>
      </w:r>
      <w:r>
        <w:rPr>
          <w:rFonts w:hint="eastAsia" w:hAnsi="Arial Unicode MS" w:cs="Arial Unicode MS"/>
          <w:b w:val="0"/>
          <w:bCs/>
          <w:sz w:val="32"/>
          <w:szCs w:val="32"/>
          <w:highlight w:val="none"/>
          <w:lang w:val="en-US" w:eastAsia="zh-CN"/>
        </w:rPr>
        <w:t>部分指标不明确，例如社会效益指标“</w:t>
      </w:r>
      <w:r>
        <w:rPr>
          <w:rFonts w:hint="eastAsia" w:ascii="仿宋_GB2312" w:hAnsi="仿宋_GB2312" w:eastAsia="仿宋_GB2312" w:cs="仿宋_GB2312"/>
          <w:i w:val="0"/>
          <w:iCs w:val="0"/>
          <w:color w:val="000000"/>
          <w:kern w:val="0"/>
          <w:sz w:val="32"/>
          <w:szCs w:val="32"/>
          <w:u w:val="none"/>
          <w:lang w:val="en-US" w:eastAsia="zh-CN" w:bidi="ar"/>
        </w:rPr>
        <w:t>提升社会对老年人的关注度</w:t>
      </w:r>
      <w:r>
        <w:rPr>
          <w:rFonts w:hint="eastAsia" w:hAnsi="Arial Unicode MS" w:cs="Arial Unicode MS"/>
          <w:b w:val="0"/>
          <w:bCs/>
          <w:sz w:val="32"/>
          <w:szCs w:val="32"/>
          <w:highlight w:val="none"/>
          <w:lang w:val="en-US" w:eastAsia="zh-CN"/>
        </w:rPr>
        <w:t>”的目标为“形成尊老爱老的氛围”，指标值不够清晰可衡量。</w:t>
      </w:r>
      <w:r>
        <w:rPr>
          <w:rFonts w:hint="eastAsia" w:ascii="仿宋_GB2312" w:hAnsi="仿宋_GB2312" w:eastAsia="仿宋_GB2312" w:cs="仿宋_GB2312"/>
          <w:kern w:val="1"/>
          <w:sz w:val="32"/>
          <w:szCs w:val="32"/>
          <w:lang w:val="en-US" w:eastAsia="zh-CN"/>
        </w:rPr>
        <w:t>根据评分标准，该指标得</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A</w:t>
      </w:r>
      <w:r>
        <w:rPr>
          <w:rFonts w:hint="eastAsia" w:ascii="仿宋_GB2312" w:hAnsi="仿宋_GB2312" w:eastAsia="仿宋_GB2312" w:cs="仿宋_GB2312"/>
          <w:kern w:val="1"/>
          <w:sz w:val="32"/>
          <w:szCs w:val="32"/>
          <w:lang w:eastAsia="zh-CN"/>
        </w:rPr>
        <w:t>31</w:t>
      </w:r>
      <w:r>
        <w:rPr>
          <w:rFonts w:hint="eastAsia" w:ascii="仿宋_GB2312" w:hAnsi="仿宋_GB2312" w:eastAsia="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eastAsia="zh-CN"/>
        </w:rPr>
        <w:t>预算编制科学性</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6</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①通过对比本项目</w:t>
      </w:r>
      <w:r>
        <w:rPr>
          <w:rFonts w:hint="eastAsia" w:cs="仿宋_GB2312"/>
          <w:kern w:val="1"/>
          <w:sz w:val="32"/>
          <w:szCs w:val="32"/>
          <w:lang w:val="en-US" w:eastAsia="zh-CN"/>
        </w:rPr>
        <w:t>年初预算明细</w:t>
      </w:r>
      <w:r>
        <w:rPr>
          <w:rFonts w:hint="eastAsia" w:ascii="仿宋_GB2312" w:hAnsi="仿宋_GB2312" w:cs="仿宋_GB2312"/>
          <w:kern w:val="1"/>
          <w:sz w:val="32"/>
          <w:szCs w:val="32"/>
          <w:lang w:val="en-US" w:eastAsia="zh-CN"/>
        </w:rPr>
        <w:t>和财务支出明细可知，本项目</w:t>
      </w:r>
      <w:r>
        <w:rPr>
          <w:rFonts w:hint="eastAsia" w:ascii="仿宋_GB2312" w:hAnsi="仿宋_GB2312" w:eastAsia="仿宋_GB2312" w:cs="仿宋_GB2312"/>
          <w:kern w:val="1"/>
          <w:sz w:val="32"/>
          <w:szCs w:val="32"/>
          <w:lang w:val="en-US" w:eastAsia="zh-CN"/>
        </w:rPr>
        <w:t>预算编制</w:t>
      </w:r>
      <w:r>
        <w:rPr>
          <w:rFonts w:hint="eastAsia" w:ascii="仿宋_GB2312" w:hAnsi="仿宋_GB2312" w:cs="仿宋_GB2312"/>
          <w:kern w:val="1"/>
          <w:sz w:val="32"/>
          <w:szCs w:val="32"/>
          <w:lang w:val="en-US" w:eastAsia="zh-CN"/>
        </w:rPr>
        <w:t>内容</w:t>
      </w:r>
      <w:r>
        <w:rPr>
          <w:rFonts w:hint="eastAsia" w:ascii="仿宋_GB2312" w:hAnsi="仿宋_GB2312" w:eastAsia="仿宋_GB2312" w:cs="仿宋_GB2312"/>
          <w:kern w:val="1"/>
          <w:sz w:val="32"/>
          <w:szCs w:val="32"/>
          <w:lang w:val="en-US" w:eastAsia="zh-CN"/>
        </w:rPr>
        <w:t>与实际支出内容相匹配，得</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②通过查阅项目预算编制明细和项目实施内容明细，可知本项目</w:t>
      </w:r>
      <w:r>
        <w:rPr>
          <w:rFonts w:hint="eastAsia" w:ascii="仿宋_GB2312" w:hAnsi="仿宋_GB2312" w:eastAsia="仿宋_GB2312" w:cs="仿宋_GB2312"/>
          <w:kern w:val="1"/>
          <w:sz w:val="32"/>
          <w:szCs w:val="32"/>
          <w:lang w:val="en-US" w:eastAsia="zh-CN"/>
        </w:rPr>
        <w:t>预算内容与项目内容匹配，得1分；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③本项目</w:t>
      </w:r>
      <w:r>
        <w:rPr>
          <w:rFonts w:hint="eastAsia" w:cs="仿宋_GB2312"/>
          <w:kern w:val="1"/>
          <w:sz w:val="32"/>
          <w:szCs w:val="32"/>
          <w:lang w:val="en-US" w:eastAsia="zh-CN"/>
        </w:rPr>
        <w:t>预算编制依据详见前文预算安排段落。</w:t>
      </w:r>
      <w:r>
        <w:rPr>
          <w:rFonts w:hint="eastAsia" w:cs="仿宋_GB2312"/>
          <w:kern w:val="1"/>
          <w:sz w:val="32"/>
          <w:szCs w:val="32"/>
          <w:highlight w:val="none"/>
          <w:lang w:val="en-US" w:eastAsia="zh-CN"/>
        </w:rPr>
        <w:t>其中，养老机构综合责任险项目预算额度测算方式不合理，在估算床位时上浮比例过大，对往年数据的利用不足</w:t>
      </w:r>
      <w:r>
        <w:rPr>
          <w:rFonts w:hint="eastAsia" w:ascii="仿宋_GB2312" w:hAnsi="仿宋_GB2312" w:cs="仿宋_GB2312"/>
          <w:kern w:val="1"/>
          <w:sz w:val="32"/>
          <w:szCs w:val="32"/>
          <w:highlight w:val="none"/>
          <w:lang w:val="en-US" w:eastAsia="zh-CN"/>
        </w:rPr>
        <w:t>。</w:t>
      </w:r>
      <w:r>
        <w:rPr>
          <w:rFonts w:hint="eastAsia" w:cs="仿宋_GB2312"/>
          <w:kern w:val="1"/>
          <w:sz w:val="32"/>
          <w:szCs w:val="32"/>
          <w:lang w:val="en-US" w:eastAsia="zh-CN"/>
        </w:rPr>
        <w:t>根据评分标准</w:t>
      </w:r>
      <w:r>
        <w:rPr>
          <w:rFonts w:hint="eastAsia" w:ascii="仿宋_GB2312" w:hAnsi="仿宋_GB2312" w:eastAsia="仿宋_GB2312" w:cs="仿宋_GB2312"/>
          <w:kern w:val="1"/>
          <w:sz w:val="32"/>
          <w:szCs w:val="32"/>
          <w:lang w:val="en-US" w:eastAsia="zh-CN"/>
        </w:rPr>
        <w:t>，得</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28"/>
          <w:szCs w:val="28"/>
          <w:lang w:val="en-US" w:eastAsia="zh-CN"/>
        </w:rPr>
      </w:pPr>
      <w:r>
        <w:rPr>
          <w:rFonts w:hint="eastAsia" w:ascii="仿宋_GB2312" w:hAnsi="仿宋_GB2312" w:cs="仿宋_GB2312"/>
          <w:kern w:val="1"/>
          <w:sz w:val="32"/>
          <w:szCs w:val="32"/>
          <w:lang w:val="en-US" w:eastAsia="zh-CN"/>
        </w:rPr>
        <w:t>④本项目</w:t>
      </w:r>
      <w:r>
        <w:rPr>
          <w:rFonts w:hint="eastAsia" w:cs="仿宋_GB2312"/>
          <w:kern w:val="1"/>
          <w:sz w:val="32"/>
          <w:szCs w:val="32"/>
          <w:lang w:val="en-US" w:eastAsia="zh-CN"/>
        </w:rPr>
        <w:t>属于补贴类项目，</w:t>
      </w:r>
      <w:r>
        <w:rPr>
          <w:rFonts w:hint="eastAsia" w:ascii="仿宋_GB2312" w:hAnsi="仿宋_GB2312" w:cs="仿宋_GB2312"/>
          <w:kern w:val="1"/>
          <w:sz w:val="32"/>
          <w:szCs w:val="32"/>
          <w:lang w:val="en-US" w:eastAsia="zh-CN"/>
        </w:rPr>
        <w:t>预算确定的项目资金量与</w:t>
      </w:r>
      <w:r>
        <w:rPr>
          <w:rFonts w:hint="eastAsia" w:cs="仿宋_GB2312"/>
          <w:kern w:val="1"/>
          <w:sz w:val="32"/>
          <w:szCs w:val="32"/>
          <w:lang w:val="en-US" w:eastAsia="zh-CN"/>
        </w:rPr>
        <w:t>政策要求的</w:t>
      </w:r>
      <w:r>
        <w:rPr>
          <w:rFonts w:hint="eastAsia" w:ascii="仿宋_GB2312" w:hAnsi="仿宋_GB2312" w:cs="仿宋_GB2312"/>
          <w:kern w:val="1"/>
          <w:sz w:val="32"/>
          <w:szCs w:val="32"/>
          <w:lang w:val="en-US" w:eastAsia="zh-CN"/>
        </w:rPr>
        <w:t>工作任务相匹配</w:t>
      </w:r>
      <w:r>
        <w:rPr>
          <w:rFonts w:hint="eastAsia" w:ascii="仿宋_GB2312" w:hAnsi="仿宋_GB2312" w:eastAsia="仿宋_GB2312" w:cs="仿宋_GB2312"/>
          <w:kern w:val="1"/>
          <w:sz w:val="32"/>
          <w:szCs w:val="32"/>
          <w:lang w:val="en-US" w:eastAsia="zh-CN"/>
        </w:rPr>
        <w:t>，得1分。</w:t>
      </w:r>
    </w:p>
    <w:p>
      <w:pPr>
        <w:rPr>
          <w:rFonts w:hint="eastAsia" w:ascii="仿宋_GB2312" w:hAnsi="仿宋_GB2312" w:eastAsia="仿宋_GB2312" w:cs="仿宋_GB2312"/>
          <w:b/>
          <w:bCs/>
          <w:kern w:val="1"/>
          <w:sz w:val="32"/>
          <w:szCs w:val="32"/>
          <w:lang w:val="en-US" w:eastAsia="zh-CN"/>
        </w:rPr>
      </w:pPr>
      <w:bookmarkStart w:id="65" w:name="_Toc30808"/>
      <w:r>
        <w:rPr>
          <w:rFonts w:hint="eastAsia" w:ascii="仿宋_GB2312" w:hAnsi="仿宋_GB2312" w:eastAsia="仿宋_GB2312" w:cs="仿宋_GB2312"/>
          <w:b/>
          <w:bCs/>
          <w:kern w:val="1"/>
          <w:sz w:val="32"/>
          <w:szCs w:val="32"/>
          <w:lang w:val="en-US" w:eastAsia="zh-CN"/>
        </w:rPr>
        <w:br w:type="page"/>
      </w:r>
    </w:p>
    <w:p>
      <w:pPr>
        <w:keepNext w:val="0"/>
        <w:keepLines w:val="0"/>
        <w:pageBreakBefore w:val="0"/>
        <w:widowControl w:val="0"/>
        <w:kinsoku/>
        <w:wordWrap/>
        <w:overflowPunct/>
        <w:topLinePunct w:val="0"/>
        <w:autoSpaceDE/>
        <w:autoSpaceDN/>
        <w:bidi w:val="0"/>
        <w:adjustRightInd/>
        <w:snapToGrid/>
        <w:spacing w:line="500" w:lineRule="exact"/>
        <w:ind w:firstLine="643"/>
        <w:contextualSpacing w:val="0"/>
        <w:textAlignment w:val="auto"/>
        <w:outlineLvl w:val="2"/>
        <w:rPr>
          <w:rFonts w:hint="eastAsia" w:ascii="Calibri" w:hAnsi="Arial" w:eastAsia="仿宋_GB2312" w:cs="Times New Roman"/>
          <w:b/>
          <w:bCs/>
          <w:kern w:val="1"/>
          <w:sz w:val="32"/>
          <w:szCs w:val="32"/>
          <w:lang w:val="en-US" w:eastAsia="zh-CN"/>
        </w:rPr>
      </w:pPr>
      <w:bookmarkStart w:id="66" w:name="_Toc32000"/>
      <w:r>
        <w:rPr>
          <w:rFonts w:hint="eastAsia" w:ascii="仿宋_GB2312" w:hAnsi="仿宋_GB2312" w:eastAsia="仿宋_GB2312" w:cs="仿宋_GB2312"/>
          <w:b/>
          <w:bCs/>
          <w:kern w:val="1"/>
          <w:sz w:val="32"/>
          <w:szCs w:val="32"/>
          <w:lang w:val="en-US" w:eastAsia="zh-CN"/>
        </w:rPr>
        <w:t>2</w:t>
      </w:r>
      <w:r>
        <w:rPr>
          <w:rFonts w:hint="eastAsia" w:ascii="仿宋_GB2312" w:hAnsi="仿宋_GB2312" w:eastAsia="仿宋_GB2312" w:cs="仿宋_GB2312"/>
          <w:b/>
          <w:bCs/>
          <w:kern w:val="1"/>
          <w:sz w:val="32"/>
          <w:szCs w:val="32"/>
        </w:rPr>
        <w:t>.项目</w:t>
      </w:r>
      <w:r>
        <w:rPr>
          <w:rFonts w:hint="eastAsia" w:ascii="仿宋_GB2312" w:hAnsi="仿宋_GB2312" w:eastAsia="仿宋_GB2312" w:cs="仿宋_GB2312"/>
          <w:b/>
          <w:bCs/>
          <w:kern w:val="1"/>
          <w:sz w:val="32"/>
          <w:szCs w:val="32"/>
          <w:lang w:val="en-US" w:eastAsia="zh-CN"/>
        </w:rPr>
        <w:t>过程</w:t>
      </w:r>
      <w:bookmarkEnd w:id="65"/>
      <w:bookmarkEnd w:id="66"/>
    </w:p>
    <w:p>
      <w:pPr>
        <w:pageBreakBefore w:val="0"/>
        <w:kinsoku/>
        <w:wordWrap/>
        <w:overflowPunct/>
        <w:topLinePunct w:val="0"/>
        <w:autoSpaceDN/>
        <w:bidi w:val="0"/>
        <w:spacing w:line="500" w:lineRule="exact"/>
        <w:contextualSpacing w:val="0"/>
        <w:jc w:val="both"/>
        <w:rPr>
          <w:rFonts w:hint="default" w:ascii="仿宋_GB2312" w:hAnsi="Times New Roman" w:eastAsia="仿宋_GB2312" w:cs="Times New Roman"/>
          <w:b/>
          <w:bCs/>
          <w:kern w:val="1"/>
          <w:sz w:val="28"/>
          <w:szCs w:val="28"/>
          <w:lang w:val="en-US" w:eastAsia="zh-CN"/>
        </w:rPr>
      </w:pP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1</w:t>
      </w: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得分情况</w:t>
      </w:r>
    </w:p>
    <w:p>
      <w:pPr>
        <w:pageBreakBefore w:val="0"/>
        <w:kinsoku/>
        <w:wordWrap/>
        <w:overflowPunct/>
        <w:topLinePunct w:val="0"/>
        <w:autoSpaceDN/>
        <w:bidi w:val="0"/>
        <w:spacing w:line="500" w:lineRule="exact"/>
        <w:ind w:left="0" w:leftChars="0" w:firstLine="0" w:firstLineChars="0"/>
        <w:contextualSpacing w:val="0"/>
        <w:jc w:val="center"/>
        <w:rPr>
          <w:rFonts w:hint="eastAsia" w:ascii="仿宋_GB2312" w:hAnsi="Times New Roman" w:cs="Times New Roman"/>
          <w:b/>
          <w:bCs/>
          <w:kern w:val="1"/>
          <w:sz w:val="28"/>
          <w:szCs w:val="28"/>
        </w:rPr>
      </w:pPr>
      <w:r>
        <w:rPr>
          <w:rFonts w:hint="eastAsia" w:ascii="仿宋_GB2312" w:hAnsi="Times New Roman" w:cs="Times New Roman"/>
          <w:b/>
          <w:bCs/>
          <w:kern w:val="1"/>
          <w:sz w:val="24"/>
          <w:szCs w:val="24"/>
        </w:rPr>
        <w:t>表3-</w:t>
      </w:r>
      <w:r>
        <w:rPr>
          <w:rFonts w:hint="eastAsia" w:ascii="仿宋_GB2312" w:hAnsi="Times New Roman" w:cs="Times New Roman"/>
          <w:b/>
          <w:bCs/>
          <w:kern w:val="1"/>
          <w:sz w:val="24"/>
          <w:szCs w:val="24"/>
          <w:lang w:val="en-US" w:eastAsia="zh-CN"/>
        </w:rPr>
        <w:t>2</w:t>
      </w:r>
      <w:r>
        <w:rPr>
          <w:rFonts w:hint="eastAsia" w:ascii="仿宋_GB2312" w:hAnsi="Times New Roman" w:cs="Times New Roman"/>
          <w:b/>
          <w:bCs/>
          <w:kern w:val="1"/>
          <w:sz w:val="24"/>
          <w:szCs w:val="24"/>
        </w:rPr>
        <w:t>项目</w:t>
      </w:r>
      <w:r>
        <w:rPr>
          <w:rFonts w:hint="eastAsia" w:ascii="仿宋_GB2312" w:hAnsi="Times New Roman" w:cs="Times New Roman"/>
          <w:b/>
          <w:bCs/>
          <w:kern w:val="1"/>
          <w:sz w:val="24"/>
          <w:szCs w:val="24"/>
          <w:lang w:val="en-US" w:eastAsia="zh-CN"/>
        </w:rPr>
        <w:t>过程类指标</w:t>
      </w:r>
      <w:r>
        <w:rPr>
          <w:rFonts w:hint="eastAsia" w:ascii="仿宋_GB2312" w:hAnsi="Times New Roman" w:cs="Times New Roman"/>
          <w:b/>
          <w:bCs/>
          <w:kern w:val="1"/>
          <w:sz w:val="24"/>
          <w:szCs w:val="24"/>
        </w:rPr>
        <w:t>得分表</w:t>
      </w:r>
    </w:p>
    <w:tbl>
      <w:tblPr>
        <w:tblStyle w:val="38"/>
        <w:tblW w:w="86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20"/>
        <w:gridCol w:w="803"/>
        <w:gridCol w:w="2508"/>
        <w:gridCol w:w="1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指标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权重</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业绩值</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contextualSpacing w:val="0"/>
              <w:jc w:val="left"/>
              <w:textAlignment w:val="auto"/>
              <w:rPr>
                <w:rFonts w:hint="eastAsia" w:ascii="仿宋_GB2312" w:hAnsi="仿宋_GB2312" w:eastAsia="仿宋_GB2312" w:cs="仿宋_GB2312"/>
                <w:b/>
                <w:bCs/>
                <w:kern w:val="1"/>
                <w:sz w:val="24"/>
                <w:szCs w:val="24"/>
              </w:rPr>
            </w:pPr>
            <w:r>
              <w:rPr>
                <w:rFonts w:hint="eastAsia" w:ascii="仿宋_GB2312" w:hAnsi="仿宋_GB2312" w:eastAsia="仿宋_GB2312" w:cs="仿宋_GB2312"/>
                <w:b/>
                <w:bCs/>
                <w:kern w:val="1"/>
                <w:sz w:val="24"/>
                <w:szCs w:val="24"/>
              </w:rPr>
              <w:t>B 项目过程</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ascii="仿宋_GB2312" w:hAnsi="仿宋_GB2312" w:eastAsia="仿宋_GB2312" w:cs="仿宋_GB2312"/>
                <w:b/>
                <w:bCs/>
                <w:color w:val="000000"/>
                <w:kern w:val="1"/>
                <w:sz w:val="24"/>
                <w:szCs w:val="24"/>
                <w:lang w:val="en-US" w:eastAsia="zh-CN"/>
              </w:rPr>
              <w:t>2</w:t>
            </w:r>
            <w:r>
              <w:rPr>
                <w:rFonts w:hint="eastAsia" w:cs="仿宋_GB2312"/>
                <w:b/>
                <w:bCs/>
                <w:color w:val="000000"/>
                <w:kern w:val="1"/>
                <w:sz w:val="24"/>
                <w:szCs w:val="24"/>
                <w:lang w:val="en-US" w:eastAsia="zh-CN"/>
              </w:rPr>
              <w:t>0</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bCs/>
                <w:color w:val="000000"/>
                <w:kern w:val="1"/>
                <w:sz w:val="24"/>
                <w:szCs w:val="24"/>
              </w:rPr>
            </w:pPr>
            <w:r>
              <w:rPr>
                <w:rFonts w:hint="eastAsia" w:ascii="仿宋_GB2312" w:hAnsi="仿宋_GB2312" w:eastAsia="仿宋_GB2312" w:cs="仿宋_GB2312"/>
                <w:b/>
                <w:bCs/>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16.81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B1 资金管理</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8</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5.81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ascii="仿宋_GB2312" w:hAnsi="仿宋_GB2312" w:eastAsia="仿宋_GB2312" w:cs="仿宋_GB2312"/>
                <w:kern w:val="1"/>
                <w:sz w:val="24"/>
                <w:szCs w:val="24"/>
              </w:rPr>
              <w:t xml:space="preserve">B11 </w:t>
            </w:r>
            <w:r>
              <w:rPr>
                <w:rFonts w:hint="eastAsia" w:cs="仿宋_GB2312"/>
                <w:kern w:val="1"/>
                <w:sz w:val="24"/>
                <w:szCs w:val="24"/>
                <w:lang w:val="en-US" w:eastAsia="zh-CN"/>
              </w:rPr>
              <w:t>预算调整率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1.5</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-21.35%</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B1</w:t>
            </w:r>
            <w:r>
              <w:rPr>
                <w:rFonts w:hint="eastAsia" w:ascii="仿宋_GB2312" w:hAnsi="仿宋_GB2312" w:eastAsia="仿宋_GB2312" w:cs="仿宋_GB2312"/>
                <w:kern w:val="1"/>
                <w:sz w:val="24"/>
                <w:szCs w:val="24"/>
                <w:lang w:val="en-US" w:eastAsia="zh-CN"/>
              </w:rPr>
              <w:t>2</w:t>
            </w:r>
            <w:r>
              <w:rPr>
                <w:rFonts w:hint="eastAsia" w:ascii="仿宋_GB2312" w:hAnsi="仿宋_GB2312" w:eastAsia="仿宋_GB2312" w:cs="仿宋_GB2312"/>
                <w:kern w:val="1"/>
                <w:sz w:val="24"/>
                <w:szCs w:val="24"/>
              </w:rPr>
              <w:t xml:space="preserve"> 预算执行率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1.5</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86.19%</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0.81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B1</w:t>
            </w:r>
            <w:r>
              <w:rPr>
                <w:rFonts w:hint="eastAsia" w:ascii="仿宋_GB2312" w:hAnsi="仿宋_GB2312" w:eastAsia="仿宋_GB2312" w:cs="仿宋_GB2312"/>
                <w:kern w:val="1"/>
                <w:sz w:val="24"/>
                <w:szCs w:val="24"/>
                <w:lang w:val="en-US" w:eastAsia="zh-CN"/>
              </w:rPr>
              <w:t>3</w:t>
            </w:r>
            <w:r>
              <w:rPr>
                <w:rFonts w:hint="eastAsia" w:ascii="仿宋_GB2312" w:hAnsi="仿宋_GB2312" w:eastAsia="仿宋_GB2312" w:cs="仿宋_GB2312"/>
                <w:kern w:val="1"/>
                <w:sz w:val="24"/>
                <w:szCs w:val="24"/>
              </w:rPr>
              <w:t xml:space="preserve"> </w:t>
            </w:r>
            <w:r>
              <w:rPr>
                <w:rFonts w:hint="eastAsia" w:ascii="仿宋_GB2312" w:hAnsi="仿宋_GB2312" w:eastAsia="仿宋_GB2312" w:cs="仿宋_GB2312"/>
                <w:color w:val="000000"/>
                <w:kern w:val="0"/>
                <w:sz w:val="24"/>
                <w:szCs w:val="24"/>
                <w:lang w:val="en-US" w:eastAsia="zh-CN"/>
              </w:rPr>
              <w:t>财务管理制度健全</w:t>
            </w:r>
            <w:r>
              <w:rPr>
                <w:rFonts w:hint="eastAsia" w:ascii="仿宋_GB2312" w:hAnsi="仿宋_GB2312" w:cs="仿宋_GB2312"/>
                <w:color w:val="000000"/>
                <w:kern w:val="0"/>
                <w:sz w:val="24"/>
                <w:szCs w:val="24"/>
                <w:lang w:val="en-US" w:eastAsia="zh-CN"/>
              </w:rPr>
              <w:t>性</w:t>
            </w:r>
            <w:r>
              <w:rPr>
                <w:rFonts w:hint="eastAsia" w:ascii="仿宋_GB2312" w:hAnsi="仿宋_GB2312" w:eastAsia="仿宋_GB2312" w:cs="仿宋_GB2312"/>
                <w:color w:val="000000"/>
                <w:kern w:val="0"/>
                <w:sz w:val="24"/>
                <w:szCs w:val="24"/>
                <w:lang w:val="en-US" w:eastAsia="zh-CN"/>
              </w:rPr>
              <w:t>与执行有效性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3</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健全有效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cs="仿宋_GB2312"/>
                <w:kern w:val="1"/>
                <w:sz w:val="24"/>
                <w:szCs w:val="24"/>
                <w:lang w:val="en-US" w:eastAsia="zh-CN"/>
              </w:rPr>
              <w:t xml:space="preserve">B15 </w:t>
            </w:r>
            <w:r>
              <w:rPr>
                <w:rFonts w:hint="eastAsia" w:ascii="仿宋_GB2312" w:hAnsi="仿宋_GB2312" w:eastAsia="仿宋_GB2312" w:cs="仿宋_GB2312"/>
                <w:kern w:val="1"/>
                <w:sz w:val="24"/>
                <w:szCs w:val="24"/>
              </w:rPr>
              <w:t>资金使用</w:t>
            </w:r>
            <w:r>
              <w:rPr>
                <w:rFonts w:hint="eastAsia" w:ascii="仿宋_GB2312" w:hAnsi="仿宋_GB2312" w:cs="仿宋_GB2312"/>
                <w:kern w:val="1"/>
                <w:sz w:val="24"/>
                <w:szCs w:val="24"/>
                <w:lang w:val="en-US" w:eastAsia="zh-CN"/>
              </w:rPr>
              <w:t>合规</w:t>
            </w:r>
            <w:r>
              <w:rPr>
                <w:rFonts w:hint="eastAsia" w:ascii="仿宋_GB2312" w:hAnsi="仿宋_GB2312" w:eastAsia="仿宋_GB2312" w:cs="仿宋_GB2312"/>
                <w:kern w:val="1"/>
                <w:sz w:val="24"/>
                <w:szCs w:val="24"/>
                <w:lang w:val="en-US" w:eastAsia="zh-CN"/>
              </w:rPr>
              <w:t>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合规</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B2 组织实施</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1</w:t>
            </w: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 xml:space="preserve">B21 </w:t>
            </w:r>
            <w:r>
              <w:rPr>
                <w:rFonts w:hint="eastAsia" w:ascii="仿宋_GB2312" w:hAnsi="仿宋_GB2312" w:cs="仿宋_GB2312"/>
                <w:kern w:val="1"/>
                <w:sz w:val="24"/>
                <w:szCs w:val="24"/>
                <w:lang w:val="en-US" w:eastAsia="zh-CN"/>
              </w:rPr>
              <w:t>业务</w:t>
            </w:r>
            <w:r>
              <w:rPr>
                <w:rFonts w:hint="eastAsia" w:ascii="仿宋_GB2312" w:hAnsi="仿宋_GB2312" w:eastAsia="仿宋_GB2312" w:cs="仿宋_GB2312"/>
                <w:kern w:val="1"/>
                <w:sz w:val="24"/>
                <w:szCs w:val="24"/>
              </w:rPr>
              <w:t>管理制度健全性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健全</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 xml:space="preserve">B22 </w:t>
            </w:r>
            <w:r>
              <w:rPr>
                <w:rFonts w:hint="eastAsia" w:ascii="仿宋_GB2312" w:hAnsi="仿宋_GB2312" w:cs="仿宋_GB2312"/>
                <w:kern w:val="1"/>
                <w:sz w:val="24"/>
                <w:szCs w:val="24"/>
                <w:lang w:val="en-US" w:eastAsia="zh-CN"/>
              </w:rPr>
              <w:t>业务</w:t>
            </w:r>
            <w:r>
              <w:rPr>
                <w:rFonts w:hint="eastAsia" w:ascii="仿宋_GB2312" w:hAnsi="仿宋_GB2312" w:eastAsia="仿宋_GB2312" w:cs="仿宋_GB2312"/>
                <w:kern w:val="1"/>
                <w:sz w:val="24"/>
                <w:szCs w:val="24"/>
              </w:rPr>
              <w:t>管理制度执行有效性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r>
              <w:rPr>
                <w:rFonts w:hint="eastAsia" w:cs="仿宋_GB2312"/>
                <w:color w:val="000000"/>
                <w:kern w:val="1"/>
                <w:sz w:val="24"/>
                <w:szCs w:val="24"/>
                <w:lang w:val="en-US" w:eastAsia="zh-CN"/>
              </w:rPr>
              <w:t>0</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default" w:ascii="仿宋_GB2312" w:hAnsi="仿宋_GB2312" w:eastAsia="仿宋_GB2312" w:cs="仿宋_GB2312"/>
                <w:kern w:val="1"/>
                <w:sz w:val="24"/>
                <w:szCs w:val="24"/>
                <w:lang w:val="en-US" w:eastAsia="zh-CN"/>
              </w:rPr>
            </w:pPr>
            <w:r>
              <w:rPr>
                <w:rFonts w:hint="eastAsia" w:ascii="仿宋_GB2312" w:hAnsi="仿宋_GB2312" w:eastAsia="仿宋_GB2312" w:cs="仿宋_GB2312"/>
                <w:color w:val="000000"/>
                <w:kern w:val="0"/>
                <w:sz w:val="24"/>
                <w:szCs w:val="24"/>
              </w:rPr>
              <w:t>B221 项目</w:t>
            </w:r>
            <w:r>
              <w:rPr>
                <w:rFonts w:hint="eastAsia" w:cs="仿宋_GB2312"/>
                <w:color w:val="000000"/>
                <w:kern w:val="0"/>
                <w:sz w:val="24"/>
                <w:szCs w:val="24"/>
                <w:lang w:val="en-US" w:eastAsia="zh-CN"/>
              </w:rPr>
              <w:t>验收</w:t>
            </w:r>
            <w:r>
              <w:rPr>
                <w:rFonts w:hint="eastAsia" w:ascii="仿宋_GB2312" w:hAnsi="仿宋_GB2312" w:eastAsia="仿宋_GB2312" w:cs="仿宋_GB2312"/>
                <w:color w:val="000000"/>
                <w:kern w:val="0"/>
                <w:sz w:val="24"/>
                <w:szCs w:val="24"/>
              </w:rPr>
              <w:t>管理制度执行有效性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有效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rPr>
              <w:t xml:space="preserve">B222 </w:t>
            </w:r>
            <w:r>
              <w:rPr>
                <w:rFonts w:hint="eastAsia" w:ascii="仿宋_GB2312" w:hAnsi="仿宋_GB2312" w:eastAsia="仿宋_GB2312" w:cs="仿宋_GB2312"/>
                <w:color w:val="000000"/>
                <w:kern w:val="0"/>
                <w:sz w:val="24"/>
                <w:szCs w:val="24"/>
                <w:lang w:val="en-US" w:eastAsia="zh-CN"/>
              </w:rPr>
              <w:t>政府采购规范性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lang w:val="en-US" w:eastAsia="zh-CN"/>
              </w:rPr>
              <w:t xml:space="preserve">B223 </w:t>
            </w:r>
            <w:r>
              <w:rPr>
                <w:rFonts w:hint="eastAsia" w:cs="仿宋_GB2312"/>
                <w:color w:val="000000"/>
                <w:kern w:val="0"/>
                <w:sz w:val="24"/>
                <w:szCs w:val="24"/>
                <w:lang w:val="en-US" w:eastAsia="zh-CN"/>
              </w:rPr>
              <w:t>申报审批</w:t>
            </w:r>
            <w:r>
              <w:rPr>
                <w:rFonts w:hint="eastAsia" w:ascii="仿宋_GB2312" w:hAnsi="仿宋_GB2312" w:eastAsia="仿宋_GB2312" w:cs="仿宋_GB2312"/>
                <w:color w:val="000000"/>
                <w:kern w:val="0"/>
                <w:sz w:val="24"/>
                <w:szCs w:val="24"/>
                <w:lang w:val="en-US" w:eastAsia="zh-CN"/>
              </w:rPr>
              <w:t>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rPr>
              <w:t>B22</w:t>
            </w:r>
            <w:r>
              <w:rPr>
                <w:rFonts w:hint="eastAsia" w:cs="仿宋_GB2312"/>
                <w:color w:val="000000"/>
                <w:kern w:val="0"/>
                <w:sz w:val="24"/>
                <w:szCs w:val="24"/>
                <w:lang w:val="en-US" w:eastAsia="zh-CN"/>
              </w:rPr>
              <w:t>4</w:t>
            </w:r>
            <w:r>
              <w:rPr>
                <w:rFonts w:hint="eastAsia" w:ascii="仿宋_GB2312" w:hAnsi="仿宋_GB2312" w:eastAsia="仿宋_GB2312" w:cs="仿宋_GB2312"/>
                <w:color w:val="000000"/>
                <w:kern w:val="0"/>
                <w:sz w:val="24"/>
                <w:szCs w:val="24"/>
              </w:rPr>
              <w:t xml:space="preserve"> 档案</w:t>
            </w:r>
            <w:r>
              <w:rPr>
                <w:rFonts w:hint="eastAsia" w:ascii="仿宋_GB2312" w:hAnsi="仿宋_GB2312" w:eastAsia="仿宋_GB2312" w:cs="仿宋_GB2312"/>
                <w:color w:val="000000"/>
                <w:kern w:val="0"/>
                <w:sz w:val="24"/>
                <w:szCs w:val="24"/>
                <w:lang w:val="en-US" w:eastAsia="zh-CN"/>
              </w:rPr>
              <w:t>管理</w:t>
            </w:r>
            <w:r>
              <w:rPr>
                <w:rFonts w:hint="eastAsia" w:ascii="仿宋_GB2312" w:hAnsi="仿宋_GB2312" w:eastAsia="仿宋_GB2312" w:cs="仿宋_GB2312"/>
                <w:color w:val="000000"/>
                <w:kern w:val="0"/>
                <w:sz w:val="24"/>
                <w:szCs w:val="24"/>
              </w:rPr>
              <w:t>制度执行有效性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有效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rPr>
              <w:t>B22</w:t>
            </w:r>
            <w:r>
              <w:rPr>
                <w:rFonts w:hint="eastAsia" w:cs="仿宋_GB2312"/>
                <w:color w:val="000000"/>
                <w:kern w:val="0"/>
                <w:sz w:val="24"/>
                <w:szCs w:val="24"/>
                <w:lang w:val="en-US" w:eastAsia="zh-CN"/>
              </w:rPr>
              <w:t>5</w:t>
            </w:r>
            <w:r>
              <w:rPr>
                <w:rFonts w:hint="eastAsia" w:ascii="仿宋_GB2312" w:hAnsi="仿宋_GB2312" w:eastAsia="仿宋_GB2312" w:cs="仿宋_GB2312"/>
                <w:color w:val="000000"/>
                <w:kern w:val="0"/>
                <w:sz w:val="24"/>
                <w:szCs w:val="24"/>
              </w:rPr>
              <w:t xml:space="preserve"> 项目合同管理制度执行有效性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执行情况欠佳</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bl>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指标分析</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 xml:space="preserve">B11 </w:t>
      </w:r>
      <w:r>
        <w:rPr>
          <w:rFonts w:hint="eastAsia" w:cs="仿宋_GB2312"/>
          <w:kern w:val="1"/>
          <w:sz w:val="32"/>
          <w:szCs w:val="32"/>
          <w:lang w:val="en-US" w:eastAsia="zh-CN"/>
        </w:rPr>
        <w:t xml:space="preserve">预算调整率 </w:t>
      </w:r>
      <w:r>
        <w:rPr>
          <w:rFonts w:hint="eastAsia" w:ascii="仿宋_GB2312" w:hAnsi="仿宋_GB2312" w:eastAsia="仿宋_GB2312" w:cs="仿宋_GB2312"/>
          <w:kern w:val="1"/>
          <w:sz w:val="32"/>
          <w:szCs w:val="32"/>
          <w:lang w:val="en-US" w:eastAsia="zh-CN"/>
        </w:rPr>
        <w:t>权重</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0</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hAnsi="Times New Roman" w:cs="Times New Roman"/>
          <w:sz w:val="32"/>
          <w:szCs w:val="32"/>
          <w:highlight w:val="none"/>
        </w:rPr>
        <w:t>本项目</w:t>
      </w:r>
      <w:r>
        <w:rPr>
          <w:rFonts w:hint="eastAsia" w:hAnsi="Times New Roman" w:cs="Times New Roman"/>
          <w:sz w:val="32"/>
          <w:szCs w:val="32"/>
          <w:highlight w:val="none"/>
          <w:lang w:val="en-US" w:eastAsia="zh-CN"/>
        </w:rPr>
        <w:t>2022年年初预算为438</w:t>
      </w:r>
      <w:r>
        <w:rPr>
          <w:rFonts w:hint="eastAsia" w:hAnsi="Times New Roman" w:cs="Times New Roman"/>
          <w:sz w:val="32"/>
          <w:szCs w:val="32"/>
          <w:highlight w:val="none"/>
        </w:rPr>
        <w:t>万元，</w:t>
      </w:r>
      <w:r>
        <w:rPr>
          <w:rFonts w:hint="eastAsia" w:hAnsi="Times New Roman" w:cs="Times New Roman"/>
          <w:sz w:val="32"/>
          <w:szCs w:val="32"/>
          <w:highlight w:val="none"/>
          <w:lang w:val="en-US" w:eastAsia="zh-CN"/>
        </w:rPr>
        <w:t>年中进行预算调整，调减93.52万元，预算调整率为-21.35%，调整后预算为344.48万元，调减原因见前文分析。</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0</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 xml:space="preserve">B12 </w:t>
      </w:r>
      <w:r>
        <w:rPr>
          <w:rFonts w:hint="eastAsia" w:ascii="仿宋_GB2312" w:hAnsi="仿宋_GB2312" w:eastAsia="仿宋_GB2312" w:cs="仿宋_GB2312"/>
          <w:kern w:val="1"/>
          <w:sz w:val="32"/>
          <w:szCs w:val="32"/>
          <w:lang w:val="en-US" w:eastAsia="zh-CN"/>
        </w:rPr>
        <w:t>预算执行率</w:t>
      </w:r>
      <w:r>
        <w:rPr>
          <w:rFonts w:hint="eastAsia" w:ascii="仿宋_GB2312" w:hAnsi="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val="en-US" w:eastAsia="zh-CN"/>
        </w:rPr>
        <w:t>权重</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0.81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val="0"/>
        <w:textAlignment w:val="auto"/>
        <w:rPr>
          <w:rFonts w:hint="eastAsia" w:ascii="仿宋_GB2312" w:hAnsi="仿宋_GB2312" w:eastAsia="仿宋_GB2312" w:cs="仿宋_GB2312"/>
          <w:kern w:val="1"/>
          <w:sz w:val="32"/>
          <w:szCs w:val="32"/>
          <w:lang w:val="en-US" w:eastAsia="zh-CN"/>
        </w:rPr>
      </w:pPr>
      <w:r>
        <w:rPr>
          <w:rFonts w:hint="eastAsia" w:hAnsi="Times New Roman" w:cs="Times New Roman"/>
          <w:sz w:val="32"/>
          <w:szCs w:val="32"/>
          <w:highlight w:val="none"/>
          <w:lang w:val="en-US" w:eastAsia="zh-CN"/>
        </w:rPr>
        <w:t>2022年</w:t>
      </w:r>
      <w:r>
        <w:rPr>
          <w:rFonts w:hAnsi="Times New Roman" w:cs="Times New Roman"/>
          <w:sz w:val="32"/>
          <w:szCs w:val="32"/>
          <w:highlight w:val="none"/>
        </w:rPr>
        <w:t>，</w:t>
      </w:r>
      <w:r>
        <w:rPr>
          <w:rFonts w:hint="eastAsia" w:hAnsi="Times New Roman" w:cs="Times New Roman"/>
          <w:sz w:val="32"/>
          <w:szCs w:val="32"/>
          <w:highlight w:val="none"/>
          <w:lang w:val="en-US" w:eastAsia="zh-CN"/>
        </w:rPr>
        <w:t>本项目实际共计支出296.91万元，预算执行率为86.19%。</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0.81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B1</w:t>
      </w:r>
      <w:r>
        <w:rPr>
          <w:rFonts w:hint="eastAsia" w:cs="仿宋_GB2312"/>
          <w:kern w:val="1"/>
          <w:sz w:val="32"/>
          <w:szCs w:val="32"/>
          <w:lang w:val="en-US" w:eastAsia="zh-CN"/>
        </w:rPr>
        <w:t>3</w:t>
      </w:r>
      <w:r>
        <w:rPr>
          <w:rFonts w:hint="eastAsia" w:ascii="仿宋_GB2312" w:hAnsi="仿宋_GB2312" w:eastAsia="仿宋_GB2312" w:cs="仿宋_GB2312"/>
          <w:kern w:val="1"/>
          <w:sz w:val="32"/>
          <w:szCs w:val="32"/>
          <w:lang w:val="en-US" w:eastAsia="zh-CN"/>
        </w:rPr>
        <w:t xml:space="preserve"> 财务管理制度健全与执行有效性</w:t>
      </w:r>
      <w:r>
        <w:rPr>
          <w:rFonts w:hint="eastAsia" w:ascii="仿宋_GB2312" w:hAnsi="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val="en-US" w:eastAsia="zh-CN"/>
        </w:rPr>
        <w:t>权重</w:t>
      </w:r>
      <w:r>
        <w:rPr>
          <w:rFonts w:hint="eastAsia" w:cs="仿宋_GB2312"/>
          <w:kern w:val="1"/>
          <w:sz w:val="32"/>
          <w:szCs w:val="32"/>
          <w:lang w:val="en-US" w:eastAsia="zh-CN"/>
        </w:rPr>
        <w:t>3</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3</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cs="仿宋_GB2312"/>
          <w:kern w:val="1"/>
          <w:sz w:val="32"/>
          <w:szCs w:val="32"/>
          <w:lang w:val="en-US" w:eastAsia="zh-CN"/>
        </w:rPr>
        <w:t>根据前文对本项目财务管理制度的分析可知，</w:t>
      </w:r>
      <w:r>
        <w:rPr>
          <w:rFonts w:hint="eastAsia" w:ascii="仿宋_GB2312" w:hAnsi="仿宋_GB2312" w:cs="仿宋_GB2312"/>
          <w:kern w:val="1"/>
          <w:sz w:val="32"/>
          <w:szCs w:val="32"/>
          <w:lang w:val="en-US" w:eastAsia="zh-CN"/>
        </w:rPr>
        <w:t>对于本项目中涉及的资金，</w:t>
      </w:r>
      <w:r>
        <w:rPr>
          <w:rFonts w:hint="eastAsia" w:ascii="仿宋_GB2312" w:hAnsi="仿宋_GB2312" w:eastAsia="仿宋_GB2312" w:cs="仿宋_GB2312"/>
          <w:kern w:val="1"/>
          <w:sz w:val="32"/>
          <w:szCs w:val="32"/>
          <w:lang w:val="en-US" w:eastAsia="zh-CN"/>
        </w:rPr>
        <w:t>适用</w:t>
      </w:r>
      <w:r>
        <w:rPr>
          <w:rFonts w:hint="eastAsia" w:cs="仿宋_GB2312"/>
          <w:kern w:val="1"/>
          <w:sz w:val="32"/>
          <w:szCs w:val="32"/>
          <w:lang w:val="en-US" w:eastAsia="zh-CN"/>
        </w:rPr>
        <w:t>区民政局的</w:t>
      </w:r>
      <w:r>
        <w:rPr>
          <w:rFonts w:hint="eastAsia" w:ascii="仿宋_GB2312" w:hAnsi="仿宋_GB2312" w:eastAsia="仿宋_GB2312" w:cs="仿宋_GB2312"/>
          <w:kern w:val="1"/>
          <w:sz w:val="32"/>
          <w:szCs w:val="32"/>
          <w:lang w:val="en-US" w:eastAsia="zh-CN"/>
        </w:rPr>
        <w:t>预算管理内部控制制度</w:t>
      </w:r>
      <w:r>
        <w:rPr>
          <w:rFonts w:hint="eastAsia" w:cs="仿宋_GB2312"/>
          <w:kern w:val="1"/>
          <w:sz w:val="32"/>
          <w:szCs w:val="32"/>
          <w:lang w:val="en-US" w:eastAsia="zh-CN"/>
        </w:rPr>
        <w:t>和</w:t>
      </w:r>
      <w:r>
        <w:rPr>
          <w:rFonts w:hint="eastAsia" w:ascii="仿宋_GB2312" w:hAnsi="仿宋_GB2312" w:eastAsia="仿宋_GB2312" w:cs="仿宋_GB2312"/>
          <w:kern w:val="1"/>
          <w:sz w:val="32"/>
          <w:szCs w:val="32"/>
          <w:lang w:val="en-US" w:eastAsia="zh-CN"/>
        </w:rPr>
        <w:t>收支业务内控管理制度</w:t>
      </w:r>
      <w:r>
        <w:rPr>
          <w:rFonts w:hint="eastAsia" w:cs="仿宋_GB2312"/>
          <w:kern w:val="1"/>
          <w:sz w:val="32"/>
          <w:szCs w:val="32"/>
          <w:lang w:val="en-US" w:eastAsia="zh-CN"/>
        </w:rPr>
        <w:t>，财务管理制度健全，</w:t>
      </w:r>
      <w:r>
        <w:rPr>
          <w:rFonts w:hint="eastAsia" w:ascii="仿宋_GB2312" w:hAnsi="仿宋_GB2312" w:eastAsia="仿宋_GB2312" w:cs="仿宋_GB2312"/>
          <w:kern w:val="1"/>
          <w:sz w:val="32"/>
          <w:szCs w:val="32"/>
          <w:lang w:val="en-US" w:eastAsia="zh-CN"/>
        </w:rPr>
        <w:t>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②本项目</w:t>
      </w:r>
      <w:r>
        <w:rPr>
          <w:rFonts w:hint="eastAsia" w:ascii="仿宋_GB2312" w:hAnsi="仿宋_GB2312" w:eastAsia="仿宋_GB2312" w:cs="仿宋_GB2312"/>
          <w:kern w:val="1"/>
          <w:sz w:val="32"/>
          <w:szCs w:val="32"/>
          <w:lang w:val="en-US" w:eastAsia="zh-CN"/>
        </w:rPr>
        <w:t>实际执行过程中，预算编制、资金收支与监管方式及流程均符合上述办法规定，得</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B1</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 xml:space="preserve"> 资金使用</w:t>
      </w:r>
      <w:r>
        <w:rPr>
          <w:rFonts w:hint="eastAsia" w:ascii="仿宋_GB2312" w:hAnsi="仿宋_GB2312" w:cs="仿宋_GB2312"/>
          <w:kern w:val="1"/>
          <w:sz w:val="32"/>
          <w:szCs w:val="32"/>
          <w:lang w:val="en-US" w:eastAsia="zh-CN"/>
        </w:rPr>
        <w:t>合规</w:t>
      </w:r>
      <w:r>
        <w:rPr>
          <w:rFonts w:hint="eastAsia" w:ascii="仿宋_GB2312" w:hAnsi="仿宋_GB2312" w:eastAsia="仿宋_GB2312" w:cs="仿宋_GB2312"/>
          <w:kern w:val="1"/>
          <w:sz w:val="32"/>
          <w:szCs w:val="32"/>
          <w:lang w:val="en-US" w:eastAsia="zh-CN"/>
        </w:rPr>
        <w:t>性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kern w:val="1"/>
          <w:sz w:val="32"/>
          <w:szCs w:val="32"/>
          <w:lang w:val="en-US" w:eastAsia="zh-CN"/>
        </w:rPr>
      </w:pPr>
      <w:r>
        <w:rPr>
          <w:rFonts w:hint="eastAsia" w:ascii="仿宋_GB2312" w:hAnsi="仿宋_GB2312" w:cs="仿宋_GB2312"/>
          <w:kern w:val="1"/>
          <w:sz w:val="32"/>
          <w:szCs w:val="32"/>
          <w:lang w:val="en-US" w:eastAsia="zh-CN"/>
        </w:rPr>
        <w:t>评价组通过翻阅项目财务支出凭证，判断本项目资金使用情况：</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ascii="仿宋_GB2312" w:hAnsi="仿宋_GB2312" w:eastAsia="仿宋_GB2312" w:cs="仿宋_GB2312"/>
          <w:kern w:val="1"/>
          <w:sz w:val="32"/>
          <w:szCs w:val="32"/>
          <w:lang w:val="en-US" w:eastAsia="zh-CN"/>
        </w:rPr>
        <w:t>本项目预算资金管理按照《会计法》、《行政单位会计制度》等规定执行，符合国家财经法规和财务管理制度以及有关专项资金管理办法的规定，得0.5分；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②本项目的</w:t>
      </w:r>
      <w:r>
        <w:rPr>
          <w:rFonts w:hint="eastAsia" w:ascii="仿宋_GB2312" w:hAnsi="仿宋_GB2312" w:eastAsia="仿宋_GB2312" w:cs="仿宋_GB2312"/>
          <w:kern w:val="1"/>
          <w:sz w:val="32"/>
          <w:szCs w:val="32"/>
          <w:lang w:val="en-US" w:eastAsia="zh-CN"/>
        </w:rPr>
        <w:t>资金拨付完成前按照规范流程开展相关审价和审计工作，且有完整的审批程序和手续，得0.5分；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③</w:t>
      </w:r>
      <w:r>
        <w:rPr>
          <w:rFonts w:hint="eastAsia" w:ascii="仿宋_GB2312" w:hAnsi="仿宋_GB2312" w:eastAsia="仿宋_GB2312" w:cs="仿宋_GB2312"/>
          <w:kern w:val="1"/>
          <w:sz w:val="32"/>
          <w:szCs w:val="32"/>
          <w:lang w:val="en-US" w:eastAsia="zh-CN"/>
        </w:rPr>
        <w:t>资金使用符合项目预算批复</w:t>
      </w:r>
      <w:r>
        <w:rPr>
          <w:rFonts w:hint="eastAsia" w:ascii="仿宋_GB2312" w:hAnsi="仿宋_GB2312" w:cs="仿宋_GB2312"/>
          <w:kern w:val="1"/>
          <w:sz w:val="32"/>
          <w:szCs w:val="32"/>
          <w:lang w:val="en-US" w:eastAsia="zh-CN"/>
        </w:rPr>
        <w:t>和</w:t>
      </w:r>
      <w:r>
        <w:rPr>
          <w:rFonts w:hint="eastAsia" w:ascii="仿宋_GB2312" w:hAnsi="仿宋_GB2312" w:eastAsia="仿宋_GB2312" w:cs="仿宋_GB2312"/>
          <w:kern w:val="1"/>
          <w:sz w:val="32"/>
          <w:szCs w:val="32"/>
          <w:lang w:val="en-US" w:eastAsia="zh-CN"/>
        </w:rPr>
        <w:t>合同规定的用途，得0.5分；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④未发现</w:t>
      </w:r>
      <w:r>
        <w:rPr>
          <w:rFonts w:hint="eastAsia" w:ascii="仿宋_GB2312" w:hAnsi="仿宋_GB2312" w:eastAsia="仿宋_GB2312" w:cs="仿宋_GB2312"/>
          <w:kern w:val="1"/>
          <w:sz w:val="32"/>
          <w:szCs w:val="32"/>
          <w:lang w:val="en-US" w:eastAsia="zh-CN"/>
        </w:rPr>
        <w:t>截留、挤占、挪用、虚列支出等情况，得0.5分</w:t>
      </w:r>
      <w:r>
        <w:rPr>
          <w:rFonts w:hint="eastAsia" w:ascii="仿宋_GB2312" w:hAnsi="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B21 业务管理制度健全性</w:t>
      </w:r>
      <w:r>
        <w:rPr>
          <w:rFonts w:hint="eastAsia" w:ascii="仿宋_GB2312" w:hAnsi="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val="en-US" w:eastAsia="zh-CN"/>
        </w:rPr>
        <w:t>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根据前文对本项目业务管理制度的梳理可知，项目业务管理制度健全</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本项指标</w:t>
      </w:r>
      <w:r>
        <w:rPr>
          <w:rFonts w:hint="eastAsia" w:ascii="仿宋_GB2312" w:hAnsi="仿宋_GB2312" w:eastAsia="仿宋_GB2312" w:cs="仿宋_GB2312"/>
          <w:kern w:val="1"/>
          <w:sz w:val="32"/>
          <w:szCs w:val="32"/>
          <w:lang w:val="en-US" w:eastAsia="zh-CN"/>
        </w:rPr>
        <w:t>得</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r>
        <w:rPr>
          <w:rFonts w:hint="eastAsia" w:ascii="仿宋_GB2312" w:hAnsi="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1 项目</w:t>
      </w:r>
      <w:r>
        <w:rPr>
          <w:rFonts w:hint="eastAsia" w:cs="仿宋_GB2312"/>
          <w:kern w:val="1"/>
          <w:sz w:val="32"/>
          <w:szCs w:val="32"/>
          <w:lang w:val="en-US" w:eastAsia="zh-CN"/>
        </w:rPr>
        <w:t>验收</w:t>
      </w:r>
      <w:r>
        <w:rPr>
          <w:rFonts w:hint="eastAsia" w:ascii="仿宋_GB2312" w:hAnsi="仿宋_GB2312" w:eastAsia="仿宋_GB2312" w:cs="仿宋_GB2312"/>
          <w:kern w:val="1"/>
          <w:sz w:val="32"/>
          <w:szCs w:val="32"/>
          <w:lang w:val="en-US" w:eastAsia="zh-CN"/>
        </w:rPr>
        <w:t>管理制度执行有效性 权重</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hAnsi="仿宋"/>
          <w:sz w:val="32"/>
          <w:szCs w:val="32"/>
          <w:lang w:val="en-US" w:eastAsia="zh-CN"/>
        </w:rPr>
        <w:t>发起人（团体）对示范睦邻点场地完成布置后，由区民政局进行统一现场验收，参照比对《上海市农村老年人示范睦邻点建设指引》的要求，对示范睦邻点的场地面积、消防和防暑降温等设备配置情况、卫生环境情况、提供文娱服务情况等进行综合评判，达到示范睦邻点建设基本要求的，即通过验收，汇总全区验收通过的示范睦邻点清单，上报市民政局审核，通过后，下达福彩公益金补贴</w:t>
      </w:r>
      <w:r>
        <w:rPr>
          <w:rFonts w:hint="eastAsia" w:cs="仿宋_GB2312"/>
          <w:kern w:val="1"/>
          <w:sz w:val="32"/>
          <w:szCs w:val="32"/>
          <w:lang w:val="en-US" w:eastAsia="zh-CN"/>
        </w:rPr>
        <w:t>，2021年度崇明区80个示范睦邻点验收流程符合上述要求</w:t>
      </w:r>
      <w:r>
        <w:rPr>
          <w:rFonts w:hint="eastAsia" w:ascii="仿宋_GB2312" w:hAnsi="仿宋_GB2312" w:eastAsia="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cs="仿宋_GB2312"/>
          <w:kern w:val="1"/>
          <w:sz w:val="32"/>
          <w:szCs w:val="32"/>
          <w:lang w:val="en-US" w:eastAsia="zh-CN"/>
        </w:rPr>
      </w:pPr>
      <w:r>
        <w:rPr>
          <w:rFonts w:hint="eastAsia" w:ascii="仿宋_GB2312" w:hAnsi="仿宋_GB2312" w:cs="仿宋_GB2312"/>
          <w:kern w:val="1"/>
          <w:sz w:val="32"/>
          <w:szCs w:val="32"/>
          <w:lang w:val="en-US" w:eastAsia="zh-CN"/>
        </w:rPr>
        <w:t>②</w:t>
      </w:r>
      <w:r>
        <w:rPr>
          <w:rFonts w:hint="eastAsia" w:cs="仿宋_GB2312"/>
          <w:kern w:val="1"/>
          <w:sz w:val="32"/>
          <w:szCs w:val="32"/>
          <w:lang w:val="en-US" w:eastAsia="zh-CN"/>
        </w:rPr>
        <w:t>综合为老服务中心</w:t>
      </w:r>
      <w:r>
        <w:rPr>
          <w:rFonts w:hint="eastAsia" w:hAnsi="仿宋"/>
          <w:sz w:val="32"/>
          <w:szCs w:val="32"/>
          <w:lang w:val="en-US" w:eastAsia="zh-CN"/>
        </w:rPr>
        <w:t>项目建设完成并委托第三方出具审计报告后，由市民政局委托第三方对全市新建成的</w:t>
      </w:r>
      <w:r>
        <w:rPr>
          <w:rFonts w:hint="eastAsia"/>
          <w:sz w:val="32"/>
          <w:szCs w:val="32"/>
          <w:highlight w:val="none"/>
          <w:lang w:val="en-US" w:eastAsia="zh-CN"/>
        </w:rPr>
        <w:t>综合为老服务中心进行统一</w:t>
      </w:r>
      <w:r>
        <w:rPr>
          <w:rFonts w:hint="eastAsia" w:hAnsi="仿宋"/>
          <w:sz w:val="32"/>
          <w:szCs w:val="32"/>
          <w:lang w:val="en-US" w:eastAsia="zh-CN"/>
        </w:rPr>
        <w:t>现场验收，验收标准比对《2021年社区综合为老服务中心评估标准》，主要从“A类基础标准”和“B类扩展标准”两个方面评估，A类主要评估中心是否具备基本功能；B类评估中心是否功能完整、设施完备、服务齐全、管理有效。验收完成后，市民政局告知区民政局《2021年度社区综合为老服务中心验收评估结果》，根据结果，市区两级民政局下达补贴</w:t>
      </w:r>
      <w:r>
        <w:rPr>
          <w:rFonts w:hint="eastAsia" w:ascii="仿宋_GB2312" w:hAnsi="仿宋_GB2312" w:eastAsia="仿宋_GB2312" w:cs="仿宋_GB2312"/>
          <w:kern w:val="1"/>
          <w:sz w:val="32"/>
          <w:szCs w:val="32"/>
          <w:lang w:val="en-US" w:eastAsia="zh-CN"/>
        </w:rPr>
        <w:t>。</w:t>
      </w:r>
      <w:r>
        <w:rPr>
          <w:rFonts w:hint="eastAsia" w:cs="仿宋_GB2312"/>
          <w:kern w:val="1"/>
          <w:sz w:val="32"/>
          <w:szCs w:val="32"/>
          <w:lang w:val="en-US" w:eastAsia="zh-CN"/>
        </w:rPr>
        <w:t>2022年度建设镇综合为老服务中心旭升分中心的验收流程符合上述要求。</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cs="仿宋_GB2312"/>
          <w:kern w:val="1"/>
          <w:sz w:val="32"/>
          <w:szCs w:val="32"/>
          <w:lang w:val="en-US" w:eastAsia="zh-CN"/>
        </w:rPr>
      </w:pPr>
      <w:r>
        <w:rPr>
          <w:rFonts w:hint="eastAsia" w:cs="仿宋_GB2312"/>
          <w:kern w:val="1"/>
          <w:sz w:val="32"/>
          <w:szCs w:val="32"/>
          <w:lang w:val="en-US" w:eastAsia="zh-CN"/>
        </w:rPr>
        <w:t>根据评分标准，本项指标得满分。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B22</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 xml:space="preserve"> 政府采购规范性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①本项目</w:t>
      </w:r>
      <w:r>
        <w:rPr>
          <w:rFonts w:hint="eastAsia" w:cs="仿宋_GB2312"/>
          <w:kern w:val="1"/>
          <w:sz w:val="32"/>
          <w:szCs w:val="32"/>
          <w:lang w:val="en-US" w:eastAsia="zh-CN"/>
        </w:rPr>
        <w:t>中</w:t>
      </w:r>
      <w:r>
        <w:rPr>
          <w:rFonts w:hint="eastAsia" w:ascii="仿宋_GB2312" w:hAnsi="仿宋_GB2312" w:cs="仿宋_GB2312"/>
          <w:kern w:val="1"/>
          <w:sz w:val="32"/>
          <w:szCs w:val="32"/>
          <w:lang w:val="en-US" w:eastAsia="zh-CN"/>
        </w:rPr>
        <w:t>的失智老人护理用品项目和养老机构综合责任险项目进行政府采购时，</w:t>
      </w:r>
      <w:r>
        <w:rPr>
          <w:rFonts w:hint="eastAsia" w:cs="仿宋_GB2312"/>
          <w:kern w:val="1"/>
          <w:sz w:val="32"/>
          <w:szCs w:val="32"/>
          <w:lang w:val="en-US" w:eastAsia="zh-CN"/>
        </w:rPr>
        <w:t>均由市级管理部门进行统一公开招标，确定中标对象或采购目录后，由区民政局和区红会参照执行</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采购方式</w:t>
      </w:r>
      <w:r>
        <w:rPr>
          <w:rFonts w:hint="eastAsia" w:ascii="仿宋_GB2312" w:hAnsi="仿宋_GB2312" w:cs="仿宋_GB2312"/>
          <w:kern w:val="1"/>
          <w:sz w:val="32"/>
          <w:szCs w:val="32"/>
          <w:lang w:val="en-US" w:eastAsia="zh-CN"/>
        </w:rPr>
        <w:t>符合规定</w:t>
      </w:r>
      <w:r>
        <w:rPr>
          <w:rFonts w:hint="eastAsia" w:ascii="仿宋_GB2312" w:hAnsi="仿宋_GB2312" w:eastAsia="仿宋_GB2312" w:cs="仿宋_GB2312"/>
          <w:kern w:val="1"/>
          <w:sz w:val="32"/>
          <w:szCs w:val="32"/>
          <w:lang w:val="en-US" w:eastAsia="zh-CN"/>
        </w:rPr>
        <w:t>，得0.5分；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w:t>
      </w:r>
      <w:r>
        <w:rPr>
          <w:rFonts w:hint="eastAsia" w:cs="仿宋_GB2312"/>
          <w:kern w:val="1"/>
          <w:sz w:val="32"/>
          <w:szCs w:val="32"/>
          <w:lang w:val="en-US" w:eastAsia="zh-CN"/>
        </w:rPr>
        <w:t>根据市级部门对项目公开招投标的结果，</w:t>
      </w:r>
      <w:r>
        <w:rPr>
          <w:rFonts w:hint="eastAsia" w:ascii="仿宋_GB2312" w:hAnsi="仿宋_GB2312" w:eastAsia="仿宋_GB2312" w:cs="仿宋_GB2312"/>
          <w:kern w:val="1"/>
          <w:sz w:val="32"/>
          <w:szCs w:val="32"/>
          <w:lang w:val="en-US" w:eastAsia="zh-CN"/>
        </w:rPr>
        <w:t>采购流程</w:t>
      </w:r>
      <w:r>
        <w:rPr>
          <w:rFonts w:hint="eastAsia" w:ascii="仿宋_GB2312" w:hAnsi="仿宋_GB2312" w:cs="仿宋_GB2312"/>
          <w:kern w:val="1"/>
          <w:sz w:val="32"/>
          <w:szCs w:val="32"/>
          <w:lang w:val="en-US" w:eastAsia="zh-CN"/>
        </w:rPr>
        <w:t>符合规定</w:t>
      </w:r>
      <w:r>
        <w:rPr>
          <w:rFonts w:hint="eastAsia" w:ascii="仿宋_GB2312" w:hAnsi="仿宋_GB2312" w:eastAsia="仿宋_GB2312" w:cs="仿宋_GB2312"/>
          <w:kern w:val="1"/>
          <w:sz w:val="32"/>
          <w:szCs w:val="32"/>
          <w:lang w:val="en-US" w:eastAsia="zh-CN"/>
        </w:rPr>
        <w:t>，得0.5分；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③中标</w:t>
      </w:r>
      <w:r>
        <w:rPr>
          <w:rFonts w:hint="eastAsia" w:ascii="仿宋_GB2312" w:hAnsi="仿宋_GB2312" w:eastAsia="仿宋_GB2312" w:cs="仿宋_GB2312"/>
          <w:kern w:val="1"/>
          <w:sz w:val="32"/>
          <w:szCs w:val="32"/>
          <w:lang w:val="en-US" w:eastAsia="zh-CN"/>
        </w:rPr>
        <w:t>结果</w:t>
      </w:r>
      <w:r>
        <w:rPr>
          <w:rFonts w:hint="eastAsia" w:ascii="仿宋_GB2312" w:hAnsi="仿宋_GB2312" w:cs="仿宋_GB2312"/>
          <w:kern w:val="1"/>
          <w:sz w:val="32"/>
          <w:szCs w:val="32"/>
          <w:lang w:val="en-US" w:eastAsia="zh-CN"/>
        </w:rPr>
        <w:t>进行了社会公示，确保了</w:t>
      </w:r>
      <w:r>
        <w:rPr>
          <w:rFonts w:hint="eastAsia" w:ascii="仿宋_GB2312" w:hAnsi="仿宋_GB2312" w:eastAsia="仿宋_GB2312" w:cs="仿宋_GB2312"/>
          <w:kern w:val="1"/>
          <w:sz w:val="32"/>
          <w:szCs w:val="32"/>
          <w:lang w:val="en-US" w:eastAsia="zh-CN"/>
        </w:rPr>
        <w:t>公开公正，得0.5分；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④本项目</w:t>
      </w:r>
      <w:r>
        <w:rPr>
          <w:rFonts w:hint="eastAsia" w:ascii="仿宋_GB2312" w:hAnsi="仿宋_GB2312" w:eastAsia="仿宋_GB2312" w:cs="仿宋_GB2312"/>
          <w:kern w:val="1"/>
          <w:sz w:val="32"/>
          <w:szCs w:val="32"/>
          <w:lang w:val="en-US" w:eastAsia="zh-CN"/>
        </w:rPr>
        <w:t>合同签订与中标结果一致，得0.5分。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B22</w:t>
      </w:r>
      <w:r>
        <w:rPr>
          <w:rFonts w:hint="eastAsia" w:ascii="仿宋_GB2312" w:hAnsi="仿宋_GB2312" w:cs="仿宋_GB2312"/>
          <w:kern w:val="1"/>
          <w:sz w:val="32"/>
          <w:szCs w:val="32"/>
          <w:lang w:val="en-US" w:eastAsia="zh-CN"/>
        </w:rPr>
        <w:t>3</w:t>
      </w:r>
      <w:r>
        <w:rPr>
          <w:rFonts w:hint="eastAsia" w:ascii="仿宋_GB2312" w:hAnsi="仿宋_GB2312" w:eastAsia="仿宋_GB2312" w:cs="仿宋_GB2312"/>
          <w:kern w:val="1"/>
          <w:sz w:val="32"/>
          <w:szCs w:val="32"/>
          <w:lang w:val="en-US" w:eastAsia="zh-CN"/>
        </w:rPr>
        <w:t xml:space="preserve"> </w:t>
      </w:r>
      <w:r>
        <w:rPr>
          <w:rFonts w:hint="eastAsia" w:cs="仿宋_GB2312"/>
          <w:kern w:val="1"/>
          <w:sz w:val="32"/>
          <w:szCs w:val="32"/>
          <w:lang w:val="en-US" w:eastAsia="zh-CN"/>
        </w:rPr>
        <w:t>申报审批</w:t>
      </w:r>
      <w:r>
        <w:rPr>
          <w:rFonts w:hint="eastAsia" w:ascii="仿宋_GB2312" w:hAnsi="仿宋_GB2312" w:eastAsia="仿宋_GB2312" w:cs="仿宋_GB2312"/>
          <w:kern w:val="1"/>
          <w:sz w:val="32"/>
          <w:szCs w:val="32"/>
          <w:lang w:val="en-US" w:eastAsia="zh-CN"/>
        </w:rPr>
        <w:t>规范性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cs="仿宋_GB2312"/>
          <w:kern w:val="1"/>
          <w:sz w:val="32"/>
          <w:szCs w:val="32"/>
          <w:lang w:val="en-US" w:eastAsia="zh-CN"/>
        </w:rPr>
        <w:t>根据平台信息和访谈结果，</w:t>
      </w:r>
      <w:r>
        <w:rPr>
          <w:rFonts w:hint="eastAsia" w:ascii="仿宋_GB2312" w:hAnsi="仿宋_GB2312" w:cs="仿宋_GB2312"/>
          <w:kern w:val="1"/>
          <w:sz w:val="32"/>
          <w:szCs w:val="32"/>
          <w:lang w:val="en-US" w:eastAsia="zh-CN"/>
        </w:rPr>
        <w:t>失智老人护理用品项目</w:t>
      </w:r>
      <w:r>
        <w:rPr>
          <w:rFonts w:hint="eastAsia" w:cs="仿宋_GB2312"/>
          <w:kern w:val="1"/>
          <w:sz w:val="32"/>
          <w:szCs w:val="32"/>
          <w:lang w:val="en-US" w:eastAsia="zh-CN"/>
        </w:rPr>
        <w:t>的申报审批流程符合前文所述的管理办法；</w:t>
      </w:r>
      <w:r>
        <w:rPr>
          <w:rFonts w:hint="eastAsia" w:ascii="仿宋_GB2312" w:hAnsi="仿宋_GB2312" w:eastAsia="仿宋_GB2312" w:cs="仿宋_GB2312"/>
          <w:kern w:val="1"/>
          <w:sz w:val="32"/>
          <w:szCs w:val="32"/>
          <w:lang w:val="en-US" w:eastAsia="zh-CN"/>
        </w:rPr>
        <w:t>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w:t>
      </w:r>
      <w:r>
        <w:rPr>
          <w:rFonts w:hint="eastAsia"/>
          <w:sz w:val="32"/>
          <w:szCs w:val="32"/>
          <w:highlight w:val="none"/>
          <w:lang w:val="en-US" w:eastAsia="zh-CN"/>
        </w:rPr>
        <w:t>综合为老服务中心项目由</w:t>
      </w:r>
      <w:r>
        <w:rPr>
          <w:rFonts w:hint="eastAsia" w:hAnsi="仿宋"/>
          <w:sz w:val="32"/>
          <w:szCs w:val="32"/>
          <w:lang w:val="en-US" w:eastAsia="zh-CN"/>
        </w:rPr>
        <w:t>乡镇研究制定项目可行性方案并上报区发改委立项，正式立项后申报市区两级补贴，且有相关批复文件证明流程规范</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得1分。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B22</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 xml:space="preserve"> 档案管理制度执行有效性 权重</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各子</w:t>
      </w:r>
      <w:r>
        <w:rPr>
          <w:rFonts w:hint="eastAsia" w:ascii="仿宋_GB2312" w:hAnsi="仿宋_GB2312" w:eastAsia="仿宋_GB2312" w:cs="仿宋_GB2312"/>
          <w:kern w:val="1"/>
          <w:sz w:val="32"/>
          <w:szCs w:val="32"/>
          <w:lang w:val="en-US" w:eastAsia="zh-CN"/>
        </w:rPr>
        <w:t>项目</w:t>
      </w:r>
      <w:r>
        <w:rPr>
          <w:rFonts w:hint="eastAsia" w:cs="仿宋_GB2312"/>
          <w:kern w:val="1"/>
          <w:sz w:val="32"/>
          <w:szCs w:val="32"/>
          <w:lang w:val="en-US" w:eastAsia="zh-CN"/>
        </w:rPr>
        <w:t>的</w:t>
      </w:r>
      <w:r>
        <w:rPr>
          <w:rFonts w:hint="eastAsia" w:ascii="仿宋_GB2312" w:hAnsi="仿宋_GB2312" w:eastAsia="仿宋_GB2312" w:cs="仿宋_GB2312"/>
          <w:kern w:val="1"/>
          <w:sz w:val="32"/>
          <w:szCs w:val="32"/>
          <w:lang w:val="en-US" w:eastAsia="zh-CN"/>
        </w:rPr>
        <w:t>可行性研究报告、政府采购相关文件、委托合同文件、</w:t>
      </w:r>
      <w:r>
        <w:rPr>
          <w:rFonts w:hint="eastAsia" w:cs="仿宋_GB2312"/>
          <w:kern w:val="1"/>
          <w:sz w:val="32"/>
          <w:szCs w:val="32"/>
          <w:lang w:val="en-US" w:eastAsia="zh-CN"/>
        </w:rPr>
        <w:t>审批材料</w:t>
      </w:r>
      <w:r>
        <w:rPr>
          <w:rFonts w:hint="eastAsia" w:ascii="仿宋_GB2312" w:hAnsi="仿宋_GB2312" w:eastAsia="仿宋_GB2312" w:cs="仿宋_GB2312"/>
          <w:kern w:val="1"/>
          <w:sz w:val="32"/>
          <w:szCs w:val="32"/>
          <w:lang w:val="en-US" w:eastAsia="zh-CN"/>
        </w:rPr>
        <w:t>、</w:t>
      </w:r>
      <w:r>
        <w:rPr>
          <w:rFonts w:hint="eastAsia" w:cs="仿宋_GB2312"/>
          <w:kern w:val="1"/>
          <w:sz w:val="32"/>
          <w:szCs w:val="32"/>
          <w:lang w:val="en-US" w:eastAsia="zh-CN"/>
        </w:rPr>
        <w:t>政策文件</w:t>
      </w:r>
      <w:r>
        <w:rPr>
          <w:rFonts w:hint="eastAsia" w:ascii="仿宋_GB2312" w:hAnsi="仿宋_GB2312" w:eastAsia="仿宋_GB2312" w:cs="仿宋_GB2312"/>
          <w:kern w:val="1"/>
          <w:sz w:val="32"/>
          <w:szCs w:val="32"/>
          <w:lang w:val="en-US" w:eastAsia="zh-CN"/>
        </w:rPr>
        <w:t>、</w:t>
      </w:r>
      <w:r>
        <w:rPr>
          <w:rFonts w:hint="eastAsia" w:cs="仿宋_GB2312"/>
          <w:kern w:val="1"/>
          <w:sz w:val="32"/>
          <w:szCs w:val="32"/>
          <w:lang w:val="en-US" w:eastAsia="zh-CN"/>
        </w:rPr>
        <w:t>业务管理制度、</w:t>
      </w:r>
      <w:r>
        <w:rPr>
          <w:rFonts w:hint="eastAsia" w:ascii="仿宋_GB2312" w:hAnsi="仿宋_GB2312" w:eastAsia="仿宋_GB2312" w:cs="仿宋_GB2312"/>
          <w:kern w:val="1"/>
          <w:sz w:val="32"/>
          <w:szCs w:val="32"/>
          <w:lang w:val="en-US" w:eastAsia="zh-CN"/>
        </w:rPr>
        <w:t>相关会议纪要等档案</w:t>
      </w:r>
      <w:r>
        <w:rPr>
          <w:rFonts w:hint="eastAsia" w:ascii="仿宋_GB2312" w:hAnsi="仿宋_GB2312" w:cs="仿宋_GB2312"/>
          <w:kern w:val="1"/>
          <w:sz w:val="32"/>
          <w:szCs w:val="32"/>
          <w:lang w:val="en-US" w:eastAsia="zh-CN"/>
        </w:rPr>
        <w:t>均</w:t>
      </w:r>
      <w:r>
        <w:rPr>
          <w:rFonts w:hint="eastAsia" w:ascii="仿宋_GB2312" w:hAnsi="仿宋_GB2312" w:eastAsia="仿宋_GB2312" w:cs="仿宋_GB2312"/>
          <w:kern w:val="1"/>
          <w:sz w:val="32"/>
          <w:szCs w:val="32"/>
          <w:lang w:val="en-US" w:eastAsia="zh-CN"/>
        </w:rPr>
        <w:t>保存完整，得</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B22</w:t>
      </w:r>
      <w:r>
        <w:rPr>
          <w:rFonts w:hint="eastAsia" w:cs="仿宋_GB2312"/>
          <w:kern w:val="1"/>
          <w:sz w:val="32"/>
          <w:szCs w:val="32"/>
          <w:lang w:val="en-US" w:eastAsia="zh-CN"/>
        </w:rPr>
        <w:t>5</w:t>
      </w:r>
      <w:r>
        <w:rPr>
          <w:rFonts w:hint="eastAsia" w:ascii="仿宋_GB2312" w:hAnsi="仿宋_GB2312" w:eastAsia="仿宋_GB2312" w:cs="仿宋_GB2312"/>
          <w:kern w:val="1"/>
          <w:sz w:val="32"/>
          <w:szCs w:val="32"/>
          <w:lang w:val="en-US" w:eastAsia="zh-CN"/>
        </w:rPr>
        <w:t xml:space="preserve"> 项目合同管理制度执行有效性 权重</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经评价组梳理</w:t>
      </w:r>
      <w:r>
        <w:rPr>
          <w:rFonts w:hint="eastAsia" w:cs="仿宋_GB2312"/>
          <w:kern w:val="1"/>
          <w:sz w:val="32"/>
          <w:szCs w:val="32"/>
          <w:lang w:val="en-US" w:eastAsia="zh-CN"/>
        </w:rPr>
        <w:t>合同</w:t>
      </w:r>
      <w:r>
        <w:rPr>
          <w:rFonts w:hint="eastAsia" w:ascii="仿宋_GB2312" w:hAnsi="仿宋_GB2312" w:eastAsia="仿宋_GB2312" w:cs="仿宋_GB2312"/>
          <w:kern w:val="1"/>
          <w:sz w:val="32"/>
          <w:szCs w:val="32"/>
          <w:lang w:val="en-US" w:eastAsia="zh-CN"/>
        </w:rPr>
        <w:t>发现，</w:t>
      </w:r>
      <w:r>
        <w:rPr>
          <w:rFonts w:hint="eastAsia" w:cs="仿宋_GB2312"/>
          <w:kern w:val="1"/>
          <w:sz w:val="32"/>
          <w:szCs w:val="32"/>
          <w:lang w:val="en-US" w:eastAsia="zh-CN"/>
        </w:rPr>
        <w:t>项目</w:t>
      </w:r>
      <w:r>
        <w:rPr>
          <w:rFonts w:hint="eastAsia" w:ascii="仿宋_GB2312" w:hAnsi="仿宋_GB2312" w:eastAsia="仿宋_GB2312" w:cs="仿宋_GB2312"/>
          <w:kern w:val="1"/>
          <w:sz w:val="32"/>
          <w:szCs w:val="32"/>
          <w:lang w:val="en-US" w:eastAsia="zh-CN"/>
        </w:rPr>
        <w:t>合同签订及执行过程中主要存在以下的问题：</w:t>
      </w:r>
      <w:r>
        <w:rPr>
          <w:rFonts w:hint="eastAsia" w:ascii="仿宋_GB2312" w:hAnsi="Microsoft JhengHei" w:cs="Times New Roman"/>
          <w:sz w:val="32"/>
          <w:szCs w:val="32"/>
          <w:highlight w:val="none"/>
          <w:lang w:val="en-US" w:eastAsia="zh-CN"/>
        </w:rPr>
        <w:t>养老机构综合责任险</w:t>
      </w:r>
      <w:r>
        <w:rPr>
          <w:rFonts w:hint="eastAsia" w:hAnsi="Microsoft JhengHei" w:cs="Times New Roman"/>
          <w:sz w:val="32"/>
          <w:szCs w:val="32"/>
          <w:highlight w:val="none"/>
          <w:lang w:val="en-US" w:eastAsia="zh-CN"/>
        </w:rPr>
        <w:t>项目中，抽查的养老机构与保险公司签订的2份合同中，缺少签订日期要素。</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故本项</w:t>
      </w:r>
      <w:r>
        <w:rPr>
          <w:rFonts w:hint="eastAsia" w:cs="仿宋_GB2312"/>
          <w:kern w:val="1"/>
          <w:sz w:val="32"/>
          <w:szCs w:val="32"/>
          <w:lang w:val="en-US" w:eastAsia="zh-CN"/>
        </w:rPr>
        <w:t>指标</w:t>
      </w:r>
      <w:r>
        <w:rPr>
          <w:rFonts w:hint="eastAsia" w:ascii="仿宋_GB2312" w:hAnsi="仿宋_GB2312" w:cs="仿宋_GB2312"/>
          <w:kern w:val="1"/>
          <w:sz w:val="32"/>
          <w:szCs w:val="32"/>
          <w:lang w:val="en-US" w:eastAsia="zh-CN"/>
        </w:rPr>
        <w:t>得</w:t>
      </w:r>
      <w:r>
        <w:rPr>
          <w:rFonts w:hint="eastAsia" w:cs="仿宋_GB2312"/>
          <w:kern w:val="1"/>
          <w:sz w:val="32"/>
          <w:szCs w:val="32"/>
          <w:lang w:val="en-US" w:eastAsia="zh-CN"/>
        </w:rPr>
        <w:t>1</w:t>
      </w:r>
      <w:r>
        <w:rPr>
          <w:rFonts w:hint="eastAsia" w:ascii="仿宋_GB2312" w:hAnsi="仿宋_GB2312" w:cs="仿宋_GB2312"/>
          <w:kern w:val="1"/>
          <w:sz w:val="32"/>
          <w:szCs w:val="32"/>
          <w:lang w:val="en-US" w:eastAsia="zh-CN"/>
        </w:rPr>
        <w:t>分。</w:t>
      </w:r>
    </w:p>
    <w:p>
      <w:pPr>
        <w:ind w:left="0" w:leftChars="0" w:firstLine="0" w:firstLineChars="0"/>
        <w:rPr>
          <w:rFonts w:hint="eastAsia" w:ascii="仿宋_GB2312" w:hAnsi="仿宋_GB2312" w:eastAsia="仿宋_GB2312" w:cs="仿宋_GB2312"/>
          <w:b/>
          <w:bCs/>
          <w:kern w:val="1"/>
          <w:sz w:val="32"/>
          <w:szCs w:val="32"/>
          <w:lang w:val="en-US" w:eastAsia="zh-CN"/>
        </w:rPr>
      </w:pPr>
      <w:bookmarkStart w:id="67" w:name="_Toc908"/>
      <w:r>
        <w:rPr>
          <w:rFonts w:hint="eastAsia" w:ascii="仿宋_GB2312" w:hAnsi="仿宋_GB2312" w:eastAsia="仿宋_GB2312" w:cs="仿宋_GB2312"/>
          <w:b/>
          <w:bCs/>
          <w:kern w:val="1"/>
          <w:sz w:val="32"/>
          <w:szCs w:val="32"/>
          <w:lang w:val="en-US" w:eastAsia="zh-CN"/>
        </w:rPr>
        <w:br w:type="page"/>
      </w:r>
    </w:p>
    <w:p>
      <w:pPr>
        <w:keepNext w:val="0"/>
        <w:keepLines w:val="0"/>
        <w:pageBreakBefore w:val="0"/>
        <w:widowControl w:val="0"/>
        <w:kinsoku/>
        <w:wordWrap/>
        <w:overflowPunct/>
        <w:topLinePunct w:val="0"/>
        <w:autoSpaceDE/>
        <w:autoSpaceDN/>
        <w:bidi w:val="0"/>
        <w:adjustRightInd/>
        <w:snapToGrid/>
        <w:spacing w:line="500" w:lineRule="exact"/>
        <w:ind w:firstLine="643"/>
        <w:contextualSpacing w:val="0"/>
        <w:textAlignment w:val="auto"/>
        <w:outlineLvl w:val="2"/>
        <w:rPr>
          <w:rFonts w:hint="eastAsia" w:ascii="Calibri" w:hAnsi="Arial" w:eastAsia="仿宋_GB2312" w:cs="Times New Roman"/>
          <w:b/>
          <w:bCs/>
          <w:kern w:val="1"/>
          <w:sz w:val="32"/>
          <w:szCs w:val="32"/>
          <w:lang w:val="en-US" w:eastAsia="zh-CN"/>
        </w:rPr>
      </w:pPr>
      <w:bookmarkStart w:id="68" w:name="_Toc26932"/>
      <w:r>
        <w:rPr>
          <w:rFonts w:hint="eastAsia" w:ascii="仿宋_GB2312" w:hAnsi="仿宋_GB2312" w:eastAsia="仿宋_GB2312" w:cs="仿宋_GB2312"/>
          <w:b/>
          <w:bCs/>
          <w:kern w:val="1"/>
          <w:sz w:val="32"/>
          <w:szCs w:val="32"/>
          <w:lang w:val="en-US" w:eastAsia="zh-CN"/>
        </w:rPr>
        <w:t>3</w:t>
      </w:r>
      <w:r>
        <w:rPr>
          <w:rFonts w:hint="eastAsia" w:ascii="仿宋_GB2312" w:hAnsi="仿宋_GB2312" w:eastAsia="仿宋_GB2312" w:cs="仿宋_GB2312"/>
          <w:b/>
          <w:bCs/>
          <w:kern w:val="1"/>
          <w:sz w:val="32"/>
          <w:szCs w:val="32"/>
        </w:rPr>
        <w:t>.项目</w:t>
      </w:r>
      <w:r>
        <w:rPr>
          <w:rFonts w:hint="eastAsia" w:ascii="仿宋_GB2312" w:hAnsi="仿宋_GB2312" w:eastAsia="仿宋_GB2312" w:cs="仿宋_GB2312"/>
          <w:b/>
          <w:bCs/>
          <w:kern w:val="1"/>
          <w:sz w:val="32"/>
          <w:szCs w:val="32"/>
          <w:lang w:val="en-US" w:eastAsia="zh-CN"/>
        </w:rPr>
        <w:t>产出</w:t>
      </w:r>
      <w:bookmarkEnd w:id="67"/>
      <w:bookmarkEnd w:id="68"/>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28"/>
          <w:szCs w:val="28"/>
          <w:lang w:val="en-US" w:eastAsia="zh-CN"/>
        </w:rPr>
      </w:pP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1</w:t>
      </w: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得分情况</w:t>
      </w:r>
    </w:p>
    <w:p>
      <w:pPr>
        <w:pageBreakBefore w:val="0"/>
        <w:kinsoku/>
        <w:wordWrap/>
        <w:overflowPunct/>
        <w:topLinePunct w:val="0"/>
        <w:autoSpaceDN/>
        <w:bidi w:val="0"/>
        <w:spacing w:line="500" w:lineRule="exact"/>
        <w:ind w:left="0" w:leftChars="0" w:firstLine="0" w:firstLineChars="0"/>
        <w:contextualSpacing w:val="0"/>
        <w:jc w:val="center"/>
        <w:rPr>
          <w:rFonts w:hint="eastAsia" w:ascii="仿宋_GB2312" w:hAnsi="Times New Roman" w:cs="Times New Roman"/>
          <w:b/>
          <w:bCs/>
          <w:kern w:val="1"/>
          <w:sz w:val="28"/>
          <w:szCs w:val="28"/>
        </w:rPr>
      </w:pPr>
      <w:r>
        <w:rPr>
          <w:rFonts w:hint="eastAsia" w:ascii="仿宋_GB2312" w:hAnsi="Times New Roman" w:cs="Times New Roman"/>
          <w:b/>
          <w:bCs/>
          <w:kern w:val="1"/>
          <w:sz w:val="24"/>
          <w:szCs w:val="24"/>
        </w:rPr>
        <w:t>表3-</w:t>
      </w:r>
      <w:r>
        <w:rPr>
          <w:rFonts w:hint="eastAsia" w:ascii="仿宋_GB2312" w:hAnsi="Times New Roman" w:cs="Times New Roman"/>
          <w:b/>
          <w:bCs/>
          <w:kern w:val="1"/>
          <w:sz w:val="24"/>
          <w:szCs w:val="24"/>
          <w:lang w:val="en-US" w:eastAsia="zh-CN"/>
        </w:rPr>
        <w:t>3</w:t>
      </w:r>
      <w:r>
        <w:rPr>
          <w:rFonts w:hint="eastAsia" w:ascii="仿宋_GB2312" w:hAnsi="Times New Roman" w:cs="Times New Roman"/>
          <w:b/>
          <w:bCs/>
          <w:kern w:val="1"/>
          <w:sz w:val="24"/>
          <w:szCs w:val="24"/>
        </w:rPr>
        <w:t>项目</w:t>
      </w:r>
      <w:r>
        <w:rPr>
          <w:rFonts w:hint="eastAsia" w:ascii="仿宋_GB2312" w:hAnsi="Times New Roman" w:cs="Times New Roman"/>
          <w:b/>
          <w:bCs/>
          <w:kern w:val="1"/>
          <w:sz w:val="24"/>
          <w:szCs w:val="24"/>
          <w:lang w:val="en-US" w:eastAsia="zh-CN"/>
        </w:rPr>
        <w:t>产出类指标</w:t>
      </w:r>
      <w:r>
        <w:rPr>
          <w:rFonts w:hint="eastAsia" w:ascii="仿宋_GB2312" w:hAnsi="Times New Roman" w:cs="Times New Roman"/>
          <w:b/>
          <w:bCs/>
          <w:kern w:val="1"/>
          <w:sz w:val="24"/>
          <w:szCs w:val="24"/>
        </w:rPr>
        <w:t>得分表</w:t>
      </w:r>
    </w:p>
    <w:tbl>
      <w:tblPr>
        <w:tblStyle w:val="38"/>
        <w:tblW w:w="86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20"/>
        <w:gridCol w:w="803"/>
        <w:gridCol w:w="2508"/>
        <w:gridCol w:w="1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指标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权重</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业绩值</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contextualSpacing w:val="0"/>
              <w:jc w:val="left"/>
              <w:textAlignment w:val="auto"/>
              <w:rPr>
                <w:rFonts w:hint="eastAsia" w:ascii="仿宋_GB2312" w:hAnsi="仿宋_GB2312" w:eastAsia="仿宋_GB2312" w:cs="仿宋_GB2312"/>
                <w:b/>
                <w:bCs/>
                <w:kern w:val="1"/>
                <w:sz w:val="24"/>
                <w:szCs w:val="24"/>
                <w:lang w:val="en-US" w:eastAsia="zh-CN"/>
              </w:rPr>
            </w:pPr>
            <w:r>
              <w:rPr>
                <w:rFonts w:hint="eastAsia" w:ascii="仿宋_GB2312" w:hAnsi="仿宋_GB2312" w:eastAsia="仿宋_GB2312" w:cs="仿宋_GB2312"/>
                <w:b/>
                <w:bCs/>
                <w:kern w:val="1"/>
                <w:sz w:val="24"/>
                <w:szCs w:val="24"/>
                <w:lang w:val="en-US" w:eastAsia="zh-CN"/>
              </w:rPr>
              <w:t>C 项目产出</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30</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bCs/>
                <w:color w:val="000000"/>
                <w:kern w:val="1"/>
                <w:sz w:val="24"/>
                <w:szCs w:val="24"/>
              </w:rPr>
            </w:pPr>
            <w:r>
              <w:rPr>
                <w:rFonts w:hint="eastAsia" w:ascii="仿宋_GB2312" w:hAnsi="仿宋_GB2312" w:eastAsia="仿宋_GB2312" w:cs="仿宋_GB2312"/>
                <w:b/>
                <w:bCs/>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28.5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lang w:val="en-US" w:eastAsia="zh-CN"/>
              </w:rPr>
            </w:pPr>
            <w:r>
              <w:rPr>
                <w:rFonts w:hint="eastAsia" w:ascii="仿宋_GB2312" w:hAnsi="仿宋_GB2312" w:eastAsia="仿宋_GB2312" w:cs="仿宋_GB2312"/>
                <w:kern w:val="1"/>
                <w:sz w:val="24"/>
                <w:szCs w:val="24"/>
                <w:lang w:val="en-US" w:eastAsia="zh-CN"/>
              </w:rPr>
              <w:t>C1 产出数量</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1</w:t>
            </w:r>
            <w:r>
              <w:rPr>
                <w:rFonts w:hint="eastAsia"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1</w:t>
            </w:r>
            <w:r>
              <w:rPr>
                <w:rFonts w:hint="eastAsia" w:cs="仿宋_GB2312"/>
                <w:color w:val="000000"/>
                <w:kern w:val="1"/>
                <w:sz w:val="24"/>
                <w:szCs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hAnsi="黑体" w:cs="Times New Roman"/>
                <w:sz w:val="24"/>
                <w:szCs w:val="24"/>
                <w:lang w:val="en-US" w:eastAsia="zh-CN"/>
              </w:rPr>
              <w:t xml:space="preserve">C11 </w:t>
            </w:r>
            <w:r>
              <w:rPr>
                <w:rFonts w:hint="eastAsia" w:hAnsi="黑体" w:cs="Times New Roman"/>
                <w:kern w:val="2"/>
                <w:sz w:val="24"/>
                <w:szCs w:val="24"/>
                <w:lang w:val="en-US" w:eastAsia="zh-CN" w:bidi="ar-SA"/>
              </w:rPr>
              <w:t>为失智老人配送护理用品</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bidi="ar-SA"/>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4"/>
                <w:szCs w:val="24"/>
                <w:highlight w:val="yellow"/>
                <w:lang w:val="en-US" w:eastAsia="zh-CN"/>
              </w:rPr>
            </w:pPr>
            <w:r>
              <w:rPr>
                <w:rFonts w:hint="eastAsia" w:hAnsi="黑体" w:cs="Times New Roman"/>
                <w:kern w:val="2"/>
                <w:sz w:val="24"/>
                <w:szCs w:val="24"/>
                <w:lang w:val="en-US" w:eastAsia="zh-CN" w:bidi="ar-SA"/>
              </w:rPr>
              <w:t>=12个月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bidi="ar-SA"/>
              </w:rPr>
            </w:pPr>
            <w:r>
              <w:rPr>
                <w:rFonts w:hint="eastAsia"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hAnsi="黑体" w:cs="Times New Roman"/>
                <w:sz w:val="24"/>
                <w:szCs w:val="24"/>
                <w:lang w:val="en-US" w:eastAsia="zh-CN"/>
              </w:rPr>
              <w:t xml:space="preserve">C12 </w:t>
            </w:r>
            <w:r>
              <w:rPr>
                <w:rFonts w:hint="default" w:ascii="仿宋_GB2312" w:hAnsi="黑体" w:eastAsia="仿宋_GB2312" w:cs="Times New Roman"/>
                <w:kern w:val="2"/>
                <w:sz w:val="24"/>
                <w:szCs w:val="24"/>
                <w:lang w:eastAsia="zh-CN" w:bidi="ar-SA"/>
              </w:rPr>
              <w:t>扶持</w:t>
            </w:r>
            <w:r>
              <w:rPr>
                <w:rFonts w:hint="eastAsia" w:ascii="仿宋_GB2312" w:hAnsi="黑体" w:eastAsia="仿宋_GB2312" w:cs="Times New Roman"/>
                <w:kern w:val="2"/>
                <w:sz w:val="24"/>
                <w:szCs w:val="24"/>
                <w:lang w:val="en-US" w:eastAsia="zh-CN" w:bidi="ar-SA"/>
              </w:rPr>
              <w:t>示范睦邻点</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bidi="ar-SA"/>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4"/>
                <w:szCs w:val="24"/>
                <w:highlight w:val="yellow"/>
                <w:lang w:val="en-US" w:eastAsia="zh-CN"/>
              </w:rPr>
            </w:pPr>
            <w:r>
              <w:rPr>
                <w:rFonts w:hint="eastAsia" w:hAnsi="黑体" w:cs="Times New Roman"/>
                <w:kern w:val="2"/>
                <w:sz w:val="24"/>
                <w:szCs w:val="24"/>
                <w:lang w:val="en-US" w:eastAsia="zh-CN" w:bidi="ar-SA"/>
              </w:rPr>
              <w:t>80个</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bidi="ar-SA"/>
              </w:rPr>
            </w:pPr>
            <w:r>
              <w:rPr>
                <w:rFonts w:hint="eastAsia"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hAnsi="黑体" w:cs="Times New Roman"/>
                <w:sz w:val="24"/>
                <w:szCs w:val="24"/>
                <w:lang w:val="en-US" w:eastAsia="zh-CN"/>
              </w:rPr>
              <w:t xml:space="preserve">C13 </w:t>
            </w:r>
            <w:r>
              <w:rPr>
                <w:rFonts w:hint="eastAsia" w:ascii="仿宋_GB2312" w:hAnsi="黑体" w:eastAsia="仿宋_GB2312" w:cs="Times New Roman"/>
                <w:kern w:val="2"/>
                <w:sz w:val="24"/>
                <w:szCs w:val="24"/>
                <w:lang w:val="en-US" w:eastAsia="zh-CN" w:bidi="ar-SA"/>
              </w:rPr>
              <w:t>扶持社区综合为老服务中心建设</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bidi="ar-SA"/>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4"/>
                <w:szCs w:val="24"/>
                <w:highlight w:val="yellow"/>
                <w:lang w:val="en-US" w:eastAsia="zh-CN"/>
              </w:rPr>
            </w:pPr>
            <w:r>
              <w:rPr>
                <w:rFonts w:hint="eastAsia" w:hAnsi="黑体" w:cs="Times New Roman"/>
                <w:kern w:val="2"/>
                <w:sz w:val="24"/>
                <w:szCs w:val="24"/>
                <w:lang w:val="en-US" w:eastAsia="zh-CN" w:bidi="ar-SA"/>
              </w:rPr>
              <w:t>1家</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bidi="ar-SA"/>
              </w:rPr>
            </w:pPr>
            <w:r>
              <w:rPr>
                <w:rFonts w:hint="eastAsia"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hAnsi="黑体" w:cs="Times New Roman"/>
                <w:sz w:val="24"/>
                <w:szCs w:val="24"/>
                <w:highlight w:val="none"/>
                <w:lang w:val="en-US" w:eastAsia="zh-CN"/>
              </w:rPr>
              <w:t xml:space="preserve">C14 </w:t>
            </w:r>
            <w:r>
              <w:rPr>
                <w:rFonts w:hint="eastAsia" w:hAnsi="黑体" w:cs="Times New Roman"/>
                <w:kern w:val="2"/>
                <w:sz w:val="24"/>
                <w:szCs w:val="24"/>
                <w:highlight w:val="none"/>
                <w:lang w:val="en-US" w:eastAsia="zh-CN" w:bidi="ar-SA"/>
              </w:rPr>
              <w:t>养老机构投保综合责任保险床位数</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bidi="ar-SA"/>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4"/>
                <w:szCs w:val="24"/>
                <w:highlight w:val="yellow"/>
                <w:lang w:val="en-US" w:eastAsia="zh-CN"/>
              </w:rPr>
            </w:pPr>
            <w:r>
              <w:rPr>
                <w:rFonts w:hint="eastAsia" w:hAnsi="黑体" w:cs="Times New Roman"/>
                <w:kern w:val="2"/>
                <w:sz w:val="24"/>
                <w:szCs w:val="24"/>
                <w:highlight w:val="none"/>
                <w:lang w:val="en-US" w:eastAsia="zh-CN" w:bidi="ar-SA"/>
              </w:rPr>
              <w:t>3914张</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bidi="ar-SA"/>
              </w:rPr>
            </w:pPr>
            <w:r>
              <w:rPr>
                <w:rFonts w:hint="eastAsia"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8"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lang w:val="en-US" w:eastAsia="zh-CN"/>
              </w:rPr>
            </w:pPr>
            <w:r>
              <w:rPr>
                <w:rFonts w:hint="eastAsia" w:ascii="仿宋_GB2312" w:hAnsi="仿宋_GB2312" w:eastAsia="仿宋_GB2312" w:cs="仿宋_GB2312"/>
                <w:kern w:val="1"/>
                <w:sz w:val="24"/>
                <w:szCs w:val="24"/>
                <w:lang w:val="en-US" w:eastAsia="zh-CN"/>
              </w:rPr>
              <w:t>C2 产出质量</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hAnsi="黑体" w:cs="Times New Roman"/>
                <w:kern w:val="2"/>
                <w:sz w:val="24"/>
                <w:szCs w:val="24"/>
                <w:highlight w:val="none"/>
                <w:lang w:val="en-US" w:eastAsia="zh-CN" w:bidi="ar-SA"/>
              </w:rPr>
              <w:t xml:space="preserve">C21 </w:t>
            </w:r>
            <w:r>
              <w:rPr>
                <w:rFonts w:hint="eastAsia" w:hAnsi="黑体" w:cs="Times New Roman"/>
                <w:kern w:val="2"/>
                <w:sz w:val="24"/>
                <w:szCs w:val="24"/>
                <w:lang w:val="en-US" w:eastAsia="zh-CN" w:bidi="ar-SA"/>
              </w:rPr>
              <w:t>失智</w:t>
            </w:r>
            <w:r>
              <w:rPr>
                <w:rFonts w:hint="eastAsia" w:hAnsi="黑体" w:cs="Times New Roman"/>
                <w:kern w:val="2"/>
                <w:sz w:val="24"/>
                <w:szCs w:val="24"/>
                <w:highlight w:val="none"/>
                <w:lang w:val="en-US" w:eastAsia="zh-CN" w:bidi="ar-SA"/>
              </w:rPr>
              <w:t>老人审批和管理工作准确率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100%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hAnsi="黑体" w:cs="Times New Roman"/>
                <w:kern w:val="2"/>
                <w:sz w:val="24"/>
                <w:szCs w:val="24"/>
                <w:highlight w:val="none"/>
                <w:lang w:val="en-US" w:eastAsia="zh-CN" w:bidi="ar-SA"/>
              </w:rPr>
              <w:t>C22 示范睦邻点验收通过率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100%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default" w:ascii="仿宋_GB2312" w:hAnsi="仿宋_GB2312" w:eastAsia="仿宋_GB2312" w:cs="仿宋_GB2312"/>
                <w:color w:val="000000"/>
                <w:kern w:val="0"/>
                <w:sz w:val="24"/>
                <w:szCs w:val="24"/>
                <w:lang w:val="en-US" w:eastAsia="zh-CN"/>
              </w:rPr>
            </w:pPr>
            <w:r>
              <w:rPr>
                <w:rFonts w:hint="eastAsia" w:hAnsi="黑体" w:cs="Times New Roman"/>
                <w:kern w:val="2"/>
                <w:sz w:val="24"/>
                <w:szCs w:val="24"/>
                <w:highlight w:val="none"/>
                <w:lang w:val="en-US" w:eastAsia="zh-CN" w:bidi="ar-SA"/>
              </w:rPr>
              <w:t>C23 工程验收通过率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100%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cs="仿宋_GB2312"/>
                <w:color w:val="000000"/>
                <w:kern w:val="0"/>
                <w:sz w:val="24"/>
                <w:szCs w:val="24"/>
                <w:lang w:val="en-US" w:eastAsia="zh-CN"/>
              </w:rPr>
            </w:pPr>
            <w:r>
              <w:rPr>
                <w:rFonts w:hint="eastAsia" w:hAnsi="黑体" w:cs="Times New Roman"/>
                <w:kern w:val="2"/>
                <w:sz w:val="24"/>
                <w:szCs w:val="24"/>
                <w:highlight w:val="none"/>
                <w:lang w:val="en-US" w:eastAsia="zh-CN" w:bidi="ar-SA"/>
              </w:rPr>
              <w:t>C24 床位应保尽保率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100%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lang w:val="en-US" w:eastAsia="zh-CN"/>
              </w:rPr>
            </w:pPr>
            <w:r>
              <w:rPr>
                <w:rFonts w:hint="eastAsia" w:ascii="仿宋_GB2312" w:hAnsi="仿宋_GB2312" w:eastAsia="仿宋_GB2312" w:cs="仿宋_GB2312"/>
                <w:kern w:val="1"/>
                <w:sz w:val="24"/>
                <w:szCs w:val="24"/>
                <w:lang w:val="en-US" w:eastAsia="zh-CN"/>
              </w:rPr>
              <w:t>C3 产出时效</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hAnsi="黑体" w:cs="Times New Roman"/>
                <w:kern w:val="2"/>
                <w:sz w:val="24"/>
                <w:szCs w:val="24"/>
                <w:highlight w:val="none"/>
                <w:lang w:val="en-US" w:eastAsia="zh-CN" w:bidi="ar-SA"/>
              </w:rPr>
              <w:t>C31 护理用品配送及时率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1.5</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100%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hAnsi="黑体" w:cs="Times New Roman"/>
                <w:sz w:val="24"/>
                <w:szCs w:val="24"/>
                <w:highlight w:val="none"/>
                <w:lang w:val="en-US" w:eastAsia="zh-CN"/>
              </w:rPr>
              <w:t>C32 示范睦邻点补贴发放及时性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1.5</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2022年2月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lang w:val="en-US" w:eastAsia="zh-CN"/>
              </w:rPr>
            </w:pPr>
            <w:r>
              <w:rPr>
                <w:rFonts w:hint="eastAsia" w:hAnsi="黑体" w:cs="Times New Roman"/>
                <w:sz w:val="24"/>
                <w:szCs w:val="24"/>
                <w:highlight w:val="none"/>
                <w:lang w:val="en-US" w:eastAsia="zh-CN"/>
              </w:rPr>
              <w:t>C33 工程完成及时性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1.5</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4"/>
                <w:szCs w:val="24"/>
                <w:lang w:val="en-US" w:eastAsia="zh-CN"/>
              </w:rPr>
            </w:pPr>
            <w:r>
              <w:rPr>
                <w:rFonts w:hint="eastAsia" w:hAnsi="黑体" w:cs="Times New Roman"/>
                <w:kern w:val="2"/>
                <w:sz w:val="24"/>
                <w:szCs w:val="24"/>
                <w:lang w:val="en-US" w:eastAsia="zh-CN"/>
              </w:rPr>
              <w:t>2021年5月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rPr>
            </w:pPr>
            <w:r>
              <w:rPr>
                <w:rFonts w:hint="eastAsia" w:hAnsi="黑体" w:cs="Times New Roman"/>
                <w:sz w:val="24"/>
                <w:szCs w:val="24"/>
                <w:highlight w:val="none"/>
                <w:lang w:val="en-US" w:eastAsia="zh-CN"/>
              </w:rPr>
              <w:t>C34 保险签约和续保工作完成及时性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cs="仿宋_GB2312"/>
                <w:color w:val="000000"/>
                <w:kern w:val="1"/>
                <w:sz w:val="24"/>
                <w:szCs w:val="24"/>
                <w:lang w:val="en-US" w:eastAsia="zh-CN"/>
              </w:rPr>
            </w:pPr>
            <w:r>
              <w:rPr>
                <w:rFonts w:hint="eastAsia" w:cs="仿宋_GB2312"/>
                <w:color w:val="000000"/>
                <w:kern w:val="1"/>
                <w:sz w:val="24"/>
                <w:szCs w:val="24"/>
                <w:lang w:val="en-US" w:eastAsia="zh-CN"/>
              </w:rPr>
              <w:t>1.5</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4"/>
                <w:szCs w:val="24"/>
                <w:lang w:val="en-US" w:eastAsia="zh-CN"/>
              </w:rPr>
            </w:pPr>
            <w:r>
              <w:rPr>
                <w:rFonts w:hint="eastAsia" w:hAnsi="黑体" w:cs="Times New Roman"/>
                <w:kern w:val="2"/>
                <w:sz w:val="24"/>
                <w:szCs w:val="24"/>
                <w:lang w:val="en-US" w:eastAsia="zh-CN"/>
              </w:rPr>
              <w:t>2022年8月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cs="仿宋_GB2312"/>
                <w:color w:val="000000"/>
                <w:kern w:val="1"/>
                <w:sz w:val="24"/>
                <w:szCs w:val="24"/>
                <w:lang w:val="en-US" w:eastAsia="zh-CN"/>
              </w:rPr>
            </w:pPr>
            <w:r>
              <w:rPr>
                <w:rFonts w:hint="eastAsia" w:cs="仿宋_GB2312"/>
                <w:color w:val="000000"/>
                <w:kern w:val="1"/>
                <w:sz w:val="24"/>
                <w:szCs w:val="24"/>
                <w:lang w:val="en-US" w:eastAsia="zh-CN"/>
              </w:rPr>
              <w:t>1.5</w:t>
            </w:r>
          </w:p>
        </w:tc>
      </w:tr>
    </w:tbl>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指标分析</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C11 为失智老人配送护理用品 权重</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根据</w:t>
      </w:r>
      <w:r>
        <w:rPr>
          <w:rFonts w:hint="eastAsia" w:cs="仿宋_GB2312"/>
          <w:kern w:val="1"/>
          <w:sz w:val="32"/>
          <w:szCs w:val="32"/>
          <w:highlight w:val="none"/>
          <w:lang w:val="en-US" w:eastAsia="zh-CN"/>
        </w:rPr>
        <w:t>对项目单位的访谈和送货清单可知</w:t>
      </w:r>
      <w:r>
        <w:rPr>
          <w:rFonts w:hint="eastAsia" w:ascii="仿宋_GB2312" w:hAnsi="仿宋_GB2312" w:cs="仿宋_GB2312"/>
          <w:kern w:val="1"/>
          <w:sz w:val="32"/>
          <w:szCs w:val="32"/>
          <w:highlight w:val="none"/>
          <w:lang w:val="en-US" w:eastAsia="zh-CN"/>
        </w:rPr>
        <w:t>，2022年</w:t>
      </w:r>
      <w:r>
        <w:rPr>
          <w:rFonts w:hint="eastAsia" w:cs="仿宋_GB2312"/>
          <w:kern w:val="1"/>
          <w:sz w:val="32"/>
          <w:szCs w:val="32"/>
          <w:highlight w:val="none"/>
          <w:lang w:val="en-US" w:eastAsia="zh-CN"/>
        </w:rPr>
        <w:t>顺利</w:t>
      </w:r>
      <w:r>
        <w:rPr>
          <w:rFonts w:hint="eastAsia" w:ascii="仿宋_GB2312" w:hAnsi="仿宋_GB2312" w:cs="仿宋_GB2312"/>
          <w:kern w:val="1"/>
          <w:sz w:val="32"/>
          <w:szCs w:val="32"/>
          <w:highlight w:val="none"/>
          <w:lang w:val="en-US" w:eastAsia="zh-CN"/>
        </w:rPr>
        <w:t>完成全年配送护理用品工作</w:t>
      </w:r>
      <w:r>
        <w:rPr>
          <w:rFonts w:hint="eastAsia" w:cs="仿宋_GB2312"/>
          <w:kern w:val="1"/>
          <w:sz w:val="32"/>
          <w:szCs w:val="32"/>
          <w:highlight w:val="none"/>
          <w:lang w:val="en-US" w:eastAsia="zh-CN"/>
        </w:rPr>
        <w:t>，应配尽配的对象覆盖率达到100%</w:t>
      </w:r>
      <w:r>
        <w:rPr>
          <w:rFonts w:hint="eastAsia" w:ascii="仿宋_GB2312" w:hAnsi="仿宋_GB2312" w:cs="仿宋_GB2312"/>
          <w:kern w:val="1"/>
          <w:sz w:val="32"/>
          <w:szCs w:val="32"/>
          <w:highlight w:val="none"/>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本项指标</w:t>
      </w:r>
      <w:r>
        <w:rPr>
          <w:rFonts w:hint="eastAsia" w:ascii="仿宋_GB2312" w:hAnsi="仿宋_GB2312" w:eastAsia="仿宋_GB2312" w:cs="仿宋_GB2312"/>
          <w:kern w:val="1"/>
          <w:sz w:val="32"/>
          <w:szCs w:val="32"/>
          <w:lang w:val="en-US" w:eastAsia="zh-CN"/>
        </w:rPr>
        <w:t>得满分</w:t>
      </w:r>
      <w:r>
        <w:rPr>
          <w:rFonts w:hint="eastAsia" w:ascii="仿宋_GB2312" w:hAnsi="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 xml:space="preserve">C12 </w:t>
      </w:r>
      <w:r>
        <w:rPr>
          <w:rFonts w:hint="eastAsia" w:cs="仿宋_GB2312"/>
          <w:kern w:val="1"/>
          <w:sz w:val="32"/>
          <w:szCs w:val="32"/>
          <w:highlight w:val="none"/>
          <w:lang w:val="en-US" w:eastAsia="zh-CN"/>
        </w:rPr>
        <w:t>扶持示范睦邻点</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根据</w:t>
      </w:r>
      <w:r>
        <w:rPr>
          <w:rFonts w:hint="eastAsia" w:cs="仿宋_GB2312"/>
          <w:kern w:val="1"/>
          <w:sz w:val="32"/>
          <w:szCs w:val="32"/>
          <w:lang w:val="en-US" w:eastAsia="zh-CN"/>
        </w:rPr>
        <w:t>对项目单位的访谈可知</w:t>
      </w:r>
      <w:r>
        <w:rPr>
          <w:rFonts w:hint="eastAsia" w:ascii="仿宋_GB2312" w:hAnsi="仿宋_GB2312" w:cs="仿宋_GB2312"/>
          <w:kern w:val="1"/>
          <w:sz w:val="32"/>
          <w:szCs w:val="32"/>
          <w:lang w:val="en-US" w:eastAsia="zh-CN"/>
        </w:rPr>
        <w:t>，2021年度</w:t>
      </w:r>
      <w:r>
        <w:rPr>
          <w:rFonts w:hint="eastAsia" w:cs="仿宋_GB2312"/>
          <w:kern w:val="1"/>
          <w:sz w:val="32"/>
          <w:szCs w:val="32"/>
          <w:lang w:val="en-US" w:eastAsia="zh-CN"/>
        </w:rPr>
        <w:t>顺利完成全区新增</w:t>
      </w:r>
      <w:r>
        <w:rPr>
          <w:rFonts w:hint="eastAsia" w:ascii="仿宋_GB2312" w:hAnsi="仿宋_GB2312" w:cs="仿宋_GB2312"/>
          <w:kern w:val="1"/>
          <w:sz w:val="32"/>
          <w:szCs w:val="32"/>
          <w:lang w:val="en-US" w:eastAsia="zh-CN"/>
        </w:rPr>
        <w:t>建设80个示范睦邻点</w:t>
      </w:r>
      <w:r>
        <w:rPr>
          <w:rFonts w:hint="eastAsia" w:cs="仿宋_GB2312"/>
          <w:kern w:val="1"/>
          <w:sz w:val="32"/>
          <w:szCs w:val="32"/>
          <w:lang w:val="en-US" w:eastAsia="zh-CN"/>
        </w:rPr>
        <w:t>的目标，</w:t>
      </w:r>
      <w:r>
        <w:rPr>
          <w:rFonts w:hint="eastAsia" w:ascii="仿宋_GB2312" w:hAnsi="仿宋_GB2312" w:cs="仿宋_GB2312"/>
          <w:kern w:val="1"/>
          <w:sz w:val="32"/>
          <w:szCs w:val="32"/>
          <w:lang w:val="en-US" w:eastAsia="zh-CN"/>
        </w:rPr>
        <w:t>并</w:t>
      </w:r>
      <w:r>
        <w:rPr>
          <w:rFonts w:hint="eastAsia" w:cs="仿宋_GB2312"/>
          <w:kern w:val="1"/>
          <w:sz w:val="32"/>
          <w:szCs w:val="32"/>
          <w:lang w:val="en-US" w:eastAsia="zh-CN"/>
        </w:rPr>
        <w:t>全部实现</w:t>
      </w:r>
      <w:r>
        <w:rPr>
          <w:rFonts w:hint="eastAsia" w:ascii="仿宋_GB2312" w:hAnsi="仿宋_GB2312" w:cs="仿宋_GB2312"/>
          <w:kern w:val="1"/>
          <w:sz w:val="32"/>
          <w:szCs w:val="32"/>
          <w:lang w:val="en-US" w:eastAsia="zh-CN"/>
        </w:rPr>
        <w:t>正常运营。</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w:t>
      </w:r>
      <w:r>
        <w:rPr>
          <w:rFonts w:hint="eastAsia" w:ascii="仿宋_GB2312" w:hAnsi="仿宋_GB2312" w:eastAsia="仿宋_GB2312" w:cs="仿宋_GB2312"/>
          <w:kern w:val="1"/>
          <w:sz w:val="32"/>
          <w:szCs w:val="32"/>
          <w:lang w:val="en-US" w:eastAsia="zh-CN"/>
        </w:rPr>
        <w:t>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 xml:space="preserve">C13 </w:t>
      </w:r>
      <w:r>
        <w:rPr>
          <w:rFonts w:hint="eastAsia" w:cs="仿宋_GB2312"/>
          <w:kern w:val="1"/>
          <w:sz w:val="32"/>
          <w:szCs w:val="32"/>
          <w:highlight w:val="none"/>
          <w:lang w:val="en-US" w:eastAsia="zh-CN"/>
        </w:rPr>
        <w:t>扶持社区综合为老服务中心建设</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根据</w:t>
      </w:r>
      <w:r>
        <w:rPr>
          <w:rFonts w:hint="eastAsia" w:cs="仿宋_GB2312"/>
          <w:kern w:val="1"/>
          <w:sz w:val="32"/>
          <w:szCs w:val="32"/>
          <w:lang w:val="en-US" w:eastAsia="zh-CN"/>
        </w:rPr>
        <w:t>上级政策的变动</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年初计划补贴的3家</w:t>
      </w:r>
      <w:r>
        <w:rPr>
          <w:rFonts w:hint="eastAsia" w:cs="仿宋_GB2312"/>
          <w:kern w:val="1"/>
          <w:sz w:val="32"/>
          <w:szCs w:val="32"/>
          <w:highlight w:val="none"/>
          <w:lang w:val="en-US" w:eastAsia="zh-CN"/>
        </w:rPr>
        <w:t>社区综合为老服务中心，有2家年中主动申请退出补贴（因为不再符合2022年新出台的补贴政策要求），剩余1家符合要求，并顺利获得补贴</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w:t>
      </w:r>
      <w:r>
        <w:rPr>
          <w:rFonts w:hint="eastAsia" w:ascii="仿宋_GB2312" w:hAnsi="仿宋_GB2312" w:eastAsia="仿宋_GB2312" w:cs="仿宋_GB2312"/>
          <w:kern w:val="1"/>
          <w:sz w:val="32"/>
          <w:szCs w:val="32"/>
          <w:lang w:val="en-US" w:eastAsia="zh-CN"/>
        </w:rPr>
        <w:t>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 xml:space="preserve">C14 </w:t>
      </w:r>
      <w:r>
        <w:rPr>
          <w:rFonts w:hint="eastAsia" w:cs="仿宋_GB2312"/>
          <w:kern w:val="1"/>
          <w:sz w:val="32"/>
          <w:szCs w:val="32"/>
          <w:highlight w:val="none"/>
          <w:lang w:val="en-US" w:eastAsia="zh-CN"/>
        </w:rPr>
        <w:t>养老机构投保综合责任保险床位数</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eastAsia="zh-CN"/>
        </w:rPr>
      </w:pPr>
      <w:r>
        <w:rPr>
          <w:rFonts w:hint="eastAsia" w:ascii="仿宋_GB2312" w:hAnsi="仿宋_GB2312" w:eastAsia="仿宋_GB2312" w:cs="仿宋_GB2312"/>
          <w:kern w:val="1"/>
          <w:sz w:val="32"/>
          <w:szCs w:val="32"/>
          <w:lang w:val="en-US" w:eastAsia="zh-CN"/>
        </w:rPr>
        <w:t>根据</w:t>
      </w:r>
      <w:r>
        <w:rPr>
          <w:rFonts w:hint="eastAsia" w:cs="仿宋_GB2312"/>
          <w:kern w:val="1"/>
          <w:sz w:val="32"/>
          <w:szCs w:val="32"/>
          <w:lang w:val="en-US" w:eastAsia="zh-CN"/>
        </w:rPr>
        <w:t>全区养老机构实际投保结果</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2022年度</w:t>
      </w:r>
      <w:r>
        <w:rPr>
          <w:rFonts w:hint="eastAsia" w:ascii="仿宋_GB2312" w:hAnsi="仿宋_GB2312" w:cs="仿宋_GB2312"/>
          <w:kern w:val="1"/>
          <w:sz w:val="32"/>
          <w:szCs w:val="32"/>
          <w:lang w:val="en-US" w:eastAsia="zh-CN"/>
        </w:rPr>
        <w:t>完成投保的养老机构投保综合责任保险床位数</w:t>
      </w:r>
      <w:r>
        <w:rPr>
          <w:rFonts w:hint="eastAsia" w:cs="仿宋_GB2312"/>
          <w:kern w:val="1"/>
          <w:sz w:val="32"/>
          <w:szCs w:val="32"/>
          <w:lang w:val="en-US" w:eastAsia="zh-CN"/>
        </w:rPr>
        <w:t>为3914张，位于</w:t>
      </w:r>
      <w:r>
        <w:rPr>
          <w:rFonts w:hint="eastAsia" w:ascii="仿宋_GB2312" w:hAnsi="仿宋_GB2312" w:cs="仿宋_GB2312"/>
          <w:kern w:val="1"/>
          <w:sz w:val="32"/>
          <w:szCs w:val="32"/>
          <w:lang w:val="en-US" w:eastAsia="zh-CN"/>
        </w:rPr>
        <w:t>2021年度</w:t>
      </w:r>
      <w:r>
        <w:rPr>
          <w:rFonts w:hint="eastAsia" w:cs="仿宋_GB2312"/>
          <w:kern w:val="1"/>
          <w:sz w:val="32"/>
          <w:szCs w:val="32"/>
          <w:lang w:val="en-US" w:eastAsia="zh-CN"/>
        </w:rPr>
        <w:t>数量</w:t>
      </w:r>
      <w:r>
        <w:rPr>
          <w:rFonts w:hint="eastAsia" w:ascii="仿宋_GB2312" w:hAnsi="仿宋_GB2312" w:cs="仿宋_GB2312"/>
          <w:kern w:val="1"/>
          <w:sz w:val="32"/>
          <w:szCs w:val="32"/>
          <w:lang w:val="en-US" w:eastAsia="zh-CN"/>
        </w:rPr>
        <w:t>（3862张）</w:t>
      </w:r>
      <w:r>
        <w:rPr>
          <w:rFonts w:hint="eastAsia" w:cs="仿宋_GB2312"/>
          <w:kern w:val="1"/>
          <w:sz w:val="32"/>
          <w:szCs w:val="32"/>
          <w:lang w:val="en-US" w:eastAsia="zh-CN"/>
        </w:rPr>
        <w:t>和</w:t>
      </w:r>
      <w:r>
        <w:rPr>
          <w:rFonts w:hint="eastAsia" w:ascii="仿宋_GB2312" w:hAnsi="仿宋_GB2312" w:cs="仿宋_GB2312"/>
          <w:kern w:val="1"/>
          <w:sz w:val="32"/>
          <w:szCs w:val="32"/>
          <w:lang w:val="en-US" w:eastAsia="zh-CN"/>
        </w:rPr>
        <w:t>预算床位数（5000张）</w:t>
      </w:r>
      <w:r>
        <w:rPr>
          <w:rFonts w:hint="eastAsia" w:cs="仿宋_GB2312"/>
          <w:kern w:val="1"/>
          <w:sz w:val="32"/>
          <w:szCs w:val="32"/>
          <w:lang w:val="en-US" w:eastAsia="zh-CN"/>
        </w:rPr>
        <w:t>区间内，基本估算范围准确</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w:t>
      </w:r>
      <w:r>
        <w:rPr>
          <w:rFonts w:hint="eastAsia" w:ascii="仿宋_GB2312" w:hAnsi="仿宋_GB2312" w:eastAsia="仿宋_GB2312" w:cs="仿宋_GB2312"/>
          <w:kern w:val="1"/>
          <w:sz w:val="32"/>
          <w:szCs w:val="32"/>
          <w:lang w:val="en-US" w:eastAsia="zh-CN"/>
        </w:rPr>
        <w:t>指标得满分。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C21 失智老人审批和管理工作准确率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w:t>
      </w:r>
      <w:r>
        <w:rPr>
          <w:rFonts w:hint="eastAsia" w:ascii="仿宋_GB2312" w:hAnsi="仿宋_GB2312" w:cs="仿宋_GB2312"/>
          <w:kern w:val="1"/>
          <w:sz w:val="32"/>
          <w:szCs w:val="32"/>
          <w:lang w:val="en-US" w:eastAsia="zh-CN"/>
        </w:rPr>
        <w:t>评价组在项目平台上随机抽查一定数量的2022年度新增救助老人审批材料</w:t>
      </w:r>
      <w:r>
        <w:rPr>
          <w:rFonts w:hint="eastAsia" w:cs="仿宋_GB2312"/>
          <w:kern w:val="1"/>
          <w:sz w:val="32"/>
          <w:szCs w:val="32"/>
          <w:lang w:val="en-US" w:eastAsia="zh-CN"/>
        </w:rPr>
        <w:t>研读结果</w:t>
      </w:r>
      <w:r>
        <w:rPr>
          <w:rFonts w:hint="eastAsia" w:ascii="仿宋_GB2312" w:hAnsi="仿宋_GB2312" w:cs="仿宋_GB2312"/>
          <w:kern w:val="1"/>
          <w:sz w:val="32"/>
          <w:szCs w:val="32"/>
          <w:lang w:val="en-US" w:eastAsia="zh-CN"/>
        </w:rPr>
        <w:t>，审批结果全部符合政策细则</w:t>
      </w:r>
      <w:r>
        <w:rPr>
          <w:rFonts w:hint="eastAsia" w:cs="仿宋_GB2312"/>
          <w:kern w:val="1"/>
          <w:sz w:val="32"/>
          <w:szCs w:val="32"/>
          <w:lang w:val="en-US" w:eastAsia="zh-CN"/>
        </w:rPr>
        <w:t>；同时，</w:t>
      </w:r>
      <w:r>
        <w:rPr>
          <w:rFonts w:hint="eastAsia" w:hAnsi="仿宋"/>
          <w:sz w:val="32"/>
          <w:szCs w:val="32"/>
          <w:lang w:val="en-US" w:eastAsia="zh-CN"/>
        </w:rPr>
        <w:t>区红会和区殡仪馆有数据对接，通过平台数据监测和检查，可及时发现由于老人去世而需要退出补贴名单的情况，做到</w:t>
      </w:r>
      <w:r>
        <w:rPr>
          <w:rFonts w:hint="eastAsia" w:cs="仿宋_GB2312"/>
          <w:kern w:val="1"/>
          <w:sz w:val="32"/>
          <w:szCs w:val="32"/>
          <w:lang w:val="en-US" w:eastAsia="zh-CN"/>
        </w:rPr>
        <w:t>对退出补贴人员的管理准确、及时，未出现人员退出但护理用品还在配送等情况。</w:t>
      </w:r>
      <w:r>
        <w:rPr>
          <w:rFonts w:hint="eastAsia" w:ascii="仿宋_GB2312" w:hAnsi="仿宋_GB2312" w:eastAsia="仿宋_GB2312" w:cs="仿宋_GB2312"/>
          <w:kern w:val="1"/>
          <w:sz w:val="32"/>
          <w:szCs w:val="32"/>
          <w:lang w:val="en-US" w:eastAsia="zh-CN"/>
        </w:rPr>
        <w:t>审批和管理工作准确率</w:t>
      </w:r>
      <w:r>
        <w:rPr>
          <w:rFonts w:hint="eastAsia" w:cs="仿宋_GB2312"/>
          <w:kern w:val="1"/>
          <w:sz w:val="32"/>
          <w:szCs w:val="32"/>
          <w:lang w:val="en-US" w:eastAsia="zh-CN"/>
        </w:rPr>
        <w:t>达到100%。</w:t>
      </w:r>
      <w:r>
        <w:rPr>
          <w:rFonts w:hint="eastAsia" w:ascii="仿宋_GB2312" w:hAnsi="仿宋_GB2312" w:eastAsia="仿宋_GB2312" w:cs="仿宋_GB2312"/>
          <w:kern w:val="1"/>
          <w:sz w:val="32"/>
          <w:szCs w:val="32"/>
          <w:lang w:val="en-US" w:eastAsia="zh-CN"/>
        </w:rPr>
        <w:t>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 xml:space="preserve">C22 </w:t>
      </w:r>
      <w:r>
        <w:rPr>
          <w:rFonts w:hint="eastAsia" w:ascii="仿宋_GB2312" w:hAnsi="仿宋_GB2312" w:cs="仿宋_GB2312"/>
          <w:kern w:val="1"/>
          <w:sz w:val="32"/>
          <w:szCs w:val="32"/>
          <w:lang w:val="en-US" w:eastAsia="zh-CN"/>
        </w:rPr>
        <w:t>示范睦邻点验收通过率</w:t>
      </w:r>
      <w:r>
        <w:rPr>
          <w:rFonts w:hint="eastAsia" w:ascii="仿宋_GB2312" w:hAnsi="仿宋_GB2312" w:eastAsia="仿宋_GB2312" w:cs="仿宋_GB2312"/>
          <w:kern w:val="1"/>
          <w:sz w:val="32"/>
          <w:szCs w:val="32"/>
          <w:lang w:val="en-US" w:eastAsia="zh-CN"/>
        </w:rPr>
        <w:t xml:space="preserve">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根据区民政局组织的对2021年新增示范睦邻点的现场验收结果报告，</w:t>
      </w:r>
      <w:r>
        <w:rPr>
          <w:rFonts w:hint="eastAsia" w:ascii="仿宋_GB2312" w:hAnsi="仿宋_GB2312" w:cs="仿宋_GB2312"/>
          <w:kern w:val="1"/>
          <w:sz w:val="32"/>
          <w:szCs w:val="32"/>
          <w:lang w:val="en-US" w:eastAsia="zh-CN"/>
        </w:rPr>
        <w:t>2021年计划新增的80家示范睦邻点全部通过区级验收。</w:t>
      </w:r>
      <w:r>
        <w:rPr>
          <w:rFonts w:hint="eastAsia" w:ascii="仿宋_GB2312" w:hAnsi="仿宋_GB2312" w:eastAsia="仿宋_GB2312" w:cs="仿宋_GB2312"/>
          <w:kern w:val="1"/>
          <w:sz w:val="32"/>
          <w:szCs w:val="32"/>
          <w:lang w:val="en-US" w:eastAsia="zh-CN"/>
        </w:rPr>
        <w:t>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 xml:space="preserve">C23 </w:t>
      </w:r>
      <w:r>
        <w:rPr>
          <w:rFonts w:hint="eastAsia" w:ascii="仿宋_GB2312" w:hAnsi="仿宋_GB2312" w:eastAsia="仿宋_GB2312" w:cs="仿宋_GB2312"/>
          <w:kern w:val="1"/>
          <w:sz w:val="32"/>
          <w:szCs w:val="32"/>
          <w:lang w:val="en-US" w:eastAsia="zh-CN"/>
        </w:rPr>
        <w:t>工程验收通过率</w:t>
      </w:r>
      <w:r>
        <w:rPr>
          <w:rFonts w:hint="eastAsia" w:ascii="仿宋_GB2312" w:hAnsi="仿宋_GB2312" w:cs="仿宋_GB2312"/>
          <w:kern w:val="1"/>
          <w:sz w:val="32"/>
          <w:szCs w:val="32"/>
          <w:lang w:val="en-US" w:eastAsia="zh-CN"/>
        </w:rPr>
        <w:t xml:space="preserve"> 权重2分，得分</w:t>
      </w:r>
      <w:r>
        <w:rPr>
          <w:rFonts w:hint="eastAsia" w:cs="仿宋_GB2312"/>
          <w:kern w:val="1"/>
          <w:sz w:val="32"/>
          <w:szCs w:val="32"/>
          <w:lang w:val="en-US" w:eastAsia="zh-CN"/>
        </w:rPr>
        <w:t>2</w:t>
      </w:r>
      <w:r>
        <w:rPr>
          <w:rFonts w:hint="eastAsia" w:ascii="仿宋_GB2312" w:hAnsi="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kern w:val="1"/>
          <w:sz w:val="32"/>
          <w:szCs w:val="32"/>
          <w:lang w:val="en-US" w:eastAsia="zh-CN"/>
        </w:rPr>
      </w:pPr>
      <w:r>
        <w:rPr>
          <w:rFonts w:hint="eastAsia" w:ascii="仿宋_GB2312" w:hAnsi="仿宋_GB2312" w:cs="仿宋_GB2312"/>
          <w:kern w:val="1"/>
          <w:sz w:val="32"/>
          <w:szCs w:val="32"/>
          <w:lang w:val="en-US" w:eastAsia="zh-CN"/>
        </w:rPr>
        <w:t>根据</w:t>
      </w:r>
      <w:r>
        <w:rPr>
          <w:rFonts w:hint="eastAsia" w:cs="仿宋_GB2312"/>
          <w:kern w:val="1"/>
          <w:sz w:val="32"/>
          <w:szCs w:val="32"/>
          <w:lang w:val="en-US" w:eastAsia="zh-CN"/>
        </w:rPr>
        <w:t>市民政局下达的《2021年度社区综合为老服务中心验收评估结果-崇明》，建设镇综合为老服务中心旭升分中心A类得分90分，符合验收标准</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cs="仿宋_GB2312"/>
          <w:kern w:val="1"/>
          <w:sz w:val="32"/>
          <w:szCs w:val="32"/>
          <w:lang w:val="en-US" w:eastAsia="zh-CN"/>
        </w:rPr>
        <w:t xml:space="preserve">C24 床位应保尽保率 </w:t>
      </w:r>
      <w:r>
        <w:rPr>
          <w:rFonts w:hint="eastAsia" w:ascii="仿宋_GB2312" w:hAnsi="仿宋_GB2312" w:cs="仿宋_GB2312"/>
          <w:kern w:val="1"/>
          <w:sz w:val="32"/>
          <w:szCs w:val="32"/>
          <w:lang w:val="en-US" w:eastAsia="zh-CN"/>
        </w:rPr>
        <w:t>权重2分，得分</w:t>
      </w:r>
      <w:r>
        <w:rPr>
          <w:rFonts w:hint="eastAsia" w:cs="仿宋_GB2312"/>
          <w:kern w:val="1"/>
          <w:sz w:val="32"/>
          <w:szCs w:val="32"/>
          <w:lang w:val="en-US" w:eastAsia="zh-CN"/>
        </w:rPr>
        <w:t>2</w:t>
      </w:r>
      <w:r>
        <w:rPr>
          <w:rFonts w:hint="eastAsia" w:ascii="仿宋_GB2312" w:hAnsi="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根据对各养老机构的访谈可知，</w:t>
      </w:r>
      <w:r>
        <w:rPr>
          <w:rFonts w:hint="eastAsia" w:ascii="仿宋_GB2312" w:hAnsi="仿宋_GB2312" w:eastAsia="仿宋_GB2312" w:cs="仿宋_GB2312"/>
          <w:kern w:val="1"/>
          <w:sz w:val="32"/>
          <w:szCs w:val="32"/>
          <w:lang w:val="en-US" w:eastAsia="zh-CN"/>
        </w:rPr>
        <w:t>43家养老机构实际投保床位数</w:t>
      </w:r>
      <w:r>
        <w:rPr>
          <w:rFonts w:hint="eastAsia" w:cs="仿宋_GB2312"/>
          <w:kern w:val="1"/>
          <w:sz w:val="32"/>
          <w:szCs w:val="32"/>
          <w:lang w:val="en-US" w:eastAsia="zh-CN"/>
        </w:rPr>
        <w:t>均较投保时的</w:t>
      </w:r>
      <w:r>
        <w:rPr>
          <w:rFonts w:hint="eastAsia" w:ascii="仿宋_GB2312" w:hAnsi="仿宋_GB2312" w:eastAsia="仿宋_GB2312" w:cs="仿宋_GB2312"/>
          <w:kern w:val="1"/>
          <w:sz w:val="32"/>
          <w:szCs w:val="32"/>
          <w:lang w:val="en-US" w:eastAsia="zh-CN"/>
        </w:rPr>
        <w:t>实际收住老人数</w:t>
      </w:r>
      <w:r>
        <w:rPr>
          <w:rFonts w:hint="eastAsia" w:cs="仿宋_GB2312"/>
          <w:kern w:val="1"/>
          <w:sz w:val="32"/>
          <w:szCs w:val="32"/>
          <w:lang w:val="en-US" w:eastAsia="zh-CN"/>
        </w:rPr>
        <w:t>有所上浮，以应对后续可能新增入住的情况，故应保尽保率达到100%。</w:t>
      </w:r>
      <w:r>
        <w:rPr>
          <w:rFonts w:hint="eastAsia" w:ascii="仿宋_GB2312" w:hAnsi="仿宋_GB2312" w:eastAsia="仿宋_GB2312" w:cs="仿宋_GB2312"/>
          <w:kern w:val="1"/>
          <w:sz w:val="32"/>
          <w:szCs w:val="32"/>
          <w:lang w:val="en-US" w:eastAsia="zh-CN"/>
        </w:rPr>
        <w:t>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w:t>
      </w:r>
      <w:r>
        <w:rPr>
          <w:rFonts w:hint="eastAsia" w:ascii="仿宋_GB2312" w:hAnsi="仿宋_GB2312" w:cs="仿宋_GB2312"/>
          <w:kern w:val="1"/>
          <w:sz w:val="32"/>
          <w:szCs w:val="32"/>
          <w:lang w:val="en-US" w:eastAsia="zh-CN"/>
        </w:rPr>
        <w:t>31</w:t>
      </w:r>
      <w:r>
        <w:rPr>
          <w:rFonts w:hint="eastAsia" w:ascii="仿宋_GB2312" w:hAnsi="仿宋_GB2312" w:eastAsia="仿宋_GB2312" w:cs="仿宋_GB2312"/>
          <w:kern w:val="1"/>
          <w:sz w:val="32"/>
          <w:szCs w:val="32"/>
          <w:lang w:val="en-US" w:eastAsia="zh-CN"/>
        </w:rPr>
        <w:t xml:space="preserve"> 护理用品配送及时率 权重</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根据采购合同，失智老人护理用品补贴应由供货商按月配送至各乡镇，实际2022年度的配送工作全部按月完成到位</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满</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w:t>
      </w:r>
      <w:r>
        <w:rPr>
          <w:rFonts w:hint="eastAsia" w:ascii="仿宋_GB2312" w:hAnsi="仿宋_GB2312" w:cs="仿宋_GB2312"/>
          <w:kern w:val="1"/>
          <w:sz w:val="32"/>
          <w:szCs w:val="32"/>
          <w:lang w:val="en-US" w:eastAsia="zh-CN"/>
        </w:rPr>
        <w:t>32</w:t>
      </w:r>
      <w:r>
        <w:rPr>
          <w:rFonts w:hint="eastAsia" w:ascii="仿宋_GB2312" w:hAnsi="仿宋_GB2312" w:eastAsia="仿宋_GB2312" w:cs="仿宋_GB2312"/>
          <w:kern w:val="1"/>
          <w:sz w:val="32"/>
          <w:szCs w:val="32"/>
          <w:lang w:val="en-US" w:eastAsia="zh-CN"/>
        </w:rPr>
        <w:t xml:space="preserve"> 示范睦邻点补贴发放及时性 权重</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2022年2月23日，区财政局、区民政局印发《关于下达2021年度示范睦邻点市级和区级补贴资金的通知》（沪崇财社〔2022〕5号），下达2021年度示范睦邻点市级和区级补贴资金合计160万元（其中：2021年度市级福彩公益金80万元，2022年度区级福彩公益金80万元），纳入2022年区对乡镇专项转移支付。</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满</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w:t>
      </w:r>
      <w:r>
        <w:rPr>
          <w:rFonts w:hint="eastAsia" w:ascii="仿宋_GB2312" w:hAnsi="仿宋_GB2312" w:cs="仿宋_GB2312"/>
          <w:kern w:val="1"/>
          <w:sz w:val="32"/>
          <w:szCs w:val="32"/>
          <w:lang w:val="en-US" w:eastAsia="zh-CN"/>
        </w:rPr>
        <w:t>33</w:t>
      </w:r>
      <w:r>
        <w:rPr>
          <w:rFonts w:hint="eastAsia" w:ascii="仿宋_GB2312" w:hAnsi="仿宋_GB2312" w:eastAsia="仿宋_GB2312" w:cs="仿宋_GB2312"/>
          <w:kern w:val="1"/>
          <w:sz w:val="32"/>
          <w:szCs w:val="32"/>
          <w:lang w:val="en-US" w:eastAsia="zh-CN"/>
        </w:rPr>
        <w:t xml:space="preserve"> </w:t>
      </w:r>
      <w:r>
        <w:rPr>
          <w:rFonts w:hint="eastAsia" w:cs="仿宋_GB2312"/>
          <w:kern w:val="1"/>
          <w:sz w:val="32"/>
          <w:szCs w:val="32"/>
          <w:lang w:val="en-US" w:eastAsia="zh-CN"/>
        </w:rPr>
        <w:t>工程</w:t>
      </w:r>
      <w:r>
        <w:rPr>
          <w:rFonts w:hint="eastAsia" w:ascii="仿宋_GB2312" w:hAnsi="仿宋_GB2312" w:eastAsia="仿宋_GB2312" w:cs="仿宋_GB2312"/>
          <w:kern w:val="1"/>
          <w:sz w:val="32"/>
          <w:szCs w:val="32"/>
          <w:lang w:val="en-US" w:eastAsia="zh-CN"/>
        </w:rPr>
        <w:t>完成及时性 权重</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0</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建设镇综合为老服务中心旭升分中心</w:t>
      </w:r>
      <w:r>
        <w:rPr>
          <w:rFonts w:hint="eastAsia" w:ascii="仿宋_GB2312" w:hAnsi="仿宋_GB2312" w:eastAsia="仿宋_GB2312" w:cs="仿宋_GB2312"/>
          <w:kern w:val="1"/>
          <w:sz w:val="32"/>
          <w:szCs w:val="32"/>
          <w:lang w:val="en-US" w:eastAsia="zh-CN"/>
        </w:rPr>
        <w:t>项目于2020年10月10日正式开工，于2021年5月31日竣工。</w:t>
      </w:r>
      <w:r>
        <w:rPr>
          <w:rFonts w:hint="eastAsia" w:cs="仿宋_GB2312"/>
          <w:kern w:val="1"/>
          <w:sz w:val="32"/>
          <w:szCs w:val="32"/>
          <w:lang w:val="en-US" w:eastAsia="zh-CN"/>
        </w:rPr>
        <w:t>而</w:t>
      </w:r>
      <w:r>
        <w:rPr>
          <w:rFonts w:hint="eastAsia" w:ascii="仿宋_GB2312" w:hAnsi="仿宋_GB2312" w:eastAsia="仿宋_GB2312" w:cs="仿宋_GB2312"/>
          <w:kern w:val="1"/>
          <w:sz w:val="32"/>
          <w:szCs w:val="32"/>
          <w:lang w:val="en-US" w:eastAsia="zh-CN"/>
        </w:rPr>
        <w:t>根据施工合同，工程建设完成时间应是2020年12月底</w:t>
      </w:r>
      <w:r>
        <w:rPr>
          <w:rFonts w:hint="eastAsia" w:cs="仿宋_GB2312"/>
          <w:kern w:val="1"/>
          <w:sz w:val="32"/>
          <w:szCs w:val="32"/>
          <w:lang w:val="en-US" w:eastAsia="zh-CN"/>
        </w:rPr>
        <w:t>，施工进度落后计划5个月，非不可抗力原因造成。</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0</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val="0"/>
        <w:textAlignment w:val="auto"/>
        <w:outlineLvl w:val="9"/>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default"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C34 保险签约和续保工作完成及时性 权重1.5分，得1.5分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default"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根据市级文件通知，养老机构投保综合责任保险需在2022年8月底前完成，实际崇明区各养老机构完成续约时间为8月份，符合时效要求。</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满</w:t>
      </w:r>
      <w:r>
        <w:rPr>
          <w:rFonts w:hint="eastAsia" w:ascii="仿宋_GB2312" w:hAnsi="仿宋_GB2312" w:eastAsia="仿宋_GB2312" w:cs="仿宋_GB2312"/>
          <w:kern w:val="1"/>
          <w:sz w:val="32"/>
          <w:szCs w:val="32"/>
          <w:lang w:val="en-US" w:eastAsia="zh-CN"/>
        </w:rPr>
        <w:t>分。</w:t>
      </w:r>
    </w:p>
    <w:p>
      <w:pPr>
        <w:ind w:left="0" w:leftChars="0" w:firstLine="0" w:firstLineChars="0"/>
        <w:rPr>
          <w:rFonts w:hint="eastAsia" w:ascii="仿宋_GB2312" w:hAnsi="仿宋_GB2312" w:eastAsia="仿宋_GB2312" w:cs="仿宋_GB2312"/>
          <w:b/>
          <w:bCs/>
          <w:kern w:val="1"/>
          <w:sz w:val="32"/>
          <w:szCs w:val="32"/>
          <w:lang w:val="en-US" w:eastAsia="zh-CN"/>
        </w:rPr>
      </w:pPr>
      <w:bookmarkStart w:id="69" w:name="_Toc20443"/>
      <w:r>
        <w:rPr>
          <w:rFonts w:hint="eastAsia" w:ascii="仿宋_GB2312" w:hAnsi="仿宋_GB2312" w:eastAsia="仿宋_GB2312" w:cs="仿宋_GB2312"/>
          <w:b/>
          <w:bCs/>
          <w:kern w:val="1"/>
          <w:sz w:val="32"/>
          <w:szCs w:val="32"/>
          <w:lang w:val="en-US" w:eastAsia="zh-CN"/>
        </w:rPr>
        <w:br w:type="page"/>
      </w:r>
    </w:p>
    <w:p>
      <w:pPr>
        <w:keepNext w:val="0"/>
        <w:keepLines w:val="0"/>
        <w:pageBreakBefore w:val="0"/>
        <w:widowControl w:val="0"/>
        <w:kinsoku/>
        <w:wordWrap/>
        <w:overflowPunct/>
        <w:topLinePunct w:val="0"/>
        <w:autoSpaceDE/>
        <w:autoSpaceDN/>
        <w:bidi w:val="0"/>
        <w:adjustRightInd/>
        <w:snapToGrid/>
        <w:spacing w:line="500" w:lineRule="exact"/>
        <w:ind w:firstLine="643"/>
        <w:contextualSpacing w:val="0"/>
        <w:textAlignment w:val="auto"/>
        <w:outlineLvl w:val="2"/>
        <w:rPr>
          <w:rFonts w:hint="eastAsia" w:ascii="Calibri" w:hAnsi="Arial" w:eastAsia="仿宋_GB2312" w:cs="Times New Roman"/>
          <w:b/>
          <w:bCs/>
          <w:kern w:val="1"/>
          <w:sz w:val="32"/>
          <w:szCs w:val="32"/>
          <w:lang w:val="en-US" w:eastAsia="zh-CN"/>
        </w:rPr>
      </w:pPr>
      <w:bookmarkStart w:id="70" w:name="_Toc7393"/>
      <w:r>
        <w:rPr>
          <w:rFonts w:hint="eastAsia" w:ascii="仿宋_GB2312" w:hAnsi="仿宋_GB2312" w:eastAsia="仿宋_GB2312" w:cs="仿宋_GB2312"/>
          <w:b/>
          <w:bCs/>
          <w:kern w:val="1"/>
          <w:sz w:val="32"/>
          <w:szCs w:val="32"/>
          <w:lang w:val="en-US" w:eastAsia="zh-CN"/>
        </w:rPr>
        <w:t>4</w:t>
      </w:r>
      <w:r>
        <w:rPr>
          <w:rFonts w:hint="eastAsia" w:ascii="仿宋_GB2312" w:hAnsi="仿宋_GB2312" w:eastAsia="仿宋_GB2312" w:cs="仿宋_GB2312"/>
          <w:b/>
          <w:bCs/>
          <w:kern w:val="1"/>
          <w:sz w:val="32"/>
          <w:szCs w:val="32"/>
        </w:rPr>
        <w:t>.项目</w:t>
      </w:r>
      <w:r>
        <w:rPr>
          <w:rFonts w:hint="eastAsia" w:ascii="仿宋_GB2312" w:hAnsi="仿宋_GB2312" w:eastAsia="仿宋_GB2312" w:cs="仿宋_GB2312"/>
          <w:b/>
          <w:bCs/>
          <w:kern w:val="1"/>
          <w:sz w:val="32"/>
          <w:szCs w:val="32"/>
          <w:lang w:val="en-US" w:eastAsia="zh-CN"/>
        </w:rPr>
        <w:t>效益</w:t>
      </w:r>
      <w:bookmarkEnd w:id="69"/>
      <w:bookmarkEnd w:id="70"/>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28"/>
          <w:szCs w:val="28"/>
          <w:lang w:val="en-US" w:eastAsia="zh-CN"/>
        </w:rPr>
      </w:pPr>
      <w:r>
        <w:rPr>
          <w:rFonts w:hint="eastAsia" w:ascii="仿宋_GB2312" w:hAnsi="仿宋_GB2312" w:cs="仿宋_GB2312"/>
          <w:kern w:val="1"/>
          <w:sz w:val="32"/>
          <w:szCs w:val="32"/>
          <w:lang w:val="en-US" w:eastAsia="zh-CN"/>
        </w:rPr>
        <w:t>（1）得分情况</w:t>
      </w:r>
    </w:p>
    <w:p>
      <w:pPr>
        <w:pageBreakBefore w:val="0"/>
        <w:kinsoku/>
        <w:wordWrap/>
        <w:overflowPunct/>
        <w:topLinePunct w:val="0"/>
        <w:autoSpaceDN/>
        <w:bidi w:val="0"/>
        <w:spacing w:line="500" w:lineRule="exact"/>
        <w:ind w:left="0" w:leftChars="0" w:firstLine="0" w:firstLineChars="0"/>
        <w:contextualSpacing w:val="0"/>
        <w:jc w:val="center"/>
        <w:rPr>
          <w:rFonts w:hint="eastAsia" w:ascii="仿宋_GB2312" w:hAnsi="Times New Roman" w:cs="Times New Roman"/>
          <w:b/>
          <w:bCs/>
          <w:kern w:val="1"/>
          <w:sz w:val="28"/>
          <w:szCs w:val="28"/>
        </w:rPr>
      </w:pPr>
      <w:r>
        <w:rPr>
          <w:rFonts w:hint="eastAsia" w:ascii="仿宋_GB2312" w:hAnsi="Times New Roman" w:cs="Times New Roman"/>
          <w:b/>
          <w:bCs/>
          <w:kern w:val="1"/>
          <w:sz w:val="24"/>
          <w:szCs w:val="24"/>
        </w:rPr>
        <w:t>表3-</w:t>
      </w:r>
      <w:r>
        <w:rPr>
          <w:rFonts w:hint="eastAsia" w:ascii="仿宋_GB2312" w:hAnsi="Times New Roman" w:cs="Times New Roman"/>
          <w:b/>
          <w:bCs/>
          <w:kern w:val="1"/>
          <w:sz w:val="24"/>
          <w:szCs w:val="24"/>
          <w:lang w:val="en-US" w:eastAsia="zh-CN"/>
        </w:rPr>
        <w:t>4</w:t>
      </w:r>
      <w:r>
        <w:rPr>
          <w:rFonts w:hint="eastAsia" w:ascii="仿宋_GB2312" w:hAnsi="Times New Roman" w:cs="Times New Roman"/>
          <w:b/>
          <w:bCs/>
          <w:kern w:val="1"/>
          <w:sz w:val="24"/>
          <w:szCs w:val="24"/>
        </w:rPr>
        <w:t>项目</w:t>
      </w:r>
      <w:r>
        <w:rPr>
          <w:rFonts w:hint="eastAsia" w:ascii="仿宋_GB2312" w:hAnsi="Times New Roman" w:cs="Times New Roman"/>
          <w:b/>
          <w:bCs/>
          <w:kern w:val="1"/>
          <w:sz w:val="24"/>
          <w:szCs w:val="24"/>
          <w:lang w:val="en-US" w:eastAsia="zh-CN"/>
        </w:rPr>
        <w:t>效益类指标</w:t>
      </w:r>
      <w:r>
        <w:rPr>
          <w:rFonts w:hint="eastAsia" w:ascii="仿宋_GB2312" w:hAnsi="Times New Roman" w:cs="Times New Roman"/>
          <w:b/>
          <w:bCs/>
          <w:kern w:val="1"/>
          <w:sz w:val="24"/>
          <w:szCs w:val="24"/>
        </w:rPr>
        <w:t>得分表</w:t>
      </w:r>
    </w:p>
    <w:tbl>
      <w:tblPr>
        <w:tblStyle w:val="38"/>
        <w:tblW w:w="86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20"/>
        <w:gridCol w:w="803"/>
        <w:gridCol w:w="2508"/>
        <w:gridCol w:w="1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指标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权重</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业绩值</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8"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contextualSpacing w:val="0"/>
              <w:jc w:val="left"/>
              <w:textAlignment w:val="auto"/>
              <w:rPr>
                <w:rFonts w:hint="eastAsia" w:ascii="仿宋_GB2312" w:hAnsi="仿宋_GB2312" w:eastAsia="仿宋_GB2312" w:cs="仿宋_GB2312"/>
                <w:b/>
                <w:bCs/>
                <w:kern w:val="1"/>
                <w:sz w:val="24"/>
                <w:szCs w:val="24"/>
              </w:rPr>
            </w:pPr>
            <w:r>
              <w:rPr>
                <w:rFonts w:hint="eastAsia" w:ascii="仿宋_GB2312" w:hAnsi="仿宋_GB2312" w:eastAsia="仿宋_GB2312" w:cs="仿宋_GB2312"/>
                <w:b/>
                <w:bCs/>
                <w:kern w:val="1"/>
                <w:sz w:val="24"/>
                <w:szCs w:val="24"/>
                <w:lang w:val="en-US" w:eastAsia="zh-CN"/>
              </w:rPr>
              <w:t>D</w:t>
            </w:r>
            <w:r>
              <w:rPr>
                <w:rFonts w:hint="eastAsia" w:ascii="仿宋_GB2312" w:hAnsi="仿宋_GB2312" w:eastAsia="仿宋_GB2312" w:cs="仿宋_GB2312"/>
                <w:b/>
                <w:bCs/>
                <w:kern w:val="1"/>
                <w:sz w:val="24"/>
                <w:szCs w:val="24"/>
              </w:rPr>
              <w:t xml:space="preserve"> 项目效益</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ascii="仿宋_GB2312" w:hAnsi="仿宋_GB2312" w:eastAsia="仿宋_GB2312" w:cs="仿宋_GB2312"/>
                <w:b/>
                <w:bCs/>
                <w:color w:val="000000"/>
                <w:kern w:val="1"/>
                <w:sz w:val="24"/>
                <w:szCs w:val="24"/>
                <w:lang w:val="en-US" w:eastAsia="zh-CN"/>
              </w:rPr>
              <w:t>3</w:t>
            </w:r>
            <w:r>
              <w:rPr>
                <w:rFonts w:hint="eastAsia" w:cs="仿宋_GB2312"/>
                <w:b/>
                <w:bCs/>
                <w:color w:val="000000"/>
                <w:kern w:val="1"/>
                <w:sz w:val="24"/>
                <w:szCs w:val="24"/>
                <w:lang w:val="en-US" w:eastAsia="zh-CN"/>
              </w:rPr>
              <w:t>0</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bCs/>
                <w:color w:val="000000"/>
                <w:kern w:val="1"/>
                <w:sz w:val="24"/>
                <w:szCs w:val="24"/>
              </w:rPr>
            </w:pPr>
            <w:r>
              <w:rPr>
                <w:rFonts w:hint="eastAsia" w:ascii="仿宋_GB2312" w:hAnsi="仿宋_GB2312" w:eastAsia="仿宋_GB2312" w:cs="仿宋_GB2312"/>
                <w:b/>
                <w:bCs/>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ascii="仿宋_GB2312" w:hAnsi="仿宋_GB2312" w:cs="仿宋_GB2312"/>
                <w:b/>
                <w:bCs/>
                <w:color w:val="000000"/>
                <w:kern w:val="1"/>
                <w:sz w:val="24"/>
                <w:szCs w:val="24"/>
                <w:lang w:val="en-US" w:eastAsia="zh-CN"/>
              </w:rPr>
              <w:t>2</w:t>
            </w:r>
            <w:r>
              <w:rPr>
                <w:rFonts w:hint="eastAsia" w:cs="仿宋_GB2312"/>
                <w:b/>
                <w:bCs/>
                <w:color w:val="000000"/>
                <w:kern w:val="1"/>
                <w:sz w:val="24"/>
                <w:szCs w:val="24"/>
                <w:lang w:val="en-US" w:eastAsia="zh-CN"/>
              </w:rPr>
              <w:t>3.67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default" w:ascii="仿宋_GB2312" w:hAnsi="仿宋_GB2312" w:eastAsia="仿宋_GB2312" w:cs="仿宋_GB2312"/>
                <w:color w:val="000000"/>
                <w:kern w:val="0"/>
                <w:sz w:val="24"/>
                <w:szCs w:val="24"/>
                <w:lang w:val="en-US" w:eastAsia="zh-CN"/>
              </w:rPr>
            </w:pPr>
            <w:r>
              <w:rPr>
                <w:rFonts w:hint="eastAsia" w:ascii="仿宋_GB2312" w:hAnsi="仿宋_GB2312" w:cs="仿宋_GB2312"/>
                <w:color w:val="000000"/>
                <w:kern w:val="0"/>
                <w:sz w:val="24"/>
                <w:szCs w:val="24"/>
                <w:lang w:val="en-US" w:eastAsia="zh-CN"/>
              </w:rPr>
              <w:t>D</w:t>
            </w:r>
            <w:r>
              <w:rPr>
                <w:rFonts w:hint="eastAsia" w:cs="仿宋_GB2312"/>
                <w:color w:val="000000"/>
                <w:kern w:val="0"/>
                <w:sz w:val="24"/>
                <w:szCs w:val="24"/>
                <w:lang w:val="en-US" w:eastAsia="zh-CN"/>
              </w:rPr>
              <w:t>1</w:t>
            </w:r>
            <w:r>
              <w:rPr>
                <w:rFonts w:hint="eastAsia" w:ascii="仿宋_GB2312" w:hAnsi="仿宋_GB2312" w:cs="仿宋_GB2312"/>
                <w:color w:val="000000"/>
                <w:kern w:val="0"/>
                <w:sz w:val="24"/>
                <w:szCs w:val="24"/>
                <w:lang w:val="en-US" w:eastAsia="zh-CN"/>
              </w:rPr>
              <w:t>社会效益</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6.75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rPr>
            </w:pPr>
            <w:r>
              <w:rPr>
                <w:rFonts w:hint="eastAsia" w:hAnsi="黑体" w:cs="Times New Roman"/>
                <w:kern w:val="2"/>
                <w:sz w:val="24"/>
                <w:szCs w:val="24"/>
                <w:lang w:val="en-US" w:eastAsia="zh-CN" w:bidi="ar-SA"/>
              </w:rPr>
              <w:t>D11 重度困难失智老人群体护理水平改善占比</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99.18%</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rPr>
            </w:pPr>
            <w:r>
              <w:rPr>
                <w:rFonts w:hint="eastAsia" w:hAnsi="黑体" w:cs="Times New Roman"/>
                <w:kern w:val="2"/>
                <w:sz w:val="24"/>
                <w:szCs w:val="24"/>
                <w:lang w:val="en-US" w:eastAsia="zh-CN" w:bidi="ar-SA"/>
              </w:rPr>
              <w:t xml:space="preserve">D12 </w:t>
            </w:r>
            <w:r>
              <w:rPr>
                <w:rFonts w:hint="default" w:hAnsi="黑体" w:cs="Times New Roman"/>
                <w:kern w:val="2"/>
                <w:sz w:val="24"/>
                <w:szCs w:val="24"/>
                <w:lang w:val="en-US" w:eastAsia="zh-CN" w:bidi="ar-SA"/>
              </w:rPr>
              <w:t>邻里关系增进</w:t>
            </w:r>
            <w:r>
              <w:rPr>
                <w:rFonts w:hint="eastAsia" w:hAnsi="黑体" w:cs="Times New Roman"/>
                <w:kern w:val="2"/>
                <w:sz w:val="24"/>
                <w:szCs w:val="24"/>
                <w:lang w:val="en-US" w:eastAsia="zh-CN" w:bidi="ar-SA"/>
              </w:rPr>
              <w:t>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82.45%</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rPr>
            </w:pPr>
            <w:r>
              <w:rPr>
                <w:rFonts w:hint="eastAsia" w:hAnsi="黑体" w:cs="Times New Roman"/>
                <w:kern w:val="2"/>
                <w:sz w:val="24"/>
                <w:szCs w:val="24"/>
                <w:lang w:val="en-US" w:eastAsia="zh-CN" w:bidi="ar-SA"/>
              </w:rPr>
              <w:t>D13 全区村居养老服务设施有效供给增加</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增加77处</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lang w:val="en-US" w:eastAsia="zh-CN"/>
              </w:rPr>
            </w:pPr>
            <w:r>
              <w:rPr>
                <w:rFonts w:hint="eastAsia" w:hAnsi="黑体" w:cs="Times New Roman"/>
                <w:kern w:val="2"/>
                <w:sz w:val="24"/>
                <w:szCs w:val="24"/>
                <w:lang w:val="en-US" w:eastAsia="zh-CN" w:bidi="ar-SA"/>
              </w:rPr>
              <w:t>D14 养老机构抗风险能力提升率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100%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default" w:ascii="仿宋_GB2312" w:hAnsi="仿宋_GB2312" w:eastAsia="仿宋_GB2312" w:cs="仿宋_GB2312"/>
                <w:kern w:val="1"/>
                <w:sz w:val="24"/>
                <w:szCs w:val="24"/>
                <w:lang w:val="en-US" w:eastAsia="zh-CN"/>
              </w:rPr>
            </w:pPr>
            <w:r>
              <w:rPr>
                <w:rFonts w:hint="eastAsia" w:ascii="仿宋_GB2312" w:hAnsi="仿宋_GB2312" w:cs="仿宋_GB2312"/>
                <w:kern w:val="1"/>
                <w:sz w:val="24"/>
                <w:szCs w:val="24"/>
                <w:lang w:val="en-US" w:eastAsia="zh-CN"/>
              </w:rPr>
              <w:t>D</w:t>
            </w:r>
            <w:r>
              <w:rPr>
                <w:rFonts w:hint="eastAsia" w:cs="仿宋_GB2312"/>
                <w:kern w:val="1"/>
                <w:sz w:val="24"/>
                <w:szCs w:val="24"/>
                <w:lang w:val="en-US" w:eastAsia="zh-CN"/>
              </w:rPr>
              <w:t>2</w:t>
            </w:r>
            <w:r>
              <w:rPr>
                <w:rFonts w:hint="eastAsia" w:ascii="仿宋_GB2312" w:hAnsi="仿宋_GB2312" w:cs="仿宋_GB2312"/>
                <w:kern w:val="1"/>
                <w:sz w:val="24"/>
                <w:szCs w:val="24"/>
                <w:lang w:val="en-US" w:eastAsia="zh-CN"/>
              </w:rPr>
              <w:t>生态效益</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rPr>
            </w:pPr>
            <w:r>
              <w:rPr>
                <w:rFonts w:hint="eastAsia" w:hAnsi="黑体" w:cs="Times New Roman"/>
                <w:sz w:val="24"/>
                <w:szCs w:val="24"/>
                <w:lang w:val="en-US" w:eastAsia="zh-CN"/>
              </w:rPr>
              <w:t xml:space="preserve">D21 </w:t>
            </w:r>
            <w:r>
              <w:rPr>
                <w:rFonts w:hint="eastAsia" w:ascii="仿宋_GB2312" w:hAnsi="黑体" w:eastAsia="仿宋_GB2312" w:cs="Times New Roman"/>
                <w:sz w:val="24"/>
                <w:szCs w:val="24"/>
                <w:lang w:val="en-US" w:eastAsia="zh-CN"/>
              </w:rPr>
              <w:t>构建老年宜居社区</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83.52%</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lang w:val="en-US" w:eastAsia="zh-CN"/>
              </w:rPr>
            </w:pPr>
            <w:r>
              <w:rPr>
                <w:rFonts w:hint="eastAsia" w:ascii="仿宋_GB2312" w:hAnsi="仿宋_GB2312" w:eastAsia="仿宋_GB2312" w:cs="仿宋_GB2312"/>
                <w:kern w:val="1"/>
                <w:sz w:val="24"/>
                <w:szCs w:val="24"/>
                <w:lang w:val="en-US" w:eastAsia="zh-CN"/>
              </w:rPr>
              <w:t>D</w:t>
            </w:r>
            <w:r>
              <w:rPr>
                <w:rFonts w:hint="eastAsia" w:cs="仿宋_GB2312"/>
                <w:kern w:val="1"/>
                <w:sz w:val="24"/>
                <w:szCs w:val="24"/>
                <w:lang w:val="en-US" w:eastAsia="zh-CN"/>
              </w:rPr>
              <w:t>3</w:t>
            </w:r>
            <w:r>
              <w:rPr>
                <w:rFonts w:hint="eastAsia" w:ascii="仿宋_GB2312" w:hAnsi="仿宋_GB2312" w:eastAsia="仿宋_GB2312" w:cs="仿宋_GB2312"/>
                <w:kern w:val="1"/>
                <w:sz w:val="24"/>
                <w:szCs w:val="24"/>
              </w:rPr>
              <w:t xml:space="preserve"> </w:t>
            </w:r>
            <w:r>
              <w:rPr>
                <w:rFonts w:hint="eastAsia" w:ascii="仿宋_GB2312" w:hAnsi="仿宋_GB2312" w:eastAsia="仿宋_GB2312" w:cs="仿宋_GB2312"/>
                <w:kern w:val="1"/>
                <w:sz w:val="24"/>
                <w:szCs w:val="24"/>
                <w:lang w:val="en-US" w:eastAsia="zh-CN"/>
              </w:rPr>
              <w:t>可持续影响</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3.57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rPr>
            </w:pPr>
            <w:r>
              <w:rPr>
                <w:rFonts w:hint="eastAsia" w:hAnsi="宋体" w:cs="宋体"/>
                <w:color w:val="000000"/>
                <w:kern w:val="0"/>
                <w:sz w:val="24"/>
                <w:szCs w:val="24"/>
                <w:lang w:val="en-US" w:eastAsia="zh-CN"/>
              </w:rPr>
              <w:t>D31</w:t>
            </w:r>
            <w:r>
              <w:rPr>
                <w:rFonts w:hint="eastAsia" w:hAnsi="宋体" w:cs="宋体"/>
                <w:color w:val="000000"/>
                <w:kern w:val="0"/>
                <w:sz w:val="24"/>
                <w:szCs w:val="24"/>
              </w:rPr>
              <w:t xml:space="preserve"> </w:t>
            </w:r>
            <w:r>
              <w:rPr>
                <w:rFonts w:hint="eastAsia" w:hAnsi="黑体" w:cs="Times New Roman"/>
                <w:sz w:val="24"/>
                <w:szCs w:val="24"/>
                <w:lang w:val="en-US" w:eastAsia="zh-CN"/>
              </w:rPr>
              <w:t>项目</w:t>
            </w:r>
            <w:r>
              <w:rPr>
                <w:rFonts w:hint="eastAsia" w:ascii="仿宋_GB2312" w:hAnsi="黑体" w:eastAsia="仿宋_GB2312" w:cs="Times New Roman"/>
                <w:sz w:val="24"/>
                <w:szCs w:val="24"/>
                <w:lang w:val="en-US" w:eastAsia="zh-CN"/>
              </w:rPr>
              <w:t>长效管理制度</w:t>
            </w:r>
            <w:r>
              <w:rPr>
                <w:rFonts w:hint="eastAsia" w:hAnsi="黑体" w:cs="Times New Roman"/>
                <w:sz w:val="24"/>
                <w:szCs w:val="24"/>
                <w:lang w:val="en-US" w:eastAsia="zh-CN"/>
              </w:rPr>
              <w:t>健全性和执行有效性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3</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部分项目不</w:t>
            </w:r>
            <w:r>
              <w:rPr>
                <w:rFonts w:hint="eastAsia" w:ascii="仿宋_GB2312" w:hAnsi="仿宋_GB2312" w:cs="仿宋_GB2312"/>
                <w:color w:val="000000"/>
                <w:kern w:val="1"/>
                <w:sz w:val="24"/>
                <w:szCs w:val="24"/>
                <w:lang w:val="en-US" w:eastAsia="zh-CN"/>
              </w:rPr>
              <w:t>健全</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rPr>
            </w:pPr>
            <w:r>
              <w:rPr>
                <w:rFonts w:hint="eastAsia" w:hAnsi="宋体" w:cs="宋体"/>
                <w:color w:val="000000"/>
                <w:kern w:val="0"/>
                <w:sz w:val="24"/>
                <w:szCs w:val="24"/>
                <w:lang w:val="en-US" w:eastAsia="zh-CN"/>
              </w:rPr>
              <w:t>D32</w:t>
            </w:r>
            <w:r>
              <w:rPr>
                <w:rFonts w:hint="eastAsia" w:hAnsi="宋体" w:cs="宋体"/>
                <w:color w:val="000000"/>
                <w:kern w:val="0"/>
                <w:sz w:val="24"/>
                <w:szCs w:val="24"/>
              </w:rPr>
              <w:t xml:space="preserve"> </w:t>
            </w:r>
            <w:r>
              <w:rPr>
                <w:rFonts w:hint="eastAsia" w:ascii="仿宋_GB2312" w:hAnsi="黑体" w:eastAsia="仿宋_GB2312" w:cs="Times New Roman"/>
                <w:sz w:val="24"/>
                <w:szCs w:val="24"/>
                <w:lang w:val="en-US" w:eastAsia="zh-CN"/>
              </w:rPr>
              <w:t>福彩公益金资助标识设置率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lang w:val="en-US" w:eastAsia="zh-CN"/>
              </w:rPr>
            </w:pPr>
            <w:r>
              <w:rPr>
                <w:rFonts w:hint="eastAsia" w:hAnsi="宋体" w:cs="宋体"/>
                <w:color w:val="000000"/>
                <w:kern w:val="0"/>
                <w:sz w:val="24"/>
                <w:szCs w:val="24"/>
                <w:lang w:val="en-US" w:eastAsia="zh-CN"/>
              </w:rPr>
              <w:t xml:space="preserve">D33 </w:t>
            </w:r>
            <w:r>
              <w:rPr>
                <w:rFonts w:hint="eastAsia" w:ascii="仿宋_GB2312" w:hAnsi="黑体" w:eastAsia="仿宋_GB2312" w:cs="Times New Roman"/>
                <w:sz w:val="24"/>
                <w:szCs w:val="24"/>
                <w:lang w:val="en-US" w:eastAsia="zh-CN"/>
              </w:rPr>
              <w:t>补贴退出机制健全性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健全</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lang w:val="en-US" w:eastAsia="zh-CN"/>
              </w:rPr>
            </w:pPr>
            <w:r>
              <w:rPr>
                <w:rFonts w:hint="eastAsia" w:hAnsi="宋体" w:cs="宋体"/>
                <w:color w:val="000000"/>
                <w:kern w:val="0"/>
                <w:sz w:val="24"/>
                <w:szCs w:val="24"/>
                <w:lang w:val="en-US" w:eastAsia="zh-CN"/>
              </w:rPr>
              <w:t xml:space="preserve">D34 </w:t>
            </w:r>
            <w:r>
              <w:rPr>
                <w:rFonts w:hint="eastAsia" w:hAnsi="黑体" w:cs="Times New Roman"/>
                <w:sz w:val="24"/>
                <w:szCs w:val="24"/>
                <w:lang w:val="en-US" w:eastAsia="zh-CN"/>
              </w:rPr>
              <w:t>示范睦邻点综合使用率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45.65%</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0.57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lang w:val="en-US" w:eastAsia="zh-CN"/>
              </w:rPr>
            </w:pPr>
            <w:r>
              <w:rPr>
                <w:rFonts w:hint="eastAsia" w:hAnsi="宋体" w:cs="宋体"/>
                <w:color w:val="000000"/>
                <w:kern w:val="0"/>
                <w:sz w:val="24"/>
                <w:szCs w:val="24"/>
                <w:lang w:val="en-US" w:eastAsia="zh-CN"/>
              </w:rPr>
              <w:t>D35 信息公开规范性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lang w:eastAsia="zh-CN"/>
              </w:rPr>
            </w:pPr>
            <w:r>
              <w:rPr>
                <w:rFonts w:hint="eastAsia" w:ascii="仿宋_GB2312" w:hAnsi="仿宋_GB2312" w:eastAsia="仿宋_GB2312" w:cs="仿宋_GB2312"/>
                <w:kern w:val="1"/>
                <w:sz w:val="24"/>
                <w:szCs w:val="24"/>
                <w:lang w:val="en-US" w:eastAsia="zh-CN"/>
              </w:rPr>
              <w:t>D</w:t>
            </w:r>
            <w:r>
              <w:rPr>
                <w:rFonts w:hint="eastAsia" w:cs="仿宋_GB2312"/>
                <w:kern w:val="1"/>
                <w:sz w:val="24"/>
                <w:szCs w:val="24"/>
                <w:lang w:val="en-US" w:eastAsia="zh-CN"/>
              </w:rPr>
              <w:t>4</w:t>
            </w:r>
            <w:r>
              <w:rPr>
                <w:rFonts w:hint="eastAsia" w:ascii="仿宋_GB2312" w:hAnsi="仿宋_GB2312" w:eastAsia="仿宋_GB2312" w:cs="仿宋_GB2312"/>
                <w:kern w:val="1"/>
                <w:sz w:val="24"/>
                <w:szCs w:val="24"/>
              </w:rPr>
              <w:t xml:space="preserve"> </w:t>
            </w:r>
            <w:r>
              <w:rPr>
                <w:rFonts w:hint="eastAsia" w:ascii="仿宋_GB2312" w:hAnsi="仿宋_GB2312" w:eastAsia="仿宋_GB2312" w:cs="仿宋_GB2312"/>
                <w:kern w:val="1"/>
                <w:sz w:val="24"/>
                <w:szCs w:val="24"/>
                <w:lang w:val="en-US" w:eastAsia="zh-CN"/>
              </w:rPr>
              <w:t>满意度</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color w:val="000000"/>
                <w:kern w:val="0"/>
                <w:sz w:val="24"/>
                <w:szCs w:val="24"/>
              </w:rPr>
            </w:pPr>
            <w:r>
              <w:rPr>
                <w:rFonts w:hint="eastAsia" w:hAnsi="宋体" w:cs="宋体"/>
                <w:color w:val="000000"/>
                <w:kern w:val="0"/>
                <w:sz w:val="24"/>
                <w:szCs w:val="24"/>
                <w:lang w:val="en-US" w:eastAsia="zh-CN"/>
              </w:rPr>
              <w:t xml:space="preserve">D41 </w:t>
            </w:r>
            <w:r>
              <w:rPr>
                <w:rFonts w:hint="eastAsia" w:ascii="仿宋_GB2312" w:hAnsi="黑体" w:eastAsia="仿宋_GB2312" w:cs="Times New Roman"/>
                <w:sz w:val="24"/>
                <w:szCs w:val="24"/>
                <w:lang w:val="en-US" w:eastAsia="zh-CN"/>
              </w:rPr>
              <w:t>受益人员对护理用品发放项目的综合满意度</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97.9%</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color w:val="000000"/>
                <w:kern w:val="2"/>
                <w:sz w:val="24"/>
                <w:szCs w:val="24"/>
                <w:lang w:val="en-US" w:eastAsia="zh-CN"/>
              </w:rPr>
            </w:pPr>
            <w:r>
              <w:rPr>
                <w:rFonts w:hint="eastAsia" w:hAnsi="宋体" w:cs="宋体"/>
                <w:color w:val="000000"/>
                <w:kern w:val="0"/>
                <w:sz w:val="24"/>
                <w:szCs w:val="24"/>
                <w:lang w:val="en-US" w:eastAsia="zh-CN"/>
              </w:rPr>
              <w:t xml:space="preserve">D42 </w:t>
            </w:r>
            <w:r>
              <w:rPr>
                <w:rFonts w:hint="eastAsia" w:ascii="仿宋_GB2312" w:hAnsi="黑体" w:eastAsia="仿宋_GB2312" w:cs="Times New Roman"/>
                <w:sz w:val="24"/>
                <w:szCs w:val="24"/>
                <w:lang w:val="en-US" w:eastAsia="zh-CN"/>
              </w:rPr>
              <w:t>受益人员对示范睦邻点的综合满意度</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cs="仿宋_GB2312"/>
                <w:color w:val="000000"/>
                <w:kern w:val="1"/>
                <w:sz w:val="24"/>
                <w:szCs w:val="24"/>
                <w:lang w:val="en-US" w:eastAsia="zh-CN"/>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cs="仿宋_GB2312"/>
                <w:color w:val="000000"/>
                <w:kern w:val="1"/>
                <w:sz w:val="24"/>
                <w:szCs w:val="24"/>
                <w:lang w:val="en-US" w:eastAsia="zh-CN"/>
              </w:rPr>
            </w:pPr>
            <w:r>
              <w:rPr>
                <w:rFonts w:hint="eastAsia" w:cs="仿宋_GB2312"/>
                <w:color w:val="000000"/>
                <w:kern w:val="1"/>
                <w:sz w:val="24"/>
                <w:szCs w:val="24"/>
                <w:lang w:val="en-US" w:eastAsia="zh-CN"/>
              </w:rPr>
              <w:t>93.9%</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cs="仿宋_GB2312"/>
                <w:color w:val="000000"/>
                <w:kern w:val="1"/>
                <w:sz w:val="24"/>
                <w:szCs w:val="24"/>
                <w:lang w:val="en-US" w:eastAsia="zh-CN"/>
              </w:rPr>
            </w:pPr>
            <w:r>
              <w:rPr>
                <w:rFonts w:hint="eastAsia"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color w:val="000000"/>
                <w:kern w:val="2"/>
                <w:sz w:val="24"/>
                <w:szCs w:val="24"/>
                <w:lang w:val="en-US" w:eastAsia="zh-CN"/>
              </w:rPr>
            </w:pPr>
            <w:r>
              <w:rPr>
                <w:rFonts w:hint="eastAsia" w:hAnsi="宋体" w:cs="宋体"/>
                <w:color w:val="000000"/>
                <w:kern w:val="0"/>
                <w:sz w:val="24"/>
                <w:szCs w:val="24"/>
                <w:lang w:val="en-US" w:eastAsia="zh-CN"/>
              </w:rPr>
              <w:t xml:space="preserve">D43 </w:t>
            </w:r>
            <w:r>
              <w:rPr>
                <w:rFonts w:hint="eastAsia" w:ascii="仿宋_GB2312" w:hAnsi="黑体" w:eastAsia="仿宋_GB2312" w:cs="Times New Roman"/>
                <w:sz w:val="24"/>
                <w:szCs w:val="24"/>
                <w:lang w:val="en-US" w:eastAsia="zh-CN"/>
              </w:rPr>
              <w:t>受益养老机构对</w:t>
            </w:r>
            <w:r>
              <w:rPr>
                <w:rFonts w:hint="eastAsia" w:ascii="仿宋_GB2312" w:hAnsi="黑体" w:eastAsia="仿宋_GB2312" w:cs="Times New Roman"/>
                <w:kern w:val="2"/>
                <w:sz w:val="24"/>
                <w:szCs w:val="24"/>
                <w:lang w:val="en-US" w:eastAsia="zh-CN" w:bidi="ar-SA"/>
              </w:rPr>
              <w:t>投保综合责任保险</w:t>
            </w:r>
            <w:r>
              <w:rPr>
                <w:rFonts w:hint="eastAsia" w:ascii="仿宋_GB2312" w:hAnsi="黑体" w:eastAsia="仿宋_GB2312" w:cs="Times New Roman"/>
                <w:sz w:val="24"/>
                <w:szCs w:val="24"/>
                <w:lang w:val="en-US" w:eastAsia="zh-CN"/>
              </w:rPr>
              <w:t>的满意度</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cs="仿宋_GB2312"/>
                <w:color w:val="000000"/>
                <w:kern w:val="1"/>
                <w:sz w:val="24"/>
                <w:szCs w:val="24"/>
                <w:lang w:val="en-US" w:eastAsia="zh-CN"/>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cs="仿宋_GB2312"/>
                <w:color w:val="000000"/>
                <w:kern w:val="1"/>
                <w:sz w:val="24"/>
                <w:szCs w:val="24"/>
                <w:lang w:val="en-US" w:eastAsia="zh-CN"/>
              </w:rPr>
            </w:pPr>
            <w:r>
              <w:rPr>
                <w:rFonts w:hint="eastAsia" w:cs="仿宋_GB2312"/>
                <w:color w:val="000000"/>
                <w:kern w:val="1"/>
                <w:sz w:val="24"/>
                <w:szCs w:val="24"/>
                <w:lang w:val="en-US" w:eastAsia="zh-CN"/>
              </w:rPr>
              <w:t>98.9%</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cs="仿宋_GB2312"/>
                <w:color w:val="000000"/>
                <w:kern w:val="1"/>
                <w:sz w:val="24"/>
                <w:szCs w:val="24"/>
                <w:lang w:val="en-US" w:eastAsia="zh-CN"/>
              </w:rPr>
            </w:pPr>
            <w:r>
              <w:rPr>
                <w:rFonts w:hint="eastAsia" w:cs="仿宋_GB2312"/>
                <w:color w:val="000000"/>
                <w:kern w:val="1"/>
                <w:sz w:val="24"/>
                <w:szCs w:val="24"/>
                <w:lang w:val="en-US" w:eastAsia="zh-CN"/>
              </w:rPr>
              <w:t>4</w:t>
            </w:r>
          </w:p>
        </w:tc>
      </w:tr>
    </w:tbl>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指标分析</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D</w:t>
      </w:r>
      <w:r>
        <w:rPr>
          <w:rFonts w:hint="eastAsia" w:cs="仿宋_GB2312"/>
          <w:kern w:val="1"/>
          <w:sz w:val="32"/>
          <w:szCs w:val="32"/>
          <w:lang w:val="en-US" w:eastAsia="zh-CN"/>
        </w:rPr>
        <w:t>1</w:t>
      </w:r>
      <w:r>
        <w:rPr>
          <w:rFonts w:hint="eastAsia" w:ascii="仿宋_GB2312" w:hAnsi="仿宋_GB2312" w:cs="仿宋_GB2312"/>
          <w:kern w:val="1"/>
          <w:sz w:val="32"/>
          <w:szCs w:val="32"/>
          <w:lang w:val="en-US" w:eastAsia="zh-CN"/>
        </w:rPr>
        <w:t>1</w:t>
      </w:r>
      <w:r>
        <w:rPr>
          <w:rFonts w:hint="eastAsia" w:ascii="仿宋_GB2312" w:hAnsi="仿宋_GB2312" w:eastAsia="仿宋_GB2312" w:cs="仿宋_GB2312"/>
          <w:kern w:val="1"/>
          <w:sz w:val="32"/>
          <w:szCs w:val="32"/>
          <w:lang w:val="en-US" w:eastAsia="zh-CN"/>
        </w:rPr>
        <w:t xml:space="preserve"> </w:t>
      </w:r>
      <w:r>
        <w:rPr>
          <w:rFonts w:hint="eastAsia" w:cs="仿宋_GB2312"/>
          <w:kern w:val="1"/>
          <w:sz w:val="32"/>
          <w:szCs w:val="32"/>
          <w:lang w:val="en-US" w:eastAsia="zh-CN"/>
        </w:rPr>
        <w:t>重度困难失智老人群体护理水平改善占比</w:t>
      </w:r>
      <w:r>
        <w:rPr>
          <w:rFonts w:hint="eastAsia" w:ascii="仿宋_GB2312" w:hAnsi="仿宋_GB2312" w:eastAsia="仿宋_GB2312" w:cs="仿宋_GB2312"/>
          <w:kern w:val="1"/>
          <w:sz w:val="32"/>
          <w:szCs w:val="32"/>
          <w:lang w:val="en-US" w:eastAsia="zh-CN"/>
        </w:rPr>
        <w:t xml:space="preserve">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b w:val="0"/>
          <w:bCs w:val="0"/>
          <w:kern w:val="1"/>
          <w:sz w:val="32"/>
          <w:szCs w:val="32"/>
          <w:highlight w:val="none"/>
          <w:lang w:val="en-US" w:eastAsia="zh-CN"/>
        </w:rPr>
        <w:t>根据评价组的问卷调查结果分析，</w:t>
      </w:r>
      <w:r>
        <w:rPr>
          <w:rFonts w:hint="eastAsia" w:cs="仿宋_GB2312"/>
          <w:b w:val="0"/>
          <w:bCs w:val="0"/>
          <w:kern w:val="1"/>
          <w:sz w:val="32"/>
          <w:szCs w:val="32"/>
          <w:highlight w:val="none"/>
          <w:lang w:val="en-US" w:eastAsia="zh-CN"/>
        </w:rPr>
        <w:t>接受问卷调查的166名受益老人家人和79名乡镇红十字会配送服务志愿者中，其中觉得本项目的开展对改善失智老人的护理状况“明显改善”的占95.1%，表示“稍有改善”的占比4.08%，正面回答合计占比99.18%，</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满</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eastAsia="仿宋_GB2312" w:cs="仿宋_GB2312"/>
          <w:b w:val="0"/>
          <w:bCs w:val="0"/>
          <w:kern w:val="1"/>
          <w:sz w:val="32"/>
          <w:szCs w:val="32"/>
          <w:highlight w:val="none"/>
          <w:lang w:val="en-US" w:eastAsia="zh-CN"/>
        </w:rPr>
        <w:t>D</w:t>
      </w:r>
      <w:r>
        <w:rPr>
          <w:rFonts w:hint="eastAsia" w:cs="仿宋_GB2312"/>
          <w:b w:val="0"/>
          <w:bCs w:val="0"/>
          <w:kern w:val="1"/>
          <w:sz w:val="32"/>
          <w:szCs w:val="32"/>
          <w:highlight w:val="none"/>
          <w:lang w:val="en-US" w:eastAsia="zh-CN"/>
        </w:rPr>
        <w:t>1</w:t>
      </w:r>
      <w:r>
        <w:rPr>
          <w:rFonts w:hint="eastAsia" w:ascii="仿宋_GB2312" w:hAnsi="仿宋_GB2312" w:cs="仿宋_GB2312"/>
          <w:b w:val="0"/>
          <w:bCs w:val="0"/>
          <w:kern w:val="1"/>
          <w:sz w:val="32"/>
          <w:szCs w:val="32"/>
          <w:highlight w:val="none"/>
          <w:lang w:val="en-US" w:eastAsia="zh-CN"/>
        </w:rPr>
        <w:t>2</w:t>
      </w:r>
      <w:r>
        <w:rPr>
          <w:rFonts w:hint="eastAsia" w:ascii="仿宋_GB2312" w:hAnsi="仿宋_GB2312" w:eastAsia="仿宋_GB2312" w:cs="仿宋_GB2312"/>
          <w:b w:val="0"/>
          <w:bCs w:val="0"/>
          <w:kern w:val="1"/>
          <w:sz w:val="32"/>
          <w:szCs w:val="32"/>
          <w:highlight w:val="none"/>
          <w:lang w:val="en-US" w:eastAsia="zh-CN"/>
        </w:rPr>
        <w:t xml:space="preserve"> 邻里关系增进率</w:t>
      </w:r>
      <w:r>
        <w:rPr>
          <w:rFonts w:hint="eastAsia" w:ascii="仿宋_GB2312" w:hAnsi="仿宋_GB2312" w:eastAsia="仿宋_GB2312" w:cs="仿宋_GB2312"/>
          <w:b w:val="0"/>
          <w:bCs w:val="0"/>
          <w:kern w:val="1"/>
          <w:sz w:val="32"/>
          <w:szCs w:val="32"/>
          <w:lang w:val="en-US" w:eastAsia="zh-CN"/>
        </w:rPr>
        <w:t xml:space="preserve"> 权重</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1.25</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highlight w:val="none"/>
          <w:lang w:val="en-US" w:eastAsia="zh-CN"/>
        </w:rPr>
        <w:t>根据评价组的问卷调查结果分析，</w:t>
      </w:r>
      <w:r>
        <w:rPr>
          <w:rFonts w:hint="eastAsia" w:cs="仿宋_GB2312"/>
          <w:b w:val="0"/>
          <w:bCs w:val="0"/>
          <w:kern w:val="1"/>
          <w:sz w:val="32"/>
          <w:szCs w:val="32"/>
          <w:highlight w:val="none"/>
          <w:lang w:val="en-US" w:eastAsia="zh-CN"/>
        </w:rPr>
        <w:t>评价组抽查的10家睦邻点中，接受问卷调查的参与睦邻点活动的老人共计57位，其中对睦邻点能增进邻里关系持正面评价的比例为82.45%</w:t>
      </w:r>
      <w:r>
        <w:rPr>
          <w:rFonts w:hint="eastAsia" w:cs="仿宋_GB2312"/>
          <w:kern w:val="1"/>
          <w:sz w:val="32"/>
          <w:szCs w:val="32"/>
          <w:lang w:val="en-US" w:eastAsia="zh-CN"/>
        </w:rPr>
        <w:t>。同时结合评价组实地调研，以新河镇“夕阳红”示范睦邻点为例，组织开展的如土布贴画、纸杯花篮制作、凤尾结钥匙扣制作等手工活动，在锻炼了邻里的动手能力的同时，也创造了邻里互动交流的机会，增进了彼此的感情。</w:t>
      </w:r>
      <w:r>
        <w:rPr>
          <w:rFonts w:hint="eastAsia" w:ascii="仿宋_GB2312" w:hAnsi="仿宋_GB2312" w:eastAsia="仿宋_GB2312" w:cs="仿宋_GB2312"/>
          <w:b w:val="0"/>
          <w:bCs w:val="0"/>
          <w:kern w:val="1"/>
          <w:sz w:val="32"/>
          <w:szCs w:val="32"/>
          <w:lang w:val="en-US" w:eastAsia="zh-CN"/>
        </w:rPr>
        <w:t>根据评分标准，得</w:t>
      </w:r>
      <w:r>
        <w:rPr>
          <w:rFonts w:hint="eastAsia" w:ascii="仿宋_GB2312" w:hAnsi="仿宋_GB2312" w:cs="仿宋_GB2312"/>
          <w:b w:val="0"/>
          <w:bCs w:val="0"/>
          <w:kern w:val="1"/>
          <w:sz w:val="32"/>
          <w:szCs w:val="32"/>
          <w:lang w:val="en-US" w:eastAsia="zh-CN"/>
        </w:rPr>
        <w:t>1</w:t>
      </w:r>
      <w:r>
        <w:rPr>
          <w:rFonts w:hint="eastAsia" w:cs="仿宋_GB2312"/>
          <w:b w:val="0"/>
          <w:bCs w:val="0"/>
          <w:kern w:val="1"/>
          <w:sz w:val="32"/>
          <w:szCs w:val="32"/>
          <w:lang w:val="en-US" w:eastAsia="zh-CN"/>
        </w:rPr>
        <w:t>.25</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eastAsia="仿宋_GB2312" w:cs="仿宋_GB2312"/>
          <w:b w:val="0"/>
          <w:bCs w:val="0"/>
          <w:kern w:val="1"/>
          <w:sz w:val="32"/>
          <w:szCs w:val="32"/>
          <w:lang w:val="en-US" w:eastAsia="zh-CN"/>
        </w:rPr>
        <w:t>D</w:t>
      </w:r>
      <w:r>
        <w:rPr>
          <w:rFonts w:hint="eastAsia" w:cs="仿宋_GB2312"/>
          <w:b w:val="0"/>
          <w:bCs w:val="0"/>
          <w:kern w:val="1"/>
          <w:sz w:val="32"/>
          <w:szCs w:val="32"/>
          <w:lang w:val="en-US" w:eastAsia="zh-CN"/>
        </w:rPr>
        <w:t>1</w:t>
      </w:r>
      <w:r>
        <w:rPr>
          <w:rFonts w:hint="eastAsia" w:ascii="仿宋_GB2312" w:hAnsi="仿宋_GB2312" w:cs="仿宋_GB2312"/>
          <w:b w:val="0"/>
          <w:bCs w:val="0"/>
          <w:kern w:val="1"/>
          <w:sz w:val="32"/>
          <w:szCs w:val="32"/>
          <w:lang w:val="en-US" w:eastAsia="zh-CN"/>
        </w:rPr>
        <w:t>3</w:t>
      </w:r>
      <w:r>
        <w:rPr>
          <w:rFonts w:hint="eastAsia" w:ascii="仿宋_GB2312" w:hAnsi="仿宋_GB2312" w:eastAsia="仿宋_GB2312" w:cs="仿宋_GB2312"/>
          <w:b w:val="0"/>
          <w:bCs w:val="0"/>
          <w:kern w:val="1"/>
          <w:sz w:val="32"/>
          <w:szCs w:val="32"/>
          <w:lang w:val="en-US" w:eastAsia="zh-CN"/>
        </w:rPr>
        <w:t xml:space="preserve"> 全区村居养老服务设施有效供给增加 权重</w:t>
      </w:r>
      <w:r>
        <w:rPr>
          <w:rFonts w:hint="eastAsia" w:ascii="仿宋_GB2312" w:hAnsi="仿宋_GB2312"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1.5</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cs="仿宋_GB2312"/>
          <w:kern w:val="1"/>
          <w:sz w:val="32"/>
          <w:szCs w:val="32"/>
          <w:lang w:val="en-US" w:eastAsia="zh-CN"/>
        </w:rPr>
        <w:t>①</w:t>
      </w:r>
      <w:r>
        <w:rPr>
          <w:rFonts w:hint="eastAsia" w:ascii="仿宋_GB2312" w:hAnsi="仿宋_GB2312" w:cs="仿宋_GB2312"/>
          <w:b w:val="0"/>
          <w:bCs w:val="0"/>
          <w:kern w:val="1"/>
          <w:sz w:val="32"/>
          <w:szCs w:val="32"/>
          <w:lang w:val="en-US" w:eastAsia="zh-CN"/>
        </w:rPr>
        <w:t>根据</w:t>
      </w:r>
      <w:r>
        <w:rPr>
          <w:rFonts w:hint="eastAsia" w:cs="仿宋_GB2312"/>
          <w:b w:val="0"/>
          <w:bCs w:val="0"/>
          <w:kern w:val="1"/>
          <w:sz w:val="32"/>
          <w:szCs w:val="32"/>
          <w:lang w:val="en-US" w:eastAsia="zh-CN"/>
        </w:rPr>
        <w:t>区民政局的前期排摸和评价组抽查结果</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2021年全区获得补贴的80个示范睦邻点中，75个目前正常运营，其余5个因房屋装修、搬迁、点长过世等非主观原因暂停运营，有效增加社区养老供给75处</w:t>
      </w:r>
      <w:r>
        <w:rPr>
          <w:rFonts w:hint="eastAsia" w:ascii="仿宋_GB2312" w:hAnsi="仿宋_GB2312" w:cs="仿宋_GB2312"/>
          <w:b w:val="0"/>
          <w:bCs w:val="0"/>
          <w:kern w:val="1"/>
          <w:sz w:val="32"/>
          <w:szCs w:val="32"/>
          <w:lang w:val="en-US" w:eastAsia="zh-CN"/>
        </w:rPr>
        <w:t>，得1分；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cs="仿宋_GB2312"/>
          <w:kern w:val="1"/>
          <w:sz w:val="32"/>
          <w:szCs w:val="32"/>
          <w:lang w:val="en-US" w:eastAsia="zh-CN"/>
        </w:rPr>
        <w:t>②</w:t>
      </w:r>
      <w:r>
        <w:rPr>
          <w:rFonts w:hint="eastAsia" w:ascii="仿宋_GB2312" w:hAnsi="仿宋_GB2312" w:cs="仿宋_GB2312"/>
          <w:b w:val="0"/>
          <w:bCs w:val="0"/>
          <w:kern w:val="1"/>
          <w:sz w:val="32"/>
          <w:szCs w:val="32"/>
          <w:lang w:val="en-US" w:eastAsia="zh-CN"/>
        </w:rPr>
        <w:t>根据</w:t>
      </w:r>
      <w:r>
        <w:rPr>
          <w:rFonts w:hint="eastAsia" w:cs="仿宋_GB2312"/>
          <w:b w:val="0"/>
          <w:bCs w:val="0"/>
          <w:kern w:val="1"/>
          <w:sz w:val="32"/>
          <w:szCs w:val="32"/>
          <w:lang w:val="en-US" w:eastAsia="zh-CN"/>
        </w:rPr>
        <w:t>区民政局的前期排摸和评价组现场踏勘</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2022年</w:t>
      </w:r>
      <w:r>
        <w:rPr>
          <w:rFonts w:hint="eastAsia" w:ascii="仿宋_GB2312" w:hAnsi="仿宋_GB2312" w:cs="仿宋_GB2312"/>
          <w:b w:val="0"/>
          <w:bCs w:val="0"/>
          <w:kern w:val="1"/>
          <w:sz w:val="32"/>
          <w:szCs w:val="32"/>
          <w:lang w:val="en-US" w:eastAsia="zh-CN"/>
        </w:rPr>
        <w:t>新建成的</w:t>
      </w:r>
      <w:r>
        <w:rPr>
          <w:rFonts w:hint="eastAsia" w:cs="仿宋_GB2312"/>
          <w:b w:val="0"/>
          <w:bCs w:val="0"/>
          <w:kern w:val="1"/>
          <w:sz w:val="32"/>
          <w:szCs w:val="32"/>
          <w:lang w:val="en-US" w:eastAsia="zh-CN"/>
        </w:rPr>
        <w:t>3家</w:t>
      </w:r>
      <w:r>
        <w:rPr>
          <w:rFonts w:hint="eastAsia" w:ascii="仿宋_GB2312" w:hAnsi="仿宋_GB2312" w:cs="仿宋_GB2312"/>
          <w:b w:val="0"/>
          <w:bCs w:val="0"/>
          <w:kern w:val="1"/>
          <w:sz w:val="32"/>
          <w:szCs w:val="32"/>
          <w:lang w:val="en-US" w:eastAsia="zh-CN"/>
        </w:rPr>
        <w:t>社区综合为老服务中心</w:t>
      </w:r>
      <w:r>
        <w:rPr>
          <w:rFonts w:hint="eastAsia" w:cs="仿宋_GB2312"/>
          <w:b w:val="0"/>
          <w:bCs w:val="0"/>
          <w:kern w:val="1"/>
          <w:sz w:val="32"/>
          <w:szCs w:val="32"/>
          <w:lang w:val="en-US" w:eastAsia="zh-CN"/>
        </w:rPr>
        <w:t>（年初申报补贴的），其中2家</w:t>
      </w:r>
      <w:r>
        <w:rPr>
          <w:rFonts w:hint="eastAsia" w:ascii="仿宋_GB2312" w:hAnsi="仿宋_GB2312" w:cs="仿宋_GB2312"/>
          <w:b w:val="0"/>
          <w:bCs w:val="0"/>
          <w:kern w:val="1"/>
          <w:sz w:val="32"/>
          <w:szCs w:val="32"/>
          <w:lang w:val="en-US" w:eastAsia="zh-CN"/>
        </w:rPr>
        <w:t>正常投入运营，</w:t>
      </w:r>
      <w:r>
        <w:rPr>
          <w:rFonts w:hint="eastAsia" w:cs="仿宋_GB2312"/>
          <w:b w:val="0"/>
          <w:bCs w:val="0"/>
          <w:kern w:val="1"/>
          <w:sz w:val="32"/>
          <w:szCs w:val="32"/>
          <w:lang w:val="en-US" w:eastAsia="zh-CN"/>
        </w:rPr>
        <w:t>1家（获补贴的建设镇旭升分中心）至今未能投入运营，主要原因是政策协调进度较慢；有效增加社区养老供给2处</w:t>
      </w:r>
      <w:r>
        <w:rPr>
          <w:rFonts w:hint="eastAsia" w:ascii="仿宋_GB2312" w:hAnsi="仿宋_GB2312" w:cs="仿宋_GB2312"/>
          <w:b w:val="0"/>
          <w:bCs w:val="0"/>
          <w:kern w:val="1"/>
          <w:sz w:val="32"/>
          <w:szCs w:val="32"/>
          <w:lang w:val="en-US" w:eastAsia="zh-CN"/>
        </w:rPr>
        <w:t>，</w:t>
      </w:r>
      <w:r>
        <w:rPr>
          <w:rFonts w:hint="eastAsia" w:ascii="仿宋_GB2312" w:hAnsi="仿宋_GB2312" w:eastAsia="仿宋_GB2312" w:cs="仿宋_GB2312"/>
          <w:b w:val="0"/>
          <w:bCs w:val="0"/>
          <w:kern w:val="1"/>
          <w:sz w:val="32"/>
          <w:szCs w:val="32"/>
          <w:lang w:val="en-US" w:eastAsia="zh-CN"/>
        </w:rPr>
        <w:t>根据评分标准，得</w:t>
      </w:r>
      <w:r>
        <w:rPr>
          <w:rFonts w:hint="eastAsia" w:cs="仿宋_GB2312"/>
          <w:b w:val="0"/>
          <w:bCs w:val="0"/>
          <w:kern w:val="1"/>
          <w:sz w:val="32"/>
          <w:szCs w:val="32"/>
          <w:lang w:val="en-US" w:eastAsia="zh-CN"/>
        </w:rPr>
        <w:t>0.5</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eastAsia="仿宋_GB2312" w:cs="仿宋_GB2312"/>
          <w:b w:val="0"/>
          <w:bCs w:val="0"/>
          <w:kern w:val="1"/>
          <w:sz w:val="32"/>
          <w:szCs w:val="32"/>
          <w:lang w:val="en-US" w:eastAsia="zh-CN"/>
        </w:rPr>
        <w:t>D</w:t>
      </w:r>
      <w:r>
        <w:rPr>
          <w:rFonts w:hint="eastAsia" w:cs="仿宋_GB2312"/>
          <w:b w:val="0"/>
          <w:bCs w:val="0"/>
          <w:kern w:val="1"/>
          <w:sz w:val="32"/>
          <w:szCs w:val="32"/>
          <w:lang w:val="en-US" w:eastAsia="zh-CN"/>
        </w:rPr>
        <w:t>1</w:t>
      </w:r>
      <w:r>
        <w:rPr>
          <w:rFonts w:hint="eastAsia" w:ascii="仿宋_GB2312" w:hAnsi="仿宋_GB2312" w:cs="仿宋_GB2312"/>
          <w:b w:val="0"/>
          <w:bCs w:val="0"/>
          <w:kern w:val="1"/>
          <w:sz w:val="32"/>
          <w:szCs w:val="32"/>
          <w:lang w:val="en-US" w:eastAsia="zh-CN"/>
        </w:rPr>
        <w:t>4</w:t>
      </w:r>
      <w:r>
        <w:rPr>
          <w:rFonts w:hint="eastAsia" w:ascii="仿宋_GB2312" w:hAnsi="仿宋_GB2312" w:eastAsia="仿宋_GB2312" w:cs="仿宋_GB2312"/>
          <w:b w:val="0"/>
          <w:bCs w:val="0"/>
          <w:kern w:val="1"/>
          <w:sz w:val="32"/>
          <w:szCs w:val="32"/>
          <w:lang w:val="en-US" w:eastAsia="zh-CN"/>
        </w:rPr>
        <w:t xml:space="preserve"> 养老机构抗风险能力提升率 权重</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ascii="仿宋_GB2312" w:hAnsi="仿宋_GB2312" w:cs="仿宋_GB2312"/>
          <w:b w:val="0"/>
          <w:bCs w:val="0"/>
          <w:kern w:val="1"/>
          <w:sz w:val="32"/>
          <w:szCs w:val="32"/>
          <w:highlight w:val="none"/>
          <w:lang w:val="en-US" w:eastAsia="zh-CN"/>
        </w:rPr>
        <w:t>根据评价组的问卷调查结果分析，</w:t>
      </w:r>
      <w:r>
        <w:rPr>
          <w:rFonts w:hint="eastAsia" w:cs="仿宋_GB2312"/>
          <w:b w:val="0"/>
          <w:bCs w:val="0"/>
          <w:kern w:val="1"/>
          <w:sz w:val="32"/>
          <w:szCs w:val="32"/>
          <w:highlight w:val="none"/>
          <w:lang w:val="en-US" w:eastAsia="zh-CN"/>
        </w:rPr>
        <w:t>评价组抽查访谈的20家养老机构中，100%比例都同意投保综合责任险提升了单位的抗风险能力；在保障内容方面，综合责任险主要保障养老机构员工的人身意外责任，包括工伤、意外事故和死亡等，完善了员工的工作保障机制。</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满</w:t>
      </w:r>
      <w:r>
        <w:rPr>
          <w:rFonts w:hint="eastAsia" w:ascii="仿宋_GB2312" w:hAnsi="仿宋_GB2312" w:eastAsia="仿宋_GB2312" w:cs="仿宋_GB2312"/>
          <w:b w:val="0"/>
          <w:bCs w:val="0"/>
          <w:kern w:val="1"/>
          <w:sz w:val="32"/>
          <w:szCs w:val="32"/>
          <w:lang w:val="en-US" w:eastAsia="zh-CN"/>
        </w:rPr>
        <w:t>分</w:t>
      </w:r>
      <w:r>
        <w:rPr>
          <w:rFonts w:hint="eastAsia" w:ascii="仿宋_GB2312" w:hAnsi="仿宋_GB2312" w:cs="仿宋_GB2312"/>
          <w:b w:val="0"/>
          <w:bCs w:val="0"/>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highlight w:val="none"/>
          <w:lang w:val="en-US" w:eastAsia="zh-CN"/>
        </w:rPr>
        <w:t>D</w:t>
      </w:r>
      <w:r>
        <w:rPr>
          <w:rFonts w:hint="eastAsia" w:cs="仿宋_GB2312"/>
          <w:b w:val="0"/>
          <w:bCs w:val="0"/>
          <w:kern w:val="1"/>
          <w:sz w:val="32"/>
          <w:szCs w:val="32"/>
          <w:highlight w:val="none"/>
          <w:lang w:val="en-US" w:eastAsia="zh-CN"/>
        </w:rPr>
        <w:t>2</w:t>
      </w:r>
      <w:r>
        <w:rPr>
          <w:rFonts w:hint="eastAsia" w:ascii="仿宋_GB2312" w:hAnsi="仿宋_GB2312" w:cs="仿宋_GB2312"/>
          <w:b w:val="0"/>
          <w:bCs w:val="0"/>
          <w:kern w:val="1"/>
          <w:sz w:val="32"/>
          <w:szCs w:val="32"/>
          <w:highlight w:val="none"/>
          <w:lang w:val="en-US" w:eastAsia="zh-CN"/>
        </w:rPr>
        <w:t>1 构建老年宜居社区</w:t>
      </w:r>
      <w:r>
        <w:rPr>
          <w:rFonts w:hint="eastAsia" w:ascii="仿宋_GB2312" w:hAnsi="仿宋_GB2312" w:cs="仿宋_GB2312"/>
          <w:b w:val="0"/>
          <w:bCs w:val="0"/>
          <w:kern w:val="1"/>
          <w:sz w:val="32"/>
          <w:szCs w:val="32"/>
          <w:lang w:val="en-US" w:eastAsia="zh-CN"/>
        </w:rPr>
        <w:t xml:space="preserve"> </w:t>
      </w:r>
      <w:r>
        <w:rPr>
          <w:rFonts w:hint="eastAsia" w:ascii="仿宋_GB2312" w:hAnsi="仿宋_GB2312" w:eastAsia="仿宋_GB2312" w:cs="仿宋_GB2312"/>
          <w:b w:val="0"/>
          <w:bCs w:val="0"/>
          <w:kern w:val="1"/>
          <w:sz w:val="32"/>
          <w:szCs w:val="32"/>
          <w:lang w:val="en-US" w:eastAsia="zh-CN"/>
        </w:rPr>
        <w:t>权重</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1.35</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根据评价组的问卷调查结果分析，评价组抽查的10家睦邻点中，接受问卷调查的</w:t>
      </w:r>
      <w:r>
        <w:rPr>
          <w:rFonts w:hint="eastAsia" w:cs="仿宋_GB2312"/>
          <w:b w:val="0"/>
          <w:bCs w:val="0"/>
          <w:kern w:val="1"/>
          <w:sz w:val="32"/>
          <w:szCs w:val="32"/>
          <w:lang w:val="en-US" w:eastAsia="zh-CN"/>
        </w:rPr>
        <w:t>村居委管理人员</w:t>
      </w:r>
      <w:r>
        <w:rPr>
          <w:rFonts w:hint="eastAsia" w:ascii="仿宋_GB2312" w:hAnsi="仿宋_GB2312" w:cs="仿宋_GB2312"/>
          <w:b w:val="0"/>
          <w:bCs w:val="0"/>
          <w:kern w:val="1"/>
          <w:sz w:val="32"/>
          <w:szCs w:val="32"/>
          <w:lang w:val="en-US" w:eastAsia="zh-CN"/>
        </w:rPr>
        <w:t>共计</w:t>
      </w:r>
      <w:r>
        <w:rPr>
          <w:rFonts w:hint="eastAsia" w:cs="仿宋_GB2312"/>
          <w:b w:val="0"/>
          <w:bCs w:val="0"/>
          <w:kern w:val="1"/>
          <w:sz w:val="32"/>
          <w:szCs w:val="32"/>
          <w:lang w:val="en-US" w:eastAsia="zh-CN"/>
        </w:rPr>
        <w:t>33</w:t>
      </w:r>
      <w:r>
        <w:rPr>
          <w:rFonts w:hint="eastAsia" w:ascii="仿宋_GB2312" w:hAnsi="仿宋_GB2312" w:cs="仿宋_GB2312"/>
          <w:b w:val="0"/>
          <w:bCs w:val="0"/>
          <w:kern w:val="1"/>
          <w:sz w:val="32"/>
          <w:szCs w:val="32"/>
          <w:lang w:val="en-US" w:eastAsia="zh-CN"/>
        </w:rPr>
        <w:t>位，睦邻点周边随机居民</w:t>
      </w:r>
      <w:r>
        <w:rPr>
          <w:rFonts w:hint="eastAsia" w:cs="仿宋_GB2312"/>
          <w:b w:val="0"/>
          <w:bCs w:val="0"/>
          <w:kern w:val="1"/>
          <w:sz w:val="32"/>
          <w:szCs w:val="32"/>
          <w:lang w:val="en-US" w:eastAsia="zh-CN"/>
        </w:rPr>
        <w:t>共计92名，</w:t>
      </w:r>
      <w:r>
        <w:rPr>
          <w:rFonts w:hint="eastAsia" w:ascii="仿宋_GB2312" w:hAnsi="仿宋_GB2312" w:cs="仿宋_GB2312"/>
          <w:b w:val="0"/>
          <w:bCs w:val="0"/>
          <w:kern w:val="1"/>
          <w:sz w:val="32"/>
          <w:szCs w:val="32"/>
          <w:lang w:val="en-US" w:eastAsia="zh-CN"/>
        </w:rPr>
        <w:t>其中对睦邻点</w:t>
      </w:r>
      <w:r>
        <w:rPr>
          <w:rFonts w:hint="eastAsia" w:cs="仿宋_GB2312"/>
          <w:b w:val="0"/>
          <w:bCs w:val="0"/>
          <w:kern w:val="1"/>
          <w:sz w:val="32"/>
          <w:szCs w:val="32"/>
          <w:lang w:val="en-US" w:eastAsia="zh-CN"/>
        </w:rPr>
        <w:t>有利于</w:t>
      </w:r>
      <w:r>
        <w:rPr>
          <w:rFonts w:hint="eastAsia" w:ascii="仿宋_GB2312" w:hAnsi="仿宋_GB2312" w:cs="仿宋_GB2312"/>
          <w:b w:val="0"/>
          <w:bCs w:val="0"/>
          <w:kern w:val="1"/>
          <w:sz w:val="32"/>
          <w:szCs w:val="32"/>
          <w:highlight w:val="none"/>
          <w:lang w:val="en-US" w:eastAsia="zh-CN"/>
        </w:rPr>
        <w:t>构建老年宜居社区</w:t>
      </w:r>
      <w:r>
        <w:rPr>
          <w:rFonts w:hint="eastAsia" w:ascii="仿宋_GB2312" w:hAnsi="仿宋_GB2312" w:cs="仿宋_GB2312"/>
          <w:b w:val="0"/>
          <w:bCs w:val="0"/>
          <w:kern w:val="1"/>
          <w:sz w:val="32"/>
          <w:szCs w:val="32"/>
          <w:lang w:val="en-US" w:eastAsia="zh-CN"/>
        </w:rPr>
        <w:t>持正面评价的比例为8</w:t>
      </w:r>
      <w:r>
        <w:rPr>
          <w:rFonts w:hint="eastAsia" w:cs="仿宋_GB2312"/>
          <w:b w:val="0"/>
          <w:bCs w:val="0"/>
          <w:kern w:val="1"/>
          <w:sz w:val="32"/>
          <w:szCs w:val="32"/>
          <w:lang w:val="en-US" w:eastAsia="zh-CN"/>
        </w:rPr>
        <w:t>3</w:t>
      </w:r>
      <w:r>
        <w:rPr>
          <w:rFonts w:hint="eastAsia" w:ascii="仿宋_GB2312" w:hAnsi="仿宋_GB2312" w:cs="仿宋_GB2312"/>
          <w:b w:val="0"/>
          <w:bCs w:val="0"/>
          <w:kern w:val="1"/>
          <w:sz w:val="32"/>
          <w:szCs w:val="32"/>
          <w:lang w:val="en-US" w:eastAsia="zh-CN"/>
        </w:rPr>
        <w:t>.5</w:t>
      </w:r>
      <w:r>
        <w:rPr>
          <w:rFonts w:hint="eastAsia" w:cs="仿宋_GB2312"/>
          <w:b w:val="0"/>
          <w:bCs w:val="0"/>
          <w:kern w:val="1"/>
          <w:sz w:val="32"/>
          <w:szCs w:val="32"/>
          <w:lang w:val="en-US" w:eastAsia="zh-CN"/>
        </w:rPr>
        <w:t>2</w:t>
      </w:r>
      <w:r>
        <w:rPr>
          <w:rFonts w:hint="eastAsia" w:ascii="仿宋_GB2312" w:hAnsi="仿宋_GB2312" w:cs="仿宋_GB2312"/>
          <w:b w:val="0"/>
          <w:bCs w:val="0"/>
          <w:kern w:val="1"/>
          <w:sz w:val="32"/>
          <w:szCs w:val="32"/>
          <w:lang w:val="en-US" w:eastAsia="zh-CN"/>
        </w:rPr>
        <w:t>%。</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1.35</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3</w:t>
      </w:r>
      <w:r>
        <w:rPr>
          <w:rFonts w:hint="eastAsia" w:ascii="仿宋_GB2312" w:hAnsi="仿宋_GB2312" w:cs="仿宋_GB2312"/>
          <w:b w:val="0"/>
          <w:bCs w:val="0"/>
          <w:kern w:val="1"/>
          <w:sz w:val="32"/>
          <w:szCs w:val="32"/>
          <w:lang w:val="en-US" w:eastAsia="zh-CN"/>
        </w:rPr>
        <w:t xml:space="preserve">1 项目长效管理制度健全性和执行有效性 </w:t>
      </w:r>
      <w:r>
        <w:rPr>
          <w:rFonts w:hint="eastAsia" w:ascii="仿宋_GB2312" w:hAnsi="仿宋_GB2312" w:eastAsia="仿宋_GB2312" w:cs="仿宋_GB2312"/>
          <w:b w:val="0"/>
          <w:bCs w:val="0"/>
          <w:kern w:val="1"/>
          <w:sz w:val="32"/>
          <w:szCs w:val="32"/>
          <w:lang w:val="en-US" w:eastAsia="zh-CN"/>
        </w:rPr>
        <w:t>权重</w:t>
      </w:r>
      <w:r>
        <w:rPr>
          <w:rFonts w:hint="eastAsia" w:ascii="仿宋_GB2312" w:hAnsi="仿宋_GB2312" w:cs="仿宋_GB2312"/>
          <w:b w:val="0"/>
          <w:bCs w:val="0"/>
          <w:kern w:val="1"/>
          <w:sz w:val="32"/>
          <w:szCs w:val="32"/>
          <w:lang w:val="en-US" w:eastAsia="zh-CN"/>
        </w:rPr>
        <w:t>3</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cs="仿宋_GB2312"/>
          <w:kern w:val="1"/>
          <w:sz w:val="32"/>
          <w:szCs w:val="32"/>
          <w:lang w:val="en-US" w:eastAsia="zh-CN"/>
        </w:rPr>
        <w:t>①失智老人项目由区红会从2013年起常态化组织救护师资志愿者对失智老人的家属、护工开展老年介护知识培训，提升老年护理水平；2020年，区红会结合历年的实施情况和老年人群体现状，对服务项目的准入条件进行了动态调整，对志愿服务进行规范和提升；项目长效管理机制健全且执行有效</w:t>
      </w:r>
      <w:r>
        <w:rPr>
          <w:rFonts w:hint="eastAsia" w:cs="仿宋_GB2312"/>
          <w:b w:val="0"/>
          <w:bCs w:val="0"/>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②</w:t>
      </w:r>
      <w:r>
        <w:rPr>
          <w:rFonts w:hint="eastAsia" w:cs="仿宋_GB2312"/>
          <w:b w:val="0"/>
          <w:bCs w:val="0"/>
          <w:kern w:val="1"/>
          <w:sz w:val="32"/>
          <w:szCs w:val="32"/>
          <w:lang w:val="en-US" w:eastAsia="zh-CN"/>
        </w:rPr>
        <w:t>示范睦邻点项目截至目前尚未出台区级层面对补贴发放后的使用规范、使用效益等方面的要求，结合评价组现场抽查调研情况发现，随机抽查的10家示范睦邻点的点长，8家不知晓相关补贴政策，各示范睦邻点的补贴资金或仍在乡镇一级，或在村居委一级，多数并未下沉至睦邻点使用，补贴效益暂未体现；项目</w:t>
      </w:r>
      <w:r>
        <w:rPr>
          <w:rFonts w:hint="eastAsia" w:cs="仿宋_GB2312"/>
          <w:kern w:val="1"/>
          <w:sz w:val="32"/>
          <w:szCs w:val="32"/>
          <w:lang w:val="en-US" w:eastAsia="zh-CN"/>
        </w:rPr>
        <w:t>长效管理机制不健全且执行不佳</w:t>
      </w:r>
      <w:r>
        <w:rPr>
          <w:rFonts w:hint="eastAsia" w:cs="仿宋_GB2312"/>
          <w:b w:val="0"/>
          <w:bCs w:val="0"/>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b w:val="0"/>
          <w:bCs w:val="0"/>
          <w:kern w:val="1"/>
          <w:sz w:val="32"/>
          <w:szCs w:val="32"/>
          <w:lang w:val="en-US" w:eastAsia="zh-CN"/>
        </w:rPr>
      </w:pPr>
      <w:r>
        <w:rPr>
          <w:rFonts w:hint="eastAsia" w:cs="仿宋_GB2312"/>
          <w:b w:val="0"/>
          <w:bCs w:val="0"/>
          <w:kern w:val="1"/>
          <w:sz w:val="32"/>
          <w:szCs w:val="32"/>
          <w:lang w:val="en-US" w:eastAsia="zh-CN"/>
        </w:rPr>
        <w:t>③</w:t>
      </w: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项目截至目前尚未出台区级层面对获补贴中心的后续开放情况、运营质量、成果等方面的要求，且2022年度获补贴的建设镇旭升分中心至今未实现正常运营；项目</w:t>
      </w:r>
      <w:r>
        <w:rPr>
          <w:rFonts w:hint="eastAsia" w:cs="仿宋_GB2312"/>
          <w:kern w:val="1"/>
          <w:sz w:val="32"/>
          <w:szCs w:val="32"/>
          <w:lang w:val="en-US" w:eastAsia="zh-CN"/>
        </w:rPr>
        <w:t>长效管理机制不健全且执行不佳</w:t>
      </w:r>
      <w:r>
        <w:rPr>
          <w:rFonts w:hint="eastAsia" w:cs="仿宋_GB2312"/>
          <w:b w:val="0"/>
          <w:bCs w:val="0"/>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b w:val="0"/>
          <w:bCs w:val="0"/>
          <w:kern w:val="1"/>
          <w:sz w:val="32"/>
          <w:szCs w:val="32"/>
          <w:lang w:val="en-US" w:eastAsia="zh-CN"/>
        </w:rPr>
      </w:pPr>
      <w:r>
        <w:rPr>
          <w:rFonts w:hint="eastAsia" w:cs="仿宋_GB2312"/>
          <w:b w:val="0"/>
          <w:bCs w:val="0"/>
          <w:kern w:val="1"/>
          <w:sz w:val="32"/>
          <w:szCs w:val="32"/>
          <w:lang w:val="en-US" w:eastAsia="zh-CN"/>
        </w:rPr>
        <w:t>④养老机构责任险项目由市民政局牵头主导，市民政局将根据历年机构投保和出险理赔等情况，综合衡量项目实施效益及是否继续开展，确保项目长期效益在合理水平；</w:t>
      </w:r>
      <w:r>
        <w:rPr>
          <w:rFonts w:hint="eastAsia" w:cs="仿宋_GB2312"/>
          <w:kern w:val="1"/>
          <w:sz w:val="32"/>
          <w:szCs w:val="32"/>
          <w:lang w:val="en-US" w:eastAsia="zh-CN"/>
        </w:rPr>
        <w:t>项目长效管理机制健全且执行有效</w:t>
      </w:r>
      <w:r>
        <w:rPr>
          <w:rFonts w:hint="eastAsia" w:cs="仿宋_GB2312"/>
          <w:b w:val="0"/>
          <w:bCs w:val="0"/>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cs="仿宋_GB2312"/>
          <w:b w:val="0"/>
          <w:bCs w:val="0"/>
          <w:kern w:val="1"/>
          <w:sz w:val="32"/>
          <w:szCs w:val="32"/>
          <w:lang w:val="en-US" w:eastAsia="zh-CN"/>
        </w:rPr>
        <w:t>综上，</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32</w:t>
      </w:r>
      <w:r>
        <w:rPr>
          <w:rFonts w:hint="eastAsia" w:ascii="仿宋_GB2312" w:hAnsi="仿宋_GB2312" w:cs="仿宋_GB2312"/>
          <w:b w:val="0"/>
          <w:bCs w:val="0"/>
          <w:kern w:val="1"/>
          <w:sz w:val="32"/>
          <w:szCs w:val="32"/>
          <w:lang w:val="en-US" w:eastAsia="zh-CN"/>
        </w:rPr>
        <w:t xml:space="preserve"> 福彩公益金资助标识设置率 </w:t>
      </w:r>
      <w:r>
        <w:rPr>
          <w:rFonts w:hint="eastAsia" w:ascii="仿宋_GB2312" w:hAnsi="仿宋_GB2312" w:eastAsia="仿宋_GB2312" w:cs="仿宋_GB2312"/>
          <w:b w:val="0"/>
          <w:bCs w:val="0"/>
          <w:kern w:val="1"/>
          <w:sz w:val="32"/>
          <w:szCs w:val="32"/>
          <w:lang w:val="en-US" w:eastAsia="zh-CN"/>
        </w:rPr>
        <w:t>权重</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0</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根据评价组的实地踏勘结果，抽查的2021年获补贴的10家示范睦邻点和1家</w:t>
      </w: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中，无一按照</w:t>
      </w:r>
      <w:r>
        <w:rPr>
          <w:rFonts w:hint="eastAsia"/>
          <w:sz w:val="32"/>
          <w:szCs w:val="32"/>
          <w:lang w:val="en-US" w:eastAsia="zh-CN"/>
        </w:rPr>
        <w:t>《上海市崇明区区级福利彩票公益金使用管理办法》的规定，在建筑或设施的显眼处规范设置</w:t>
      </w:r>
      <w:r>
        <w:rPr>
          <w:rFonts w:hint="eastAsia" w:ascii="仿宋_GB2312" w:hAnsi="仿宋_GB2312" w:cs="仿宋_GB2312"/>
          <w:b w:val="0"/>
          <w:bCs w:val="0"/>
          <w:kern w:val="1"/>
          <w:sz w:val="32"/>
          <w:szCs w:val="32"/>
          <w:lang w:val="en-US" w:eastAsia="zh-CN"/>
        </w:rPr>
        <w:t>福彩公益金资助标识</w:t>
      </w:r>
      <w:r>
        <w:rPr>
          <w:rFonts w:hint="eastAsia" w:cs="仿宋_GB2312"/>
          <w:b w:val="0"/>
          <w:bCs w:val="0"/>
          <w:kern w:val="1"/>
          <w:sz w:val="32"/>
          <w:szCs w:val="32"/>
          <w:lang w:val="en-US" w:eastAsia="zh-CN"/>
        </w:rPr>
        <w:t>，</w:t>
      </w:r>
      <w:r>
        <w:rPr>
          <w:rFonts w:hint="eastAsia" w:ascii="仿宋_GB2312" w:hAnsi="仿宋_GB2312" w:cs="仿宋_GB2312"/>
          <w:b w:val="0"/>
          <w:bCs w:val="0"/>
          <w:kern w:val="1"/>
          <w:sz w:val="32"/>
          <w:szCs w:val="32"/>
          <w:lang w:val="en-US" w:eastAsia="zh-CN"/>
        </w:rPr>
        <w:t>福彩公益金资助标识设置率</w:t>
      </w:r>
      <w:r>
        <w:rPr>
          <w:rFonts w:hint="eastAsia" w:cs="仿宋_GB2312"/>
          <w:b w:val="0"/>
          <w:bCs w:val="0"/>
          <w:kern w:val="1"/>
          <w:sz w:val="32"/>
          <w:szCs w:val="32"/>
          <w:lang w:val="en-US" w:eastAsia="zh-CN"/>
        </w:rPr>
        <w:t>为0%；</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0</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33</w:t>
      </w:r>
      <w:r>
        <w:rPr>
          <w:rFonts w:hint="eastAsia" w:ascii="仿宋_GB2312" w:hAnsi="仿宋_GB2312" w:cs="仿宋_GB2312"/>
          <w:b w:val="0"/>
          <w:bCs w:val="0"/>
          <w:kern w:val="1"/>
          <w:sz w:val="32"/>
          <w:szCs w:val="32"/>
          <w:lang w:val="en-US" w:eastAsia="zh-CN"/>
        </w:rPr>
        <w:t xml:space="preserve"> 补贴退出机制健全性 </w:t>
      </w:r>
      <w:r>
        <w:rPr>
          <w:rFonts w:hint="eastAsia" w:ascii="仿宋_GB2312" w:hAnsi="仿宋_GB2312" w:eastAsia="仿宋_GB2312" w:cs="仿宋_GB2312"/>
          <w:b w:val="0"/>
          <w:bCs w:val="0"/>
          <w:kern w:val="1"/>
          <w:sz w:val="32"/>
          <w:szCs w:val="32"/>
          <w:lang w:val="en-US" w:eastAsia="zh-CN"/>
        </w:rPr>
        <w:t>权重</w:t>
      </w:r>
      <w:r>
        <w:rPr>
          <w:rFonts w:hint="eastAsia"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失智老人护理用品项目的补贴退出机制</w:t>
      </w:r>
      <w:r>
        <w:rPr>
          <w:rFonts w:hint="eastAsia" w:cs="仿宋_GB2312"/>
          <w:b w:val="0"/>
          <w:bCs w:val="0"/>
          <w:kern w:val="1"/>
          <w:sz w:val="32"/>
          <w:szCs w:val="32"/>
          <w:lang w:val="en-US" w:eastAsia="zh-CN"/>
        </w:rPr>
        <w:t>在项目管理内容段有阐述</w:t>
      </w:r>
      <w:r>
        <w:rPr>
          <w:rFonts w:hint="eastAsia" w:hAnsi="仿宋"/>
          <w:sz w:val="32"/>
          <w:szCs w:val="32"/>
          <w:lang w:val="en-US" w:eastAsia="zh-CN"/>
        </w:rPr>
        <w:t>，补贴退出</w:t>
      </w:r>
      <w:r>
        <w:rPr>
          <w:rFonts w:hint="eastAsia" w:cs="仿宋_GB2312"/>
          <w:b w:val="0"/>
          <w:bCs w:val="0"/>
          <w:kern w:val="1"/>
          <w:sz w:val="32"/>
          <w:szCs w:val="32"/>
          <w:lang w:val="en-US" w:eastAsia="zh-CN"/>
        </w:rPr>
        <w:t>机制健全，</w:t>
      </w:r>
      <w:r>
        <w:rPr>
          <w:rFonts w:hint="eastAsia" w:ascii="仿宋_GB2312" w:hAnsi="仿宋_GB2312" w:cs="仿宋_GB2312"/>
          <w:b w:val="0"/>
          <w:bCs w:val="0"/>
          <w:kern w:val="1"/>
          <w:sz w:val="32"/>
          <w:szCs w:val="32"/>
          <w:lang w:val="en-US" w:eastAsia="zh-CN"/>
        </w:rPr>
        <w:t>本项指标得</w:t>
      </w:r>
      <w:r>
        <w:rPr>
          <w:rFonts w:hint="eastAsia" w:cs="仿宋_GB2312"/>
          <w:b w:val="0"/>
          <w:bCs w:val="0"/>
          <w:kern w:val="1"/>
          <w:sz w:val="32"/>
          <w:szCs w:val="32"/>
          <w:lang w:val="en-US" w:eastAsia="zh-CN"/>
        </w:rPr>
        <w:t>满</w:t>
      </w:r>
      <w:r>
        <w:rPr>
          <w:rFonts w:hint="eastAsia" w:ascii="仿宋_GB2312" w:hAnsi="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highlight w:val="none"/>
          <w:lang w:val="en-US" w:eastAsia="zh-CN"/>
        </w:rPr>
      </w:pPr>
      <w:r>
        <w:rPr>
          <w:rFonts w:hint="eastAsia" w:ascii="仿宋_GB2312" w:hAnsi="仿宋_GB2312" w:cs="仿宋_GB2312"/>
          <w:b w:val="0"/>
          <w:bCs w:val="0"/>
          <w:kern w:val="1"/>
          <w:sz w:val="32"/>
          <w:szCs w:val="32"/>
          <w:highlight w:val="none"/>
          <w:lang w:val="en-US" w:eastAsia="zh-CN"/>
        </w:rPr>
        <w:t>D</w:t>
      </w:r>
      <w:r>
        <w:rPr>
          <w:rFonts w:hint="eastAsia" w:cs="仿宋_GB2312"/>
          <w:b w:val="0"/>
          <w:bCs w:val="0"/>
          <w:kern w:val="1"/>
          <w:sz w:val="32"/>
          <w:szCs w:val="32"/>
          <w:highlight w:val="none"/>
          <w:lang w:val="en-US" w:eastAsia="zh-CN"/>
        </w:rPr>
        <w:t>3</w:t>
      </w:r>
      <w:r>
        <w:rPr>
          <w:rFonts w:hint="eastAsia" w:ascii="仿宋_GB2312" w:hAnsi="仿宋_GB2312" w:cs="仿宋_GB2312"/>
          <w:b w:val="0"/>
          <w:bCs w:val="0"/>
          <w:kern w:val="1"/>
          <w:sz w:val="32"/>
          <w:szCs w:val="32"/>
          <w:highlight w:val="none"/>
          <w:lang w:val="en-US" w:eastAsia="zh-CN"/>
        </w:rPr>
        <w:t xml:space="preserve">4 </w:t>
      </w:r>
      <w:r>
        <w:rPr>
          <w:rFonts w:hint="eastAsia" w:cs="仿宋_GB2312"/>
          <w:b w:val="0"/>
          <w:bCs w:val="0"/>
          <w:kern w:val="1"/>
          <w:sz w:val="32"/>
          <w:szCs w:val="32"/>
          <w:highlight w:val="none"/>
          <w:lang w:val="en-US" w:eastAsia="zh-CN"/>
        </w:rPr>
        <w:t>示范睦邻点综合使用率</w:t>
      </w:r>
      <w:r>
        <w:rPr>
          <w:rFonts w:hint="eastAsia" w:ascii="仿宋_GB2312" w:hAnsi="仿宋_GB2312" w:cs="仿宋_GB2312"/>
          <w:b w:val="0"/>
          <w:bCs w:val="0"/>
          <w:kern w:val="1"/>
          <w:sz w:val="32"/>
          <w:szCs w:val="32"/>
          <w:highlight w:val="none"/>
          <w:lang w:val="en-US" w:eastAsia="zh-CN"/>
        </w:rPr>
        <w:t xml:space="preserve"> </w:t>
      </w:r>
      <w:r>
        <w:rPr>
          <w:rFonts w:hint="eastAsia" w:ascii="仿宋_GB2312" w:hAnsi="仿宋_GB2312" w:eastAsia="仿宋_GB2312" w:cs="仿宋_GB2312"/>
          <w:b w:val="0"/>
          <w:bCs w:val="0"/>
          <w:kern w:val="1"/>
          <w:sz w:val="32"/>
          <w:szCs w:val="32"/>
          <w:highlight w:val="none"/>
          <w:lang w:val="en-US" w:eastAsia="zh-CN"/>
        </w:rPr>
        <w:t>权重</w:t>
      </w:r>
      <w:r>
        <w:rPr>
          <w:rFonts w:hint="eastAsia" w:ascii="仿宋_GB2312" w:hAnsi="仿宋_GB2312" w:cs="仿宋_GB2312"/>
          <w:b w:val="0"/>
          <w:bCs w:val="0"/>
          <w:kern w:val="1"/>
          <w:sz w:val="32"/>
          <w:szCs w:val="32"/>
          <w:highlight w:val="none"/>
          <w:lang w:val="en-US" w:eastAsia="zh-CN"/>
        </w:rPr>
        <w:t>1</w:t>
      </w:r>
      <w:r>
        <w:rPr>
          <w:rFonts w:hint="eastAsia" w:ascii="仿宋_GB2312" w:hAnsi="仿宋_GB2312" w:eastAsia="仿宋_GB2312" w:cs="仿宋_GB2312"/>
          <w:b w:val="0"/>
          <w:bCs w:val="0"/>
          <w:kern w:val="1"/>
          <w:sz w:val="32"/>
          <w:szCs w:val="32"/>
          <w:highlight w:val="none"/>
          <w:lang w:val="en-US" w:eastAsia="zh-CN"/>
        </w:rPr>
        <w:t>分，得分</w:t>
      </w:r>
      <w:r>
        <w:rPr>
          <w:rFonts w:hint="eastAsia" w:cs="仿宋_GB2312"/>
          <w:b w:val="0"/>
          <w:bCs w:val="0"/>
          <w:kern w:val="1"/>
          <w:sz w:val="32"/>
          <w:szCs w:val="32"/>
          <w:highlight w:val="none"/>
          <w:lang w:val="en-US" w:eastAsia="zh-CN"/>
        </w:rPr>
        <w:t>0.57</w:t>
      </w:r>
      <w:r>
        <w:rPr>
          <w:rFonts w:hint="eastAsia" w:ascii="仿宋_GB2312" w:hAnsi="仿宋_GB2312" w:eastAsia="仿宋_GB2312" w:cs="仿宋_GB2312"/>
          <w:b w:val="0"/>
          <w:bCs w:val="0"/>
          <w:kern w:val="1"/>
          <w:sz w:val="32"/>
          <w:szCs w:val="32"/>
          <w:highlight w:val="none"/>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评价组抽查的10家睦邻点中，接受问卷调查的睦邻点周边随机居民</w:t>
      </w:r>
      <w:r>
        <w:rPr>
          <w:rFonts w:hint="eastAsia" w:cs="仿宋_GB2312"/>
          <w:b w:val="0"/>
          <w:bCs w:val="0"/>
          <w:kern w:val="1"/>
          <w:sz w:val="32"/>
          <w:szCs w:val="32"/>
          <w:lang w:val="en-US" w:eastAsia="zh-CN"/>
        </w:rPr>
        <w:t>共计92名，</w:t>
      </w:r>
      <w:r>
        <w:rPr>
          <w:rFonts w:hint="eastAsia" w:cs="仿宋_GB2312"/>
          <w:b w:val="0"/>
          <w:bCs w:val="0"/>
          <w:kern w:val="1"/>
          <w:sz w:val="32"/>
          <w:szCs w:val="32"/>
          <w:highlight w:val="none"/>
          <w:lang w:val="en-US" w:eastAsia="zh-CN"/>
        </w:rPr>
        <w:t>其中表示去过睦邻点参加相关活动的人数占比</w:t>
      </w:r>
      <w:r>
        <w:rPr>
          <w:rFonts w:hint="eastAsia" w:ascii="仿宋_GB2312" w:hAnsi="仿宋_GB2312" w:cs="仿宋_GB2312"/>
          <w:b w:val="0"/>
          <w:bCs w:val="0"/>
          <w:kern w:val="1"/>
          <w:sz w:val="32"/>
          <w:szCs w:val="32"/>
          <w:highlight w:val="none"/>
          <w:lang w:val="en-US" w:eastAsia="zh-CN"/>
        </w:rPr>
        <w:t>为</w:t>
      </w:r>
      <w:r>
        <w:rPr>
          <w:rFonts w:hint="eastAsia" w:cs="仿宋_GB2312"/>
          <w:b w:val="0"/>
          <w:bCs w:val="0"/>
          <w:kern w:val="1"/>
          <w:sz w:val="32"/>
          <w:szCs w:val="32"/>
          <w:highlight w:val="none"/>
          <w:lang w:val="en-US" w:eastAsia="zh-CN"/>
        </w:rPr>
        <w:t>45.65</w:t>
      </w:r>
      <w:r>
        <w:rPr>
          <w:rFonts w:hint="eastAsia" w:ascii="仿宋_GB2312" w:hAnsi="仿宋_GB2312" w:cs="仿宋_GB2312"/>
          <w:b w:val="0"/>
          <w:bCs w:val="0"/>
          <w:kern w:val="1"/>
          <w:sz w:val="32"/>
          <w:szCs w:val="32"/>
          <w:highlight w:val="none"/>
          <w:lang w:val="en-US" w:eastAsia="zh-CN"/>
        </w:rPr>
        <w:t>%，</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0.57</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35</w:t>
      </w:r>
      <w:r>
        <w:rPr>
          <w:rFonts w:hint="eastAsia" w:ascii="仿宋_GB2312" w:hAnsi="仿宋_GB2312" w:cs="仿宋_GB2312"/>
          <w:b w:val="0"/>
          <w:bCs w:val="0"/>
          <w:kern w:val="1"/>
          <w:sz w:val="32"/>
          <w:szCs w:val="32"/>
          <w:lang w:val="en-US" w:eastAsia="zh-CN"/>
        </w:rPr>
        <w:t xml:space="preserve"> 信息公开规范性 </w:t>
      </w:r>
      <w:r>
        <w:rPr>
          <w:rFonts w:hint="eastAsia" w:ascii="仿宋_GB2312" w:hAnsi="仿宋_GB2312" w:eastAsia="仿宋_GB2312" w:cs="仿宋_GB2312"/>
          <w:b w:val="0"/>
          <w:bCs w:val="0"/>
          <w:kern w:val="1"/>
          <w:sz w:val="32"/>
          <w:szCs w:val="32"/>
          <w:lang w:val="en-US" w:eastAsia="zh-CN"/>
        </w:rPr>
        <w:t>权重</w:t>
      </w:r>
      <w:r>
        <w:rPr>
          <w:rFonts w:hint="eastAsia" w:ascii="仿宋_GB2312" w:hAnsi="仿宋_GB2312"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分，得分</w:t>
      </w:r>
      <w:r>
        <w:rPr>
          <w:rFonts w:hint="eastAsia" w:ascii="仿宋_GB2312" w:hAnsi="仿宋_GB2312"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根据《上海市民政局彩票公益金使用管理信息公开办法（试行）》（沪民计发〔2019〕10号）要求，每年6月底前，各区民政局应通过本单位网站或区人民政府网站，通过开辟彩票公益金信息公开专栏的形式，将上一年度市级彩票公益金转移支付资金和区级彩票公益金使用管理信息向社会公告。</w:t>
      </w:r>
      <w:r>
        <w:rPr>
          <w:rFonts w:hint="eastAsia" w:cs="仿宋_GB2312"/>
          <w:b w:val="0"/>
          <w:bCs w:val="0"/>
          <w:kern w:val="1"/>
          <w:sz w:val="32"/>
          <w:szCs w:val="32"/>
          <w:lang w:val="en-US" w:eastAsia="zh-CN"/>
        </w:rPr>
        <w:t>崇明区政府门户网站上可查询到历年</w:t>
      </w:r>
      <w:r>
        <w:rPr>
          <w:rFonts w:hint="eastAsia" w:ascii="仿宋_GB2312" w:hAnsi="仿宋_GB2312" w:cs="仿宋_GB2312"/>
          <w:b w:val="0"/>
          <w:bCs w:val="0"/>
          <w:kern w:val="1"/>
          <w:sz w:val="32"/>
          <w:szCs w:val="32"/>
          <w:lang w:val="en-US" w:eastAsia="zh-CN"/>
        </w:rPr>
        <w:t>区级彩票公益金使用</w:t>
      </w:r>
      <w:r>
        <w:rPr>
          <w:rFonts w:hint="eastAsia" w:cs="仿宋_GB2312"/>
          <w:b w:val="0"/>
          <w:bCs w:val="0"/>
          <w:kern w:val="1"/>
          <w:sz w:val="32"/>
          <w:szCs w:val="32"/>
          <w:lang w:val="en-US" w:eastAsia="zh-CN"/>
        </w:rPr>
        <w:t>情况的公开信息</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公开时间均为每年6月份，</w:t>
      </w:r>
      <w:r>
        <w:rPr>
          <w:rFonts w:hint="eastAsia" w:ascii="仿宋_GB2312" w:hAnsi="仿宋_GB2312" w:cs="仿宋_GB2312"/>
          <w:b w:val="0"/>
          <w:bCs w:val="0"/>
          <w:kern w:val="1"/>
          <w:sz w:val="32"/>
          <w:szCs w:val="32"/>
          <w:lang w:val="en-US" w:eastAsia="zh-CN"/>
        </w:rPr>
        <w:t>信息公开规范，本项指标得满分。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4</w:t>
      </w:r>
      <w:r>
        <w:rPr>
          <w:rFonts w:hint="eastAsia" w:ascii="仿宋_GB2312" w:hAnsi="仿宋_GB2312" w:cs="仿宋_GB2312"/>
          <w:b w:val="0"/>
          <w:bCs w:val="0"/>
          <w:kern w:val="1"/>
          <w:sz w:val="32"/>
          <w:szCs w:val="32"/>
          <w:lang w:val="en-US" w:eastAsia="zh-CN"/>
        </w:rPr>
        <w:t xml:space="preserve">1 受益人员对护理用品发放项目的综合满意度 </w:t>
      </w:r>
      <w:r>
        <w:rPr>
          <w:rFonts w:hint="eastAsia" w:ascii="仿宋_GB2312" w:hAnsi="仿宋_GB2312" w:eastAsia="仿宋_GB2312" w:cs="仿宋_GB2312"/>
          <w:b w:val="0"/>
          <w:bCs w:val="0"/>
          <w:kern w:val="1"/>
          <w:sz w:val="32"/>
          <w:szCs w:val="32"/>
          <w:lang w:val="en-US" w:eastAsia="zh-CN"/>
        </w:rPr>
        <w:t>权重</w:t>
      </w:r>
      <w:r>
        <w:rPr>
          <w:rFonts w:hint="eastAsia" w:cs="仿宋_GB2312"/>
          <w:b w:val="0"/>
          <w:bCs w:val="0"/>
          <w:kern w:val="1"/>
          <w:sz w:val="32"/>
          <w:szCs w:val="32"/>
          <w:lang w:val="en-US" w:eastAsia="zh-CN"/>
        </w:rPr>
        <w:t>4</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4</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ascii="仿宋_GB2312" w:hAnsi="仿宋_GB2312" w:cs="仿宋_GB2312"/>
          <w:b w:val="0"/>
          <w:bCs w:val="0"/>
          <w:kern w:val="1"/>
          <w:sz w:val="32"/>
          <w:szCs w:val="32"/>
          <w:highlight w:val="none"/>
          <w:lang w:val="en-US" w:eastAsia="zh-CN"/>
        </w:rPr>
        <w:t>根据评价组的问卷调查结果分析，</w:t>
      </w:r>
      <w:r>
        <w:rPr>
          <w:rFonts w:hint="eastAsia" w:cs="仿宋_GB2312"/>
          <w:b w:val="0"/>
          <w:bCs w:val="0"/>
          <w:kern w:val="1"/>
          <w:sz w:val="32"/>
          <w:szCs w:val="32"/>
          <w:highlight w:val="none"/>
          <w:lang w:val="en-US" w:eastAsia="zh-CN"/>
        </w:rPr>
        <w:t>接受问卷调查的166名受益老人家人对本项目从“补贴申请的便捷性”“护理用品配送的及时性”“护理用品的质量”和“志愿者的服务”4个维度进行满意度评价</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综合满意度为97.9%，</w:t>
      </w:r>
      <w:r>
        <w:rPr>
          <w:rFonts w:hint="eastAsia" w:ascii="仿宋_GB2312" w:hAnsi="仿宋_GB2312" w:cs="仿宋_GB2312"/>
          <w:b w:val="0"/>
          <w:bCs w:val="0"/>
          <w:kern w:val="1"/>
          <w:sz w:val="32"/>
          <w:szCs w:val="32"/>
          <w:lang w:val="en-US" w:eastAsia="zh-CN"/>
        </w:rPr>
        <w:t>依据评分标准，本项得</w:t>
      </w:r>
      <w:r>
        <w:rPr>
          <w:rFonts w:hint="eastAsia" w:cs="仿宋_GB2312"/>
          <w:b w:val="0"/>
          <w:bCs w:val="0"/>
          <w:kern w:val="1"/>
          <w:sz w:val="32"/>
          <w:szCs w:val="32"/>
          <w:lang w:val="en-US" w:eastAsia="zh-CN"/>
        </w:rPr>
        <w:t>满</w:t>
      </w:r>
      <w:r>
        <w:rPr>
          <w:rFonts w:hint="eastAsia" w:ascii="仿宋_GB2312" w:hAnsi="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42</w:t>
      </w:r>
      <w:r>
        <w:rPr>
          <w:rFonts w:hint="eastAsia" w:ascii="仿宋_GB2312" w:hAnsi="仿宋_GB2312" w:cs="仿宋_GB2312"/>
          <w:b w:val="0"/>
          <w:bCs w:val="0"/>
          <w:kern w:val="1"/>
          <w:sz w:val="32"/>
          <w:szCs w:val="32"/>
          <w:lang w:val="en-US" w:eastAsia="zh-CN"/>
        </w:rPr>
        <w:t xml:space="preserve"> 受益人员对示范睦邻点的综合满意度 </w:t>
      </w:r>
      <w:r>
        <w:rPr>
          <w:rFonts w:hint="eastAsia" w:ascii="仿宋_GB2312" w:hAnsi="仿宋_GB2312" w:eastAsia="仿宋_GB2312" w:cs="仿宋_GB2312"/>
          <w:b w:val="0"/>
          <w:bCs w:val="0"/>
          <w:kern w:val="1"/>
          <w:sz w:val="32"/>
          <w:szCs w:val="32"/>
          <w:lang w:val="en-US" w:eastAsia="zh-CN"/>
        </w:rPr>
        <w:t>权重</w:t>
      </w:r>
      <w:r>
        <w:rPr>
          <w:rFonts w:hint="eastAsia" w:cs="仿宋_GB2312"/>
          <w:b w:val="0"/>
          <w:bCs w:val="0"/>
          <w:kern w:val="1"/>
          <w:sz w:val="32"/>
          <w:szCs w:val="32"/>
          <w:lang w:val="en-US" w:eastAsia="zh-CN"/>
        </w:rPr>
        <w:t>4</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4</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b w:val="0"/>
          <w:bCs w:val="0"/>
          <w:kern w:val="1"/>
          <w:sz w:val="32"/>
          <w:szCs w:val="32"/>
          <w:lang w:val="en-US" w:eastAsia="zh-CN"/>
        </w:rPr>
      </w:pPr>
      <w:r>
        <w:rPr>
          <w:rFonts w:hint="eastAsia" w:ascii="仿宋_GB2312" w:hAnsi="仿宋_GB2312" w:cs="仿宋_GB2312"/>
          <w:b w:val="0"/>
          <w:bCs w:val="0"/>
          <w:kern w:val="1"/>
          <w:sz w:val="32"/>
          <w:szCs w:val="32"/>
          <w:highlight w:val="none"/>
          <w:lang w:val="en-US" w:eastAsia="zh-CN"/>
        </w:rPr>
        <w:t>根据评价组的问卷调查结果分析，</w:t>
      </w:r>
      <w:r>
        <w:rPr>
          <w:rFonts w:hint="eastAsia" w:ascii="仿宋_GB2312" w:hAnsi="仿宋_GB2312" w:cs="仿宋_GB2312"/>
          <w:b w:val="0"/>
          <w:bCs w:val="0"/>
          <w:kern w:val="1"/>
          <w:sz w:val="32"/>
          <w:szCs w:val="32"/>
          <w:lang w:val="en-US" w:eastAsia="zh-CN"/>
        </w:rPr>
        <w:t>评价组抽查的10家睦邻点中，</w:t>
      </w:r>
      <w:r>
        <w:rPr>
          <w:rFonts w:hint="eastAsia" w:cs="仿宋_GB2312"/>
          <w:b w:val="0"/>
          <w:bCs w:val="0"/>
          <w:kern w:val="1"/>
          <w:sz w:val="32"/>
          <w:szCs w:val="32"/>
          <w:highlight w:val="none"/>
          <w:lang w:val="en-US" w:eastAsia="zh-CN"/>
        </w:rPr>
        <w:t>接受问卷调查的参与睦邻点活动的老人共计57位，他们对本项目从“硬件是否完备”“环境是否热闹”“活动是否丰富”和“位置是否便利”4个维度进行满意度评价</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综合满意度为93.9%，</w:t>
      </w:r>
      <w:r>
        <w:rPr>
          <w:rFonts w:hint="eastAsia" w:ascii="仿宋_GB2312" w:hAnsi="仿宋_GB2312" w:cs="仿宋_GB2312"/>
          <w:b w:val="0"/>
          <w:bCs w:val="0"/>
          <w:kern w:val="1"/>
          <w:sz w:val="32"/>
          <w:szCs w:val="32"/>
          <w:lang w:val="en-US" w:eastAsia="zh-CN"/>
        </w:rPr>
        <w:t>依据评分标准，本项得</w:t>
      </w:r>
      <w:r>
        <w:rPr>
          <w:rFonts w:hint="eastAsia" w:cs="仿宋_GB2312"/>
          <w:b w:val="0"/>
          <w:bCs w:val="0"/>
          <w:kern w:val="1"/>
          <w:sz w:val="32"/>
          <w:szCs w:val="32"/>
          <w:lang w:val="en-US" w:eastAsia="zh-CN"/>
        </w:rPr>
        <w:t>满</w:t>
      </w:r>
      <w:r>
        <w:rPr>
          <w:rFonts w:hint="eastAsia" w:ascii="仿宋_GB2312" w:hAnsi="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43</w:t>
      </w:r>
      <w:r>
        <w:rPr>
          <w:rFonts w:hint="eastAsia" w:ascii="仿宋_GB2312" w:hAnsi="仿宋_GB2312" w:cs="仿宋_GB2312"/>
          <w:b w:val="0"/>
          <w:bCs w:val="0"/>
          <w:kern w:val="1"/>
          <w:sz w:val="32"/>
          <w:szCs w:val="32"/>
          <w:lang w:val="en-US" w:eastAsia="zh-CN"/>
        </w:rPr>
        <w:t xml:space="preserve"> 受益养老机构对投保综合责任保险的满意度 </w:t>
      </w:r>
      <w:r>
        <w:rPr>
          <w:rFonts w:hint="eastAsia" w:ascii="仿宋_GB2312" w:hAnsi="仿宋_GB2312" w:eastAsia="仿宋_GB2312" w:cs="仿宋_GB2312"/>
          <w:b w:val="0"/>
          <w:bCs w:val="0"/>
          <w:kern w:val="1"/>
          <w:sz w:val="32"/>
          <w:szCs w:val="32"/>
          <w:lang w:val="en-US" w:eastAsia="zh-CN"/>
        </w:rPr>
        <w:t>权重</w:t>
      </w:r>
      <w:r>
        <w:rPr>
          <w:rFonts w:hint="eastAsia" w:cs="仿宋_GB2312"/>
          <w:b w:val="0"/>
          <w:bCs w:val="0"/>
          <w:kern w:val="1"/>
          <w:sz w:val="32"/>
          <w:szCs w:val="32"/>
          <w:lang w:val="en-US" w:eastAsia="zh-CN"/>
        </w:rPr>
        <w:t>4</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4</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highlight w:val="none"/>
          <w:lang w:val="en-US" w:eastAsia="zh-CN"/>
        </w:rPr>
        <w:t>根据评价组的问卷调查结果分析，</w:t>
      </w:r>
      <w:r>
        <w:rPr>
          <w:rFonts w:hint="eastAsia" w:ascii="仿宋_GB2312" w:hAnsi="仿宋_GB2312" w:cs="仿宋_GB2312"/>
          <w:b w:val="0"/>
          <w:bCs w:val="0"/>
          <w:kern w:val="1"/>
          <w:sz w:val="32"/>
          <w:szCs w:val="32"/>
          <w:lang w:val="en-US" w:eastAsia="zh-CN"/>
        </w:rPr>
        <w:t>评价组抽查的</w:t>
      </w:r>
      <w:r>
        <w:rPr>
          <w:rFonts w:hint="eastAsia" w:cs="仿宋_GB2312"/>
          <w:b w:val="0"/>
          <w:bCs w:val="0"/>
          <w:kern w:val="1"/>
          <w:sz w:val="32"/>
          <w:szCs w:val="32"/>
          <w:lang w:val="en-US" w:eastAsia="zh-CN"/>
        </w:rPr>
        <w:t>20家养老机构中，</w:t>
      </w:r>
      <w:r>
        <w:rPr>
          <w:rFonts w:hint="eastAsia" w:cs="仿宋_GB2312"/>
          <w:b w:val="0"/>
          <w:bCs w:val="0"/>
          <w:kern w:val="1"/>
          <w:sz w:val="32"/>
          <w:szCs w:val="32"/>
          <w:highlight w:val="none"/>
          <w:lang w:val="en-US" w:eastAsia="zh-CN"/>
        </w:rPr>
        <w:t>对本项目从“理赔服务”“续保便捷性”“保额是否充足”和“保费是否合理”4个维度进行满意度评价</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综合满意度为98.9%，</w:t>
      </w:r>
      <w:r>
        <w:rPr>
          <w:rFonts w:hint="eastAsia" w:ascii="仿宋_GB2312" w:hAnsi="仿宋_GB2312" w:cs="仿宋_GB2312"/>
          <w:b w:val="0"/>
          <w:bCs w:val="0"/>
          <w:kern w:val="1"/>
          <w:sz w:val="32"/>
          <w:szCs w:val="32"/>
          <w:lang w:val="en-US" w:eastAsia="zh-CN"/>
        </w:rPr>
        <w:t>依据评分标准，本项得</w:t>
      </w:r>
      <w:r>
        <w:rPr>
          <w:rFonts w:hint="eastAsia" w:cs="仿宋_GB2312"/>
          <w:b w:val="0"/>
          <w:bCs w:val="0"/>
          <w:kern w:val="1"/>
          <w:sz w:val="32"/>
          <w:szCs w:val="32"/>
          <w:lang w:val="en-US" w:eastAsia="zh-CN"/>
        </w:rPr>
        <w:t>满</w:t>
      </w:r>
      <w:r>
        <w:rPr>
          <w:rFonts w:hint="eastAsia" w:ascii="仿宋_GB2312" w:hAnsi="仿宋_GB2312" w:cs="仿宋_GB2312"/>
          <w:b w:val="0"/>
          <w:bCs w:val="0"/>
          <w:kern w:val="1"/>
          <w:sz w:val="32"/>
          <w:szCs w:val="32"/>
          <w:lang w:val="en-US" w:eastAsia="zh-CN"/>
        </w:rPr>
        <w:t>分。</w:t>
      </w:r>
    </w:p>
    <w:p>
      <w:pPr>
        <w:ind w:firstLine="560"/>
        <w:contextualSpacing w:val="0"/>
        <w:rPr>
          <w:rFonts w:hAnsi="Times New Roman" w:cs="Times New Roman"/>
        </w:rPr>
        <w:sectPr>
          <w:pgSz w:w="11906" w:h="16838"/>
          <w:pgMar w:top="1440" w:right="1797" w:bottom="1440" w:left="1797" w:header="851" w:footer="567" w:gutter="0"/>
          <w:cols w:space="720" w:num="1"/>
          <w:docGrid w:linePitch="381" w:charSpace="0"/>
        </w:sectPr>
      </w:pPr>
    </w:p>
    <w:p>
      <w:pPr>
        <w:pStyle w:val="2"/>
        <w:ind w:firstLine="643" w:firstLineChars="200"/>
        <w:rPr>
          <w:sz w:val="32"/>
          <w:szCs w:val="32"/>
        </w:rPr>
      </w:pPr>
      <w:bookmarkStart w:id="71" w:name="_Toc5757"/>
      <w:bookmarkStart w:id="72" w:name="_Toc23283"/>
      <w:r>
        <w:rPr>
          <w:rFonts w:hint="eastAsia" w:ascii="黑体" w:hAnsi="黑体" w:eastAsia="黑体" w:cs="黑体"/>
          <w:sz w:val="32"/>
          <w:szCs w:val="32"/>
          <w:lang w:val="en-US" w:eastAsia="zh-CN"/>
        </w:rPr>
        <w:t>四</w:t>
      </w:r>
      <w:r>
        <w:rPr>
          <w:rFonts w:hint="eastAsia" w:ascii="黑体" w:hAnsi="黑体" w:eastAsia="黑体" w:cs="黑体"/>
          <w:sz w:val="32"/>
          <w:szCs w:val="32"/>
        </w:rPr>
        <w:t>、</w:t>
      </w:r>
      <w:bookmarkEnd w:id="71"/>
      <w:r>
        <w:rPr>
          <w:rFonts w:hint="eastAsia" w:ascii="黑体" w:hAnsi="黑体" w:eastAsia="黑体" w:cs="黑体"/>
          <w:sz w:val="32"/>
          <w:szCs w:val="32"/>
        </w:rPr>
        <w:t>主要经验及做法、存在问题和建议</w:t>
      </w:r>
      <w:bookmarkEnd w:id="72"/>
    </w:p>
    <w:p>
      <w:pPr>
        <w:pStyle w:val="3"/>
        <w:rPr>
          <w:sz w:val="32"/>
          <w:szCs w:val="32"/>
        </w:rPr>
      </w:pPr>
      <w:bookmarkStart w:id="73" w:name="_Toc4465"/>
      <w:bookmarkStart w:id="74" w:name="_Toc4002"/>
      <w:r>
        <w:rPr>
          <w:rFonts w:hint="eastAsia" w:ascii="方正楷体_GB2312" w:hAnsi="方正楷体_GB2312" w:eastAsia="方正楷体_GB2312" w:cs="方正楷体_GB2312"/>
          <w:sz w:val="32"/>
          <w:szCs w:val="32"/>
        </w:rPr>
        <w:t>（一）</w:t>
      </w:r>
      <w:bookmarkEnd w:id="73"/>
      <w:r>
        <w:rPr>
          <w:rFonts w:hint="eastAsia" w:ascii="方正楷体_GB2312" w:hAnsi="方正楷体_GB2312" w:eastAsia="方正楷体_GB2312" w:cs="方正楷体_GB2312"/>
          <w:sz w:val="32"/>
          <w:szCs w:val="32"/>
          <w:lang w:val="en-US" w:eastAsia="zh-CN"/>
        </w:rPr>
        <w:t>主要经验及做法</w:t>
      </w:r>
      <w:bookmarkEnd w:id="74"/>
    </w:p>
    <w:p>
      <w:pPr>
        <w:ind w:firstLine="560"/>
        <w:rPr>
          <w:rFonts w:hint="default" w:hAnsi="黑体" w:eastAsia="仿宋_GB2312" w:cs="Times New Roman"/>
          <w:sz w:val="32"/>
          <w:szCs w:val="32"/>
          <w:lang w:val="en-US" w:eastAsia="zh-CN"/>
        </w:rPr>
      </w:pPr>
      <w:r>
        <w:rPr>
          <w:rFonts w:hint="eastAsia" w:hAnsi="黑体" w:cs="Times New Roman"/>
          <w:b/>
          <w:bCs/>
          <w:sz w:val="32"/>
          <w:szCs w:val="32"/>
          <w:lang w:val="en-US" w:eastAsia="zh-CN"/>
        </w:rPr>
        <w:t>风雨无阻保配送，扎实开展实事项目</w:t>
      </w:r>
    </w:p>
    <w:p>
      <w:pPr>
        <w:ind w:firstLine="560"/>
        <w:rPr>
          <w:rFonts w:hint="eastAsia" w:hAnsi="黑体" w:cs="Times New Roman"/>
          <w:sz w:val="32"/>
          <w:szCs w:val="32"/>
        </w:rPr>
      </w:pPr>
      <w:r>
        <w:rPr>
          <w:rFonts w:hint="eastAsia" w:hAnsi="黑体" w:cs="Times New Roman"/>
          <w:sz w:val="32"/>
          <w:szCs w:val="32"/>
          <w:lang w:val="en-US" w:eastAsia="zh-CN"/>
        </w:rPr>
        <w:t>为</w:t>
      </w:r>
      <w:r>
        <w:rPr>
          <w:rFonts w:hint="eastAsia" w:hAnsi="黑体" w:cs="Times New Roman"/>
          <w:sz w:val="32"/>
          <w:szCs w:val="32"/>
        </w:rPr>
        <w:t>困难失智老人</w:t>
      </w:r>
      <w:r>
        <w:rPr>
          <w:rFonts w:hint="eastAsia" w:hAnsi="黑体" w:cs="Times New Roman"/>
          <w:sz w:val="32"/>
          <w:szCs w:val="32"/>
          <w:lang w:val="en-US" w:eastAsia="zh-CN"/>
        </w:rPr>
        <w:t>发放护理用品</w:t>
      </w:r>
      <w:r>
        <w:rPr>
          <w:rFonts w:hint="eastAsia" w:hAnsi="黑体" w:cs="Times New Roman"/>
          <w:sz w:val="32"/>
          <w:szCs w:val="32"/>
        </w:rPr>
        <w:t>项目</w:t>
      </w:r>
      <w:r>
        <w:rPr>
          <w:rFonts w:hint="eastAsia" w:hAnsi="黑体" w:cs="Times New Roman"/>
          <w:sz w:val="32"/>
          <w:szCs w:val="32"/>
          <w:lang w:val="en-US" w:eastAsia="zh-CN"/>
        </w:rPr>
        <w:t>自</w:t>
      </w:r>
      <w:r>
        <w:rPr>
          <w:rFonts w:hint="eastAsia" w:hAnsi="黑体" w:cs="Times New Roman"/>
          <w:sz w:val="32"/>
          <w:szCs w:val="32"/>
        </w:rPr>
        <w:t>2012年纳入区红会常规工作，</w:t>
      </w:r>
      <w:r>
        <w:rPr>
          <w:rFonts w:hint="eastAsia" w:hAnsi="黑体" w:cs="Times New Roman"/>
          <w:sz w:val="32"/>
          <w:szCs w:val="32"/>
          <w:lang w:val="en-US" w:eastAsia="zh-CN"/>
        </w:rPr>
        <w:t>十年以来，区红会始终关注民意、贴近民需，不断优化和改进项目管理环节，提升项目实效</w:t>
      </w:r>
      <w:r>
        <w:rPr>
          <w:rFonts w:hint="eastAsia" w:hAnsi="黑体" w:cs="Times New Roman"/>
          <w:sz w:val="32"/>
          <w:szCs w:val="32"/>
        </w:rPr>
        <w:t>。</w:t>
      </w:r>
    </w:p>
    <w:p>
      <w:pPr>
        <w:ind w:firstLine="560"/>
        <w:rPr>
          <w:rFonts w:hint="eastAsia" w:hAnsi="黑体" w:cs="Times New Roman"/>
          <w:sz w:val="32"/>
          <w:szCs w:val="32"/>
        </w:rPr>
      </w:pPr>
      <w:r>
        <w:rPr>
          <w:rFonts w:hint="eastAsia" w:hAnsi="黑体" w:cs="Times New Roman"/>
          <w:sz w:val="32"/>
          <w:szCs w:val="32"/>
        </w:rPr>
        <w:t>在</w:t>
      </w:r>
      <w:r>
        <w:rPr>
          <w:rFonts w:hint="eastAsia" w:hAnsi="黑体" w:cs="Times New Roman"/>
          <w:sz w:val="32"/>
          <w:szCs w:val="32"/>
          <w:lang w:val="en-US" w:eastAsia="zh-CN"/>
        </w:rPr>
        <w:t>2022年面临</w:t>
      </w:r>
      <w:r>
        <w:rPr>
          <w:rFonts w:hint="eastAsia" w:hAnsi="黑体" w:cs="Times New Roman"/>
          <w:sz w:val="32"/>
          <w:szCs w:val="32"/>
        </w:rPr>
        <w:t>疫情</w:t>
      </w:r>
      <w:r>
        <w:rPr>
          <w:rFonts w:hint="eastAsia" w:hAnsi="黑体" w:cs="Times New Roman"/>
          <w:sz w:val="32"/>
          <w:szCs w:val="32"/>
          <w:lang w:val="en-US" w:eastAsia="zh-CN"/>
        </w:rPr>
        <w:t>严峻考验的特殊</w:t>
      </w:r>
      <w:r>
        <w:rPr>
          <w:rFonts w:hint="eastAsia" w:hAnsi="黑体" w:cs="Times New Roman"/>
          <w:sz w:val="32"/>
          <w:szCs w:val="32"/>
        </w:rPr>
        <w:t>期间，区红会与供货方密切沟通，确保护理用品的的正常供应，红十字志愿者们在严格执行防疫规定的同时，风雨无阻，依旧按时将护理用品送到老人家中，保障他们基本的护理需求。</w:t>
      </w:r>
    </w:p>
    <w:p>
      <w:pPr>
        <w:ind w:firstLine="560"/>
        <w:rPr>
          <w:rFonts w:hint="default" w:hAnsi="黑体" w:cs="Times New Roman"/>
          <w:sz w:val="32"/>
          <w:szCs w:val="32"/>
          <w:lang w:val="en-US" w:eastAsia="zh-CN"/>
        </w:rPr>
      </w:pPr>
      <w:r>
        <w:rPr>
          <w:rFonts w:hint="eastAsia" w:hAnsi="黑体" w:cs="Times New Roman"/>
          <w:sz w:val="32"/>
          <w:szCs w:val="32"/>
          <w:lang w:val="en-US" w:eastAsia="zh-CN"/>
        </w:rPr>
        <w:t>项目开展</w:t>
      </w:r>
      <w:r>
        <w:rPr>
          <w:rFonts w:hint="eastAsia" w:hAnsi="黑体" w:cs="Times New Roman"/>
          <w:sz w:val="32"/>
          <w:szCs w:val="32"/>
        </w:rPr>
        <w:t>有效提升了老人们的生活质量，缓解困难家庭经济压力，受到群众的广泛好评</w:t>
      </w:r>
      <w:r>
        <w:rPr>
          <w:rFonts w:hint="eastAsia" w:hAnsi="黑体" w:cs="Times New Roman"/>
          <w:sz w:val="32"/>
          <w:szCs w:val="32"/>
          <w:lang w:eastAsia="zh-CN"/>
        </w:rPr>
        <w:t>，</w:t>
      </w:r>
      <w:r>
        <w:rPr>
          <w:rFonts w:hint="eastAsia" w:hAnsi="黑体" w:cs="Times New Roman"/>
          <w:sz w:val="32"/>
          <w:szCs w:val="32"/>
          <w:lang w:val="en-US" w:eastAsia="zh-CN"/>
        </w:rPr>
        <w:t>评价组的社会调查也显示，受益人家属对项目各方面的综合满意度达到97.9%</w:t>
      </w:r>
      <w:r>
        <w:rPr>
          <w:rFonts w:hint="eastAsia" w:hAnsi="黑体" w:cs="Times New Roman"/>
          <w:sz w:val="32"/>
          <w:szCs w:val="32"/>
        </w:rPr>
        <w:t>。</w:t>
      </w:r>
    </w:p>
    <w:p>
      <w:pPr>
        <w:ind w:firstLine="560"/>
        <w:rPr>
          <w:rFonts w:hint="eastAsia" w:hAnsi="黑体" w:cs="Times New Roman"/>
          <w:sz w:val="32"/>
          <w:szCs w:val="32"/>
          <w:lang w:eastAsia="zh-CN"/>
        </w:rPr>
      </w:pPr>
    </w:p>
    <w:p>
      <w:pPr>
        <w:pStyle w:val="3"/>
        <w:ind w:left="0" w:leftChars="0" w:firstLine="643" w:firstLineChars="200"/>
        <w:rPr>
          <w:sz w:val="32"/>
          <w:szCs w:val="32"/>
        </w:rPr>
      </w:pPr>
      <w:bookmarkStart w:id="75" w:name="_Toc7003"/>
      <w:bookmarkStart w:id="76" w:name="_Toc30290"/>
      <w:r>
        <w:rPr>
          <w:rFonts w:hint="eastAsia" w:ascii="方正楷体_GB2312" w:hAnsi="方正楷体_GB2312" w:eastAsia="方正楷体_GB2312" w:cs="方正楷体_GB2312"/>
          <w:sz w:val="32"/>
          <w:szCs w:val="32"/>
        </w:rPr>
        <w:t>（二）</w:t>
      </w:r>
      <w:bookmarkEnd w:id="75"/>
      <w:r>
        <w:rPr>
          <w:rFonts w:hint="eastAsia" w:ascii="方正楷体_GB2312" w:hAnsi="方正楷体_GB2312" w:eastAsia="方正楷体_GB2312" w:cs="方正楷体_GB2312"/>
          <w:sz w:val="32"/>
          <w:szCs w:val="32"/>
        </w:rPr>
        <w:t>存在问题</w:t>
      </w:r>
      <w:bookmarkEnd w:id="76"/>
    </w:p>
    <w:p>
      <w:pPr>
        <w:ind w:firstLine="560"/>
        <w:rPr>
          <w:rFonts w:hint="default" w:hAnsi="宋体" w:eastAsia="仿宋_GB2312"/>
          <w:sz w:val="32"/>
          <w:szCs w:val="32"/>
          <w:lang w:val="en-US" w:eastAsia="zh-CN"/>
        </w:rPr>
      </w:pPr>
      <w:r>
        <w:rPr>
          <w:rFonts w:hint="eastAsia" w:hAnsi="宋体"/>
          <w:b/>
          <w:bCs/>
          <w:sz w:val="32"/>
          <w:szCs w:val="32"/>
          <w:highlight w:val="none"/>
        </w:rPr>
        <w:t>1.</w:t>
      </w:r>
      <w:r>
        <w:rPr>
          <w:rFonts w:hint="eastAsia" w:hAnsi="宋体"/>
          <w:b/>
          <w:bCs/>
          <w:sz w:val="32"/>
          <w:szCs w:val="32"/>
          <w:lang w:val="en-US" w:eastAsia="zh-CN"/>
        </w:rPr>
        <w:t>部分项目长效机制不健全，公益金使用效益不佳</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b w:val="0"/>
          <w:bCs w:val="0"/>
          <w:kern w:val="1"/>
          <w:sz w:val="32"/>
          <w:szCs w:val="32"/>
          <w:lang w:val="en-US" w:eastAsia="zh-CN"/>
        </w:rPr>
      </w:pPr>
      <w:r>
        <w:rPr>
          <w:rFonts w:hint="eastAsia" w:cs="仿宋_GB2312"/>
          <w:b w:val="0"/>
          <w:bCs w:val="0"/>
          <w:kern w:val="1"/>
          <w:sz w:val="32"/>
          <w:szCs w:val="32"/>
          <w:lang w:val="en-US" w:eastAsia="zh-CN"/>
        </w:rPr>
        <w:t>示范睦邻点项目截至目前尚未出台区级层面对补贴发放后的使用规范、使用效益等方面的要求，结合评价组现场抽查调研情况发现，随机抽查的10家2022年度获补贴示范睦邻点的点长，8家不知晓相关补贴政策，各示范睦邻点的补贴资金或仍在乡镇一级，或在村居委一级，多数并未下沉至睦邻点使用。</w:t>
      </w:r>
    </w:p>
    <w:p>
      <w:pPr>
        <w:ind w:firstLine="560"/>
        <w:rPr>
          <w:rFonts w:hint="eastAsia"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项目尚未出台区级层面对获补贴中心的后续开放情况、运营质量、成果等方面的要求，且2022年度获补贴的建设镇旭升分中心由于身处集建区，办理各项手续进展缓慢等问题，至今未实现正常运营。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default" w:hAnsi="宋体"/>
          <w:sz w:val="32"/>
          <w:szCs w:val="32"/>
          <w:highlight w:val="none"/>
          <w:lang w:val="en-US"/>
        </w:rPr>
      </w:pPr>
      <w:r>
        <w:rPr>
          <w:rFonts w:hint="eastAsia" w:cs="仿宋_GB2312"/>
          <w:b w:val="0"/>
          <w:bCs w:val="0"/>
          <w:kern w:val="1"/>
          <w:sz w:val="32"/>
          <w:szCs w:val="32"/>
          <w:lang w:val="en-US" w:eastAsia="zh-CN"/>
        </w:rPr>
        <w:t>以上两个项目的公益金使用效益暂未能体现，项目</w:t>
      </w:r>
      <w:r>
        <w:rPr>
          <w:rFonts w:hint="eastAsia" w:cs="仿宋_GB2312"/>
          <w:kern w:val="1"/>
          <w:sz w:val="32"/>
          <w:szCs w:val="32"/>
          <w:lang w:val="en-US" w:eastAsia="zh-CN"/>
        </w:rPr>
        <w:t>长效管理机制不健全且执行不佳</w:t>
      </w:r>
      <w:r>
        <w:rPr>
          <w:rFonts w:hint="eastAsia" w:cs="仿宋_GB2312"/>
          <w:b w:val="0"/>
          <w:bCs w:val="0"/>
          <w:kern w:val="1"/>
          <w:sz w:val="32"/>
          <w:szCs w:val="32"/>
          <w:lang w:val="en-US" w:eastAsia="zh-CN"/>
        </w:rPr>
        <w:t>。</w:t>
      </w:r>
    </w:p>
    <w:p>
      <w:pPr>
        <w:ind w:firstLine="560"/>
        <w:rPr>
          <w:rFonts w:hint="default" w:hAnsi="宋体"/>
          <w:sz w:val="32"/>
          <w:szCs w:val="32"/>
          <w:highlight w:val="none"/>
          <w:lang w:val="en-US"/>
        </w:rPr>
      </w:pPr>
      <w:r>
        <w:rPr>
          <w:rFonts w:hint="eastAsia" w:hAnsi="宋体"/>
          <w:b/>
          <w:bCs/>
          <w:sz w:val="32"/>
          <w:szCs w:val="32"/>
          <w:lang w:val="en-US" w:eastAsia="zh-CN"/>
        </w:rPr>
        <w:t>2</w:t>
      </w:r>
      <w:r>
        <w:rPr>
          <w:rFonts w:hint="eastAsia" w:hAnsi="宋体"/>
          <w:b/>
          <w:bCs/>
          <w:sz w:val="32"/>
          <w:szCs w:val="32"/>
        </w:rPr>
        <w:t>.</w:t>
      </w:r>
      <w:r>
        <w:rPr>
          <w:rFonts w:hint="eastAsia" w:hAnsi="宋体"/>
          <w:b/>
          <w:bCs/>
          <w:sz w:val="32"/>
          <w:szCs w:val="32"/>
          <w:highlight w:val="none"/>
          <w:lang w:val="en-US" w:eastAsia="zh-CN"/>
        </w:rPr>
        <w:t>预算编制不合理，调整率高执行率低</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eastAsia" w:hAnsi="宋体"/>
          <w:sz w:val="32"/>
          <w:szCs w:val="32"/>
          <w:highlight w:val="none"/>
        </w:rPr>
      </w:pPr>
      <w:r>
        <w:rPr>
          <w:rFonts w:hint="eastAsia" w:cs="仿宋_GB2312"/>
          <w:sz w:val="32"/>
          <w:szCs w:val="32"/>
          <w:highlight w:val="none"/>
          <w:lang w:val="en-US" w:eastAsia="zh-CN"/>
        </w:rPr>
        <w:t>养老机构综合责任保险项目预算安排不合理，根据近三年投保数据，2019年参保养老机构42家，核定床位数6274张，实际投保床位数4073张，2020年参保养老机构46家，核定床位数6671张，实际投保床位数4222张，2021年参保养老机构42家，核定床位数6077张，实际投保床位数3862张。考虑每年的投保床位数上下浮动的不确定性，2022年预算编制预估投保5000张床位数，对应安排预算30万元，较2021年实际投保床位数上涨29.47%，较三年平均投保床位数上涨23.39%，而三年间投保床位数上下浮动不超过±10%，预估床位数上升比例过大，欠合理。</w:t>
      </w:r>
    </w:p>
    <w:p>
      <w:pPr>
        <w:ind w:firstLine="560"/>
        <w:rPr>
          <w:rFonts w:hint="default" w:ascii="仿宋_GB2312" w:hAnsi="仿宋_GB2312" w:cs="仿宋_GB2312"/>
          <w:b w:val="0"/>
          <w:bCs w:val="0"/>
          <w:kern w:val="1"/>
          <w:sz w:val="32"/>
          <w:szCs w:val="32"/>
          <w:lang w:val="en-US" w:eastAsia="zh-CN"/>
        </w:rPr>
      </w:pPr>
      <w:r>
        <w:rPr>
          <w:rFonts w:hint="eastAsia" w:hAnsi="Times New Roman" w:cs="Times New Roman"/>
          <w:sz w:val="32"/>
          <w:szCs w:val="32"/>
          <w:highlight w:val="none"/>
          <w:lang w:val="en-US" w:eastAsia="zh-CN"/>
        </w:rPr>
        <w:t>由于</w:t>
      </w:r>
      <w:r>
        <w:rPr>
          <w:rFonts w:hint="eastAsia" w:cs="仿宋_GB2312"/>
          <w:sz w:val="32"/>
          <w:szCs w:val="32"/>
          <w:highlight w:val="none"/>
          <w:lang w:val="en-US" w:eastAsia="zh-CN"/>
        </w:rPr>
        <w:t>养老机构综合责任保险项目</w:t>
      </w:r>
      <w:r>
        <w:rPr>
          <w:rFonts w:hint="eastAsia" w:hAnsi="Times New Roman" w:cs="Times New Roman"/>
          <w:sz w:val="32"/>
          <w:szCs w:val="32"/>
          <w:highlight w:val="none"/>
          <w:lang w:val="en-US" w:eastAsia="zh-CN"/>
        </w:rPr>
        <w:t>年初预算安排不合理，外加年中预算调整未合理预判综合为老服务中心补贴额度，项目预算调整率较高且执行率不佳。</w:t>
      </w:r>
    </w:p>
    <w:p>
      <w:pPr>
        <w:ind w:firstLine="560"/>
        <w:rPr>
          <w:rFonts w:hint="default" w:hAnsi="宋体" w:eastAsia="仿宋_GB2312"/>
          <w:sz w:val="32"/>
          <w:szCs w:val="32"/>
          <w:highlight w:val="yellow"/>
          <w:lang w:val="en-US" w:eastAsia="zh-CN"/>
        </w:rPr>
      </w:pPr>
      <w:r>
        <w:rPr>
          <w:rFonts w:hint="eastAsia" w:hAnsi="宋体"/>
          <w:b/>
          <w:bCs/>
          <w:sz w:val="32"/>
          <w:szCs w:val="32"/>
          <w:lang w:val="en-US" w:eastAsia="zh-CN"/>
        </w:rPr>
        <w:t>3</w:t>
      </w:r>
      <w:r>
        <w:rPr>
          <w:rFonts w:hint="eastAsia" w:hAnsi="宋体"/>
          <w:b/>
          <w:bCs/>
          <w:sz w:val="32"/>
          <w:szCs w:val="32"/>
        </w:rPr>
        <w:t>.</w:t>
      </w:r>
      <w:r>
        <w:rPr>
          <w:rFonts w:hint="eastAsia" w:hAnsi="宋体"/>
          <w:b/>
          <w:bCs/>
          <w:sz w:val="32"/>
          <w:szCs w:val="32"/>
          <w:lang w:val="en-US" w:eastAsia="zh-CN"/>
        </w:rPr>
        <w:t>福彩公益金资助标识缺位，专项基金管理效能不足</w:t>
      </w:r>
    </w:p>
    <w:p>
      <w:pPr>
        <w:ind w:firstLine="560"/>
        <w:rPr>
          <w:rFonts w:hint="eastAsia"/>
          <w:sz w:val="32"/>
          <w:szCs w:val="32"/>
          <w:lang w:val="en-US" w:eastAsia="zh-CN"/>
        </w:rPr>
      </w:pPr>
      <w:r>
        <w:rPr>
          <w:rFonts w:hint="eastAsia"/>
          <w:sz w:val="32"/>
          <w:szCs w:val="32"/>
          <w:lang w:val="en-US" w:eastAsia="zh-CN"/>
        </w:rPr>
        <w:t>根据《上海市崇明区区级福利彩票公益金使用管理办法》的规定：区级福彩公益金资助的基本建设设施、设备项目，应当在主体建筑物或设施设备的显著位置设立或铭刻标注“彩票公益金资助-中国福利彩票”的永久性标识。</w:t>
      </w:r>
    </w:p>
    <w:p>
      <w:pPr>
        <w:keepNext w:val="0"/>
        <w:keepLines w:val="0"/>
        <w:pageBreakBefore w:val="0"/>
        <w:widowControl w:val="0"/>
        <w:kinsoku/>
        <w:wordWrap/>
        <w:overflowPunct/>
        <w:topLinePunct w:val="0"/>
        <w:autoSpaceDE/>
        <w:autoSpaceDN/>
        <w:bidi w:val="0"/>
        <w:spacing w:line="500" w:lineRule="atLeast"/>
        <w:ind w:firstLine="640"/>
        <w:contextualSpacing/>
        <w:textAlignment w:val="auto"/>
        <w:outlineLvl w:val="9"/>
        <w:rPr>
          <w:rFonts w:hint="eastAsia" w:cs="仿宋_GB2312"/>
          <w:b w:val="0"/>
          <w:bCs w:val="0"/>
          <w:kern w:val="1"/>
          <w:sz w:val="32"/>
          <w:szCs w:val="32"/>
          <w:lang w:val="en-US" w:eastAsia="zh-CN"/>
        </w:rPr>
      </w:pPr>
      <w:r>
        <w:rPr>
          <w:rFonts w:hint="eastAsia" w:cs="仿宋_GB2312"/>
          <w:b w:val="0"/>
          <w:bCs w:val="0"/>
          <w:kern w:val="1"/>
          <w:sz w:val="32"/>
          <w:szCs w:val="32"/>
          <w:lang w:val="en-US" w:eastAsia="zh-CN"/>
        </w:rPr>
        <w:t>而根据评价组的实地踏勘结果，抽查的2021年获补贴的10家示范睦邻点和2022年获补贴的1家</w:t>
      </w: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中，无一</w:t>
      </w:r>
      <w:r>
        <w:rPr>
          <w:rFonts w:hint="eastAsia"/>
          <w:sz w:val="32"/>
          <w:szCs w:val="32"/>
          <w:lang w:val="en-US" w:eastAsia="zh-CN"/>
        </w:rPr>
        <w:t>在建筑或设施的显著位置规范设置</w:t>
      </w:r>
      <w:r>
        <w:rPr>
          <w:rFonts w:hint="eastAsia" w:ascii="仿宋_GB2312" w:hAnsi="仿宋_GB2312" w:cs="仿宋_GB2312"/>
          <w:b w:val="0"/>
          <w:bCs w:val="0"/>
          <w:kern w:val="1"/>
          <w:sz w:val="32"/>
          <w:szCs w:val="32"/>
          <w:lang w:val="en-US" w:eastAsia="zh-CN"/>
        </w:rPr>
        <w:t>福彩公益金资助标识</w:t>
      </w:r>
      <w:r>
        <w:rPr>
          <w:rFonts w:hint="eastAsia" w:cs="仿宋_GB2312"/>
          <w:b w:val="0"/>
          <w:bCs w:val="0"/>
          <w:kern w:val="1"/>
          <w:sz w:val="32"/>
          <w:szCs w:val="32"/>
          <w:lang w:val="en-US" w:eastAsia="zh-CN"/>
        </w:rPr>
        <w:t>，难以体现福彩公益金的社会公益宣传特点和价值，也暴露出项目单位在管理使用专项基金时的不足。</w:t>
      </w:r>
    </w:p>
    <w:p>
      <w:pPr>
        <w:ind w:firstLine="560"/>
        <w:rPr>
          <w:rFonts w:hint="default" w:hAnsi="宋体" w:eastAsia="仿宋_GB2312"/>
          <w:sz w:val="32"/>
          <w:szCs w:val="32"/>
          <w:lang w:val="en-US" w:eastAsia="zh-CN"/>
        </w:rPr>
      </w:pPr>
      <w:r>
        <w:rPr>
          <w:rFonts w:hint="eastAsia" w:hAnsi="宋体"/>
          <w:b/>
          <w:bCs/>
          <w:sz w:val="32"/>
          <w:szCs w:val="32"/>
          <w:lang w:val="en-US" w:eastAsia="zh-CN"/>
        </w:rPr>
        <w:t>4.合同要素不完备，管理细节需加强</w:t>
      </w:r>
    </w:p>
    <w:p>
      <w:pPr>
        <w:ind w:firstLine="560"/>
        <w:rPr>
          <w:rFonts w:hint="default" w:hAnsi="宋体" w:eastAsia="仿宋_GB2312"/>
          <w:sz w:val="32"/>
          <w:szCs w:val="32"/>
          <w:lang w:val="en-US" w:eastAsia="zh-CN"/>
        </w:rPr>
      </w:pPr>
      <w:r>
        <w:rPr>
          <w:rFonts w:hint="eastAsia" w:hAnsi="宋体"/>
          <w:sz w:val="32"/>
          <w:szCs w:val="32"/>
        </w:rPr>
        <w:t>经评价组梳理发现，本项目在合同签订及执行过程中存在</w:t>
      </w:r>
      <w:r>
        <w:rPr>
          <w:rFonts w:hint="eastAsia" w:hAnsi="宋体"/>
          <w:sz w:val="32"/>
          <w:szCs w:val="32"/>
          <w:lang w:val="en-US" w:eastAsia="zh-CN"/>
        </w:rPr>
        <w:t>合同要素不完备的</w:t>
      </w:r>
      <w:r>
        <w:rPr>
          <w:rFonts w:hint="eastAsia" w:hAnsi="宋体"/>
          <w:sz w:val="32"/>
          <w:szCs w:val="32"/>
        </w:rPr>
        <w:t>问题：</w:t>
      </w:r>
      <w:r>
        <w:rPr>
          <w:rFonts w:hint="eastAsia" w:hAnsi="宋体"/>
          <w:sz w:val="32"/>
          <w:szCs w:val="32"/>
          <w:lang w:val="en-US" w:eastAsia="zh-CN"/>
        </w:rPr>
        <w:t>在</w:t>
      </w:r>
      <w:r>
        <w:rPr>
          <w:rFonts w:hint="eastAsia" w:ascii="仿宋_GB2312" w:hAnsi="Microsoft JhengHei" w:cs="Times New Roman"/>
          <w:sz w:val="32"/>
          <w:szCs w:val="32"/>
          <w:highlight w:val="none"/>
          <w:lang w:val="en-US" w:eastAsia="zh-CN"/>
        </w:rPr>
        <w:t>养老机构综合责任险</w:t>
      </w:r>
      <w:r>
        <w:rPr>
          <w:rFonts w:hint="eastAsia" w:hAnsi="Microsoft JhengHei" w:cs="Times New Roman"/>
          <w:sz w:val="32"/>
          <w:szCs w:val="32"/>
          <w:highlight w:val="none"/>
          <w:lang w:val="en-US" w:eastAsia="zh-CN"/>
        </w:rPr>
        <w:t>项目中，评价组抽查的养老机构与保险公司签订的2份合同中，均缺少签订日期的关键要素。究其原因，是项目单位对日常合同管理工作的不严谨。</w:t>
      </w:r>
    </w:p>
    <w:p>
      <w:pPr>
        <w:ind w:firstLine="560"/>
        <w:rPr>
          <w:rFonts w:hint="eastAsia" w:hAnsi="宋体"/>
          <w:b/>
          <w:bCs/>
          <w:sz w:val="32"/>
          <w:szCs w:val="32"/>
          <w:lang w:val="en-US" w:eastAsia="zh-CN"/>
        </w:rPr>
      </w:pPr>
      <w:r>
        <w:rPr>
          <w:rFonts w:hint="eastAsia" w:hAnsi="宋体"/>
          <w:b/>
          <w:bCs/>
          <w:sz w:val="32"/>
          <w:szCs w:val="32"/>
          <w:lang w:val="en-US" w:eastAsia="zh-CN"/>
        </w:rPr>
        <w:t>5.绩效目标设定欠合理，填报质量需优化</w:t>
      </w:r>
    </w:p>
    <w:p>
      <w:pPr>
        <w:ind w:firstLine="560"/>
        <w:rPr>
          <w:rFonts w:hint="default" w:hAnsi="宋体"/>
          <w:sz w:val="32"/>
          <w:szCs w:val="32"/>
          <w:lang w:val="en-US"/>
        </w:rPr>
      </w:pPr>
      <w:r>
        <w:rPr>
          <w:rFonts w:hint="eastAsia" w:hAnsi="宋体"/>
          <w:b w:val="0"/>
          <w:bCs w:val="0"/>
          <w:sz w:val="32"/>
          <w:szCs w:val="32"/>
          <w:lang w:val="en-US" w:eastAsia="zh-CN"/>
        </w:rPr>
        <w:t>在绩效目标申报表填报方面，项目单位在对项目目标提炼和目标值设定方面存在着一定的偏差，</w:t>
      </w:r>
      <w:r>
        <w:rPr>
          <w:rFonts w:hint="eastAsia" w:hAnsi="Arial Unicode MS" w:cs="Arial Unicode MS"/>
          <w:b w:val="0"/>
          <w:bCs/>
          <w:sz w:val="32"/>
          <w:szCs w:val="32"/>
          <w:highlight w:val="none"/>
          <w:lang w:val="en-US" w:eastAsia="zh-CN"/>
        </w:rPr>
        <w:t>例如产出数量指标“发给失智失能老人的护理用品金额”指标的目标值设置为“&gt;=100万元”，发放金额不宜作为目标；部分指标不明确，例如社会效益指标“</w:t>
      </w:r>
      <w:r>
        <w:rPr>
          <w:rFonts w:hint="eastAsia" w:ascii="仿宋_GB2312" w:hAnsi="仿宋_GB2312" w:eastAsia="仿宋_GB2312" w:cs="仿宋_GB2312"/>
          <w:i w:val="0"/>
          <w:iCs w:val="0"/>
          <w:color w:val="000000"/>
          <w:kern w:val="0"/>
          <w:sz w:val="32"/>
          <w:szCs w:val="32"/>
          <w:u w:val="none"/>
          <w:lang w:val="en-US" w:eastAsia="zh-CN" w:bidi="ar"/>
        </w:rPr>
        <w:t>提升社会对老年人的关注度</w:t>
      </w:r>
      <w:r>
        <w:rPr>
          <w:rFonts w:hint="eastAsia" w:hAnsi="Arial Unicode MS" w:cs="Arial Unicode MS"/>
          <w:b w:val="0"/>
          <w:bCs/>
          <w:sz w:val="32"/>
          <w:szCs w:val="32"/>
          <w:highlight w:val="none"/>
          <w:lang w:val="en-US" w:eastAsia="zh-CN"/>
        </w:rPr>
        <w:t>”的目标为“形成尊老爱老的氛围”，不够清晰可衡量</w:t>
      </w:r>
      <w:r>
        <w:rPr>
          <w:rFonts w:hint="eastAsia" w:hAnsi="宋体"/>
          <w:sz w:val="32"/>
          <w:szCs w:val="32"/>
        </w:rPr>
        <w:t>。</w:t>
      </w:r>
      <w:r>
        <w:rPr>
          <w:rFonts w:hint="eastAsia" w:hAnsi="宋体"/>
          <w:b w:val="0"/>
          <w:bCs w:val="0"/>
          <w:sz w:val="32"/>
          <w:szCs w:val="32"/>
          <w:lang w:val="en-US" w:eastAsia="zh-CN"/>
        </w:rPr>
        <w:t>绩效目标表的整体填报质量还需要进一步优化，究其原因，是项目单位的目标填报流程和技能还需要优化。</w:t>
      </w:r>
    </w:p>
    <w:p>
      <w:pPr>
        <w:ind w:left="0" w:leftChars="0" w:firstLine="0" w:firstLineChars="0"/>
        <w:rPr>
          <w:rFonts w:hint="eastAsia" w:ascii="方正楷体_GB2312" w:hAnsi="方正楷体_GB2312" w:eastAsia="方正楷体_GB2312" w:cs="方正楷体_GB2312"/>
          <w:sz w:val="32"/>
          <w:szCs w:val="32"/>
        </w:rPr>
      </w:pPr>
      <w:bookmarkStart w:id="77" w:name="_Toc362875277"/>
      <w:bookmarkStart w:id="78" w:name="_Toc14850"/>
      <w:bookmarkStart w:id="79" w:name="_Toc311800231"/>
    </w:p>
    <w:p>
      <w:pPr>
        <w:pStyle w:val="3"/>
        <w:rPr>
          <w:rFonts w:hAnsi="黑体" w:cs="Times New Roman"/>
          <w:sz w:val="32"/>
          <w:szCs w:val="32"/>
        </w:rPr>
      </w:pPr>
      <w:bookmarkStart w:id="80" w:name="_Toc32694"/>
      <w:r>
        <w:rPr>
          <w:rFonts w:hint="eastAsia" w:ascii="方正楷体_GB2312" w:hAnsi="方正楷体_GB2312" w:eastAsia="方正楷体_GB2312" w:cs="方正楷体_GB2312"/>
          <w:sz w:val="32"/>
          <w:szCs w:val="32"/>
        </w:rPr>
        <w:t>（三）</w:t>
      </w:r>
      <w:bookmarkEnd w:id="77"/>
      <w:bookmarkEnd w:id="78"/>
      <w:bookmarkEnd w:id="79"/>
      <w:r>
        <w:rPr>
          <w:rFonts w:hint="eastAsia" w:ascii="方正楷体_GB2312" w:hAnsi="方正楷体_GB2312" w:eastAsia="方正楷体_GB2312" w:cs="方正楷体_GB2312"/>
          <w:sz w:val="32"/>
          <w:szCs w:val="32"/>
        </w:rPr>
        <w:t>建议和改进举措</w:t>
      </w:r>
      <w:bookmarkEnd w:id="80"/>
    </w:p>
    <w:p>
      <w:pPr>
        <w:ind w:firstLine="560"/>
        <w:rPr>
          <w:rFonts w:hint="default" w:hAnsi="黑体" w:eastAsia="仿宋_GB2312" w:cs="Times New Roman"/>
          <w:sz w:val="32"/>
          <w:szCs w:val="32"/>
          <w:lang w:val="en-US" w:eastAsia="zh-CN"/>
        </w:rPr>
      </w:pPr>
      <w:r>
        <w:rPr>
          <w:rFonts w:hint="eastAsia" w:hAnsi="黑体" w:cs="Times New Roman"/>
          <w:b/>
          <w:bCs/>
          <w:sz w:val="32"/>
          <w:szCs w:val="32"/>
        </w:rPr>
        <w:t>1.</w:t>
      </w:r>
      <w:r>
        <w:rPr>
          <w:rFonts w:hint="eastAsia" w:hAnsi="黑体" w:cs="Times New Roman"/>
          <w:b/>
          <w:bCs/>
          <w:sz w:val="32"/>
          <w:szCs w:val="32"/>
          <w:lang w:val="en-US" w:eastAsia="zh-CN"/>
        </w:rPr>
        <w:t>完善补贴长效考核机制，加强公益金使用效益监管</w:t>
      </w:r>
    </w:p>
    <w:p>
      <w:pPr>
        <w:ind w:firstLine="560"/>
        <w:rPr>
          <w:rFonts w:hint="default" w:hAnsi="黑体" w:eastAsia="仿宋_GB2312" w:cs="Times New Roman"/>
          <w:sz w:val="32"/>
          <w:szCs w:val="32"/>
          <w:lang w:val="en-US" w:eastAsia="zh-CN"/>
        </w:rPr>
      </w:pPr>
      <w:r>
        <w:rPr>
          <w:rFonts w:hint="eastAsia" w:hAnsi="黑体" w:cs="Times New Roman"/>
          <w:sz w:val="32"/>
          <w:szCs w:val="32"/>
          <w:lang w:val="en-US" w:eastAsia="zh-CN"/>
        </w:rPr>
        <w:t>建议项目单位进一步完善示范睦邻点和</w:t>
      </w: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项目的补贴资金长效考核机制，针对前者，应重点关注资金的下沉情况和实际使用范围、示范睦邻点点长对补贴政策的知晓情况、示范睦邻点点长及使用者的合理资金使用需求能否畅通反馈并被满足等</w:t>
      </w:r>
      <w:r>
        <w:rPr>
          <w:rFonts w:hint="eastAsia" w:hAnsi="黑体" w:cs="Times New Roman"/>
          <w:sz w:val="32"/>
          <w:szCs w:val="32"/>
          <w:lang w:val="en-US" w:eastAsia="zh-CN"/>
        </w:rPr>
        <w:t>。针对后者，应完善建成后的考核，建议重点关注能否及时投入运营、日均月均服务人次数、老人的满意度反馈等方面。</w:t>
      </w:r>
    </w:p>
    <w:p>
      <w:pPr>
        <w:ind w:firstLine="560"/>
        <w:rPr>
          <w:rFonts w:hint="default" w:hAnsi="黑体" w:eastAsia="仿宋_GB2312" w:cs="Times New Roman"/>
          <w:sz w:val="32"/>
          <w:szCs w:val="32"/>
          <w:lang w:val="en-US" w:eastAsia="zh-CN"/>
        </w:rPr>
      </w:pPr>
      <w:r>
        <w:rPr>
          <w:rFonts w:hint="eastAsia" w:hAnsi="黑体" w:cs="Times New Roman"/>
          <w:b/>
          <w:bCs/>
          <w:sz w:val="32"/>
          <w:szCs w:val="32"/>
        </w:rPr>
        <w:t>2.</w:t>
      </w:r>
      <w:r>
        <w:rPr>
          <w:rFonts w:hint="eastAsia" w:hAnsi="黑体" w:cs="Times New Roman"/>
          <w:b/>
          <w:bCs/>
          <w:sz w:val="32"/>
          <w:szCs w:val="32"/>
          <w:lang w:val="en-US" w:eastAsia="zh-CN"/>
        </w:rPr>
        <w:t>优化预算编制，提高预算执行</w:t>
      </w:r>
    </w:p>
    <w:p>
      <w:pPr>
        <w:ind w:firstLine="560"/>
        <w:rPr>
          <w:rFonts w:hint="eastAsia" w:hAnsi="黑体" w:cs="Times New Roman"/>
          <w:sz w:val="32"/>
          <w:szCs w:val="32"/>
          <w:lang w:val="en-US" w:eastAsia="zh-CN"/>
        </w:rPr>
      </w:pPr>
      <w:r>
        <w:rPr>
          <w:rFonts w:hint="eastAsia" w:hAnsi="黑体" w:cs="Times New Roman"/>
          <w:sz w:val="32"/>
          <w:szCs w:val="32"/>
          <w:lang w:val="en-US" w:eastAsia="zh-CN"/>
        </w:rPr>
        <w:t>建议项目单位加强年初预算编制的精细化水平，以</w:t>
      </w:r>
      <w:r>
        <w:rPr>
          <w:rFonts w:hint="eastAsia" w:cs="仿宋_GB2312"/>
          <w:sz w:val="32"/>
          <w:szCs w:val="32"/>
          <w:lang w:val="en-US" w:eastAsia="zh-CN"/>
        </w:rPr>
        <w:t>养老机构综合责任保险项目为例，应在结合往年投保数据的基础上，分析总结近3-5年最高投保人数、平均投保人数、各年度投保人数浮动比例等数据，并以此为数据支撑，科学预测下一年度投保人数范围，对应安排预算额度</w:t>
      </w:r>
      <w:r>
        <w:rPr>
          <w:rFonts w:hint="eastAsia" w:hAnsi="黑体" w:cs="Times New Roman"/>
          <w:sz w:val="32"/>
          <w:szCs w:val="32"/>
          <w:lang w:val="en-US" w:eastAsia="zh-CN"/>
        </w:rPr>
        <w:t>。</w:t>
      </w:r>
    </w:p>
    <w:p>
      <w:pPr>
        <w:ind w:firstLine="560"/>
        <w:rPr>
          <w:rFonts w:hint="default" w:hAnsi="黑体" w:cs="Times New Roman"/>
          <w:sz w:val="32"/>
          <w:szCs w:val="32"/>
          <w:lang w:val="en-US" w:eastAsia="zh-CN"/>
        </w:rPr>
      </w:pPr>
      <w:r>
        <w:rPr>
          <w:rFonts w:hint="eastAsia" w:cs="仿宋_GB2312"/>
          <w:b w:val="0"/>
          <w:bCs w:val="0"/>
          <w:kern w:val="1"/>
          <w:sz w:val="32"/>
          <w:szCs w:val="32"/>
          <w:lang w:val="en-US" w:eastAsia="zh-CN"/>
        </w:rPr>
        <w:t>在预算调整方面，应根据上级政策调整、补贴申请单位项目实施进度等情况，及时预判补贴金额的增减情况，并充分运用年中预算调整窗口的机制，提高调整的精准率，进而提高预算执行率。</w:t>
      </w:r>
    </w:p>
    <w:p>
      <w:pPr>
        <w:ind w:firstLine="560"/>
        <w:rPr>
          <w:rFonts w:hint="default" w:hAnsi="黑体" w:eastAsia="仿宋_GB2312" w:cs="Times New Roman"/>
          <w:b/>
          <w:bCs/>
          <w:sz w:val="32"/>
          <w:szCs w:val="32"/>
          <w:lang w:val="en-US" w:eastAsia="zh-CN"/>
        </w:rPr>
      </w:pPr>
      <w:r>
        <w:rPr>
          <w:rFonts w:hint="eastAsia" w:hAnsi="黑体" w:cs="Times New Roman"/>
          <w:b/>
          <w:bCs/>
          <w:sz w:val="32"/>
          <w:szCs w:val="32"/>
        </w:rPr>
        <w:t>3.</w:t>
      </w:r>
      <w:r>
        <w:rPr>
          <w:rFonts w:hint="eastAsia" w:hAnsi="黑体" w:cs="Times New Roman"/>
          <w:b/>
          <w:bCs/>
          <w:sz w:val="32"/>
          <w:szCs w:val="32"/>
          <w:lang w:val="en-US" w:eastAsia="zh-CN"/>
        </w:rPr>
        <w:t>明确</w:t>
      </w:r>
      <w:r>
        <w:rPr>
          <w:rFonts w:hint="eastAsia" w:hAnsi="宋体"/>
          <w:b/>
          <w:bCs/>
          <w:sz w:val="32"/>
          <w:szCs w:val="32"/>
          <w:lang w:val="en-US" w:eastAsia="zh-CN"/>
        </w:rPr>
        <w:t>资助标识设立责任主体</w:t>
      </w:r>
      <w:r>
        <w:rPr>
          <w:rFonts w:hint="eastAsia" w:hAnsi="黑体" w:cs="Times New Roman"/>
          <w:b/>
          <w:bCs/>
          <w:sz w:val="32"/>
          <w:szCs w:val="32"/>
          <w:lang w:val="en-US" w:eastAsia="zh-CN"/>
        </w:rPr>
        <w:t>，提升基金管理效能</w:t>
      </w:r>
    </w:p>
    <w:p>
      <w:pPr>
        <w:ind w:firstLine="560"/>
        <w:rPr>
          <w:rFonts w:hint="default" w:hAnsi="黑体" w:cs="Times New Roman"/>
          <w:sz w:val="32"/>
          <w:szCs w:val="32"/>
          <w:lang w:val="en-US" w:eastAsia="zh-CN"/>
        </w:rPr>
      </w:pPr>
      <w:r>
        <w:rPr>
          <w:rFonts w:hint="eastAsia" w:hAnsi="黑体" w:cs="Times New Roman"/>
          <w:sz w:val="32"/>
          <w:szCs w:val="32"/>
          <w:lang w:val="en-US" w:eastAsia="zh-CN"/>
        </w:rPr>
        <w:t>建议项目单位进一步明确在</w:t>
      </w:r>
      <w:r>
        <w:rPr>
          <w:rFonts w:hint="eastAsia"/>
          <w:sz w:val="32"/>
          <w:szCs w:val="32"/>
          <w:lang w:val="en-US" w:eastAsia="zh-CN"/>
        </w:rPr>
        <w:t>区级福彩公益金资助的基本建设设施、设备项目中，负责设立资助标识的责任主体，以及设立的时效、位置等</w:t>
      </w:r>
      <w:r>
        <w:rPr>
          <w:rFonts w:hint="eastAsia" w:hAnsi="黑体" w:cs="Times New Roman"/>
          <w:sz w:val="32"/>
          <w:szCs w:val="32"/>
          <w:lang w:val="en-US" w:eastAsia="zh-CN"/>
        </w:rPr>
        <w:t>。以新建成的示范睦邻点和</w:t>
      </w:r>
      <w:r>
        <w:rPr>
          <w:rFonts w:hint="eastAsia" w:ascii="仿宋_GB2312" w:hAnsi="仿宋_GB2312" w:cs="仿宋_GB2312"/>
          <w:b w:val="0"/>
          <w:bCs w:val="0"/>
          <w:kern w:val="1"/>
          <w:sz w:val="32"/>
          <w:szCs w:val="32"/>
          <w:lang w:val="en-US" w:eastAsia="zh-CN"/>
        </w:rPr>
        <w:t>综合为老服务中心</w:t>
      </w:r>
      <w:r>
        <w:rPr>
          <w:rFonts w:hint="eastAsia" w:cs="仿宋_GB2312"/>
          <w:b w:val="0"/>
          <w:bCs w:val="0"/>
          <w:kern w:val="1"/>
          <w:sz w:val="32"/>
          <w:szCs w:val="32"/>
          <w:lang w:val="en-US" w:eastAsia="zh-CN"/>
        </w:rPr>
        <w:t>为例，建议在相关设施通过验收后1个月内，由责任主体单位在大门入口处设立</w:t>
      </w:r>
      <w:r>
        <w:rPr>
          <w:rFonts w:hint="eastAsia"/>
          <w:sz w:val="32"/>
          <w:szCs w:val="32"/>
          <w:lang w:val="en-US" w:eastAsia="zh-CN"/>
        </w:rPr>
        <w:t>福彩公益金资助标识。规范设立福彩公益金资助标识，不仅有助于提升专项基金的管理效能，更是对福利彩票公益性质的最好宣传，是实体形式的“信息公开”，对广大彩民而言是看得见的反馈，也有利于维持彩民购彩热情，促进福利彩票事业发展良性循环。</w:t>
      </w:r>
    </w:p>
    <w:p>
      <w:pPr>
        <w:ind w:firstLine="560"/>
        <w:rPr>
          <w:rFonts w:hint="default" w:hAnsi="黑体" w:eastAsia="仿宋_GB2312" w:cs="Times New Roman"/>
          <w:sz w:val="32"/>
          <w:szCs w:val="32"/>
          <w:lang w:val="en-US" w:eastAsia="zh-CN"/>
        </w:rPr>
      </w:pPr>
      <w:r>
        <w:rPr>
          <w:rFonts w:hint="eastAsia" w:hAnsi="黑体" w:cs="Times New Roman"/>
          <w:b/>
          <w:bCs/>
          <w:sz w:val="32"/>
          <w:szCs w:val="32"/>
          <w:lang w:val="en-US" w:eastAsia="zh-CN"/>
        </w:rPr>
        <w:t>4.加强合同签订监管</w:t>
      </w:r>
      <w:r>
        <w:rPr>
          <w:rFonts w:hint="eastAsia" w:hAnsi="黑体" w:cs="Times New Roman"/>
          <w:b/>
          <w:bCs/>
          <w:sz w:val="32"/>
          <w:szCs w:val="32"/>
          <w:lang w:eastAsia="zh-CN"/>
        </w:rPr>
        <w:t>，</w:t>
      </w:r>
      <w:r>
        <w:rPr>
          <w:rFonts w:hint="eastAsia" w:hAnsi="黑体" w:cs="Times New Roman"/>
          <w:b/>
          <w:bCs/>
          <w:sz w:val="32"/>
          <w:szCs w:val="32"/>
          <w:lang w:val="en-US" w:eastAsia="zh-CN"/>
        </w:rPr>
        <w:t>提升合同内容规范性</w:t>
      </w:r>
    </w:p>
    <w:p>
      <w:pPr>
        <w:ind w:firstLine="560"/>
        <w:rPr>
          <w:rFonts w:hint="eastAsia" w:hAnsi="黑体" w:cs="Times New Roman"/>
          <w:b/>
          <w:bCs/>
          <w:sz w:val="32"/>
          <w:szCs w:val="32"/>
          <w:lang w:val="en-US" w:eastAsia="zh-CN"/>
        </w:rPr>
      </w:pPr>
      <w:r>
        <w:rPr>
          <w:rFonts w:hint="eastAsia" w:hAnsi="黑体" w:cs="Times New Roman"/>
          <w:sz w:val="32"/>
          <w:szCs w:val="32"/>
        </w:rPr>
        <w:t>建议项目单位加强</w:t>
      </w:r>
      <w:r>
        <w:rPr>
          <w:rFonts w:hint="eastAsia" w:hAnsi="黑体" w:cs="Times New Roman"/>
          <w:sz w:val="32"/>
          <w:szCs w:val="32"/>
          <w:lang w:val="en-US" w:eastAsia="zh-CN"/>
        </w:rPr>
        <w:t>对养老机构与保险公司</w:t>
      </w:r>
      <w:r>
        <w:rPr>
          <w:rFonts w:hint="eastAsia" w:hAnsi="黑体" w:cs="Times New Roman"/>
          <w:sz w:val="32"/>
          <w:szCs w:val="32"/>
        </w:rPr>
        <w:t>合同</w:t>
      </w:r>
      <w:r>
        <w:rPr>
          <w:rFonts w:hint="eastAsia" w:hAnsi="黑体" w:cs="Times New Roman"/>
          <w:sz w:val="32"/>
          <w:szCs w:val="32"/>
          <w:lang w:val="en-US" w:eastAsia="zh-CN"/>
        </w:rPr>
        <w:t>签订的合规性监管，并加强</w:t>
      </w:r>
      <w:r>
        <w:rPr>
          <w:rFonts w:hint="eastAsia" w:hAnsi="黑体" w:cs="Times New Roman"/>
          <w:sz w:val="32"/>
          <w:szCs w:val="32"/>
        </w:rPr>
        <w:t>《中华人民共和国民法典》（合同编）</w:t>
      </w:r>
      <w:r>
        <w:rPr>
          <w:rFonts w:hint="eastAsia" w:hAnsi="黑体" w:cs="Times New Roman"/>
          <w:sz w:val="32"/>
          <w:szCs w:val="32"/>
          <w:lang w:val="en-US" w:eastAsia="zh-CN"/>
        </w:rPr>
        <w:t>内容的学习</w:t>
      </w:r>
      <w:r>
        <w:rPr>
          <w:rFonts w:hint="eastAsia" w:hAnsi="黑体" w:cs="Times New Roman"/>
          <w:sz w:val="32"/>
          <w:szCs w:val="32"/>
        </w:rPr>
        <w:t>。在后续签订</w:t>
      </w:r>
      <w:r>
        <w:rPr>
          <w:rFonts w:hint="eastAsia" w:hAnsi="黑体" w:cs="Times New Roman"/>
          <w:sz w:val="32"/>
          <w:szCs w:val="32"/>
          <w:lang w:val="en-US" w:eastAsia="zh-CN"/>
        </w:rPr>
        <w:t>相关</w:t>
      </w:r>
      <w:r>
        <w:rPr>
          <w:rFonts w:hint="eastAsia" w:hAnsi="黑体" w:cs="Times New Roman"/>
          <w:sz w:val="32"/>
          <w:szCs w:val="32"/>
        </w:rPr>
        <w:t>合同时，</w:t>
      </w:r>
      <w:r>
        <w:rPr>
          <w:rFonts w:hint="eastAsia" w:hAnsi="黑体" w:cs="Times New Roman"/>
          <w:sz w:val="32"/>
          <w:szCs w:val="32"/>
          <w:lang w:val="en-US" w:eastAsia="zh-CN"/>
        </w:rPr>
        <w:t>重视</w:t>
      </w:r>
      <w:r>
        <w:rPr>
          <w:rFonts w:hint="eastAsia" w:hAnsi="黑体" w:cs="Times New Roman"/>
          <w:sz w:val="32"/>
          <w:szCs w:val="32"/>
        </w:rPr>
        <w:t>完善</w:t>
      </w:r>
      <w:r>
        <w:rPr>
          <w:rFonts w:hint="eastAsia" w:hAnsi="黑体" w:cs="Times New Roman"/>
          <w:sz w:val="32"/>
          <w:szCs w:val="32"/>
          <w:lang w:val="en-US" w:eastAsia="zh-CN"/>
        </w:rPr>
        <w:t>签订日期等必需的</w:t>
      </w:r>
      <w:r>
        <w:rPr>
          <w:rFonts w:hint="eastAsia" w:hAnsi="黑体" w:cs="Times New Roman"/>
          <w:sz w:val="32"/>
          <w:szCs w:val="32"/>
        </w:rPr>
        <w:t>合同要素，明确双方权责，减少合同签订不规范带来的法律隐患。</w:t>
      </w:r>
    </w:p>
    <w:p>
      <w:pPr>
        <w:ind w:firstLine="560"/>
        <w:rPr>
          <w:rFonts w:hint="default" w:hAnsi="黑体" w:cs="Times New Roman"/>
          <w:b/>
          <w:bCs/>
          <w:sz w:val="32"/>
          <w:szCs w:val="32"/>
          <w:lang w:val="en-US" w:eastAsia="zh-CN"/>
        </w:rPr>
      </w:pPr>
      <w:r>
        <w:rPr>
          <w:rFonts w:hint="eastAsia" w:hAnsi="黑体" w:cs="Times New Roman"/>
          <w:b/>
          <w:bCs/>
          <w:sz w:val="32"/>
          <w:szCs w:val="32"/>
          <w:lang w:val="en-US" w:eastAsia="zh-CN"/>
        </w:rPr>
        <w:t>5.明确内部分工，提高填报质量</w:t>
      </w:r>
    </w:p>
    <w:p>
      <w:pPr>
        <w:ind w:firstLine="560"/>
        <w:rPr>
          <w:rFonts w:hint="default" w:hAnsi="黑体" w:cs="Times New Roman"/>
          <w:sz w:val="32"/>
          <w:szCs w:val="32"/>
          <w:lang w:val="en-US" w:eastAsia="zh-CN"/>
        </w:rPr>
      </w:pPr>
      <w:r>
        <w:rPr>
          <w:rFonts w:hint="eastAsia" w:hAnsi="黑体" w:cs="Times New Roman"/>
          <w:sz w:val="32"/>
          <w:szCs w:val="32"/>
        </w:rPr>
        <w:t>建议项目</w:t>
      </w:r>
      <w:r>
        <w:rPr>
          <w:rFonts w:hint="eastAsia" w:hAnsi="黑体" w:cs="Times New Roman"/>
          <w:sz w:val="32"/>
          <w:szCs w:val="32"/>
          <w:lang w:val="en-US" w:eastAsia="zh-CN"/>
        </w:rPr>
        <w:t>单位加强绩效目标填报规范性文件的学习，同时在年初填报目标时，加强业务科室和财务科室的配合，由业务科室提供明确的量化目标数据，由财务科室参照填报规范，转化成合理明确的绩效指标，提高绩效目标填报质量。</w:t>
      </w:r>
    </w:p>
    <w:p>
      <w:pPr>
        <w:ind w:firstLine="560"/>
        <w:outlineLvl w:val="1"/>
        <w:rPr>
          <w:rFonts w:hint="eastAsia" w:ascii="方正楷体_GB2312" w:hAnsi="方正楷体_GB2312" w:eastAsia="方正楷体_GB2312" w:cs="方正楷体_GB2312"/>
          <w:b/>
          <w:bCs w:val="0"/>
          <w:kern w:val="44"/>
          <w:sz w:val="32"/>
          <w:szCs w:val="32"/>
          <w:lang w:val="en-US" w:eastAsia="zh-CN" w:bidi="ar-SA"/>
        </w:rPr>
      </w:pPr>
      <w:bookmarkStart w:id="81" w:name="_Toc2082"/>
      <w:r>
        <w:rPr>
          <w:rFonts w:hint="eastAsia" w:ascii="方正楷体_GB2312" w:hAnsi="方正楷体_GB2312" w:eastAsia="方正楷体_GB2312" w:cs="方正楷体_GB2312"/>
          <w:b/>
          <w:bCs w:val="0"/>
          <w:kern w:val="44"/>
          <w:sz w:val="32"/>
          <w:szCs w:val="32"/>
          <w:lang w:val="en-US" w:eastAsia="zh-CN" w:bidi="ar-SA"/>
        </w:rPr>
        <w:t>（四）其他建议</w:t>
      </w:r>
      <w:bookmarkEnd w:id="81"/>
    </w:p>
    <w:p>
      <w:pPr>
        <w:ind w:firstLine="560"/>
        <w:rPr>
          <w:rFonts w:hint="default" w:hAnsi="黑体" w:eastAsia="仿宋_GB2312" w:cs="Times New Roman"/>
          <w:b/>
          <w:bCs/>
          <w:sz w:val="32"/>
          <w:szCs w:val="32"/>
          <w:lang w:val="en-US" w:eastAsia="zh-CN"/>
        </w:rPr>
      </w:pPr>
      <w:r>
        <w:rPr>
          <w:rFonts w:hint="eastAsia" w:hAnsi="黑体" w:cs="Times New Roman"/>
          <w:b/>
          <w:bCs/>
          <w:sz w:val="32"/>
          <w:szCs w:val="32"/>
          <w:lang w:val="en-US" w:eastAsia="zh-CN"/>
        </w:rPr>
        <w:t>1.2023年度预算调整及2024年度预算安排建议</w:t>
      </w:r>
    </w:p>
    <w:p>
      <w:pPr>
        <w:ind w:firstLine="560"/>
        <w:rPr>
          <w:rFonts w:hint="eastAsia" w:hAnsi="黑体" w:cs="Times New Roman"/>
          <w:sz w:val="32"/>
          <w:szCs w:val="32"/>
          <w:lang w:val="en-US" w:eastAsia="zh-CN"/>
        </w:rPr>
      </w:pPr>
      <w:r>
        <w:rPr>
          <w:rFonts w:hint="eastAsia" w:hAnsi="黑体" w:cs="Times New Roman"/>
          <w:sz w:val="32"/>
          <w:szCs w:val="32"/>
          <w:lang w:val="en-US" w:eastAsia="zh-CN"/>
        </w:rPr>
        <w:t>项目2023年度计划实施内容与2022年度基本一致，评价组分别对各子项目提出预算调整和安排建议：</w:t>
      </w:r>
    </w:p>
    <w:p>
      <w:pPr>
        <w:ind w:firstLine="560"/>
        <w:rPr>
          <w:rFonts w:hint="default" w:hAnsi="黑体" w:cs="Times New Roman"/>
          <w:sz w:val="32"/>
          <w:szCs w:val="32"/>
          <w:lang w:val="en-US" w:eastAsia="zh-CN"/>
        </w:rPr>
      </w:pPr>
      <w:r>
        <w:rPr>
          <w:rFonts w:hint="eastAsia" w:hAnsi="黑体" w:cs="Times New Roman"/>
          <w:sz w:val="32"/>
          <w:szCs w:val="32"/>
          <w:lang w:val="en-US" w:eastAsia="zh-CN"/>
        </w:rPr>
        <w:t>（1）失智老人护理用品项目：2022年安排预算158万元，总支出261.92万元，其中100万元由市红会下达，158万元从区福彩公益金中支出，余下3.92万元由区红会承担；2023年度预算仍为158万元，且补贴政策无变动，根据2023年度3-5月份的实际补贴老人人次数分别为2239、1905、2023，平均补贴人次数为2056，以再上浮10%的比例预估全年平均补贴人次数，则预估全年项目支出约为2056×1.1×12×95=257.82万元，预算安排基本合理，故评价组建议不作调整，2024年度预算安排建议结合截止2023年11月份的平均补贴人次数来测算，并进行相应的调整。</w:t>
      </w:r>
    </w:p>
    <w:p>
      <w:pPr>
        <w:ind w:firstLine="560"/>
        <w:rPr>
          <w:rFonts w:hint="default" w:hAnsi="黑体" w:cs="Times New Roman"/>
          <w:sz w:val="32"/>
          <w:szCs w:val="32"/>
          <w:lang w:val="en-US" w:eastAsia="zh-CN"/>
        </w:rPr>
      </w:pPr>
      <w:r>
        <w:rPr>
          <w:rFonts w:hint="eastAsia" w:hAnsi="黑体" w:cs="Times New Roman"/>
          <w:sz w:val="32"/>
          <w:szCs w:val="32"/>
          <w:lang w:val="en-US" w:eastAsia="zh-CN"/>
        </w:rPr>
        <w:t>（2）社区综合为老服务中心建设补贴：2022年安排预算150万元，计划补贴3家综合为老服务中心，实际总支出35.43万元，共补贴1家综合为老服务中心；2023年度预算为50万元，计划补贴1家综合为老服务中心，在补贴政策不变动的情况下，评价组建议不作调整，2024年度预算安排以下一年度计划新建综合为老服务中心数量为基础测算。</w:t>
      </w:r>
    </w:p>
    <w:p>
      <w:pPr>
        <w:ind w:firstLine="560"/>
        <w:rPr>
          <w:rFonts w:hint="default" w:hAnsi="黑体" w:cs="Times New Roman"/>
          <w:sz w:val="32"/>
          <w:szCs w:val="32"/>
          <w:lang w:val="en-US" w:eastAsia="zh-CN"/>
        </w:rPr>
      </w:pPr>
      <w:r>
        <w:rPr>
          <w:rFonts w:hint="eastAsia" w:hAnsi="黑体" w:cs="Times New Roman"/>
          <w:sz w:val="32"/>
          <w:szCs w:val="32"/>
          <w:lang w:val="en-US" w:eastAsia="zh-CN"/>
        </w:rPr>
        <w:t>（3）示范睦邻点建设补贴：2022年安排预算100万元，实际总支出100万元，补贴2020年度余下未清算的20个示范睦邻点以及2021年度的80个示范睦邻点；2023年度预算为26万元，对应为2022年度验收通过的26家示范睦邻点，评价组建议不作调整，2024年度预算安排以2023年度实际通过验收的示范睦邻点数量测算。</w:t>
      </w:r>
    </w:p>
    <w:p>
      <w:pPr>
        <w:ind w:firstLine="560"/>
        <w:rPr>
          <w:rFonts w:hint="default" w:hAnsi="黑体" w:eastAsia="仿宋_GB2312" w:cs="Times New Roman"/>
          <w:sz w:val="32"/>
          <w:szCs w:val="32"/>
          <w:lang w:val="en-US" w:eastAsia="zh-CN"/>
        </w:rPr>
      </w:pPr>
      <w:r>
        <w:rPr>
          <w:rFonts w:hint="eastAsia" w:hAnsi="黑体" w:cs="Times New Roman"/>
          <w:sz w:val="32"/>
          <w:szCs w:val="32"/>
          <w:lang w:eastAsia="zh-CN"/>
        </w:rPr>
        <w:t>（</w:t>
      </w:r>
      <w:r>
        <w:rPr>
          <w:rFonts w:hint="eastAsia" w:hAnsi="黑体" w:cs="Times New Roman"/>
          <w:sz w:val="32"/>
          <w:szCs w:val="32"/>
          <w:lang w:val="en-US" w:eastAsia="zh-CN"/>
        </w:rPr>
        <w:t>4</w:t>
      </w:r>
      <w:r>
        <w:rPr>
          <w:rFonts w:hint="eastAsia" w:hAnsi="黑体" w:cs="Times New Roman"/>
          <w:sz w:val="32"/>
          <w:szCs w:val="32"/>
          <w:lang w:eastAsia="zh-CN"/>
        </w:rPr>
        <w:t>）养老机构综合责任保险：</w:t>
      </w:r>
      <w:r>
        <w:rPr>
          <w:rFonts w:hint="eastAsia" w:hAnsi="黑体" w:cs="Times New Roman"/>
          <w:sz w:val="32"/>
          <w:szCs w:val="32"/>
          <w:lang w:val="en-US" w:eastAsia="zh-CN"/>
        </w:rPr>
        <w:t>2022年安排预算30万元，实际总支出23.48万元，</w:t>
      </w:r>
      <w:r>
        <w:rPr>
          <w:rFonts w:hint="eastAsia" w:cs="仿宋_GB2312"/>
          <w:kern w:val="1"/>
          <w:sz w:val="32"/>
          <w:szCs w:val="32"/>
          <w:lang w:val="en-US" w:eastAsia="zh-CN"/>
        </w:rPr>
        <w:t>实际</w:t>
      </w:r>
      <w:r>
        <w:rPr>
          <w:rFonts w:hint="eastAsia" w:ascii="仿宋_GB2312" w:hAnsi="仿宋_GB2312" w:cs="仿宋_GB2312"/>
          <w:kern w:val="1"/>
          <w:sz w:val="32"/>
          <w:szCs w:val="32"/>
          <w:lang w:val="en-US" w:eastAsia="zh-CN"/>
        </w:rPr>
        <w:t>投保床位数</w:t>
      </w:r>
      <w:r>
        <w:rPr>
          <w:rFonts w:hint="eastAsia" w:cs="仿宋_GB2312"/>
          <w:kern w:val="1"/>
          <w:sz w:val="32"/>
          <w:szCs w:val="32"/>
          <w:lang w:val="en-US" w:eastAsia="zh-CN"/>
        </w:rPr>
        <w:t>为3914张；</w:t>
      </w:r>
      <w:r>
        <w:rPr>
          <w:rFonts w:hint="eastAsia" w:hAnsi="黑体" w:cs="Times New Roman"/>
          <w:sz w:val="32"/>
          <w:szCs w:val="32"/>
          <w:lang w:val="en-US" w:eastAsia="zh-CN"/>
        </w:rPr>
        <w:t>2023年度预算仍为30万元（对应预估投保床位数5000张），预算偏高，2023年度投保准备工作已就绪</w:t>
      </w:r>
      <w:r>
        <w:rPr>
          <w:rFonts w:hint="eastAsia" w:cs="仿宋_GB2312"/>
          <w:kern w:val="1"/>
          <w:sz w:val="32"/>
          <w:szCs w:val="32"/>
          <w:lang w:val="en-US" w:eastAsia="zh-CN"/>
        </w:rPr>
        <w:t>，全区计划投保养老机构为40家，计划投保床位数为3632张，对应预算21.8万元，故建议2023年本项目预算调减8.2万元。本项目2019-2023年的平均投保床位数为3941张，各年投保床位数上下浮动比例范围为为-8.53%至3.66%，则建议以平均投保床位数上浮5%测算2024年投保床位数，约为4138张，对应建议2024年预算安排25万元。</w:t>
      </w:r>
    </w:p>
    <w:p>
      <w:pPr>
        <w:ind w:firstLine="560"/>
        <w:rPr>
          <w:rFonts w:hint="default" w:hAnsi="黑体" w:eastAsia="仿宋_GB2312" w:cs="Times New Roman"/>
          <w:sz w:val="32"/>
          <w:szCs w:val="32"/>
          <w:lang w:val="en-US" w:eastAsia="zh-CN"/>
        </w:rPr>
      </w:pPr>
      <w:r>
        <w:rPr>
          <w:rFonts w:hint="eastAsia" w:hAnsi="黑体" w:cs="Times New Roman"/>
          <w:b/>
          <w:bCs/>
          <w:sz w:val="32"/>
          <w:szCs w:val="32"/>
          <w:lang w:val="en-US" w:eastAsia="zh-CN"/>
        </w:rPr>
        <w:t>2.对农村示范睦邻点建设的一点建议</w:t>
      </w:r>
    </w:p>
    <w:p>
      <w:pPr>
        <w:ind w:firstLine="560"/>
        <w:rPr>
          <w:rFonts w:hint="default" w:hAnsi="黑体" w:eastAsia="仿宋_GB2312" w:cs="Times New Roman"/>
          <w:sz w:val="32"/>
          <w:szCs w:val="32"/>
          <w:lang w:val="en-US" w:eastAsia="zh-CN"/>
        </w:rPr>
      </w:pPr>
      <w:r>
        <w:rPr>
          <w:rFonts w:hint="eastAsia" w:hAnsi="黑体" w:cs="Times New Roman"/>
          <w:sz w:val="32"/>
          <w:szCs w:val="32"/>
          <w:lang w:val="en-US" w:eastAsia="zh-CN"/>
        </w:rPr>
        <w:t>根据评价组的实地踏勘结果，农村示范睦邻点的建设水准不一，尤其在硬件设施层面，部分睦邻点还较为简陋，例如夏天防暑、冬天取暖的设备，还未全部完备，桌椅、书架等家具也多显老旧，部分已使用补贴资金的示范睦邻点，则以乡镇意志为主导，为睦邻点统一配备电视、立柜等设备，但实际使用率不高（并未征询睦邻点点长和使用者的需求和意见），资金使用效益不高。鉴于目前多数示范睦邻点补贴资金还尚未使用，建议后续可出台相关资金使用建议，鼓励将福彩公益金优先用于完善示范睦邻点硬件配备和更新，同时做好政策宣传，让睦邻点点长和使用人员明确知晓资金扶持政策，以他们的实际需求为根本导向，将补贴资金真正用在刀刃上，提升睦邻点建设和运营水平。</w:t>
      </w:r>
    </w:p>
    <w:p>
      <w:pPr>
        <w:ind w:firstLine="560"/>
        <w:rPr>
          <w:rFonts w:hint="eastAsia" w:hAnsi="黑体" w:cs="Times New Roman"/>
          <w:sz w:val="32"/>
          <w:szCs w:val="32"/>
        </w:rPr>
      </w:pPr>
    </w:p>
    <w:p>
      <w:pPr>
        <w:ind w:firstLine="560"/>
        <w:rPr>
          <w:rFonts w:hint="eastAsia" w:hAnsi="黑体" w:cs="Times New Roman"/>
          <w:sz w:val="32"/>
          <w:szCs w:val="32"/>
        </w:rPr>
        <w:sectPr>
          <w:pgSz w:w="11906" w:h="16838"/>
          <w:pgMar w:top="1440" w:right="1797" w:bottom="1440" w:left="1797" w:header="851" w:footer="567" w:gutter="0"/>
          <w:cols w:space="720" w:num="1"/>
          <w:docGrid w:linePitch="381" w:charSpace="0"/>
        </w:sectPr>
      </w:pPr>
    </w:p>
    <w:p>
      <w:pPr>
        <w:spacing w:line="480" w:lineRule="exact"/>
        <w:ind w:right="87" w:rightChars="31" w:firstLine="0" w:firstLineChars="0"/>
        <w:jc w:val="right"/>
        <w:rPr>
          <w:rFonts w:hint="default"/>
          <w:lang w:val="en-US" w:eastAsia="zh-CN"/>
        </w:rPr>
      </w:pPr>
    </w:p>
    <w:sectPr>
      <w:headerReference r:id="rId15" w:type="default"/>
      <w:footerReference r:id="rId16" w:type="default"/>
      <w:pgSz w:w="11906" w:h="16838"/>
      <w:pgMar w:top="1440" w:right="1797" w:bottom="1985" w:left="1797"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36C236DA-127E-44AD-B66A-9B569D8715CB}"/>
  </w:font>
  <w:font w:name="黑体">
    <w:panose1 w:val="02010609060101010101"/>
    <w:charset w:val="86"/>
    <w:family w:val="auto"/>
    <w:pitch w:val="default"/>
    <w:sig w:usb0="800002BF" w:usb1="38CF7CFA" w:usb2="00000016" w:usb3="00000000" w:csb0="00040001" w:csb1="00000000"/>
    <w:embedRegular r:id="rId2" w:fontKey="{FE60184D-DCD6-438D-9E7C-CE3C3330EE65}"/>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3" w:fontKey="{959A9C9E-FCEA-44C5-90F7-907B8F06CF7E}"/>
  </w:font>
  <w:font w:name="仿宋_GB2312">
    <w:panose1 w:val="02010609030101010101"/>
    <w:charset w:val="86"/>
    <w:family w:val="modern"/>
    <w:pitch w:val="default"/>
    <w:sig w:usb0="00000001" w:usb1="080E0000" w:usb2="00000000" w:usb3="00000000" w:csb0="00040000" w:csb1="00000000"/>
    <w:embedRegular r:id="rId4" w:fontKey="{59DECCF7-4DC4-40C2-8263-2DF582D5C1F8}"/>
  </w:font>
  <w:font w:name="Simang">
    <w:altName w:val="宋体"/>
    <w:panose1 w:val="00000000000000000000"/>
    <w:charset w:val="86"/>
    <w:family w:val="auto"/>
    <w:pitch w:val="default"/>
    <w:sig w:usb0="00000000" w:usb1="00000000" w:usb2="00000010" w:usb3="00000000" w:csb0="00040000" w:csb1="00000000"/>
  </w:font>
  <w:font w:name="等线 Light">
    <w:altName w:val="宋体"/>
    <w:panose1 w:val="02010600030101010101"/>
    <w:charset w:val="86"/>
    <w:family w:val="auto"/>
    <w:pitch w:val="default"/>
    <w:sig w:usb0="00000000" w:usb1="00000000" w:usb2="00000016" w:usb3="00000000" w:csb0="0004000F" w:csb1="00000000"/>
  </w:font>
  <w:font w:name="Verdana">
    <w:panose1 w:val="020B0604030504040204"/>
    <w:charset w:val="00"/>
    <w:family w:val="swiss"/>
    <w:pitch w:val="default"/>
    <w:sig w:usb0="A10006FF" w:usb1="4000205B" w:usb2="00000010" w:usb3="00000000" w:csb0="2000019F" w:csb1="00000000"/>
  </w:font>
  <w:font w:name="仿宋">
    <w:panose1 w:val="02010609060101010101"/>
    <w:charset w:val="86"/>
    <w:family w:val="modern"/>
    <w:pitch w:val="default"/>
    <w:sig w:usb0="800002BF" w:usb1="38CF7CFA" w:usb2="00000016" w:usb3="00000000" w:csb0="00040001" w:csb1="00000000"/>
    <w:embedRegular r:id="rId5" w:fontKey="{1BB93748-9FF9-4301-9ECC-7E2C217A765F}"/>
  </w:font>
  <w:font w:name="等线">
    <w:panose1 w:val="02010600030101010101"/>
    <w:charset w:val="86"/>
    <w:family w:val="auto"/>
    <w:pitch w:val="default"/>
    <w:sig w:usb0="00000000" w:usb1="00000000" w:usb2="00000000" w:usb3="00000000" w:csb0="00000000" w:csb1="00000000"/>
    <w:embedRegular r:id="rId6" w:fontKey="{17A6CAFE-F0A1-463B-A135-C1F856003CD1}"/>
  </w:font>
  <w:font w:name="Microsoft JhengHei">
    <w:panose1 w:val="020B0604030504040204"/>
    <w:charset w:val="88"/>
    <w:family w:val="swiss"/>
    <w:pitch w:val="default"/>
    <w:sig w:usb0="00000087" w:usb1="28AF4000" w:usb2="00000016" w:usb3="00000000" w:csb0="00100009" w:csb1="00000000"/>
    <w:embedRegular r:id="rId7" w:fontKey="{C838E9E7-4106-4D09-9D13-4A4C685550B2}"/>
  </w:font>
  <w:font w:name="Arial Unicode MS">
    <w:altName w:val="宋体"/>
    <w:panose1 w:val="020B0604020202020204"/>
    <w:charset w:val="86"/>
    <w:family w:val="swiss"/>
    <w:pitch w:val="default"/>
    <w:sig w:usb0="00000000" w:usb1="00000000" w:usb2="0000003F" w:usb3="00000000" w:csb0="603F01FF" w:csb1="FFFF0000"/>
    <w:embedRegular r:id="rId8" w:fontKey="{93707A6C-A83D-4D24-ACD2-5B0040AF5BA1}"/>
  </w:font>
  <w:font w:name="方正楷体_GB2312">
    <w:panose1 w:val="02000000000000000000"/>
    <w:charset w:val="86"/>
    <w:family w:val="auto"/>
    <w:pitch w:val="default"/>
    <w:sig w:usb0="00000000" w:usb1="00000000" w:usb2="00000000" w:usb3="00000000" w:csb0="00000000" w:csb1="00000000"/>
    <w:embedRegular r:id="rId9" w:fontKey="{D8C0DBB4-0893-45AA-8252-19735222CFCD}"/>
  </w:font>
  <w:font w:name="GB18030 Bitmap">
    <w:altName w:val="宋体"/>
    <w:panose1 w:val="00000000000000000000"/>
    <w:charset w:val="86"/>
    <w:family w:val="auto"/>
    <w:pitch w:val="default"/>
    <w:sig w:usb0="00000000" w:usb1="00000000" w:usb2="00000010" w:usb3="00000000" w:csb0="0004009F" w:csb1="00000000"/>
    <w:embedRegular r:id="rId10" w:fontKey="{92AE396D-5168-4FE5-BBEC-FB2237778589}"/>
  </w:font>
  <w:font w:name="MS Mincho">
    <w:panose1 w:val="02020609040205080304"/>
    <w:charset w:val="80"/>
    <w:family w:val="modern"/>
    <w:pitch w:val="default"/>
    <w:sig w:usb0="E00002FF" w:usb1="6AC7FDFB" w:usb2="00000012" w:usb3="00000000" w:csb0="4002009F" w:csb1="DFD70000"/>
    <w:embedRegular r:id="rId11" w:fontKey="{269198B8-4D31-48C6-A03B-C6FF4421E739}"/>
  </w:font>
  <w:font w:name="Malgun Gothic">
    <w:panose1 w:val="020B0503020000020004"/>
    <w:charset w:val="81"/>
    <w:family w:val="swiss"/>
    <w:pitch w:val="default"/>
    <w:sig w:usb0="900002AF" w:usb1="01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5643428"/>
    </w:sdtPr>
    <w:sdtContent>
      <w:p>
        <w:pPr>
          <w:pStyle w:val="20"/>
          <w:ind w:firstLine="360"/>
          <w:jc w:val="center"/>
        </w:pPr>
        <w:r>
          <w:fldChar w:fldCharType="begin"/>
        </w:r>
        <w:r>
          <w:instrText xml:space="preserve">PAGE   \* MERGEFORMAT</w:instrText>
        </w:r>
        <w:r>
          <w:fldChar w:fldCharType="separate"/>
        </w:r>
        <w:r>
          <w:rPr>
            <w:lang w:val="zh-CN"/>
          </w:rPr>
          <w:t>28</w:t>
        </w:r>
        <w:r>
          <w:rPr>
            <w:lang w:val="zh-CN"/>
          </w:rPr>
          <w:fldChar w:fldCharType="end"/>
        </w:r>
      </w:p>
    </w:sdtContent>
  </w:sdt>
  <w:p>
    <w:pPr>
      <w:pStyle w:val="20"/>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jc w:val="right"/>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4+dosVAgAAFQQAAA4AAABkcnMvZTJvRG9jLnhtbK1Ty47TMBTdI/EP&#10;lvc0aRGjUj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G4+dosVAgAAFQQAAA4AAAAAAAAA&#10;AQAgAAAAHwEAAGRycy9lMm9Eb2MueG1sUEsFBgAAAAAGAAYAWQEAAKYFAAAAAA==&#10;">
              <v:fill on="f" focussize="0,0"/>
              <v:stroke on="f" weight="0.5pt"/>
              <v:imagedata o:title=""/>
              <o:lock v:ext="edit" aspectratio="f"/>
              <v:textbox inset="0mm,0mm,0mm,0mm" style="mso-fit-shape-to-text:t;">
                <w:txbxContent>
                  <w:p>
                    <w:pPr>
                      <w:pStyle w:val="20"/>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62866130"/>
    </w:sdtPr>
    <w:sdtContent>
      <w:p>
        <w:pPr>
          <w:pStyle w:val="20"/>
          <w:ind w:firstLine="360"/>
          <w:jc w:val="center"/>
        </w:pPr>
        <w:r>
          <w:fldChar w:fldCharType="begin"/>
        </w:r>
        <w:r>
          <w:instrText xml:space="preserve">PAGE   \* MERGEFORMAT</w:instrText>
        </w:r>
        <w:r>
          <w:fldChar w:fldCharType="separate"/>
        </w:r>
        <w:r>
          <w:rPr>
            <w:lang w:val="zh-CN"/>
          </w:rPr>
          <w:t>19</w:t>
        </w:r>
        <w:r>
          <w:fldChar w:fldCharType="end"/>
        </w:r>
      </w:p>
    </w:sdtContent>
  </w:sdt>
  <w:p>
    <w:pPr>
      <w:pStyle w:val="20"/>
      <w:ind w:firstLine="360"/>
      <w:jc w:val="righ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framePr w:wrap="around" w:vAnchor="text" w:hAnchor="margin" w:xAlign="center" w:y="1"/>
      <w:ind w:firstLine="360"/>
      <w:rPr>
        <w:rStyle w:val="32"/>
      </w:rPr>
    </w:pPr>
    <w:r>
      <w:rPr>
        <w:rStyle w:val="32"/>
      </w:rPr>
      <w:fldChar w:fldCharType="begin"/>
    </w:r>
    <w:r>
      <w:rPr>
        <w:rStyle w:val="32"/>
      </w:rPr>
      <w:instrText xml:space="preserve">PAGE  </w:instrText>
    </w:r>
    <w:r>
      <w:rPr>
        <w:rStyle w:val="32"/>
      </w:rPr>
      <w:fldChar w:fldCharType="separate"/>
    </w:r>
    <w:r>
      <w:rPr>
        <w:rStyle w:val="32"/>
      </w:rPr>
      <w:t>42</w:t>
    </w:r>
    <w:r>
      <w:rPr>
        <w:rStyle w:val="32"/>
      </w:rPr>
      <w:fldChar w:fldCharType="end"/>
    </w:r>
  </w:p>
  <w:p>
    <w:pPr>
      <w:pStyle w:val="20"/>
      <w:ind w:left="280" w:right="280" w:firstLine="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id="0">
    <w:p>
      <w:pPr>
        <w:jc w:val="both"/>
        <w:rPr>
          <w:rFonts w:ascii="仿宋_GB2312" w:hAnsi="等线" w:eastAsia="仿宋_GB2312" w:cs="宋体"/>
          <w:color w:val="000000"/>
          <w:kern w:val="2"/>
          <w:sz w:val="21"/>
          <w:szCs w:val="21"/>
          <w:lang w:val="en-US" w:eastAsia="zh-CN" w:bidi="ar-SA"/>
        </w:rPr>
      </w:pPr>
      <w:r>
        <w:rPr>
          <w:rFonts w:ascii="仿宋_GB2312" w:hAnsi="等线" w:eastAsia="仿宋_GB2312" w:cs="宋体"/>
          <w:color w:val="000000"/>
          <w:kern w:val="2"/>
          <w:sz w:val="21"/>
          <w:szCs w:val="21"/>
          <w:lang w:val="en-US" w:eastAsia="zh-CN" w:bidi="ar-SA"/>
        </w:rPr>
        <w:footnoteRef/>
      </w:r>
      <w:r>
        <w:rPr>
          <w:rFonts w:ascii="仿宋_GB2312" w:hAnsi="等线" w:eastAsia="仿宋_GB2312" w:cs="宋体"/>
          <w:color w:val="000000"/>
          <w:kern w:val="2"/>
          <w:sz w:val="21"/>
          <w:szCs w:val="21"/>
          <w:lang w:val="en-US" w:eastAsia="zh-CN" w:bidi="ar-SA"/>
        </w:rPr>
        <w:t xml:space="preserve"> </w:t>
      </w:r>
      <w:r>
        <w:rPr>
          <w:rFonts w:hint="eastAsia" w:ascii="仿宋_GB2312" w:hAnsi="等线" w:eastAsia="仿宋_GB2312" w:cs="宋体"/>
          <w:color w:val="000000"/>
          <w:kern w:val="2"/>
          <w:sz w:val="21"/>
          <w:szCs w:val="21"/>
          <w:lang w:val="en-US" w:eastAsia="zh-CN" w:bidi="ar-SA"/>
        </w:rPr>
        <w:t>绩效得分90（含）-</w:t>
      </w:r>
      <w:r>
        <w:rPr>
          <w:rFonts w:ascii="仿宋_GB2312" w:hAnsi="等线" w:eastAsia="仿宋_GB2312" w:cs="宋体"/>
          <w:color w:val="000000"/>
          <w:kern w:val="2"/>
          <w:sz w:val="21"/>
          <w:szCs w:val="21"/>
          <w:lang w:val="en-US" w:eastAsia="zh-CN" w:bidi="ar-SA"/>
        </w:rPr>
        <w:t>100</w:t>
      </w:r>
      <w:r>
        <w:rPr>
          <w:rFonts w:hint="eastAsia" w:ascii="仿宋_GB2312" w:hAnsi="等线" w:eastAsia="仿宋_GB2312" w:cs="宋体"/>
          <w:color w:val="000000"/>
          <w:kern w:val="2"/>
          <w:sz w:val="21"/>
          <w:szCs w:val="21"/>
          <w:lang w:val="en-US" w:eastAsia="zh-CN" w:bidi="ar-SA"/>
        </w:rPr>
        <w:t>分以上为“优”，</w:t>
      </w:r>
      <w:r>
        <w:rPr>
          <w:rFonts w:ascii="仿宋_GB2312" w:hAnsi="等线" w:eastAsia="仿宋_GB2312" w:cs="宋体"/>
          <w:color w:val="000000"/>
          <w:kern w:val="2"/>
          <w:sz w:val="21"/>
          <w:szCs w:val="21"/>
          <w:lang w:val="en-US" w:eastAsia="zh-CN" w:bidi="ar-SA"/>
        </w:rPr>
        <w:t>80</w:t>
      </w:r>
      <w:r>
        <w:rPr>
          <w:rFonts w:hint="eastAsia" w:ascii="仿宋_GB2312" w:hAnsi="等线" w:eastAsia="仿宋_GB2312" w:cs="宋体"/>
          <w:color w:val="000000"/>
          <w:kern w:val="2"/>
          <w:sz w:val="21"/>
          <w:szCs w:val="21"/>
          <w:lang w:val="en-US" w:eastAsia="zh-CN" w:bidi="ar-SA"/>
        </w:rPr>
        <w:t>（含）-90分为“良”，60（含）-</w:t>
      </w:r>
      <w:r>
        <w:rPr>
          <w:rFonts w:ascii="仿宋_GB2312" w:hAnsi="等线" w:eastAsia="仿宋_GB2312" w:cs="宋体"/>
          <w:color w:val="000000"/>
          <w:kern w:val="2"/>
          <w:sz w:val="21"/>
          <w:szCs w:val="21"/>
          <w:lang w:val="en-US" w:eastAsia="zh-CN" w:bidi="ar-SA"/>
        </w:rPr>
        <w:t>80</w:t>
      </w:r>
      <w:r>
        <w:rPr>
          <w:rFonts w:hint="eastAsia" w:ascii="仿宋_GB2312" w:hAnsi="等线" w:eastAsia="仿宋_GB2312" w:cs="宋体"/>
          <w:color w:val="000000"/>
          <w:kern w:val="2"/>
          <w:sz w:val="21"/>
          <w:szCs w:val="21"/>
          <w:lang w:val="en-US" w:eastAsia="zh-CN" w:bidi="ar-SA"/>
        </w:rPr>
        <w:t>分为“中”，60分以下为“差”。</w:t>
      </w:r>
    </w:p>
  </w:footnote>
  <w:footnote w:id="1">
    <w:p>
      <w:pPr>
        <w:pStyle w:val="107"/>
        <w:rPr>
          <w:rFonts w:ascii="仿宋_GB2312" w:hAnsi="等线" w:eastAsia="仿宋_GB2312" w:cs="宋体"/>
          <w:color w:val="000000"/>
        </w:rPr>
      </w:pPr>
      <w:r>
        <w:rPr>
          <w:rFonts w:ascii="仿宋_GB2312" w:hAnsi="等线" w:eastAsia="仿宋_GB2312" w:cs="宋体"/>
          <w:color w:val="000000"/>
        </w:rPr>
        <w:footnoteRef/>
      </w:r>
      <w:r>
        <w:rPr>
          <w:rFonts w:ascii="仿宋_GB2312" w:hAnsi="等线" w:eastAsia="仿宋_GB2312" w:cs="宋体"/>
          <w:color w:val="000000"/>
        </w:rPr>
        <w:t xml:space="preserve"> </w:t>
      </w:r>
      <w:r>
        <w:rPr>
          <w:rFonts w:hint="eastAsia" w:ascii="仿宋_GB2312" w:hAnsi="等线" w:eastAsia="仿宋_GB2312" w:cs="宋体"/>
          <w:color w:val="000000"/>
        </w:rPr>
        <w:t>绩效得分90（含）-</w:t>
      </w:r>
      <w:r>
        <w:rPr>
          <w:rFonts w:ascii="仿宋_GB2312" w:hAnsi="等线" w:eastAsia="仿宋_GB2312" w:cs="宋体"/>
          <w:color w:val="000000"/>
        </w:rPr>
        <w:t>100</w:t>
      </w:r>
      <w:r>
        <w:rPr>
          <w:rFonts w:hint="eastAsia" w:ascii="仿宋_GB2312" w:hAnsi="等线" w:eastAsia="仿宋_GB2312" w:cs="宋体"/>
          <w:color w:val="000000"/>
        </w:rPr>
        <w:t>分以上为“优”，</w:t>
      </w:r>
      <w:r>
        <w:rPr>
          <w:rFonts w:ascii="仿宋_GB2312" w:hAnsi="等线" w:eastAsia="仿宋_GB2312" w:cs="宋体"/>
          <w:color w:val="000000"/>
        </w:rPr>
        <w:t>80</w:t>
      </w:r>
      <w:r>
        <w:rPr>
          <w:rFonts w:hint="eastAsia" w:ascii="仿宋_GB2312" w:hAnsi="等线" w:eastAsia="仿宋_GB2312" w:cs="宋体"/>
          <w:color w:val="000000"/>
        </w:rPr>
        <w:t>（含）-90分为“良”，60（含）-</w:t>
      </w:r>
      <w:r>
        <w:rPr>
          <w:rFonts w:ascii="仿宋_GB2312" w:hAnsi="等线" w:eastAsia="仿宋_GB2312" w:cs="宋体"/>
          <w:color w:val="000000"/>
        </w:rPr>
        <w:t>80</w:t>
      </w:r>
      <w:r>
        <w:rPr>
          <w:rFonts w:hint="eastAsia" w:ascii="仿宋_GB2312" w:hAnsi="等线" w:eastAsia="仿宋_GB2312" w:cs="宋体"/>
          <w:color w:val="000000"/>
        </w:rPr>
        <w:t>分为“中”，60分以下为“差”。</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560"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80" w:right="280" w:firstLine="5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right="280" w:firstLine="420"/>
      <w:jc w:val="center"/>
      <w:rPr>
        <w:sz w:val="21"/>
        <w:szCs w:val="21"/>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TrueTypeFonts/>
  <w:saveSubsetFonts/>
  <w:bordersDoNotSurroundHeader w:val="0"/>
  <w:bordersDoNotSurroundFooter w:val="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40"/>
  <w:drawingGridVerticalSpacing w:val="381"/>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U0ZTRlNThhYTRiMzVjYmY3NTdhNGJiNWViZWI3NmIifQ=="/>
  </w:docVars>
  <w:rsids>
    <w:rsidRoot w:val="00172A27"/>
    <w:rsid w:val="00000470"/>
    <w:rsid w:val="00000ADB"/>
    <w:rsid w:val="00001834"/>
    <w:rsid w:val="0000288D"/>
    <w:rsid w:val="00002BB1"/>
    <w:rsid w:val="0000410D"/>
    <w:rsid w:val="00005909"/>
    <w:rsid w:val="00005D23"/>
    <w:rsid w:val="00006418"/>
    <w:rsid w:val="000065F2"/>
    <w:rsid w:val="0000674F"/>
    <w:rsid w:val="00007F5B"/>
    <w:rsid w:val="0001005A"/>
    <w:rsid w:val="0001165B"/>
    <w:rsid w:val="00011920"/>
    <w:rsid w:val="00012141"/>
    <w:rsid w:val="00012222"/>
    <w:rsid w:val="00012FC8"/>
    <w:rsid w:val="00013DC2"/>
    <w:rsid w:val="000140DC"/>
    <w:rsid w:val="000143DF"/>
    <w:rsid w:val="000145C0"/>
    <w:rsid w:val="00014847"/>
    <w:rsid w:val="00015074"/>
    <w:rsid w:val="00015164"/>
    <w:rsid w:val="00015BCC"/>
    <w:rsid w:val="00016934"/>
    <w:rsid w:val="000175E1"/>
    <w:rsid w:val="000200CB"/>
    <w:rsid w:val="00020A23"/>
    <w:rsid w:val="00020A4F"/>
    <w:rsid w:val="00021880"/>
    <w:rsid w:val="00021CC3"/>
    <w:rsid w:val="00021D8E"/>
    <w:rsid w:val="00022335"/>
    <w:rsid w:val="000225F4"/>
    <w:rsid w:val="0002275C"/>
    <w:rsid w:val="000227DE"/>
    <w:rsid w:val="00022E66"/>
    <w:rsid w:val="000240B2"/>
    <w:rsid w:val="00024988"/>
    <w:rsid w:val="00024F07"/>
    <w:rsid w:val="000258BD"/>
    <w:rsid w:val="00026C12"/>
    <w:rsid w:val="00026FBB"/>
    <w:rsid w:val="00026FD7"/>
    <w:rsid w:val="00027CA2"/>
    <w:rsid w:val="00031035"/>
    <w:rsid w:val="00031693"/>
    <w:rsid w:val="0003308A"/>
    <w:rsid w:val="0003308E"/>
    <w:rsid w:val="00033245"/>
    <w:rsid w:val="00033587"/>
    <w:rsid w:val="000337F1"/>
    <w:rsid w:val="00034095"/>
    <w:rsid w:val="000342AE"/>
    <w:rsid w:val="00034F2D"/>
    <w:rsid w:val="0003522B"/>
    <w:rsid w:val="00035315"/>
    <w:rsid w:val="00035440"/>
    <w:rsid w:val="000354B5"/>
    <w:rsid w:val="000356D3"/>
    <w:rsid w:val="00036252"/>
    <w:rsid w:val="000363AC"/>
    <w:rsid w:val="00036774"/>
    <w:rsid w:val="000374CB"/>
    <w:rsid w:val="0004093D"/>
    <w:rsid w:val="00040E43"/>
    <w:rsid w:val="00041F0E"/>
    <w:rsid w:val="00042D7D"/>
    <w:rsid w:val="00042F95"/>
    <w:rsid w:val="00043FEC"/>
    <w:rsid w:val="00045C80"/>
    <w:rsid w:val="000464B3"/>
    <w:rsid w:val="0004737D"/>
    <w:rsid w:val="000476BF"/>
    <w:rsid w:val="00050052"/>
    <w:rsid w:val="00050BAD"/>
    <w:rsid w:val="000513B0"/>
    <w:rsid w:val="00051E22"/>
    <w:rsid w:val="00051F3E"/>
    <w:rsid w:val="00052012"/>
    <w:rsid w:val="00052F33"/>
    <w:rsid w:val="00054AFA"/>
    <w:rsid w:val="00054D04"/>
    <w:rsid w:val="0005510A"/>
    <w:rsid w:val="0005542D"/>
    <w:rsid w:val="00055953"/>
    <w:rsid w:val="00056367"/>
    <w:rsid w:val="00057258"/>
    <w:rsid w:val="00060BDB"/>
    <w:rsid w:val="00061553"/>
    <w:rsid w:val="00062001"/>
    <w:rsid w:val="00063879"/>
    <w:rsid w:val="00065857"/>
    <w:rsid w:val="0006719B"/>
    <w:rsid w:val="0006778F"/>
    <w:rsid w:val="00070153"/>
    <w:rsid w:val="0007057D"/>
    <w:rsid w:val="0007065C"/>
    <w:rsid w:val="00071119"/>
    <w:rsid w:val="000715D0"/>
    <w:rsid w:val="0007223C"/>
    <w:rsid w:val="0007228E"/>
    <w:rsid w:val="00072A93"/>
    <w:rsid w:val="00074A57"/>
    <w:rsid w:val="000765E9"/>
    <w:rsid w:val="000768B3"/>
    <w:rsid w:val="00076996"/>
    <w:rsid w:val="0008168D"/>
    <w:rsid w:val="00081B84"/>
    <w:rsid w:val="000826D6"/>
    <w:rsid w:val="0008339E"/>
    <w:rsid w:val="00083826"/>
    <w:rsid w:val="00083D63"/>
    <w:rsid w:val="000849EB"/>
    <w:rsid w:val="00085E38"/>
    <w:rsid w:val="00086605"/>
    <w:rsid w:val="00086831"/>
    <w:rsid w:val="000868BE"/>
    <w:rsid w:val="00086ACD"/>
    <w:rsid w:val="00087F74"/>
    <w:rsid w:val="00090122"/>
    <w:rsid w:val="0009038C"/>
    <w:rsid w:val="00090A23"/>
    <w:rsid w:val="0009104F"/>
    <w:rsid w:val="00091191"/>
    <w:rsid w:val="00091D4A"/>
    <w:rsid w:val="0009363C"/>
    <w:rsid w:val="0009441B"/>
    <w:rsid w:val="00094C19"/>
    <w:rsid w:val="00095130"/>
    <w:rsid w:val="000951A0"/>
    <w:rsid w:val="00095E99"/>
    <w:rsid w:val="00095F36"/>
    <w:rsid w:val="000965EB"/>
    <w:rsid w:val="00096925"/>
    <w:rsid w:val="00096EC9"/>
    <w:rsid w:val="00096FE6"/>
    <w:rsid w:val="000A007E"/>
    <w:rsid w:val="000A2247"/>
    <w:rsid w:val="000A254B"/>
    <w:rsid w:val="000A2744"/>
    <w:rsid w:val="000A4196"/>
    <w:rsid w:val="000A4818"/>
    <w:rsid w:val="000A4F85"/>
    <w:rsid w:val="000A4FD1"/>
    <w:rsid w:val="000A53E0"/>
    <w:rsid w:val="000A5420"/>
    <w:rsid w:val="000A546D"/>
    <w:rsid w:val="000A5C76"/>
    <w:rsid w:val="000A5D62"/>
    <w:rsid w:val="000A7FED"/>
    <w:rsid w:val="000B037A"/>
    <w:rsid w:val="000B06D8"/>
    <w:rsid w:val="000B1A75"/>
    <w:rsid w:val="000B1AC0"/>
    <w:rsid w:val="000B3D0B"/>
    <w:rsid w:val="000B45FC"/>
    <w:rsid w:val="000B47AB"/>
    <w:rsid w:val="000B4C41"/>
    <w:rsid w:val="000B5071"/>
    <w:rsid w:val="000B6888"/>
    <w:rsid w:val="000B6A95"/>
    <w:rsid w:val="000B7055"/>
    <w:rsid w:val="000B71C2"/>
    <w:rsid w:val="000B7DF0"/>
    <w:rsid w:val="000C0ACB"/>
    <w:rsid w:val="000C1082"/>
    <w:rsid w:val="000C1B09"/>
    <w:rsid w:val="000C3A06"/>
    <w:rsid w:val="000C3C6C"/>
    <w:rsid w:val="000C4E60"/>
    <w:rsid w:val="000C4E68"/>
    <w:rsid w:val="000C7393"/>
    <w:rsid w:val="000C767F"/>
    <w:rsid w:val="000C7DCF"/>
    <w:rsid w:val="000D09D8"/>
    <w:rsid w:val="000D143A"/>
    <w:rsid w:val="000D30A1"/>
    <w:rsid w:val="000D389D"/>
    <w:rsid w:val="000D3974"/>
    <w:rsid w:val="000D3B65"/>
    <w:rsid w:val="000D3C67"/>
    <w:rsid w:val="000D3D0B"/>
    <w:rsid w:val="000D3E7C"/>
    <w:rsid w:val="000D3FB7"/>
    <w:rsid w:val="000D425B"/>
    <w:rsid w:val="000D42D5"/>
    <w:rsid w:val="000D50A9"/>
    <w:rsid w:val="000D555A"/>
    <w:rsid w:val="000D6332"/>
    <w:rsid w:val="000D657A"/>
    <w:rsid w:val="000D680A"/>
    <w:rsid w:val="000D6CA2"/>
    <w:rsid w:val="000D6F85"/>
    <w:rsid w:val="000D700E"/>
    <w:rsid w:val="000D7689"/>
    <w:rsid w:val="000E0991"/>
    <w:rsid w:val="000E0BF3"/>
    <w:rsid w:val="000E12A2"/>
    <w:rsid w:val="000E14D0"/>
    <w:rsid w:val="000E23D5"/>
    <w:rsid w:val="000E2E11"/>
    <w:rsid w:val="000E3A61"/>
    <w:rsid w:val="000E431A"/>
    <w:rsid w:val="000E4908"/>
    <w:rsid w:val="000E4BB3"/>
    <w:rsid w:val="000E4C8C"/>
    <w:rsid w:val="000E4CE1"/>
    <w:rsid w:val="000E72B5"/>
    <w:rsid w:val="000E7621"/>
    <w:rsid w:val="000E7884"/>
    <w:rsid w:val="000F24CD"/>
    <w:rsid w:val="000F2996"/>
    <w:rsid w:val="000F2AF5"/>
    <w:rsid w:val="000F444B"/>
    <w:rsid w:val="000F46BB"/>
    <w:rsid w:val="000F4D33"/>
    <w:rsid w:val="000F5A7D"/>
    <w:rsid w:val="000F5B14"/>
    <w:rsid w:val="000F7B32"/>
    <w:rsid w:val="000F7C99"/>
    <w:rsid w:val="0010128B"/>
    <w:rsid w:val="00101389"/>
    <w:rsid w:val="00101788"/>
    <w:rsid w:val="00103119"/>
    <w:rsid w:val="00103134"/>
    <w:rsid w:val="0010320D"/>
    <w:rsid w:val="00104018"/>
    <w:rsid w:val="001054DF"/>
    <w:rsid w:val="0010764B"/>
    <w:rsid w:val="00107B32"/>
    <w:rsid w:val="00107CBF"/>
    <w:rsid w:val="00110546"/>
    <w:rsid w:val="00110AA2"/>
    <w:rsid w:val="0011161B"/>
    <w:rsid w:val="001116D4"/>
    <w:rsid w:val="00111D4E"/>
    <w:rsid w:val="00112179"/>
    <w:rsid w:val="00112365"/>
    <w:rsid w:val="001123BD"/>
    <w:rsid w:val="00113888"/>
    <w:rsid w:val="00113DFE"/>
    <w:rsid w:val="0011416D"/>
    <w:rsid w:val="0011595D"/>
    <w:rsid w:val="0011618C"/>
    <w:rsid w:val="00116C58"/>
    <w:rsid w:val="00117053"/>
    <w:rsid w:val="001177BE"/>
    <w:rsid w:val="00117AA7"/>
    <w:rsid w:val="001207E9"/>
    <w:rsid w:val="001215B2"/>
    <w:rsid w:val="0012166D"/>
    <w:rsid w:val="0012172B"/>
    <w:rsid w:val="0012246F"/>
    <w:rsid w:val="00123341"/>
    <w:rsid w:val="00123988"/>
    <w:rsid w:val="00123B12"/>
    <w:rsid w:val="00124181"/>
    <w:rsid w:val="00124F28"/>
    <w:rsid w:val="0012524C"/>
    <w:rsid w:val="00125287"/>
    <w:rsid w:val="001257D7"/>
    <w:rsid w:val="00126153"/>
    <w:rsid w:val="0012640B"/>
    <w:rsid w:val="00127326"/>
    <w:rsid w:val="00127CD2"/>
    <w:rsid w:val="0013014D"/>
    <w:rsid w:val="00130226"/>
    <w:rsid w:val="001307F2"/>
    <w:rsid w:val="00130E50"/>
    <w:rsid w:val="00130EAC"/>
    <w:rsid w:val="00131A73"/>
    <w:rsid w:val="0013213E"/>
    <w:rsid w:val="00132398"/>
    <w:rsid w:val="0013257C"/>
    <w:rsid w:val="00132EAF"/>
    <w:rsid w:val="00133054"/>
    <w:rsid w:val="00133567"/>
    <w:rsid w:val="00134CA1"/>
    <w:rsid w:val="001353BC"/>
    <w:rsid w:val="001356A2"/>
    <w:rsid w:val="00136CBC"/>
    <w:rsid w:val="001379FA"/>
    <w:rsid w:val="00137B31"/>
    <w:rsid w:val="001407D4"/>
    <w:rsid w:val="00140F31"/>
    <w:rsid w:val="00141088"/>
    <w:rsid w:val="00141539"/>
    <w:rsid w:val="00141A4B"/>
    <w:rsid w:val="00141EE5"/>
    <w:rsid w:val="00142900"/>
    <w:rsid w:val="00142DC0"/>
    <w:rsid w:val="001447FC"/>
    <w:rsid w:val="00144EE9"/>
    <w:rsid w:val="00144F31"/>
    <w:rsid w:val="00145004"/>
    <w:rsid w:val="00146D46"/>
    <w:rsid w:val="00146FFC"/>
    <w:rsid w:val="00147FBA"/>
    <w:rsid w:val="00152723"/>
    <w:rsid w:val="001543AB"/>
    <w:rsid w:val="001548FB"/>
    <w:rsid w:val="00154C82"/>
    <w:rsid w:val="00156683"/>
    <w:rsid w:val="00156CA1"/>
    <w:rsid w:val="00156DB6"/>
    <w:rsid w:val="001570CB"/>
    <w:rsid w:val="00157445"/>
    <w:rsid w:val="001579C1"/>
    <w:rsid w:val="001608EC"/>
    <w:rsid w:val="00160CC2"/>
    <w:rsid w:val="0016105A"/>
    <w:rsid w:val="001613C0"/>
    <w:rsid w:val="0016181E"/>
    <w:rsid w:val="001619DD"/>
    <w:rsid w:val="00161C65"/>
    <w:rsid w:val="00161F25"/>
    <w:rsid w:val="001620D8"/>
    <w:rsid w:val="00162F78"/>
    <w:rsid w:val="001639E1"/>
    <w:rsid w:val="00163EFB"/>
    <w:rsid w:val="001646FB"/>
    <w:rsid w:val="00164B29"/>
    <w:rsid w:val="00165054"/>
    <w:rsid w:val="00165CA8"/>
    <w:rsid w:val="00166880"/>
    <w:rsid w:val="00167405"/>
    <w:rsid w:val="00167621"/>
    <w:rsid w:val="00167885"/>
    <w:rsid w:val="00167A2A"/>
    <w:rsid w:val="001700A5"/>
    <w:rsid w:val="00170836"/>
    <w:rsid w:val="00170894"/>
    <w:rsid w:val="00170A2C"/>
    <w:rsid w:val="00171206"/>
    <w:rsid w:val="0017156C"/>
    <w:rsid w:val="001715B0"/>
    <w:rsid w:val="001730EC"/>
    <w:rsid w:val="0017446A"/>
    <w:rsid w:val="00174C68"/>
    <w:rsid w:val="00174EA4"/>
    <w:rsid w:val="0017593B"/>
    <w:rsid w:val="00176570"/>
    <w:rsid w:val="001775DD"/>
    <w:rsid w:val="0017771A"/>
    <w:rsid w:val="00180490"/>
    <w:rsid w:val="00180C9D"/>
    <w:rsid w:val="001811C4"/>
    <w:rsid w:val="00182BB1"/>
    <w:rsid w:val="00183F59"/>
    <w:rsid w:val="001841BE"/>
    <w:rsid w:val="001841C2"/>
    <w:rsid w:val="00184479"/>
    <w:rsid w:val="00184569"/>
    <w:rsid w:val="0018553B"/>
    <w:rsid w:val="001857F8"/>
    <w:rsid w:val="00186805"/>
    <w:rsid w:val="00186DDB"/>
    <w:rsid w:val="00187276"/>
    <w:rsid w:val="00187412"/>
    <w:rsid w:val="0018775D"/>
    <w:rsid w:val="00187CF1"/>
    <w:rsid w:val="001909C6"/>
    <w:rsid w:val="001914FF"/>
    <w:rsid w:val="00191B20"/>
    <w:rsid w:val="001920F7"/>
    <w:rsid w:val="0019288F"/>
    <w:rsid w:val="00193F35"/>
    <w:rsid w:val="0019410B"/>
    <w:rsid w:val="001945D7"/>
    <w:rsid w:val="00194A25"/>
    <w:rsid w:val="00194B50"/>
    <w:rsid w:val="00194C09"/>
    <w:rsid w:val="00194CAC"/>
    <w:rsid w:val="0019543D"/>
    <w:rsid w:val="001957D3"/>
    <w:rsid w:val="00196760"/>
    <w:rsid w:val="0019717C"/>
    <w:rsid w:val="00197BFE"/>
    <w:rsid w:val="00197F05"/>
    <w:rsid w:val="001A0364"/>
    <w:rsid w:val="001A0624"/>
    <w:rsid w:val="001A142E"/>
    <w:rsid w:val="001A17A9"/>
    <w:rsid w:val="001A191C"/>
    <w:rsid w:val="001A1E40"/>
    <w:rsid w:val="001A24DD"/>
    <w:rsid w:val="001A2565"/>
    <w:rsid w:val="001A2DBD"/>
    <w:rsid w:val="001A3733"/>
    <w:rsid w:val="001A3783"/>
    <w:rsid w:val="001A47B3"/>
    <w:rsid w:val="001A483E"/>
    <w:rsid w:val="001A5282"/>
    <w:rsid w:val="001A5CD8"/>
    <w:rsid w:val="001A5DE6"/>
    <w:rsid w:val="001A638F"/>
    <w:rsid w:val="001A6C9C"/>
    <w:rsid w:val="001A7607"/>
    <w:rsid w:val="001A7A8E"/>
    <w:rsid w:val="001A7AA5"/>
    <w:rsid w:val="001A7C7F"/>
    <w:rsid w:val="001B02A9"/>
    <w:rsid w:val="001B0401"/>
    <w:rsid w:val="001B0B8B"/>
    <w:rsid w:val="001B15B3"/>
    <w:rsid w:val="001B161F"/>
    <w:rsid w:val="001B1DCC"/>
    <w:rsid w:val="001B3950"/>
    <w:rsid w:val="001B4729"/>
    <w:rsid w:val="001B5083"/>
    <w:rsid w:val="001B5EAA"/>
    <w:rsid w:val="001B6126"/>
    <w:rsid w:val="001B7328"/>
    <w:rsid w:val="001C0D07"/>
    <w:rsid w:val="001C142E"/>
    <w:rsid w:val="001C1A9C"/>
    <w:rsid w:val="001C2339"/>
    <w:rsid w:val="001C2524"/>
    <w:rsid w:val="001C4A69"/>
    <w:rsid w:val="001C4C77"/>
    <w:rsid w:val="001C4D86"/>
    <w:rsid w:val="001C5116"/>
    <w:rsid w:val="001C5762"/>
    <w:rsid w:val="001C576F"/>
    <w:rsid w:val="001C62A7"/>
    <w:rsid w:val="001C6FB1"/>
    <w:rsid w:val="001C7197"/>
    <w:rsid w:val="001C7A93"/>
    <w:rsid w:val="001D16E1"/>
    <w:rsid w:val="001D1C91"/>
    <w:rsid w:val="001D449E"/>
    <w:rsid w:val="001D597D"/>
    <w:rsid w:val="001D5A6B"/>
    <w:rsid w:val="001D5D8F"/>
    <w:rsid w:val="001E003E"/>
    <w:rsid w:val="001E13FB"/>
    <w:rsid w:val="001E1475"/>
    <w:rsid w:val="001E147E"/>
    <w:rsid w:val="001E18C2"/>
    <w:rsid w:val="001E1B0A"/>
    <w:rsid w:val="001E37CD"/>
    <w:rsid w:val="001E3CF6"/>
    <w:rsid w:val="001E3F9F"/>
    <w:rsid w:val="001E591E"/>
    <w:rsid w:val="001E5925"/>
    <w:rsid w:val="001E6CD2"/>
    <w:rsid w:val="001F050E"/>
    <w:rsid w:val="001F1D8D"/>
    <w:rsid w:val="001F23E9"/>
    <w:rsid w:val="001F33B0"/>
    <w:rsid w:val="001F3506"/>
    <w:rsid w:val="001F36FD"/>
    <w:rsid w:val="001F3FB7"/>
    <w:rsid w:val="001F4547"/>
    <w:rsid w:val="001F470B"/>
    <w:rsid w:val="001F4B24"/>
    <w:rsid w:val="001F4C3A"/>
    <w:rsid w:val="001F4D48"/>
    <w:rsid w:val="001F4E2E"/>
    <w:rsid w:val="001F52E8"/>
    <w:rsid w:val="00200EE9"/>
    <w:rsid w:val="002019FE"/>
    <w:rsid w:val="00201E0E"/>
    <w:rsid w:val="0020229A"/>
    <w:rsid w:val="00202494"/>
    <w:rsid w:val="00202526"/>
    <w:rsid w:val="002029E4"/>
    <w:rsid w:val="00203585"/>
    <w:rsid w:val="002039F0"/>
    <w:rsid w:val="00204ACC"/>
    <w:rsid w:val="00204DD1"/>
    <w:rsid w:val="00204E14"/>
    <w:rsid w:val="00205C54"/>
    <w:rsid w:val="002063AA"/>
    <w:rsid w:val="00206517"/>
    <w:rsid w:val="002067E5"/>
    <w:rsid w:val="00206CE7"/>
    <w:rsid w:val="00210351"/>
    <w:rsid w:val="00210AFD"/>
    <w:rsid w:val="0021204E"/>
    <w:rsid w:val="002126B1"/>
    <w:rsid w:val="00212E72"/>
    <w:rsid w:val="00212F40"/>
    <w:rsid w:val="00213956"/>
    <w:rsid w:val="00213AAC"/>
    <w:rsid w:val="002146F8"/>
    <w:rsid w:val="00214D4E"/>
    <w:rsid w:val="00214FB1"/>
    <w:rsid w:val="00216097"/>
    <w:rsid w:val="00216986"/>
    <w:rsid w:val="00216BCA"/>
    <w:rsid w:val="0021728E"/>
    <w:rsid w:val="00217891"/>
    <w:rsid w:val="00217D72"/>
    <w:rsid w:val="002200E6"/>
    <w:rsid w:val="00220BBC"/>
    <w:rsid w:val="00220FE9"/>
    <w:rsid w:val="0022111A"/>
    <w:rsid w:val="002213F5"/>
    <w:rsid w:val="00222005"/>
    <w:rsid w:val="00222338"/>
    <w:rsid w:val="002224D0"/>
    <w:rsid w:val="00223292"/>
    <w:rsid w:val="002233FF"/>
    <w:rsid w:val="00223773"/>
    <w:rsid w:val="00223ACD"/>
    <w:rsid w:val="00223B22"/>
    <w:rsid w:val="00223DD1"/>
    <w:rsid w:val="00225DC2"/>
    <w:rsid w:val="0022625C"/>
    <w:rsid w:val="002263E2"/>
    <w:rsid w:val="00226CA0"/>
    <w:rsid w:val="00226CB2"/>
    <w:rsid w:val="0022753D"/>
    <w:rsid w:val="0023003E"/>
    <w:rsid w:val="00230434"/>
    <w:rsid w:val="00230862"/>
    <w:rsid w:val="00230DDA"/>
    <w:rsid w:val="00231A06"/>
    <w:rsid w:val="00231BA3"/>
    <w:rsid w:val="00231EFE"/>
    <w:rsid w:val="0023244E"/>
    <w:rsid w:val="002326BB"/>
    <w:rsid w:val="00232CA9"/>
    <w:rsid w:val="0023320A"/>
    <w:rsid w:val="00233379"/>
    <w:rsid w:val="00234145"/>
    <w:rsid w:val="00234D28"/>
    <w:rsid w:val="002356F5"/>
    <w:rsid w:val="00235907"/>
    <w:rsid w:val="00235AB4"/>
    <w:rsid w:val="00235DC7"/>
    <w:rsid w:val="00236D18"/>
    <w:rsid w:val="0023742D"/>
    <w:rsid w:val="00237A0B"/>
    <w:rsid w:val="00240E1F"/>
    <w:rsid w:val="00241031"/>
    <w:rsid w:val="0024123F"/>
    <w:rsid w:val="00241714"/>
    <w:rsid w:val="00242512"/>
    <w:rsid w:val="00242618"/>
    <w:rsid w:val="002427AA"/>
    <w:rsid w:val="00243377"/>
    <w:rsid w:val="002435B7"/>
    <w:rsid w:val="00243970"/>
    <w:rsid w:val="00243F80"/>
    <w:rsid w:val="00243F9E"/>
    <w:rsid w:val="002441AD"/>
    <w:rsid w:val="002449B7"/>
    <w:rsid w:val="00245277"/>
    <w:rsid w:val="00245BA1"/>
    <w:rsid w:val="00246093"/>
    <w:rsid w:val="00246573"/>
    <w:rsid w:val="00246A2C"/>
    <w:rsid w:val="00246B9D"/>
    <w:rsid w:val="00246C68"/>
    <w:rsid w:val="00247061"/>
    <w:rsid w:val="00247132"/>
    <w:rsid w:val="0024771D"/>
    <w:rsid w:val="002507B3"/>
    <w:rsid w:val="00250D0A"/>
    <w:rsid w:val="002515E1"/>
    <w:rsid w:val="00251F20"/>
    <w:rsid w:val="00252B73"/>
    <w:rsid w:val="00252BC5"/>
    <w:rsid w:val="00254DB9"/>
    <w:rsid w:val="002551B7"/>
    <w:rsid w:val="0025546A"/>
    <w:rsid w:val="00255D0F"/>
    <w:rsid w:val="002562CB"/>
    <w:rsid w:val="002568BA"/>
    <w:rsid w:val="0025694D"/>
    <w:rsid w:val="00256A1E"/>
    <w:rsid w:val="00256A36"/>
    <w:rsid w:val="0025750E"/>
    <w:rsid w:val="002577A4"/>
    <w:rsid w:val="00257FED"/>
    <w:rsid w:val="0026020C"/>
    <w:rsid w:val="0026091B"/>
    <w:rsid w:val="0026100D"/>
    <w:rsid w:val="0026372B"/>
    <w:rsid w:val="00263761"/>
    <w:rsid w:val="00263C9F"/>
    <w:rsid w:val="00263DCC"/>
    <w:rsid w:val="00263E4E"/>
    <w:rsid w:val="0026467B"/>
    <w:rsid w:val="0026475D"/>
    <w:rsid w:val="0026497E"/>
    <w:rsid w:val="00265113"/>
    <w:rsid w:val="00265ADE"/>
    <w:rsid w:val="00266249"/>
    <w:rsid w:val="00266C0C"/>
    <w:rsid w:val="00266D79"/>
    <w:rsid w:val="00267148"/>
    <w:rsid w:val="00267800"/>
    <w:rsid w:val="00267CD0"/>
    <w:rsid w:val="0027037E"/>
    <w:rsid w:val="0027313B"/>
    <w:rsid w:val="00273E8B"/>
    <w:rsid w:val="002745CB"/>
    <w:rsid w:val="0027472C"/>
    <w:rsid w:val="00274B26"/>
    <w:rsid w:val="00276115"/>
    <w:rsid w:val="00276ABE"/>
    <w:rsid w:val="002772A5"/>
    <w:rsid w:val="00277B8D"/>
    <w:rsid w:val="00280B4D"/>
    <w:rsid w:val="0028106B"/>
    <w:rsid w:val="00281470"/>
    <w:rsid w:val="00281511"/>
    <w:rsid w:val="002816E8"/>
    <w:rsid w:val="00281BA0"/>
    <w:rsid w:val="00281E46"/>
    <w:rsid w:val="002821DD"/>
    <w:rsid w:val="00282CA0"/>
    <w:rsid w:val="00283809"/>
    <w:rsid w:val="00283919"/>
    <w:rsid w:val="00283B28"/>
    <w:rsid w:val="002841E9"/>
    <w:rsid w:val="00284271"/>
    <w:rsid w:val="002843AF"/>
    <w:rsid w:val="002844BB"/>
    <w:rsid w:val="00284C1D"/>
    <w:rsid w:val="00284FC8"/>
    <w:rsid w:val="00285845"/>
    <w:rsid w:val="00285A62"/>
    <w:rsid w:val="002866F2"/>
    <w:rsid w:val="0028741E"/>
    <w:rsid w:val="002879CE"/>
    <w:rsid w:val="00287C3E"/>
    <w:rsid w:val="002900D7"/>
    <w:rsid w:val="00290C20"/>
    <w:rsid w:val="002923C0"/>
    <w:rsid w:val="00292D29"/>
    <w:rsid w:val="0029354F"/>
    <w:rsid w:val="00293EB4"/>
    <w:rsid w:val="00293FD3"/>
    <w:rsid w:val="00294420"/>
    <w:rsid w:val="00294B88"/>
    <w:rsid w:val="00295113"/>
    <w:rsid w:val="00295A42"/>
    <w:rsid w:val="00296D05"/>
    <w:rsid w:val="002971F4"/>
    <w:rsid w:val="002A0031"/>
    <w:rsid w:val="002A0281"/>
    <w:rsid w:val="002A03FC"/>
    <w:rsid w:val="002A06DB"/>
    <w:rsid w:val="002A0AA5"/>
    <w:rsid w:val="002A1988"/>
    <w:rsid w:val="002A19B1"/>
    <w:rsid w:val="002A31E8"/>
    <w:rsid w:val="002A3D9C"/>
    <w:rsid w:val="002A4340"/>
    <w:rsid w:val="002A4532"/>
    <w:rsid w:val="002A4A89"/>
    <w:rsid w:val="002A5853"/>
    <w:rsid w:val="002A5881"/>
    <w:rsid w:val="002A6CCD"/>
    <w:rsid w:val="002A6EF4"/>
    <w:rsid w:val="002A7063"/>
    <w:rsid w:val="002A7AFE"/>
    <w:rsid w:val="002B0242"/>
    <w:rsid w:val="002B0A32"/>
    <w:rsid w:val="002B0AE9"/>
    <w:rsid w:val="002B226A"/>
    <w:rsid w:val="002B2449"/>
    <w:rsid w:val="002B2F12"/>
    <w:rsid w:val="002B3756"/>
    <w:rsid w:val="002B4D9A"/>
    <w:rsid w:val="002B4EDD"/>
    <w:rsid w:val="002B5A5A"/>
    <w:rsid w:val="002B76C5"/>
    <w:rsid w:val="002C054B"/>
    <w:rsid w:val="002C0633"/>
    <w:rsid w:val="002C370D"/>
    <w:rsid w:val="002C42AB"/>
    <w:rsid w:val="002C59EF"/>
    <w:rsid w:val="002C64C7"/>
    <w:rsid w:val="002C6F7D"/>
    <w:rsid w:val="002C77B8"/>
    <w:rsid w:val="002D00FB"/>
    <w:rsid w:val="002D0A08"/>
    <w:rsid w:val="002D0E0F"/>
    <w:rsid w:val="002D1922"/>
    <w:rsid w:val="002D2397"/>
    <w:rsid w:val="002D256C"/>
    <w:rsid w:val="002D2937"/>
    <w:rsid w:val="002D2BEA"/>
    <w:rsid w:val="002D3CC2"/>
    <w:rsid w:val="002D4945"/>
    <w:rsid w:val="002D4B4C"/>
    <w:rsid w:val="002D5104"/>
    <w:rsid w:val="002D5B0D"/>
    <w:rsid w:val="002D67A4"/>
    <w:rsid w:val="002E0045"/>
    <w:rsid w:val="002E0053"/>
    <w:rsid w:val="002E0120"/>
    <w:rsid w:val="002E2B04"/>
    <w:rsid w:val="002E2BDB"/>
    <w:rsid w:val="002E2C74"/>
    <w:rsid w:val="002E4F8D"/>
    <w:rsid w:val="002E5039"/>
    <w:rsid w:val="002E53DE"/>
    <w:rsid w:val="002E62B5"/>
    <w:rsid w:val="002E6DA5"/>
    <w:rsid w:val="002E6E40"/>
    <w:rsid w:val="002E7FD5"/>
    <w:rsid w:val="002F02DC"/>
    <w:rsid w:val="002F0881"/>
    <w:rsid w:val="002F12A0"/>
    <w:rsid w:val="002F13D4"/>
    <w:rsid w:val="002F1F8E"/>
    <w:rsid w:val="002F2006"/>
    <w:rsid w:val="002F22ED"/>
    <w:rsid w:val="002F2D03"/>
    <w:rsid w:val="002F2D18"/>
    <w:rsid w:val="002F3109"/>
    <w:rsid w:val="002F3444"/>
    <w:rsid w:val="002F665A"/>
    <w:rsid w:val="002F6F02"/>
    <w:rsid w:val="002F7A55"/>
    <w:rsid w:val="002F7B31"/>
    <w:rsid w:val="00300222"/>
    <w:rsid w:val="00300489"/>
    <w:rsid w:val="003008EA"/>
    <w:rsid w:val="00300CB9"/>
    <w:rsid w:val="00301C12"/>
    <w:rsid w:val="00302FA5"/>
    <w:rsid w:val="003039D1"/>
    <w:rsid w:val="00303D6E"/>
    <w:rsid w:val="00303EEB"/>
    <w:rsid w:val="0030447C"/>
    <w:rsid w:val="0030455F"/>
    <w:rsid w:val="003052CF"/>
    <w:rsid w:val="00305839"/>
    <w:rsid w:val="00305AD9"/>
    <w:rsid w:val="00306F33"/>
    <w:rsid w:val="0030724D"/>
    <w:rsid w:val="00307654"/>
    <w:rsid w:val="00307EE6"/>
    <w:rsid w:val="00307F87"/>
    <w:rsid w:val="0031041C"/>
    <w:rsid w:val="003106A7"/>
    <w:rsid w:val="003114B2"/>
    <w:rsid w:val="0031155B"/>
    <w:rsid w:val="00311828"/>
    <w:rsid w:val="0031274C"/>
    <w:rsid w:val="003128AA"/>
    <w:rsid w:val="00312C87"/>
    <w:rsid w:val="00313288"/>
    <w:rsid w:val="00313A39"/>
    <w:rsid w:val="00313A79"/>
    <w:rsid w:val="00313E3B"/>
    <w:rsid w:val="0031430E"/>
    <w:rsid w:val="003144E5"/>
    <w:rsid w:val="00316210"/>
    <w:rsid w:val="00316379"/>
    <w:rsid w:val="0031655C"/>
    <w:rsid w:val="003179D0"/>
    <w:rsid w:val="00317F31"/>
    <w:rsid w:val="00317FF5"/>
    <w:rsid w:val="003200EC"/>
    <w:rsid w:val="0032066F"/>
    <w:rsid w:val="00320E82"/>
    <w:rsid w:val="00320F00"/>
    <w:rsid w:val="00320FB5"/>
    <w:rsid w:val="0032171F"/>
    <w:rsid w:val="00322D7A"/>
    <w:rsid w:val="00323B55"/>
    <w:rsid w:val="003242D0"/>
    <w:rsid w:val="003250C5"/>
    <w:rsid w:val="003252CB"/>
    <w:rsid w:val="0032554E"/>
    <w:rsid w:val="00325DD8"/>
    <w:rsid w:val="003262E1"/>
    <w:rsid w:val="00326421"/>
    <w:rsid w:val="00326493"/>
    <w:rsid w:val="00327A0E"/>
    <w:rsid w:val="0033153D"/>
    <w:rsid w:val="0033197C"/>
    <w:rsid w:val="00331CFB"/>
    <w:rsid w:val="003336B5"/>
    <w:rsid w:val="00333E36"/>
    <w:rsid w:val="00334973"/>
    <w:rsid w:val="00335078"/>
    <w:rsid w:val="0033532D"/>
    <w:rsid w:val="00335A97"/>
    <w:rsid w:val="00335FAD"/>
    <w:rsid w:val="00336005"/>
    <w:rsid w:val="00336999"/>
    <w:rsid w:val="003369F3"/>
    <w:rsid w:val="00337F5B"/>
    <w:rsid w:val="0034052F"/>
    <w:rsid w:val="00340708"/>
    <w:rsid w:val="00340A9B"/>
    <w:rsid w:val="00340F8C"/>
    <w:rsid w:val="00341253"/>
    <w:rsid w:val="00341538"/>
    <w:rsid w:val="00341685"/>
    <w:rsid w:val="00341D8B"/>
    <w:rsid w:val="003424DB"/>
    <w:rsid w:val="00342F06"/>
    <w:rsid w:val="0034321E"/>
    <w:rsid w:val="00343ADB"/>
    <w:rsid w:val="00343CF6"/>
    <w:rsid w:val="00345CD5"/>
    <w:rsid w:val="0034613C"/>
    <w:rsid w:val="00346533"/>
    <w:rsid w:val="00346D78"/>
    <w:rsid w:val="00346DBB"/>
    <w:rsid w:val="00347050"/>
    <w:rsid w:val="00347DF2"/>
    <w:rsid w:val="00347F2B"/>
    <w:rsid w:val="003501FC"/>
    <w:rsid w:val="003504E4"/>
    <w:rsid w:val="003514BE"/>
    <w:rsid w:val="00351695"/>
    <w:rsid w:val="00351DDA"/>
    <w:rsid w:val="00352D55"/>
    <w:rsid w:val="00353C1D"/>
    <w:rsid w:val="0035402F"/>
    <w:rsid w:val="00355191"/>
    <w:rsid w:val="003564CA"/>
    <w:rsid w:val="00356DF2"/>
    <w:rsid w:val="00356EF4"/>
    <w:rsid w:val="003609F3"/>
    <w:rsid w:val="00360ACD"/>
    <w:rsid w:val="00362A2B"/>
    <w:rsid w:val="0036300F"/>
    <w:rsid w:val="0036336D"/>
    <w:rsid w:val="003638A5"/>
    <w:rsid w:val="003643C3"/>
    <w:rsid w:val="003661E9"/>
    <w:rsid w:val="00366453"/>
    <w:rsid w:val="00366AFA"/>
    <w:rsid w:val="00367068"/>
    <w:rsid w:val="00367731"/>
    <w:rsid w:val="00367B01"/>
    <w:rsid w:val="00370193"/>
    <w:rsid w:val="00370548"/>
    <w:rsid w:val="00371114"/>
    <w:rsid w:val="00371433"/>
    <w:rsid w:val="00372259"/>
    <w:rsid w:val="003725EF"/>
    <w:rsid w:val="00372D3F"/>
    <w:rsid w:val="00372F68"/>
    <w:rsid w:val="00372FEC"/>
    <w:rsid w:val="003738D9"/>
    <w:rsid w:val="00374C48"/>
    <w:rsid w:val="00376C08"/>
    <w:rsid w:val="00377644"/>
    <w:rsid w:val="00377FFD"/>
    <w:rsid w:val="00382016"/>
    <w:rsid w:val="00382059"/>
    <w:rsid w:val="00382B84"/>
    <w:rsid w:val="00382F78"/>
    <w:rsid w:val="003831F9"/>
    <w:rsid w:val="00384184"/>
    <w:rsid w:val="0038496E"/>
    <w:rsid w:val="00384A15"/>
    <w:rsid w:val="00386830"/>
    <w:rsid w:val="00386B25"/>
    <w:rsid w:val="00386B68"/>
    <w:rsid w:val="0039032A"/>
    <w:rsid w:val="00390A12"/>
    <w:rsid w:val="0039115D"/>
    <w:rsid w:val="003925D9"/>
    <w:rsid w:val="003929DE"/>
    <w:rsid w:val="00392BDA"/>
    <w:rsid w:val="00393930"/>
    <w:rsid w:val="00393F8A"/>
    <w:rsid w:val="0039468E"/>
    <w:rsid w:val="003958FC"/>
    <w:rsid w:val="00396AE7"/>
    <w:rsid w:val="00396D8A"/>
    <w:rsid w:val="003972F8"/>
    <w:rsid w:val="00397504"/>
    <w:rsid w:val="003A037A"/>
    <w:rsid w:val="003A0F4A"/>
    <w:rsid w:val="003A1F07"/>
    <w:rsid w:val="003A2005"/>
    <w:rsid w:val="003A20D8"/>
    <w:rsid w:val="003A2718"/>
    <w:rsid w:val="003A312F"/>
    <w:rsid w:val="003A34B2"/>
    <w:rsid w:val="003A35CE"/>
    <w:rsid w:val="003A3910"/>
    <w:rsid w:val="003A3DCB"/>
    <w:rsid w:val="003A6534"/>
    <w:rsid w:val="003A722B"/>
    <w:rsid w:val="003A7A84"/>
    <w:rsid w:val="003B1176"/>
    <w:rsid w:val="003B1602"/>
    <w:rsid w:val="003B2DAC"/>
    <w:rsid w:val="003B3004"/>
    <w:rsid w:val="003B32AF"/>
    <w:rsid w:val="003B32EA"/>
    <w:rsid w:val="003B34B3"/>
    <w:rsid w:val="003B37C8"/>
    <w:rsid w:val="003B3BC1"/>
    <w:rsid w:val="003B5461"/>
    <w:rsid w:val="003B54A5"/>
    <w:rsid w:val="003B637B"/>
    <w:rsid w:val="003B68B9"/>
    <w:rsid w:val="003B7DBD"/>
    <w:rsid w:val="003C0553"/>
    <w:rsid w:val="003C09D7"/>
    <w:rsid w:val="003C11EC"/>
    <w:rsid w:val="003C193D"/>
    <w:rsid w:val="003C1FAC"/>
    <w:rsid w:val="003C2E1F"/>
    <w:rsid w:val="003C3BA1"/>
    <w:rsid w:val="003C50B3"/>
    <w:rsid w:val="003C535B"/>
    <w:rsid w:val="003C6109"/>
    <w:rsid w:val="003C6142"/>
    <w:rsid w:val="003C63E7"/>
    <w:rsid w:val="003C6C77"/>
    <w:rsid w:val="003C70D9"/>
    <w:rsid w:val="003C78D0"/>
    <w:rsid w:val="003D01B6"/>
    <w:rsid w:val="003D1199"/>
    <w:rsid w:val="003D1DD3"/>
    <w:rsid w:val="003D1F61"/>
    <w:rsid w:val="003D2254"/>
    <w:rsid w:val="003D2841"/>
    <w:rsid w:val="003D2D2D"/>
    <w:rsid w:val="003D2FB9"/>
    <w:rsid w:val="003D3325"/>
    <w:rsid w:val="003D3A45"/>
    <w:rsid w:val="003D458E"/>
    <w:rsid w:val="003D4ABC"/>
    <w:rsid w:val="003D503C"/>
    <w:rsid w:val="003D50D8"/>
    <w:rsid w:val="003D6146"/>
    <w:rsid w:val="003D644C"/>
    <w:rsid w:val="003D681A"/>
    <w:rsid w:val="003D714C"/>
    <w:rsid w:val="003D730C"/>
    <w:rsid w:val="003D7EF0"/>
    <w:rsid w:val="003E00B0"/>
    <w:rsid w:val="003E0696"/>
    <w:rsid w:val="003E06C5"/>
    <w:rsid w:val="003E0C9B"/>
    <w:rsid w:val="003E26A9"/>
    <w:rsid w:val="003E31F9"/>
    <w:rsid w:val="003E3270"/>
    <w:rsid w:val="003E3481"/>
    <w:rsid w:val="003E38D8"/>
    <w:rsid w:val="003E4787"/>
    <w:rsid w:val="003E4919"/>
    <w:rsid w:val="003E4A57"/>
    <w:rsid w:val="003E5974"/>
    <w:rsid w:val="003E59E3"/>
    <w:rsid w:val="003E5AA2"/>
    <w:rsid w:val="003E60FA"/>
    <w:rsid w:val="003E646D"/>
    <w:rsid w:val="003E6ACA"/>
    <w:rsid w:val="003E7299"/>
    <w:rsid w:val="003E7AA1"/>
    <w:rsid w:val="003E7CC8"/>
    <w:rsid w:val="003F0E34"/>
    <w:rsid w:val="003F0EE1"/>
    <w:rsid w:val="003F175E"/>
    <w:rsid w:val="003F2345"/>
    <w:rsid w:val="003F2666"/>
    <w:rsid w:val="003F2737"/>
    <w:rsid w:val="003F28B1"/>
    <w:rsid w:val="003F3458"/>
    <w:rsid w:val="003F4B5D"/>
    <w:rsid w:val="003F4D9C"/>
    <w:rsid w:val="003F788E"/>
    <w:rsid w:val="003F7C52"/>
    <w:rsid w:val="003F7EA7"/>
    <w:rsid w:val="004007CF"/>
    <w:rsid w:val="00400EA2"/>
    <w:rsid w:val="0040151A"/>
    <w:rsid w:val="00401D54"/>
    <w:rsid w:val="00402397"/>
    <w:rsid w:val="004023D6"/>
    <w:rsid w:val="00402460"/>
    <w:rsid w:val="00402E0F"/>
    <w:rsid w:val="00404FD9"/>
    <w:rsid w:val="00405650"/>
    <w:rsid w:val="00405794"/>
    <w:rsid w:val="00405AD9"/>
    <w:rsid w:val="004064FF"/>
    <w:rsid w:val="00407151"/>
    <w:rsid w:val="00407BA2"/>
    <w:rsid w:val="00410528"/>
    <w:rsid w:val="00410BB4"/>
    <w:rsid w:val="00411379"/>
    <w:rsid w:val="00411E88"/>
    <w:rsid w:val="00411EAB"/>
    <w:rsid w:val="00412591"/>
    <w:rsid w:val="004125AF"/>
    <w:rsid w:val="004129AC"/>
    <w:rsid w:val="00413255"/>
    <w:rsid w:val="004134FA"/>
    <w:rsid w:val="00413CF1"/>
    <w:rsid w:val="00414E09"/>
    <w:rsid w:val="00416929"/>
    <w:rsid w:val="00416EBE"/>
    <w:rsid w:val="004175AA"/>
    <w:rsid w:val="00417867"/>
    <w:rsid w:val="0042237B"/>
    <w:rsid w:val="004226CC"/>
    <w:rsid w:val="004228CE"/>
    <w:rsid w:val="00423136"/>
    <w:rsid w:val="00423FDB"/>
    <w:rsid w:val="00424959"/>
    <w:rsid w:val="00424F6D"/>
    <w:rsid w:val="00425521"/>
    <w:rsid w:val="004255FE"/>
    <w:rsid w:val="004256AC"/>
    <w:rsid w:val="00425B3B"/>
    <w:rsid w:val="00425DE2"/>
    <w:rsid w:val="00425F95"/>
    <w:rsid w:val="00426892"/>
    <w:rsid w:val="00426CF5"/>
    <w:rsid w:val="00427211"/>
    <w:rsid w:val="0042733A"/>
    <w:rsid w:val="0042747A"/>
    <w:rsid w:val="004276D0"/>
    <w:rsid w:val="004312E3"/>
    <w:rsid w:val="00431333"/>
    <w:rsid w:val="004321AF"/>
    <w:rsid w:val="00432A92"/>
    <w:rsid w:val="00432B86"/>
    <w:rsid w:val="00432FF1"/>
    <w:rsid w:val="004345DA"/>
    <w:rsid w:val="00434938"/>
    <w:rsid w:val="00434D62"/>
    <w:rsid w:val="004351F1"/>
    <w:rsid w:val="004352C9"/>
    <w:rsid w:val="0043591B"/>
    <w:rsid w:val="00435AF8"/>
    <w:rsid w:val="00436A05"/>
    <w:rsid w:val="00436C8A"/>
    <w:rsid w:val="00436EA4"/>
    <w:rsid w:val="00436F8C"/>
    <w:rsid w:val="00437009"/>
    <w:rsid w:val="00437083"/>
    <w:rsid w:val="00437306"/>
    <w:rsid w:val="00440350"/>
    <w:rsid w:val="004407B1"/>
    <w:rsid w:val="0044093A"/>
    <w:rsid w:val="00440C83"/>
    <w:rsid w:val="00441059"/>
    <w:rsid w:val="004414B4"/>
    <w:rsid w:val="00441DA9"/>
    <w:rsid w:val="004424B2"/>
    <w:rsid w:val="004429A8"/>
    <w:rsid w:val="00442F87"/>
    <w:rsid w:val="004443C3"/>
    <w:rsid w:val="004446B7"/>
    <w:rsid w:val="004453BD"/>
    <w:rsid w:val="004455A4"/>
    <w:rsid w:val="00445F1D"/>
    <w:rsid w:val="004460F3"/>
    <w:rsid w:val="004466C9"/>
    <w:rsid w:val="004468DA"/>
    <w:rsid w:val="004504D8"/>
    <w:rsid w:val="004504EF"/>
    <w:rsid w:val="00451207"/>
    <w:rsid w:val="0045245C"/>
    <w:rsid w:val="00452472"/>
    <w:rsid w:val="0045298D"/>
    <w:rsid w:val="0045412C"/>
    <w:rsid w:val="0045530A"/>
    <w:rsid w:val="0045572F"/>
    <w:rsid w:val="00455D70"/>
    <w:rsid w:val="00456A24"/>
    <w:rsid w:val="00457587"/>
    <w:rsid w:val="00457C4A"/>
    <w:rsid w:val="00457FB6"/>
    <w:rsid w:val="00460196"/>
    <w:rsid w:val="00460460"/>
    <w:rsid w:val="00460DE4"/>
    <w:rsid w:val="0046184C"/>
    <w:rsid w:val="004625A9"/>
    <w:rsid w:val="00462D71"/>
    <w:rsid w:val="00463081"/>
    <w:rsid w:val="0046344D"/>
    <w:rsid w:val="004634CD"/>
    <w:rsid w:val="00463646"/>
    <w:rsid w:val="00463B16"/>
    <w:rsid w:val="00463C1C"/>
    <w:rsid w:val="00463F3E"/>
    <w:rsid w:val="0046478D"/>
    <w:rsid w:val="00465B4C"/>
    <w:rsid w:val="0046667F"/>
    <w:rsid w:val="00466DB0"/>
    <w:rsid w:val="0046772F"/>
    <w:rsid w:val="004677EE"/>
    <w:rsid w:val="00467875"/>
    <w:rsid w:val="00467A62"/>
    <w:rsid w:val="00467FC4"/>
    <w:rsid w:val="004706C6"/>
    <w:rsid w:val="00470A5A"/>
    <w:rsid w:val="00470FD6"/>
    <w:rsid w:val="00471155"/>
    <w:rsid w:val="004715FF"/>
    <w:rsid w:val="004729F5"/>
    <w:rsid w:val="00472FE7"/>
    <w:rsid w:val="004733DD"/>
    <w:rsid w:val="0047372B"/>
    <w:rsid w:val="004739F8"/>
    <w:rsid w:val="00473FB7"/>
    <w:rsid w:val="0047453B"/>
    <w:rsid w:val="00474563"/>
    <w:rsid w:val="004749A4"/>
    <w:rsid w:val="00474E8B"/>
    <w:rsid w:val="0047589A"/>
    <w:rsid w:val="004759B6"/>
    <w:rsid w:val="00475C9B"/>
    <w:rsid w:val="00475DF6"/>
    <w:rsid w:val="004762BA"/>
    <w:rsid w:val="004764C1"/>
    <w:rsid w:val="0047662C"/>
    <w:rsid w:val="00476CA7"/>
    <w:rsid w:val="00477B18"/>
    <w:rsid w:val="00477B5B"/>
    <w:rsid w:val="004800D6"/>
    <w:rsid w:val="004801CC"/>
    <w:rsid w:val="004803A3"/>
    <w:rsid w:val="00480EF8"/>
    <w:rsid w:val="00481E9E"/>
    <w:rsid w:val="00482EB4"/>
    <w:rsid w:val="00483F01"/>
    <w:rsid w:val="0048434B"/>
    <w:rsid w:val="0048442C"/>
    <w:rsid w:val="00484A5D"/>
    <w:rsid w:val="00484DC2"/>
    <w:rsid w:val="00485186"/>
    <w:rsid w:val="00485F2A"/>
    <w:rsid w:val="0048757F"/>
    <w:rsid w:val="004912B9"/>
    <w:rsid w:val="00491CE1"/>
    <w:rsid w:val="0049241B"/>
    <w:rsid w:val="00492EDE"/>
    <w:rsid w:val="0049322E"/>
    <w:rsid w:val="0049429C"/>
    <w:rsid w:val="00494EAB"/>
    <w:rsid w:val="004955F3"/>
    <w:rsid w:val="00496324"/>
    <w:rsid w:val="0049639A"/>
    <w:rsid w:val="004979B8"/>
    <w:rsid w:val="00497EAC"/>
    <w:rsid w:val="00497F65"/>
    <w:rsid w:val="004A0CBD"/>
    <w:rsid w:val="004A12A7"/>
    <w:rsid w:val="004A1915"/>
    <w:rsid w:val="004A1F6C"/>
    <w:rsid w:val="004A257D"/>
    <w:rsid w:val="004A27C6"/>
    <w:rsid w:val="004A3620"/>
    <w:rsid w:val="004A3E48"/>
    <w:rsid w:val="004A47DF"/>
    <w:rsid w:val="004A5071"/>
    <w:rsid w:val="004A5C89"/>
    <w:rsid w:val="004A7E6A"/>
    <w:rsid w:val="004A7F90"/>
    <w:rsid w:val="004B0AC0"/>
    <w:rsid w:val="004B0F2F"/>
    <w:rsid w:val="004B12A0"/>
    <w:rsid w:val="004B14BC"/>
    <w:rsid w:val="004B2583"/>
    <w:rsid w:val="004B3036"/>
    <w:rsid w:val="004B3594"/>
    <w:rsid w:val="004B3FA3"/>
    <w:rsid w:val="004B4A31"/>
    <w:rsid w:val="004B4A68"/>
    <w:rsid w:val="004B4B12"/>
    <w:rsid w:val="004B50CB"/>
    <w:rsid w:val="004B5656"/>
    <w:rsid w:val="004B5B5F"/>
    <w:rsid w:val="004B6705"/>
    <w:rsid w:val="004B6C67"/>
    <w:rsid w:val="004C0048"/>
    <w:rsid w:val="004C12C5"/>
    <w:rsid w:val="004C1622"/>
    <w:rsid w:val="004C17F2"/>
    <w:rsid w:val="004C1FC1"/>
    <w:rsid w:val="004C2E86"/>
    <w:rsid w:val="004C2F9E"/>
    <w:rsid w:val="004C3EB8"/>
    <w:rsid w:val="004C419E"/>
    <w:rsid w:val="004C4323"/>
    <w:rsid w:val="004C4848"/>
    <w:rsid w:val="004C490C"/>
    <w:rsid w:val="004C52AA"/>
    <w:rsid w:val="004C53C4"/>
    <w:rsid w:val="004C5748"/>
    <w:rsid w:val="004C57EB"/>
    <w:rsid w:val="004C63F0"/>
    <w:rsid w:val="004C6868"/>
    <w:rsid w:val="004C7842"/>
    <w:rsid w:val="004C79F8"/>
    <w:rsid w:val="004D0197"/>
    <w:rsid w:val="004D0A50"/>
    <w:rsid w:val="004D0E4E"/>
    <w:rsid w:val="004D1203"/>
    <w:rsid w:val="004D1D16"/>
    <w:rsid w:val="004D27D4"/>
    <w:rsid w:val="004D34A3"/>
    <w:rsid w:val="004D3773"/>
    <w:rsid w:val="004D3A18"/>
    <w:rsid w:val="004D4B01"/>
    <w:rsid w:val="004D5981"/>
    <w:rsid w:val="004D63A9"/>
    <w:rsid w:val="004D76D7"/>
    <w:rsid w:val="004D771C"/>
    <w:rsid w:val="004E1038"/>
    <w:rsid w:val="004E239D"/>
    <w:rsid w:val="004E29DD"/>
    <w:rsid w:val="004E39DD"/>
    <w:rsid w:val="004E4E69"/>
    <w:rsid w:val="004E5295"/>
    <w:rsid w:val="004F018B"/>
    <w:rsid w:val="004F01E0"/>
    <w:rsid w:val="004F0D8C"/>
    <w:rsid w:val="004F0FFF"/>
    <w:rsid w:val="004F11FB"/>
    <w:rsid w:val="004F3516"/>
    <w:rsid w:val="004F413E"/>
    <w:rsid w:val="004F4BE6"/>
    <w:rsid w:val="004F53D8"/>
    <w:rsid w:val="004F5927"/>
    <w:rsid w:val="004F5C7E"/>
    <w:rsid w:val="004F7078"/>
    <w:rsid w:val="0050117B"/>
    <w:rsid w:val="005017D9"/>
    <w:rsid w:val="00501F9F"/>
    <w:rsid w:val="0050234D"/>
    <w:rsid w:val="005023B4"/>
    <w:rsid w:val="00502B4A"/>
    <w:rsid w:val="005042D0"/>
    <w:rsid w:val="00504407"/>
    <w:rsid w:val="00504C07"/>
    <w:rsid w:val="005052CB"/>
    <w:rsid w:val="00505759"/>
    <w:rsid w:val="005066B4"/>
    <w:rsid w:val="00507091"/>
    <w:rsid w:val="00507262"/>
    <w:rsid w:val="005077F4"/>
    <w:rsid w:val="00510A89"/>
    <w:rsid w:val="005116F0"/>
    <w:rsid w:val="00512B95"/>
    <w:rsid w:val="00513121"/>
    <w:rsid w:val="00513203"/>
    <w:rsid w:val="00514874"/>
    <w:rsid w:val="0051545A"/>
    <w:rsid w:val="00515B8A"/>
    <w:rsid w:val="00515D64"/>
    <w:rsid w:val="005163BA"/>
    <w:rsid w:val="005166B5"/>
    <w:rsid w:val="00516BC8"/>
    <w:rsid w:val="00516F13"/>
    <w:rsid w:val="005170D4"/>
    <w:rsid w:val="0051790C"/>
    <w:rsid w:val="00521286"/>
    <w:rsid w:val="00522299"/>
    <w:rsid w:val="005224C9"/>
    <w:rsid w:val="005232F9"/>
    <w:rsid w:val="005233B7"/>
    <w:rsid w:val="00524024"/>
    <w:rsid w:val="0052416D"/>
    <w:rsid w:val="00524223"/>
    <w:rsid w:val="00524896"/>
    <w:rsid w:val="005255CA"/>
    <w:rsid w:val="005256A2"/>
    <w:rsid w:val="00525872"/>
    <w:rsid w:val="00525950"/>
    <w:rsid w:val="00525DE2"/>
    <w:rsid w:val="00525E56"/>
    <w:rsid w:val="0052619B"/>
    <w:rsid w:val="00526B43"/>
    <w:rsid w:val="00527116"/>
    <w:rsid w:val="00527436"/>
    <w:rsid w:val="005274DD"/>
    <w:rsid w:val="005277B4"/>
    <w:rsid w:val="00527BAA"/>
    <w:rsid w:val="00530AD6"/>
    <w:rsid w:val="00530F45"/>
    <w:rsid w:val="00530F72"/>
    <w:rsid w:val="005319C4"/>
    <w:rsid w:val="00532DBD"/>
    <w:rsid w:val="00533427"/>
    <w:rsid w:val="005338AF"/>
    <w:rsid w:val="00534023"/>
    <w:rsid w:val="00534579"/>
    <w:rsid w:val="00535EB2"/>
    <w:rsid w:val="00537319"/>
    <w:rsid w:val="00540174"/>
    <w:rsid w:val="00540872"/>
    <w:rsid w:val="00540E75"/>
    <w:rsid w:val="00541758"/>
    <w:rsid w:val="00541E91"/>
    <w:rsid w:val="005423E9"/>
    <w:rsid w:val="00543178"/>
    <w:rsid w:val="00544736"/>
    <w:rsid w:val="00544A8A"/>
    <w:rsid w:val="00544AB1"/>
    <w:rsid w:val="00546907"/>
    <w:rsid w:val="00546AD1"/>
    <w:rsid w:val="0054799D"/>
    <w:rsid w:val="00547A17"/>
    <w:rsid w:val="00547F83"/>
    <w:rsid w:val="0055042F"/>
    <w:rsid w:val="00551001"/>
    <w:rsid w:val="00551A36"/>
    <w:rsid w:val="00551AD6"/>
    <w:rsid w:val="00551D36"/>
    <w:rsid w:val="005520DD"/>
    <w:rsid w:val="00552381"/>
    <w:rsid w:val="00552445"/>
    <w:rsid w:val="00552448"/>
    <w:rsid w:val="00552CB5"/>
    <w:rsid w:val="00553AC4"/>
    <w:rsid w:val="00554819"/>
    <w:rsid w:val="00554D31"/>
    <w:rsid w:val="005559D6"/>
    <w:rsid w:val="00555E7E"/>
    <w:rsid w:val="00556EE0"/>
    <w:rsid w:val="00560A1C"/>
    <w:rsid w:val="00560B69"/>
    <w:rsid w:val="00560D5F"/>
    <w:rsid w:val="0056116B"/>
    <w:rsid w:val="0056249B"/>
    <w:rsid w:val="005636C2"/>
    <w:rsid w:val="00563BA5"/>
    <w:rsid w:val="00564C56"/>
    <w:rsid w:val="00564D11"/>
    <w:rsid w:val="00564F97"/>
    <w:rsid w:val="00565410"/>
    <w:rsid w:val="00565B78"/>
    <w:rsid w:val="00565E9F"/>
    <w:rsid w:val="005661DE"/>
    <w:rsid w:val="00566561"/>
    <w:rsid w:val="005667EC"/>
    <w:rsid w:val="00567BB4"/>
    <w:rsid w:val="0057070A"/>
    <w:rsid w:val="0057288E"/>
    <w:rsid w:val="00572A01"/>
    <w:rsid w:val="005730B7"/>
    <w:rsid w:val="00573226"/>
    <w:rsid w:val="00573F56"/>
    <w:rsid w:val="0057412B"/>
    <w:rsid w:val="0057550B"/>
    <w:rsid w:val="005755DE"/>
    <w:rsid w:val="0057656A"/>
    <w:rsid w:val="005766AB"/>
    <w:rsid w:val="00582055"/>
    <w:rsid w:val="0058262F"/>
    <w:rsid w:val="00582E89"/>
    <w:rsid w:val="005842DA"/>
    <w:rsid w:val="005848AC"/>
    <w:rsid w:val="005850FD"/>
    <w:rsid w:val="00585798"/>
    <w:rsid w:val="005859E5"/>
    <w:rsid w:val="005860E0"/>
    <w:rsid w:val="005869B6"/>
    <w:rsid w:val="00586EA1"/>
    <w:rsid w:val="005871B3"/>
    <w:rsid w:val="005871CC"/>
    <w:rsid w:val="00587361"/>
    <w:rsid w:val="00587A5D"/>
    <w:rsid w:val="00590583"/>
    <w:rsid w:val="00590B7C"/>
    <w:rsid w:val="00590FB7"/>
    <w:rsid w:val="00591324"/>
    <w:rsid w:val="00591A46"/>
    <w:rsid w:val="00591F79"/>
    <w:rsid w:val="00592682"/>
    <w:rsid w:val="00592F2B"/>
    <w:rsid w:val="00593CC6"/>
    <w:rsid w:val="005944E4"/>
    <w:rsid w:val="00594545"/>
    <w:rsid w:val="00596A38"/>
    <w:rsid w:val="0059711C"/>
    <w:rsid w:val="0059789D"/>
    <w:rsid w:val="005A16C5"/>
    <w:rsid w:val="005A1934"/>
    <w:rsid w:val="005A1A72"/>
    <w:rsid w:val="005A27DF"/>
    <w:rsid w:val="005A2892"/>
    <w:rsid w:val="005A28CA"/>
    <w:rsid w:val="005A2C77"/>
    <w:rsid w:val="005A35CC"/>
    <w:rsid w:val="005A36E0"/>
    <w:rsid w:val="005A4B72"/>
    <w:rsid w:val="005A4F66"/>
    <w:rsid w:val="005A5AAC"/>
    <w:rsid w:val="005A6807"/>
    <w:rsid w:val="005A6DE2"/>
    <w:rsid w:val="005A7221"/>
    <w:rsid w:val="005A76FC"/>
    <w:rsid w:val="005B11B2"/>
    <w:rsid w:val="005B1526"/>
    <w:rsid w:val="005B15EA"/>
    <w:rsid w:val="005B27B3"/>
    <w:rsid w:val="005B27D3"/>
    <w:rsid w:val="005B2884"/>
    <w:rsid w:val="005B32CF"/>
    <w:rsid w:val="005B33AC"/>
    <w:rsid w:val="005B3F30"/>
    <w:rsid w:val="005B431D"/>
    <w:rsid w:val="005B488A"/>
    <w:rsid w:val="005B4E47"/>
    <w:rsid w:val="005B530B"/>
    <w:rsid w:val="005B59CE"/>
    <w:rsid w:val="005B5E59"/>
    <w:rsid w:val="005B6C09"/>
    <w:rsid w:val="005B6C84"/>
    <w:rsid w:val="005B701E"/>
    <w:rsid w:val="005B781E"/>
    <w:rsid w:val="005B7E42"/>
    <w:rsid w:val="005C0096"/>
    <w:rsid w:val="005C0431"/>
    <w:rsid w:val="005C1128"/>
    <w:rsid w:val="005C1209"/>
    <w:rsid w:val="005C13D0"/>
    <w:rsid w:val="005C1442"/>
    <w:rsid w:val="005C1763"/>
    <w:rsid w:val="005C1EEA"/>
    <w:rsid w:val="005C2CAF"/>
    <w:rsid w:val="005C2EBB"/>
    <w:rsid w:val="005C3EBD"/>
    <w:rsid w:val="005C511F"/>
    <w:rsid w:val="005C530D"/>
    <w:rsid w:val="005C58B5"/>
    <w:rsid w:val="005C65DD"/>
    <w:rsid w:val="005C6DB3"/>
    <w:rsid w:val="005C743E"/>
    <w:rsid w:val="005C782A"/>
    <w:rsid w:val="005D0D79"/>
    <w:rsid w:val="005D0E70"/>
    <w:rsid w:val="005D1239"/>
    <w:rsid w:val="005D1983"/>
    <w:rsid w:val="005D20A5"/>
    <w:rsid w:val="005D25D2"/>
    <w:rsid w:val="005D51DC"/>
    <w:rsid w:val="005D5599"/>
    <w:rsid w:val="005D5F32"/>
    <w:rsid w:val="005D60E6"/>
    <w:rsid w:val="005D6221"/>
    <w:rsid w:val="005D6B7E"/>
    <w:rsid w:val="005D7CFB"/>
    <w:rsid w:val="005E0A88"/>
    <w:rsid w:val="005E12B8"/>
    <w:rsid w:val="005E1BF8"/>
    <w:rsid w:val="005E1CC0"/>
    <w:rsid w:val="005E209A"/>
    <w:rsid w:val="005E3A10"/>
    <w:rsid w:val="005E4693"/>
    <w:rsid w:val="005E785D"/>
    <w:rsid w:val="005E7BB1"/>
    <w:rsid w:val="005F03BA"/>
    <w:rsid w:val="005F03FD"/>
    <w:rsid w:val="005F0AE7"/>
    <w:rsid w:val="005F14BD"/>
    <w:rsid w:val="005F181F"/>
    <w:rsid w:val="005F2E6F"/>
    <w:rsid w:val="005F338C"/>
    <w:rsid w:val="005F3AF4"/>
    <w:rsid w:val="005F416A"/>
    <w:rsid w:val="005F4BCE"/>
    <w:rsid w:val="005F58B4"/>
    <w:rsid w:val="005F6071"/>
    <w:rsid w:val="005F60B7"/>
    <w:rsid w:val="005F6149"/>
    <w:rsid w:val="005F69E2"/>
    <w:rsid w:val="005F72A4"/>
    <w:rsid w:val="0060082B"/>
    <w:rsid w:val="00600DD4"/>
    <w:rsid w:val="0060105E"/>
    <w:rsid w:val="006011F7"/>
    <w:rsid w:val="00601662"/>
    <w:rsid w:val="006021DA"/>
    <w:rsid w:val="0060269F"/>
    <w:rsid w:val="00602F22"/>
    <w:rsid w:val="00603F8B"/>
    <w:rsid w:val="00604EAD"/>
    <w:rsid w:val="00606180"/>
    <w:rsid w:val="006061AA"/>
    <w:rsid w:val="00607290"/>
    <w:rsid w:val="00607DD2"/>
    <w:rsid w:val="00607E40"/>
    <w:rsid w:val="006109E7"/>
    <w:rsid w:val="00611482"/>
    <w:rsid w:val="00612374"/>
    <w:rsid w:val="006126B0"/>
    <w:rsid w:val="00612AFC"/>
    <w:rsid w:val="0061366C"/>
    <w:rsid w:val="00613B6A"/>
    <w:rsid w:val="00613CCA"/>
    <w:rsid w:val="006142EB"/>
    <w:rsid w:val="00616838"/>
    <w:rsid w:val="0061739A"/>
    <w:rsid w:val="006175AE"/>
    <w:rsid w:val="0062013B"/>
    <w:rsid w:val="0062019F"/>
    <w:rsid w:val="0062063D"/>
    <w:rsid w:val="0062131C"/>
    <w:rsid w:val="006221E3"/>
    <w:rsid w:val="00622206"/>
    <w:rsid w:val="00622409"/>
    <w:rsid w:val="006233BB"/>
    <w:rsid w:val="006235F0"/>
    <w:rsid w:val="006241A3"/>
    <w:rsid w:val="00624ADA"/>
    <w:rsid w:val="00624EBA"/>
    <w:rsid w:val="00625D8F"/>
    <w:rsid w:val="00626BC0"/>
    <w:rsid w:val="006272E9"/>
    <w:rsid w:val="006275DC"/>
    <w:rsid w:val="00627A8F"/>
    <w:rsid w:val="0063002A"/>
    <w:rsid w:val="006300CA"/>
    <w:rsid w:val="00630381"/>
    <w:rsid w:val="00631236"/>
    <w:rsid w:val="0063199A"/>
    <w:rsid w:val="006321BE"/>
    <w:rsid w:val="006324FA"/>
    <w:rsid w:val="00634E92"/>
    <w:rsid w:val="00635F48"/>
    <w:rsid w:val="006367FC"/>
    <w:rsid w:val="0064045C"/>
    <w:rsid w:val="00641C7D"/>
    <w:rsid w:val="006426BA"/>
    <w:rsid w:val="00643CBE"/>
    <w:rsid w:val="006452C5"/>
    <w:rsid w:val="006452CA"/>
    <w:rsid w:val="00645E16"/>
    <w:rsid w:val="00646753"/>
    <w:rsid w:val="006469BE"/>
    <w:rsid w:val="00646A88"/>
    <w:rsid w:val="006474B7"/>
    <w:rsid w:val="006476ED"/>
    <w:rsid w:val="0064788F"/>
    <w:rsid w:val="006500E1"/>
    <w:rsid w:val="00650814"/>
    <w:rsid w:val="00651F32"/>
    <w:rsid w:val="00651F8F"/>
    <w:rsid w:val="00652216"/>
    <w:rsid w:val="00652691"/>
    <w:rsid w:val="00652DBA"/>
    <w:rsid w:val="006530BB"/>
    <w:rsid w:val="00654832"/>
    <w:rsid w:val="0065499D"/>
    <w:rsid w:val="00654A59"/>
    <w:rsid w:val="00654B50"/>
    <w:rsid w:val="00655633"/>
    <w:rsid w:val="00655F63"/>
    <w:rsid w:val="00656793"/>
    <w:rsid w:val="00657AC3"/>
    <w:rsid w:val="00657AEB"/>
    <w:rsid w:val="00660C0F"/>
    <w:rsid w:val="00660E19"/>
    <w:rsid w:val="00660F44"/>
    <w:rsid w:val="00661321"/>
    <w:rsid w:val="0066156F"/>
    <w:rsid w:val="0066177D"/>
    <w:rsid w:val="00661783"/>
    <w:rsid w:val="00661882"/>
    <w:rsid w:val="00662084"/>
    <w:rsid w:val="006622FB"/>
    <w:rsid w:val="006634C4"/>
    <w:rsid w:val="00663C87"/>
    <w:rsid w:val="006655DD"/>
    <w:rsid w:val="00665696"/>
    <w:rsid w:val="0066609A"/>
    <w:rsid w:val="00666813"/>
    <w:rsid w:val="006703C2"/>
    <w:rsid w:val="00670566"/>
    <w:rsid w:val="00670F44"/>
    <w:rsid w:val="0067205D"/>
    <w:rsid w:val="00672119"/>
    <w:rsid w:val="00672346"/>
    <w:rsid w:val="0067287E"/>
    <w:rsid w:val="00672CE2"/>
    <w:rsid w:val="006736A9"/>
    <w:rsid w:val="00673D94"/>
    <w:rsid w:val="006740E6"/>
    <w:rsid w:val="0067441F"/>
    <w:rsid w:val="006748B1"/>
    <w:rsid w:val="0067577A"/>
    <w:rsid w:val="00676A4F"/>
    <w:rsid w:val="00676B44"/>
    <w:rsid w:val="00676EA2"/>
    <w:rsid w:val="00677BCB"/>
    <w:rsid w:val="00677F1A"/>
    <w:rsid w:val="00680147"/>
    <w:rsid w:val="00680A77"/>
    <w:rsid w:val="00680EE5"/>
    <w:rsid w:val="0068174D"/>
    <w:rsid w:val="00682242"/>
    <w:rsid w:val="00683302"/>
    <w:rsid w:val="00683F50"/>
    <w:rsid w:val="006844DD"/>
    <w:rsid w:val="006846C9"/>
    <w:rsid w:val="00684BB7"/>
    <w:rsid w:val="00684DB6"/>
    <w:rsid w:val="006867AC"/>
    <w:rsid w:val="00686EA9"/>
    <w:rsid w:val="00687991"/>
    <w:rsid w:val="0069069C"/>
    <w:rsid w:val="00690A0F"/>
    <w:rsid w:val="00690AE4"/>
    <w:rsid w:val="00690EB5"/>
    <w:rsid w:val="006918C5"/>
    <w:rsid w:val="00692A48"/>
    <w:rsid w:val="00693A84"/>
    <w:rsid w:val="0069414C"/>
    <w:rsid w:val="006945A7"/>
    <w:rsid w:val="00694799"/>
    <w:rsid w:val="00694897"/>
    <w:rsid w:val="00695635"/>
    <w:rsid w:val="006967F7"/>
    <w:rsid w:val="006977B6"/>
    <w:rsid w:val="00697D04"/>
    <w:rsid w:val="006A0A62"/>
    <w:rsid w:val="006A1ABF"/>
    <w:rsid w:val="006A2DE2"/>
    <w:rsid w:val="006A3C58"/>
    <w:rsid w:val="006A4634"/>
    <w:rsid w:val="006A481B"/>
    <w:rsid w:val="006A4F1F"/>
    <w:rsid w:val="006A5251"/>
    <w:rsid w:val="006A60A3"/>
    <w:rsid w:val="006A7B24"/>
    <w:rsid w:val="006A7DFC"/>
    <w:rsid w:val="006B0290"/>
    <w:rsid w:val="006B082D"/>
    <w:rsid w:val="006B0F1B"/>
    <w:rsid w:val="006B1094"/>
    <w:rsid w:val="006B1234"/>
    <w:rsid w:val="006B1373"/>
    <w:rsid w:val="006B19A7"/>
    <w:rsid w:val="006B267B"/>
    <w:rsid w:val="006B36A4"/>
    <w:rsid w:val="006B3F24"/>
    <w:rsid w:val="006B4C67"/>
    <w:rsid w:val="006B5536"/>
    <w:rsid w:val="006B5BCB"/>
    <w:rsid w:val="006B5CCE"/>
    <w:rsid w:val="006B6BB7"/>
    <w:rsid w:val="006B72C2"/>
    <w:rsid w:val="006C020F"/>
    <w:rsid w:val="006C03ED"/>
    <w:rsid w:val="006C0E45"/>
    <w:rsid w:val="006C23AC"/>
    <w:rsid w:val="006C275F"/>
    <w:rsid w:val="006C3669"/>
    <w:rsid w:val="006C4183"/>
    <w:rsid w:val="006C44B7"/>
    <w:rsid w:val="006C4F9F"/>
    <w:rsid w:val="006C6BB3"/>
    <w:rsid w:val="006C6D63"/>
    <w:rsid w:val="006D023F"/>
    <w:rsid w:val="006D0518"/>
    <w:rsid w:val="006D0A07"/>
    <w:rsid w:val="006D1B63"/>
    <w:rsid w:val="006D1D9F"/>
    <w:rsid w:val="006D32AA"/>
    <w:rsid w:val="006D43BE"/>
    <w:rsid w:val="006D49A6"/>
    <w:rsid w:val="006D553F"/>
    <w:rsid w:val="006D5933"/>
    <w:rsid w:val="006D6587"/>
    <w:rsid w:val="006D67AD"/>
    <w:rsid w:val="006D725E"/>
    <w:rsid w:val="006D7E8E"/>
    <w:rsid w:val="006E0070"/>
    <w:rsid w:val="006E00C1"/>
    <w:rsid w:val="006E02D8"/>
    <w:rsid w:val="006E0493"/>
    <w:rsid w:val="006E18AB"/>
    <w:rsid w:val="006E229D"/>
    <w:rsid w:val="006E4509"/>
    <w:rsid w:val="006E50BF"/>
    <w:rsid w:val="006E5536"/>
    <w:rsid w:val="006E5E5A"/>
    <w:rsid w:val="006E639B"/>
    <w:rsid w:val="006E661D"/>
    <w:rsid w:val="006E6AFC"/>
    <w:rsid w:val="006F0DD6"/>
    <w:rsid w:val="006F167A"/>
    <w:rsid w:val="006F1F41"/>
    <w:rsid w:val="006F25A8"/>
    <w:rsid w:val="006F2A3D"/>
    <w:rsid w:val="006F2FAF"/>
    <w:rsid w:val="006F3142"/>
    <w:rsid w:val="006F3528"/>
    <w:rsid w:val="006F36D2"/>
    <w:rsid w:val="006F3860"/>
    <w:rsid w:val="006F4B9F"/>
    <w:rsid w:val="006F5CA5"/>
    <w:rsid w:val="006F5F4F"/>
    <w:rsid w:val="006F633A"/>
    <w:rsid w:val="006F6676"/>
    <w:rsid w:val="006F7107"/>
    <w:rsid w:val="006F749A"/>
    <w:rsid w:val="006F7BBF"/>
    <w:rsid w:val="00700308"/>
    <w:rsid w:val="007012D7"/>
    <w:rsid w:val="00701331"/>
    <w:rsid w:val="007013C4"/>
    <w:rsid w:val="007016C2"/>
    <w:rsid w:val="00701E09"/>
    <w:rsid w:val="00702508"/>
    <w:rsid w:val="007026D2"/>
    <w:rsid w:val="00703755"/>
    <w:rsid w:val="00704BDF"/>
    <w:rsid w:val="007054B9"/>
    <w:rsid w:val="007058AA"/>
    <w:rsid w:val="007060D7"/>
    <w:rsid w:val="0070642A"/>
    <w:rsid w:val="00706EB5"/>
    <w:rsid w:val="00707274"/>
    <w:rsid w:val="007075D3"/>
    <w:rsid w:val="00707A90"/>
    <w:rsid w:val="00707B14"/>
    <w:rsid w:val="00707D4E"/>
    <w:rsid w:val="00710420"/>
    <w:rsid w:val="007104F3"/>
    <w:rsid w:val="007107ED"/>
    <w:rsid w:val="00710955"/>
    <w:rsid w:val="00710A71"/>
    <w:rsid w:val="00711424"/>
    <w:rsid w:val="007117D1"/>
    <w:rsid w:val="00711BE3"/>
    <w:rsid w:val="00711CB0"/>
    <w:rsid w:val="007128E4"/>
    <w:rsid w:val="00712E7C"/>
    <w:rsid w:val="00713359"/>
    <w:rsid w:val="0071490E"/>
    <w:rsid w:val="00714D3C"/>
    <w:rsid w:val="00715EB0"/>
    <w:rsid w:val="007161BC"/>
    <w:rsid w:val="007172DD"/>
    <w:rsid w:val="007173E3"/>
    <w:rsid w:val="00717A71"/>
    <w:rsid w:val="00721304"/>
    <w:rsid w:val="00722558"/>
    <w:rsid w:val="00722577"/>
    <w:rsid w:val="00722665"/>
    <w:rsid w:val="00723233"/>
    <w:rsid w:val="00723508"/>
    <w:rsid w:val="007239D3"/>
    <w:rsid w:val="0072449F"/>
    <w:rsid w:val="00724AF1"/>
    <w:rsid w:val="00724B5A"/>
    <w:rsid w:val="00724FCB"/>
    <w:rsid w:val="00726E34"/>
    <w:rsid w:val="0072762B"/>
    <w:rsid w:val="00727BAE"/>
    <w:rsid w:val="0073036D"/>
    <w:rsid w:val="00730831"/>
    <w:rsid w:val="00731968"/>
    <w:rsid w:val="00731B9E"/>
    <w:rsid w:val="00731E42"/>
    <w:rsid w:val="007354AE"/>
    <w:rsid w:val="007357C7"/>
    <w:rsid w:val="00735992"/>
    <w:rsid w:val="00735E16"/>
    <w:rsid w:val="007367BC"/>
    <w:rsid w:val="00736EB8"/>
    <w:rsid w:val="00736FF1"/>
    <w:rsid w:val="0073780B"/>
    <w:rsid w:val="00737891"/>
    <w:rsid w:val="00741285"/>
    <w:rsid w:val="00741633"/>
    <w:rsid w:val="00741A8E"/>
    <w:rsid w:val="0074271A"/>
    <w:rsid w:val="0074297C"/>
    <w:rsid w:val="00743079"/>
    <w:rsid w:val="00743A76"/>
    <w:rsid w:val="00744275"/>
    <w:rsid w:val="007444D6"/>
    <w:rsid w:val="007448E2"/>
    <w:rsid w:val="007452AB"/>
    <w:rsid w:val="0074559B"/>
    <w:rsid w:val="00745898"/>
    <w:rsid w:val="0074745E"/>
    <w:rsid w:val="00750641"/>
    <w:rsid w:val="00751464"/>
    <w:rsid w:val="00751A90"/>
    <w:rsid w:val="00751BB3"/>
    <w:rsid w:val="007520AD"/>
    <w:rsid w:val="0075312C"/>
    <w:rsid w:val="007533E9"/>
    <w:rsid w:val="007535B9"/>
    <w:rsid w:val="00754C2C"/>
    <w:rsid w:val="007555B8"/>
    <w:rsid w:val="00755754"/>
    <w:rsid w:val="0075606E"/>
    <w:rsid w:val="007565D6"/>
    <w:rsid w:val="00756AEB"/>
    <w:rsid w:val="00756B4E"/>
    <w:rsid w:val="00757FCD"/>
    <w:rsid w:val="00760AE3"/>
    <w:rsid w:val="00761291"/>
    <w:rsid w:val="007616A7"/>
    <w:rsid w:val="00761894"/>
    <w:rsid w:val="00762AE0"/>
    <w:rsid w:val="00762DC4"/>
    <w:rsid w:val="007631E8"/>
    <w:rsid w:val="0076320C"/>
    <w:rsid w:val="00763485"/>
    <w:rsid w:val="00763AF8"/>
    <w:rsid w:val="007644A0"/>
    <w:rsid w:val="0076484E"/>
    <w:rsid w:val="00764B70"/>
    <w:rsid w:val="007654F8"/>
    <w:rsid w:val="00765C2F"/>
    <w:rsid w:val="00765C44"/>
    <w:rsid w:val="00765DFD"/>
    <w:rsid w:val="00765E15"/>
    <w:rsid w:val="007661B9"/>
    <w:rsid w:val="007672E1"/>
    <w:rsid w:val="00770C78"/>
    <w:rsid w:val="0077100B"/>
    <w:rsid w:val="00771111"/>
    <w:rsid w:val="007713DC"/>
    <w:rsid w:val="00771482"/>
    <w:rsid w:val="00771762"/>
    <w:rsid w:val="00772A20"/>
    <w:rsid w:val="00772B5D"/>
    <w:rsid w:val="00773658"/>
    <w:rsid w:val="007739CF"/>
    <w:rsid w:val="0077420D"/>
    <w:rsid w:val="00774867"/>
    <w:rsid w:val="00774C30"/>
    <w:rsid w:val="00775A9B"/>
    <w:rsid w:val="00775B01"/>
    <w:rsid w:val="00776531"/>
    <w:rsid w:val="00776564"/>
    <w:rsid w:val="007801E6"/>
    <w:rsid w:val="0078052B"/>
    <w:rsid w:val="00781427"/>
    <w:rsid w:val="007815E9"/>
    <w:rsid w:val="00783314"/>
    <w:rsid w:val="007836EE"/>
    <w:rsid w:val="00783B3B"/>
    <w:rsid w:val="00783FE2"/>
    <w:rsid w:val="0078448F"/>
    <w:rsid w:val="00784C68"/>
    <w:rsid w:val="00784DB8"/>
    <w:rsid w:val="00785E3F"/>
    <w:rsid w:val="0078614F"/>
    <w:rsid w:val="007861F9"/>
    <w:rsid w:val="007863E7"/>
    <w:rsid w:val="007866F0"/>
    <w:rsid w:val="00786B1C"/>
    <w:rsid w:val="007872FA"/>
    <w:rsid w:val="00787D01"/>
    <w:rsid w:val="00791F7C"/>
    <w:rsid w:val="0079272D"/>
    <w:rsid w:val="00793276"/>
    <w:rsid w:val="00793443"/>
    <w:rsid w:val="00793ABA"/>
    <w:rsid w:val="00794B7E"/>
    <w:rsid w:val="00794CFB"/>
    <w:rsid w:val="00794DEF"/>
    <w:rsid w:val="00794F1A"/>
    <w:rsid w:val="0079612E"/>
    <w:rsid w:val="00796220"/>
    <w:rsid w:val="007966E1"/>
    <w:rsid w:val="00796EEF"/>
    <w:rsid w:val="007A0594"/>
    <w:rsid w:val="007A0A43"/>
    <w:rsid w:val="007A10C5"/>
    <w:rsid w:val="007A2623"/>
    <w:rsid w:val="007A37BD"/>
    <w:rsid w:val="007A3E49"/>
    <w:rsid w:val="007A3E6C"/>
    <w:rsid w:val="007A42A2"/>
    <w:rsid w:val="007A43E8"/>
    <w:rsid w:val="007A4C8A"/>
    <w:rsid w:val="007A5634"/>
    <w:rsid w:val="007A572B"/>
    <w:rsid w:val="007A5C32"/>
    <w:rsid w:val="007A6474"/>
    <w:rsid w:val="007A6821"/>
    <w:rsid w:val="007A6ECD"/>
    <w:rsid w:val="007A7A4C"/>
    <w:rsid w:val="007B02C2"/>
    <w:rsid w:val="007B08C0"/>
    <w:rsid w:val="007B13DB"/>
    <w:rsid w:val="007B151F"/>
    <w:rsid w:val="007B2AAC"/>
    <w:rsid w:val="007B3866"/>
    <w:rsid w:val="007B4164"/>
    <w:rsid w:val="007B460C"/>
    <w:rsid w:val="007B4F1E"/>
    <w:rsid w:val="007B514F"/>
    <w:rsid w:val="007B56E7"/>
    <w:rsid w:val="007B57F2"/>
    <w:rsid w:val="007B588C"/>
    <w:rsid w:val="007B6195"/>
    <w:rsid w:val="007B726E"/>
    <w:rsid w:val="007B782D"/>
    <w:rsid w:val="007B7E6E"/>
    <w:rsid w:val="007C0A62"/>
    <w:rsid w:val="007C0D40"/>
    <w:rsid w:val="007C15B3"/>
    <w:rsid w:val="007C1DBA"/>
    <w:rsid w:val="007C2345"/>
    <w:rsid w:val="007C244D"/>
    <w:rsid w:val="007C25D3"/>
    <w:rsid w:val="007C2A96"/>
    <w:rsid w:val="007C2CFF"/>
    <w:rsid w:val="007C3B3A"/>
    <w:rsid w:val="007C401C"/>
    <w:rsid w:val="007C435C"/>
    <w:rsid w:val="007C52C1"/>
    <w:rsid w:val="007C5A42"/>
    <w:rsid w:val="007C5AEA"/>
    <w:rsid w:val="007C6195"/>
    <w:rsid w:val="007C662A"/>
    <w:rsid w:val="007C696B"/>
    <w:rsid w:val="007C7168"/>
    <w:rsid w:val="007C77D8"/>
    <w:rsid w:val="007C7958"/>
    <w:rsid w:val="007D049B"/>
    <w:rsid w:val="007D160D"/>
    <w:rsid w:val="007D16C2"/>
    <w:rsid w:val="007D29A7"/>
    <w:rsid w:val="007D32CD"/>
    <w:rsid w:val="007D397F"/>
    <w:rsid w:val="007D3B3A"/>
    <w:rsid w:val="007D3F4A"/>
    <w:rsid w:val="007D4523"/>
    <w:rsid w:val="007D47DB"/>
    <w:rsid w:val="007D4A38"/>
    <w:rsid w:val="007D4E9A"/>
    <w:rsid w:val="007D6F5C"/>
    <w:rsid w:val="007D7164"/>
    <w:rsid w:val="007D792F"/>
    <w:rsid w:val="007D7A36"/>
    <w:rsid w:val="007E01BA"/>
    <w:rsid w:val="007E041A"/>
    <w:rsid w:val="007E0BEF"/>
    <w:rsid w:val="007E1398"/>
    <w:rsid w:val="007E20B3"/>
    <w:rsid w:val="007E27DA"/>
    <w:rsid w:val="007E280F"/>
    <w:rsid w:val="007E2821"/>
    <w:rsid w:val="007E54FF"/>
    <w:rsid w:val="007E5D5C"/>
    <w:rsid w:val="007E6262"/>
    <w:rsid w:val="007E6F26"/>
    <w:rsid w:val="007E773C"/>
    <w:rsid w:val="007F084C"/>
    <w:rsid w:val="007F1433"/>
    <w:rsid w:val="007F147B"/>
    <w:rsid w:val="007F1BF7"/>
    <w:rsid w:val="007F1D6F"/>
    <w:rsid w:val="007F2535"/>
    <w:rsid w:val="007F26EE"/>
    <w:rsid w:val="007F3144"/>
    <w:rsid w:val="007F33B6"/>
    <w:rsid w:val="007F41E9"/>
    <w:rsid w:val="007F4278"/>
    <w:rsid w:val="007F47B6"/>
    <w:rsid w:val="007F4CD4"/>
    <w:rsid w:val="007F4F88"/>
    <w:rsid w:val="007F51B0"/>
    <w:rsid w:val="007F5D08"/>
    <w:rsid w:val="008007D8"/>
    <w:rsid w:val="00800A42"/>
    <w:rsid w:val="00801342"/>
    <w:rsid w:val="008018ED"/>
    <w:rsid w:val="00801B6A"/>
    <w:rsid w:val="00801C55"/>
    <w:rsid w:val="00802037"/>
    <w:rsid w:val="008025EC"/>
    <w:rsid w:val="0080262F"/>
    <w:rsid w:val="008027B5"/>
    <w:rsid w:val="0080304C"/>
    <w:rsid w:val="00803947"/>
    <w:rsid w:val="00803DBB"/>
    <w:rsid w:val="008043F3"/>
    <w:rsid w:val="008046EF"/>
    <w:rsid w:val="00804729"/>
    <w:rsid w:val="00804852"/>
    <w:rsid w:val="008053CF"/>
    <w:rsid w:val="00805BB8"/>
    <w:rsid w:val="00806947"/>
    <w:rsid w:val="008070D4"/>
    <w:rsid w:val="00810327"/>
    <w:rsid w:val="00810421"/>
    <w:rsid w:val="008104AB"/>
    <w:rsid w:val="00810687"/>
    <w:rsid w:val="00810CAE"/>
    <w:rsid w:val="00811F28"/>
    <w:rsid w:val="00811F8D"/>
    <w:rsid w:val="00813B34"/>
    <w:rsid w:val="00813B82"/>
    <w:rsid w:val="00813F2B"/>
    <w:rsid w:val="0081421F"/>
    <w:rsid w:val="00814906"/>
    <w:rsid w:val="00814D4E"/>
    <w:rsid w:val="008151D8"/>
    <w:rsid w:val="00815DBD"/>
    <w:rsid w:val="00816876"/>
    <w:rsid w:val="00816AC4"/>
    <w:rsid w:val="00816D91"/>
    <w:rsid w:val="00817370"/>
    <w:rsid w:val="00817E8E"/>
    <w:rsid w:val="0082036D"/>
    <w:rsid w:val="00820532"/>
    <w:rsid w:val="00821190"/>
    <w:rsid w:val="00821C86"/>
    <w:rsid w:val="00822546"/>
    <w:rsid w:val="008225A1"/>
    <w:rsid w:val="0082278C"/>
    <w:rsid w:val="00823209"/>
    <w:rsid w:val="0082373C"/>
    <w:rsid w:val="00823C36"/>
    <w:rsid w:val="008253A4"/>
    <w:rsid w:val="008254B1"/>
    <w:rsid w:val="00826789"/>
    <w:rsid w:val="00826B5A"/>
    <w:rsid w:val="008272B8"/>
    <w:rsid w:val="0082730D"/>
    <w:rsid w:val="00827698"/>
    <w:rsid w:val="0083102B"/>
    <w:rsid w:val="00831638"/>
    <w:rsid w:val="008318A8"/>
    <w:rsid w:val="00831906"/>
    <w:rsid w:val="00831D11"/>
    <w:rsid w:val="00832E57"/>
    <w:rsid w:val="00833074"/>
    <w:rsid w:val="00833572"/>
    <w:rsid w:val="008365E9"/>
    <w:rsid w:val="00837C59"/>
    <w:rsid w:val="008401FA"/>
    <w:rsid w:val="00840442"/>
    <w:rsid w:val="00840756"/>
    <w:rsid w:val="00841429"/>
    <w:rsid w:val="00842240"/>
    <w:rsid w:val="00842F2F"/>
    <w:rsid w:val="00844253"/>
    <w:rsid w:val="00846753"/>
    <w:rsid w:val="00847442"/>
    <w:rsid w:val="00850112"/>
    <w:rsid w:val="008514E1"/>
    <w:rsid w:val="0085189F"/>
    <w:rsid w:val="00851ADC"/>
    <w:rsid w:val="00851AF3"/>
    <w:rsid w:val="008530DB"/>
    <w:rsid w:val="008539F5"/>
    <w:rsid w:val="00853D2A"/>
    <w:rsid w:val="00854EF5"/>
    <w:rsid w:val="008558A4"/>
    <w:rsid w:val="008559BA"/>
    <w:rsid w:val="00855D1D"/>
    <w:rsid w:val="00856AEC"/>
    <w:rsid w:val="00857563"/>
    <w:rsid w:val="0086006E"/>
    <w:rsid w:val="00860292"/>
    <w:rsid w:val="0086053E"/>
    <w:rsid w:val="00861503"/>
    <w:rsid w:val="00861A5E"/>
    <w:rsid w:val="00862142"/>
    <w:rsid w:val="00863ACE"/>
    <w:rsid w:val="00863B1F"/>
    <w:rsid w:val="00864FA7"/>
    <w:rsid w:val="00865C23"/>
    <w:rsid w:val="00865D35"/>
    <w:rsid w:val="00870D20"/>
    <w:rsid w:val="00871460"/>
    <w:rsid w:val="00871503"/>
    <w:rsid w:val="00871B36"/>
    <w:rsid w:val="0087223E"/>
    <w:rsid w:val="0087350E"/>
    <w:rsid w:val="00873516"/>
    <w:rsid w:val="00873C3C"/>
    <w:rsid w:val="008740C5"/>
    <w:rsid w:val="00874455"/>
    <w:rsid w:val="008757C5"/>
    <w:rsid w:val="0087670A"/>
    <w:rsid w:val="008815D1"/>
    <w:rsid w:val="00882CC7"/>
    <w:rsid w:val="008838DE"/>
    <w:rsid w:val="00883AEE"/>
    <w:rsid w:val="00884931"/>
    <w:rsid w:val="00884EE0"/>
    <w:rsid w:val="00884FF8"/>
    <w:rsid w:val="00885793"/>
    <w:rsid w:val="00885EF8"/>
    <w:rsid w:val="00886151"/>
    <w:rsid w:val="00886730"/>
    <w:rsid w:val="008903B0"/>
    <w:rsid w:val="0089170E"/>
    <w:rsid w:val="00891BD2"/>
    <w:rsid w:val="00892143"/>
    <w:rsid w:val="008929B6"/>
    <w:rsid w:val="00892DD3"/>
    <w:rsid w:val="008939ED"/>
    <w:rsid w:val="0089531B"/>
    <w:rsid w:val="00895D39"/>
    <w:rsid w:val="00897040"/>
    <w:rsid w:val="008971ED"/>
    <w:rsid w:val="008974D4"/>
    <w:rsid w:val="00897541"/>
    <w:rsid w:val="00897566"/>
    <w:rsid w:val="00897DDE"/>
    <w:rsid w:val="00897EB8"/>
    <w:rsid w:val="008A17CC"/>
    <w:rsid w:val="008A2074"/>
    <w:rsid w:val="008A2188"/>
    <w:rsid w:val="008A2C9E"/>
    <w:rsid w:val="008A38C2"/>
    <w:rsid w:val="008A46DD"/>
    <w:rsid w:val="008A4F64"/>
    <w:rsid w:val="008A5C02"/>
    <w:rsid w:val="008A6CFD"/>
    <w:rsid w:val="008A6E34"/>
    <w:rsid w:val="008A7752"/>
    <w:rsid w:val="008A7B09"/>
    <w:rsid w:val="008B0A23"/>
    <w:rsid w:val="008B1A7B"/>
    <w:rsid w:val="008B23AE"/>
    <w:rsid w:val="008B28DD"/>
    <w:rsid w:val="008B2C5C"/>
    <w:rsid w:val="008B332E"/>
    <w:rsid w:val="008B525E"/>
    <w:rsid w:val="008B57EC"/>
    <w:rsid w:val="008B678A"/>
    <w:rsid w:val="008B70E7"/>
    <w:rsid w:val="008B733E"/>
    <w:rsid w:val="008B7C4E"/>
    <w:rsid w:val="008C0172"/>
    <w:rsid w:val="008C0C2B"/>
    <w:rsid w:val="008C12C8"/>
    <w:rsid w:val="008C15BD"/>
    <w:rsid w:val="008C1609"/>
    <w:rsid w:val="008C2446"/>
    <w:rsid w:val="008C26C5"/>
    <w:rsid w:val="008C2CCF"/>
    <w:rsid w:val="008C3726"/>
    <w:rsid w:val="008C38EE"/>
    <w:rsid w:val="008C4264"/>
    <w:rsid w:val="008C4F23"/>
    <w:rsid w:val="008C552C"/>
    <w:rsid w:val="008C599A"/>
    <w:rsid w:val="008C6732"/>
    <w:rsid w:val="008C6FD3"/>
    <w:rsid w:val="008C74B0"/>
    <w:rsid w:val="008C788C"/>
    <w:rsid w:val="008C7EE4"/>
    <w:rsid w:val="008D020E"/>
    <w:rsid w:val="008D0D33"/>
    <w:rsid w:val="008D2F3D"/>
    <w:rsid w:val="008D3DE4"/>
    <w:rsid w:val="008D44CA"/>
    <w:rsid w:val="008D4BCC"/>
    <w:rsid w:val="008D4F30"/>
    <w:rsid w:val="008D6D5C"/>
    <w:rsid w:val="008D7409"/>
    <w:rsid w:val="008D7473"/>
    <w:rsid w:val="008D7517"/>
    <w:rsid w:val="008D7835"/>
    <w:rsid w:val="008E08BE"/>
    <w:rsid w:val="008E08FA"/>
    <w:rsid w:val="008E166E"/>
    <w:rsid w:val="008E2777"/>
    <w:rsid w:val="008E2AD4"/>
    <w:rsid w:val="008E319B"/>
    <w:rsid w:val="008E3353"/>
    <w:rsid w:val="008E3DB6"/>
    <w:rsid w:val="008E43E2"/>
    <w:rsid w:val="008E4D82"/>
    <w:rsid w:val="008E4DDF"/>
    <w:rsid w:val="008E5716"/>
    <w:rsid w:val="008E5B74"/>
    <w:rsid w:val="008E5DBD"/>
    <w:rsid w:val="008E5F26"/>
    <w:rsid w:val="008E6EF3"/>
    <w:rsid w:val="008F070E"/>
    <w:rsid w:val="008F0846"/>
    <w:rsid w:val="008F0C06"/>
    <w:rsid w:val="008F15D4"/>
    <w:rsid w:val="008F1E36"/>
    <w:rsid w:val="008F20E7"/>
    <w:rsid w:val="008F2152"/>
    <w:rsid w:val="008F339A"/>
    <w:rsid w:val="008F383C"/>
    <w:rsid w:val="008F5959"/>
    <w:rsid w:val="008F6397"/>
    <w:rsid w:val="008F6541"/>
    <w:rsid w:val="008F65D0"/>
    <w:rsid w:val="008F68D2"/>
    <w:rsid w:val="008F6DF6"/>
    <w:rsid w:val="008F6EF4"/>
    <w:rsid w:val="009007D3"/>
    <w:rsid w:val="00901B34"/>
    <w:rsid w:val="00901DA0"/>
    <w:rsid w:val="00901FC1"/>
    <w:rsid w:val="009020F4"/>
    <w:rsid w:val="009022C6"/>
    <w:rsid w:val="00903DFD"/>
    <w:rsid w:val="00905101"/>
    <w:rsid w:val="00905666"/>
    <w:rsid w:val="00906945"/>
    <w:rsid w:val="0090739B"/>
    <w:rsid w:val="009075AF"/>
    <w:rsid w:val="0090763D"/>
    <w:rsid w:val="00910EE5"/>
    <w:rsid w:val="009117C6"/>
    <w:rsid w:val="00911E29"/>
    <w:rsid w:val="00912FE1"/>
    <w:rsid w:val="00913033"/>
    <w:rsid w:val="00913956"/>
    <w:rsid w:val="00914148"/>
    <w:rsid w:val="009144ED"/>
    <w:rsid w:val="0091515B"/>
    <w:rsid w:val="00915745"/>
    <w:rsid w:val="00916814"/>
    <w:rsid w:val="00916CEE"/>
    <w:rsid w:val="009172E6"/>
    <w:rsid w:val="0092003C"/>
    <w:rsid w:val="00920F5A"/>
    <w:rsid w:val="00921A56"/>
    <w:rsid w:val="00923AB6"/>
    <w:rsid w:val="00923E7A"/>
    <w:rsid w:val="00924209"/>
    <w:rsid w:val="0092497F"/>
    <w:rsid w:val="00925663"/>
    <w:rsid w:val="00925B84"/>
    <w:rsid w:val="009265F7"/>
    <w:rsid w:val="00926BB7"/>
    <w:rsid w:val="009303A4"/>
    <w:rsid w:val="00930951"/>
    <w:rsid w:val="00931813"/>
    <w:rsid w:val="00931CBF"/>
    <w:rsid w:val="00932014"/>
    <w:rsid w:val="00932803"/>
    <w:rsid w:val="00932A78"/>
    <w:rsid w:val="00932D60"/>
    <w:rsid w:val="009335A2"/>
    <w:rsid w:val="00934B51"/>
    <w:rsid w:val="00934E21"/>
    <w:rsid w:val="00935EBF"/>
    <w:rsid w:val="00936C91"/>
    <w:rsid w:val="00936E33"/>
    <w:rsid w:val="0093754C"/>
    <w:rsid w:val="00937EBA"/>
    <w:rsid w:val="009406BB"/>
    <w:rsid w:val="0094175E"/>
    <w:rsid w:val="0094254F"/>
    <w:rsid w:val="00942AF3"/>
    <w:rsid w:val="00942B72"/>
    <w:rsid w:val="009433AC"/>
    <w:rsid w:val="00943731"/>
    <w:rsid w:val="0094377B"/>
    <w:rsid w:val="00944A3B"/>
    <w:rsid w:val="0094530F"/>
    <w:rsid w:val="00945D34"/>
    <w:rsid w:val="00945EFE"/>
    <w:rsid w:val="00950735"/>
    <w:rsid w:val="00951121"/>
    <w:rsid w:val="0095183D"/>
    <w:rsid w:val="00952E25"/>
    <w:rsid w:val="0095346A"/>
    <w:rsid w:val="00953E80"/>
    <w:rsid w:val="009546B3"/>
    <w:rsid w:val="00954AD1"/>
    <w:rsid w:val="00956BA5"/>
    <w:rsid w:val="00957022"/>
    <w:rsid w:val="009579D0"/>
    <w:rsid w:val="00961DCD"/>
    <w:rsid w:val="00962FFF"/>
    <w:rsid w:val="00963028"/>
    <w:rsid w:val="0096328C"/>
    <w:rsid w:val="00963438"/>
    <w:rsid w:val="0096362C"/>
    <w:rsid w:val="00963704"/>
    <w:rsid w:val="00963FF2"/>
    <w:rsid w:val="00967B6E"/>
    <w:rsid w:val="009700FB"/>
    <w:rsid w:val="00970504"/>
    <w:rsid w:val="00970CE6"/>
    <w:rsid w:val="00970D04"/>
    <w:rsid w:val="00972B88"/>
    <w:rsid w:val="009730EE"/>
    <w:rsid w:val="009733F5"/>
    <w:rsid w:val="00973449"/>
    <w:rsid w:val="0097360E"/>
    <w:rsid w:val="00973755"/>
    <w:rsid w:val="009745E6"/>
    <w:rsid w:val="009747A8"/>
    <w:rsid w:val="009747D5"/>
    <w:rsid w:val="009750C6"/>
    <w:rsid w:val="009753F7"/>
    <w:rsid w:val="00975724"/>
    <w:rsid w:val="00975ACA"/>
    <w:rsid w:val="00975F36"/>
    <w:rsid w:val="00976954"/>
    <w:rsid w:val="00976957"/>
    <w:rsid w:val="00977146"/>
    <w:rsid w:val="00977A9E"/>
    <w:rsid w:val="00977FF3"/>
    <w:rsid w:val="009806DB"/>
    <w:rsid w:val="0098125E"/>
    <w:rsid w:val="0098185B"/>
    <w:rsid w:val="00981C4E"/>
    <w:rsid w:val="00981F29"/>
    <w:rsid w:val="00982F5C"/>
    <w:rsid w:val="00983059"/>
    <w:rsid w:val="00983198"/>
    <w:rsid w:val="00984B73"/>
    <w:rsid w:val="00984C63"/>
    <w:rsid w:val="00985CC3"/>
    <w:rsid w:val="00986387"/>
    <w:rsid w:val="009866DE"/>
    <w:rsid w:val="00987C96"/>
    <w:rsid w:val="00990157"/>
    <w:rsid w:val="009908A8"/>
    <w:rsid w:val="00990C10"/>
    <w:rsid w:val="009924FB"/>
    <w:rsid w:val="0099413E"/>
    <w:rsid w:val="00994617"/>
    <w:rsid w:val="00994DE6"/>
    <w:rsid w:val="00995F06"/>
    <w:rsid w:val="009961F4"/>
    <w:rsid w:val="00996B3F"/>
    <w:rsid w:val="009971FA"/>
    <w:rsid w:val="009A091B"/>
    <w:rsid w:val="009A0A6D"/>
    <w:rsid w:val="009A0E1C"/>
    <w:rsid w:val="009A199E"/>
    <w:rsid w:val="009A1CEB"/>
    <w:rsid w:val="009A28DE"/>
    <w:rsid w:val="009A2D9F"/>
    <w:rsid w:val="009A38A2"/>
    <w:rsid w:val="009A3B91"/>
    <w:rsid w:val="009A5186"/>
    <w:rsid w:val="009A5329"/>
    <w:rsid w:val="009A5760"/>
    <w:rsid w:val="009A579E"/>
    <w:rsid w:val="009A5DE9"/>
    <w:rsid w:val="009A5EDB"/>
    <w:rsid w:val="009A63C0"/>
    <w:rsid w:val="009A64D9"/>
    <w:rsid w:val="009A6A86"/>
    <w:rsid w:val="009A745B"/>
    <w:rsid w:val="009B01FC"/>
    <w:rsid w:val="009B0423"/>
    <w:rsid w:val="009B0C89"/>
    <w:rsid w:val="009B0E47"/>
    <w:rsid w:val="009B0ED9"/>
    <w:rsid w:val="009B202D"/>
    <w:rsid w:val="009B2684"/>
    <w:rsid w:val="009B3032"/>
    <w:rsid w:val="009B39CC"/>
    <w:rsid w:val="009B3CBC"/>
    <w:rsid w:val="009B43FC"/>
    <w:rsid w:val="009B4891"/>
    <w:rsid w:val="009B48BB"/>
    <w:rsid w:val="009B4D82"/>
    <w:rsid w:val="009B642B"/>
    <w:rsid w:val="009B72FA"/>
    <w:rsid w:val="009B798F"/>
    <w:rsid w:val="009B7A06"/>
    <w:rsid w:val="009C063B"/>
    <w:rsid w:val="009C07B6"/>
    <w:rsid w:val="009C0CEB"/>
    <w:rsid w:val="009C120B"/>
    <w:rsid w:val="009C14BB"/>
    <w:rsid w:val="009C1588"/>
    <w:rsid w:val="009C3183"/>
    <w:rsid w:val="009C319C"/>
    <w:rsid w:val="009C5EF8"/>
    <w:rsid w:val="009C616F"/>
    <w:rsid w:val="009C7224"/>
    <w:rsid w:val="009C74EF"/>
    <w:rsid w:val="009C7641"/>
    <w:rsid w:val="009D00F8"/>
    <w:rsid w:val="009D010A"/>
    <w:rsid w:val="009D01D4"/>
    <w:rsid w:val="009D024A"/>
    <w:rsid w:val="009D2022"/>
    <w:rsid w:val="009D227B"/>
    <w:rsid w:val="009D2FE0"/>
    <w:rsid w:val="009D368C"/>
    <w:rsid w:val="009D40FC"/>
    <w:rsid w:val="009D478D"/>
    <w:rsid w:val="009D5246"/>
    <w:rsid w:val="009D5AC8"/>
    <w:rsid w:val="009D5BB5"/>
    <w:rsid w:val="009D7018"/>
    <w:rsid w:val="009E031E"/>
    <w:rsid w:val="009E0AAA"/>
    <w:rsid w:val="009E2B0D"/>
    <w:rsid w:val="009E40A6"/>
    <w:rsid w:val="009E4C08"/>
    <w:rsid w:val="009E4C4D"/>
    <w:rsid w:val="009E4CE0"/>
    <w:rsid w:val="009E5203"/>
    <w:rsid w:val="009E5D32"/>
    <w:rsid w:val="009E5D83"/>
    <w:rsid w:val="009E7344"/>
    <w:rsid w:val="009E75F2"/>
    <w:rsid w:val="009F0231"/>
    <w:rsid w:val="009F070C"/>
    <w:rsid w:val="009F0D25"/>
    <w:rsid w:val="009F0E6F"/>
    <w:rsid w:val="009F2B6D"/>
    <w:rsid w:val="009F5565"/>
    <w:rsid w:val="009F5581"/>
    <w:rsid w:val="009F6798"/>
    <w:rsid w:val="009F6858"/>
    <w:rsid w:val="009F7EB9"/>
    <w:rsid w:val="00A000CA"/>
    <w:rsid w:val="00A0072E"/>
    <w:rsid w:val="00A007A4"/>
    <w:rsid w:val="00A0121C"/>
    <w:rsid w:val="00A01351"/>
    <w:rsid w:val="00A014DB"/>
    <w:rsid w:val="00A017C9"/>
    <w:rsid w:val="00A01BEA"/>
    <w:rsid w:val="00A024A0"/>
    <w:rsid w:val="00A02BE9"/>
    <w:rsid w:val="00A034AE"/>
    <w:rsid w:val="00A03586"/>
    <w:rsid w:val="00A05596"/>
    <w:rsid w:val="00A0606B"/>
    <w:rsid w:val="00A06745"/>
    <w:rsid w:val="00A06DF5"/>
    <w:rsid w:val="00A0759D"/>
    <w:rsid w:val="00A07678"/>
    <w:rsid w:val="00A11049"/>
    <w:rsid w:val="00A1112A"/>
    <w:rsid w:val="00A1162B"/>
    <w:rsid w:val="00A1182A"/>
    <w:rsid w:val="00A11BCF"/>
    <w:rsid w:val="00A122D0"/>
    <w:rsid w:val="00A12590"/>
    <w:rsid w:val="00A13326"/>
    <w:rsid w:val="00A13707"/>
    <w:rsid w:val="00A13EB9"/>
    <w:rsid w:val="00A14C4D"/>
    <w:rsid w:val="00A15169"/>
    <w:rsid w:val="00A15554"/>
    <w:rsid w:val="00A1586B"/>
    <w:rsid w:val="00A1586E"/>
    <w:rsid w:val="00A1602D"/>
    <w:rsid w:val="00A1674C"/>
    <w:rsid w:val="00A1743E"/>
    <w:rsid w:val="00A17ACE"/>
    <w:rsid w:val="00A201B9"/>
    <w:rsid w:val="00A205AA"/>
    <w:rsid w:val="00A21805"/>
    <w:rsid w:val="00A21FE3"/>
    <w:rsid w:val="00A23008"/>
    <w:rsid w:val="00A24DAE"/>
    <w:rsid w:val="00A25D12"/>
    <w:rsid w:val="00A26090"/>
    <w:rsid w:val="00A261DF"/>
    <w:rsid w:val="00A273B2"/>
    <w:rsid w:val="00A273B6"/>
    <w:rsid w:val="00A2741E"/>
    <w:rsid w:val="00A30144"/>
    <w:rsid w:val="00A305C2"/>
    <w:rsid w:val="00A30A5A"/>
    <w:rsid w:val="00A31EC0"/>
    <w:rsid w:val="00A320F4"/>
    <w:rsid w:val="00A32D45"/>
    <w:rsid w:val="00A32FA0"/>
    <w:rsid w:val="00A331B0"/>
    <w:rsid w:val="00A331C2"/>
    <w:rsid w:val="00A335DD"/>
    <w:rsid w:val="00A33702"/>
    <w:rsid w:val="00A33C4C"/>
    <w:rsid w:val="00A33D7D"/>
    <w:rsid w:val="00A3406F"/>
    <w:rsid w:val="00A340D3"/>
    <w:rsid w:val="00A3417A"/>
    <w:rsid w:val="00A34582"/>
    <w:rsid w:val="00A34E96"/>
    <w:rsid w:val="00A35268"/>
    <w:rsid w:val="00A36F7F"/>
    <w:rsid w:val="00A37344"/>
    <w:rsid w:val="00A3746B"/>
    <w:rsid w:val="00A37A2C"/>
    <w:rsid w:val="00A4068E"/>
    <w:rsid w:val="00A4200E"/>
    <w:rsid w:val="00A42761"/>
    <w:rsid w:val="00A42D4C"/>
    <w:rsid w:val="00A44BAC"/>
    <w:rsid w:val="00A44C0F"/>
    <w:rsid w:val="00A458EE"/>
    <w:rsid w:val="00A45B37"/>
    <w:rsid w:val="00A460DC"/>
    <w:rsid w:val="00A473E1"/>
    <w:rsid w:val="00A475BC"/>
    <w:rsid w:val="00A50DEE"/>
    <w:rsid w:val="00A5107A"/>
    <w:rsid w:val="00A52159"/>
    <w:rsid w:val="00A522AF"/>
    <w:rsid w:val="00A528C7"/>
    <w:rsid w:val="00A52CAA"/>
    <w:rsid w:val="00A54427"/>
    <w:rsid w:val="00A54B40"/>
    <w:rsid w:val="00A54FF3"/>
    <w:rsid w:val="00A551B6"/>
    <w:rsid w:val="00A553ED"/>
    <w:rsid w:val="00A55F79"/>
    <w:rsid w:val="00A5610B"/>
    <w:rsid w:val="00A57BBF"/>
    <w:rsid w:val="00A57C49"/>
    <w:rsid w:val="00A60749"/>
    <w:rsid w:val="00A6399B"/>
    <w:rsid w:val="00A64518"/>
    <w:rsid w:val="00A64576"/>
    <w:rsid w:val="00A64CE4"/>
    <w:rsid w:val="00A650F6"/>
    <w:rsid w:val="00A66766"/>
    <w:rsid w:val="00A67141"/>
    <w:rsid w:val="00A676C2"/>
    <w:rsid w:val="00A70130"/>
    <w:rsid w:val="00A708E9"/>
    <w:rsid w:val="00A70A3B"/>
    <w:rsid w:val="00A70D99"/>
    <w:rsid w:val="00A71F4D"/>
    <w:rsid w:val="00A72CF0"/>
    <w:rsid w:val="00A733C6"/>
    <w:rsid w:val="00A734BA"/>
    <w:rsid w:val="00A73DB5"/>
    <w:rsid w:val="00A749D1"/>
    <w:rsid w:val="00A74D78"/>
    <w:rsid w:val="00A751DB"/>
    <w:rsid w:val="00A75635"/>
    <w:rsid w:val="00A7662C"/>
    <w:rsid w:val="00A80C4F"/>
    <w:rsid w:val="00A8134B"/>
    <w:rsid w:val="00A817DF"/>
    <w:rsid w:val="00A81822"/>
    <w:rsid w:val="00A8365E"/>
    <w:rsid w:val="00A8474A"/>
    <w:rsid w:val="00A84B53"/>
    <w:rsid w:val="00A8501C"/>
    <w:rsid w:val="00A85297"/>
    <w:rsid w:val="00A874F8"/>
    <w:rsid w:val="00A877FA"/>
    <w:rsid w:val="00A90171"/>
    <w:rsid w:val="00A9026E"/>
    <w:rsid w:val="00A909E9"/>
    <w:rsid w:val="00A90D02"/>
    <w:rsid w:val="00A915BF"/>
    <w:rsid w:val="00A91BEB"/>
    <w:rsid w:val="00A923AD"/>
    <w:rsid w:val="00A92970"/>
    <w:rsid w:val="00A92F53"/>
    <w:rsid w:val="00A9313B"/>
    <w:rsid w:val="00A94588"/>
    <w:rsid w:val="00A95D10"/>
    <w:rsid w:val="00A9668A"/>
    <w:rsid w:val="00A96DA2"/>
    <w:rsid w:val="00A96DCB"/>
    <w:rsid w:val="00A972F4"/>
    <w:rsid w:val="00A9768F"/>
    <w:rsid w:val="00A97939"/>
    <w:rsid w:val="00A97A1D"/>
    <w:rsid w:val="00A97BEC"/>
    <w:rsid w:val="00A97F0F"/>
    <w:rsid w:val="00AA06F2"/>
    <w:rsid w:val="00AA0734"/>
    <w:rsid w:val="00AA0C86"/>
    <w:rsid w:val="00AA118A"/>
    <w:rsid w:val="00AA1397"/>
    <w:rsid w:val="00AA14AD"/>
    <w:rsid w:val="00AA1D13"/>
    <w:rsid w:val="00AA2FAE"/>
    <w:rsid w:val="00AA38D8"/>
    <w:rsid w:val="00AA3979"/>
    <w:rsid w:val="00AA4714"/>
    <w:rsid w:val="00AA4C60"/>
    <w:rsid w:val="00AA538D"/>
    <w:rsid w:val="00AA5BBD"/>
    <w:rsid w:val="00AA7345"/>
    <w:rsid w:val="00AA7565"/>
    <w:rsid w:val="00AA7952"/>
    <w:rsid w:val="00AA7AB1"/>
    <w:rsid w:val="00AA7D7A"/>
    <w:rsid w:val="00AB058B"/>
    <w:rsid w:val="00AB2081"/>
    <w:rsid w:val="00AB3373"/>
    <w:rsid w:val="00AB3F8D"/>
    <w:rsid w:val="00AB4AB9"/>
    <w:rsid w:val="00AB4D8B"/>
    <w:rsid w:val="00AB5956"/>
    <w:rsid w:val="00AB67C1"/>
    <w:rsid w:val="00AB69FD"/>
    <w:rsid w:val="00AB6BCD"/>
    <w:rsid w:val="00AB7237"/>
    <w:rsid w:val="00AB73DE"/>
    <w:rsid w:val="00AB7423"/>
    <w:rsid w:val="00AC29F5"/>
    <w:rsid w:val="00AC33E2"/>
    <w:rsid w:val="00AC40AD"/>
    <w:rsid w:val="00AC426C"/>
    <w:rsid w:val="00AC478A"/>
    <w:rsid w:val="00AC47FC"/>
    <w:rsid w:val="00AC5004"/>
    <w:rsid w:val="00AC59B4"/>
    <w:rsid w:val="00AC6127"/>
    <w:rsid w:val="00AC6396"/>
    <w:rsid w:val="00AC6DBA"/>
    <w:rsid w:val="00AD0C91"/>
    <w:rsid w:val="00AD14C0"/>
    <w:rsid w:val="00AD1C8A"/>
    <w:rsid w:val="00AD2B59"/>
    <w:rsid w:val="00AD34AB"/>
    <w:rsid w:val="00AD3DEC"/>
    <w:rsid w:val="00AD406D"/>
    <w:rsid w:val="00AD4FCF"/>
    <w:rsid w:val="00AD507B"/>
    <w:rsid w:val="00AD67DF"/>
    <w:rsid w:val="00AD6E9D"/>
    <w:rsid w:val="00AD6EF4"/>
    <w:rsid w:val="00AD7561"/>
    <w:rsid w:val="00AD7626"/>
    <w:rsid w:val="00AE02BB"/>
    <w:rsid w:val="00AE0595"/>
    <w:rsid w:val="00AE11AC"/>
    <w:rsid w:val="00AE1CDE"/>
    <w:rsid w:val="00AE2807"/>
    <w:rsid w:val="00AE2CF2"/>
    <w:rsid w:val="00AE2F82"/>
    <w:rsid w:val="00AE3981"/>
    <w:rsid w:val="00AE3B5C"/>
    <w:rsid w:val="00AE3BDF"/>
    <w:rsid w:val="00AE50F3"/>
    <w:rsid w:val="00AE5932"/>
    <w:rsid w:val="00AE5C6B"/>
    <w:rsid w:val="00AE689D"/>
    <w:rsid w:val="00AE6F42"/>
    <w:rsid w:val="00AE7743"/>
    <w:rsid w:val="00AE778A"/>
    <w:rsid w:val="00AF01AA"/>
    <w:rsid w:val="00AF0DAF"/>
    <w:rsid w:val="00AF1D6F"/>
    <w:rsid w:val="00AF2198"/>
    <w:rsid w:val="00AF26CE"/>
    <w:rsid w:val="00AF303E"/>
    <w:rsid w:val="00AF32FC"/>
    <w:rsid w:val="00AF4E48"/>
    <w:rsid w:val="00AF4EE4"/>
    <w:rsid w:val="00AF614F"/>
    <w:rsid w:val="00AF6E5A"/>
    <w:rsid w:val="00AF7C72"/>
    <w:rsid w:val="00B00382"/>
    <w:rsid w:val="00B003A8"/>
    <w:rsid w:val="00B00FD2"/>
    <w:rsid w:val="00B014F4"/>
    <w:rsid w:val="00B023F3"/>
    <w:rsid w:val="00B049C9"/>
    <w:rsid w:val="00B05A94"/>
    <w:rsid w:val="00B06282"/>
    <w:rsid w:val="00B06829"/>
    <w:rsid w:val="00B07E8D"/>
    <w:rsid w:val="00B10859"/>
    <w:rsid w:val="00B11066"/>
    <w:rsid w:val="00B111FB"/>
    <w:rsid w:val="00B116D7"/>
    <w:rsid w:val="00B127ED"/>
    <w:rsid w:val="00B13484"/>
    <w:rsid w:val="00B143DE"/>
    <w:rsid w:val="00B14E55"/>
    <w:rsid w:val="00B1502C"/>
    <w:rsid w:val="00B16362"/>
    <w:rsid w:val="00B163AA"/>
    <w:rsid w:val="00B165F3"/>
    <w:rsid w:val="00B17473"/>
    <w:rsid w:val="00B17EE5"/>
    <w:rsid w:val="00B21A71"/>
    <w:rsid w:val="00B2212D"/>
    <w:rsid w:val="00B2286E"/>
    <w:rsid w:val="00B23383"/>
    <w:rsid w:val="00B236F7"/>
    <w:rsid w:val="00B2598D"/>
    <w:rsid w:val="00B25A63"/>
    <w:rsid w:val="00B26DBB"/>
    <w:rsid w:val="00B26F4D"/>
    <w:rsid w:val="00B270F7"/>
    <w:rsid w:val="00B27848"/>
    <w:rsid w:val="00B30286"/>
    <w:rsid w:val="00B30483"/>
    <w:rsid w:val="00B306C3"/>
    <w:rsid w:val="00B30A74"/>
    <w:rsid w:val="00B30AD6"/>
    <w:rsid w:val="00B31058"/>
    <w:rsid w:val="00B3297C"/>
    <w:rsid w:val="00B34F9C"/>
    <w:rsid w:val="00B35915"/>
    <w:rsid w:val="00B35F0D"/>
    <w:rsid w:val="00B3691C"/>
    <w:rsid w:val="00B36AA4"/>
    <w:rsid w:val="00B36EF4"/>
    <w:rsid w:val="00B37828"/>
    <w:rsid w:val="00B37AD7"/>
    <w:rsid w:val="00B37B19"/>
    <w:rsid w:val="00B37C30"/>
    <w:rsid w:val="00B37DBF"/>
    <w:rsid w:val="00B40E2B"/>
    <w:rsid w:val="00B41675"/>
    <w:rsid w:val="00B42246"/>
    <w:rsid w:val="00B423C4"/>
    <w:rsid w:val="00B425D4"/>
    <w:rsid w:val="00B43F18"/>
    <w:rsid w:val="00B44A45"/>
    <w:rsid w:val="00B44F74"/>
    <w:rsid w:val="00B461FF"/>
    <w:rsid w:val="00B469C0"/>
    <w:rsid w:val="00B473D0"/>
    <w:rsid w:val="00B50288"/>
    <w:rsid w:val="00B5049F"/>
    <w:rsid w:val="00B50BD7"/>
    <w:rsid w:val="00B50CBD"/>
    <w:rsid w:val="00B5168C"/>
    <w:rsid w:val="00B5183E"/>
    <w:rsid w:val="00B5195E"/>
    <w:rsid w:val="00B5353B"/>
    <w:rsid w:val="00B5375A"/>
    <w:rsid w:val="00B537A5"/>
    <w:rsid w:val="00B540FF"/>
    <w:rsid w:val="00B54261"/>
    <w:rsid w:val="00B54DDD"/>
    <w:rsid w:val="00B54EFF"/>
    <w:rsid w:val="00B56179"/>
    <w:rsid w:val="00B56254"/>
    <w:rsid w:val="00B56565"/>
    <w:rsid w:val="00B567B9"/>
    <w:rsid w:val="00B56F7A"/>
    <w:rsid w:val="00B6098F"/>
    <w:rsid w:val="00B61352"/>
    <w:rsid w:val="00B61D0F"/>
    <w:rsid w:val="00B624C6"/>
    <w:rsid w:val="00B629AF"/>
    <w:rsid w:val="00B63378"/>
    <w:rsid w:val="00B643FB"/>
    <w:rsid w:val="00B644E9"/>
    <w:rsid w:val="00B64737"/>
    <w:rsid w:val="00B64A8A"/>
    <w:rsid w:val="00B65138"/>
    <w:rsid w:val="00B65143"/>
    <w:rsid w:val="00B66154"/>
    <w:rsid w:val="00B676F1"/>
    <w:rsid w:val="00B6793D"/>
    <w:rsid w:val="00B67A60"/>
    <w:rsid w:val="00B70936"/>
    <w:rsid w:val="00B7113E"/>
    <w:rsid w:val="00B71F20"/>
    <w:rsid w:val="00B7213F"/>
    <w:rsid w:val="00B7294A"/>
    <w:rsid w:val="00B72D9B"/>
    <w:rsid w:val="00B73491"/>
    <w:rsid w:val="00B73811"/>
    <w:rsid w:val="00B73A75"/>
    <w:rsid w:val="00B74114"/>
    <w:rsid w:val="00B7443B"/>
    <w:rsid w:val="00B7457E"/>
    <w:rsid w:val="00B745F2"/>
    <w:rsid w:val="00B74764"/>
    <w:rsid w:val="00B74BBF"/>
    <w:rsid w:val="00B756CE"/>
    <w:rsid w:val="00B80EF1"/>
    <w:rsid w:val="00B81458"/>
    <w:rsid w:val="00B8283F"/>
    <w:rsid w:val="00B82BCF"/>
    <w:rsid w:val="00B82DF4"/>
    <w:rsid w:val="00B82FE9"/>
    <w:rsid w:val="00B83CA6"/>
    <w:rsid w:val="00B84444"/>
    <w:rsid w:val="00B84B03"/>
    <w:rsid w:val="00B85E8E"/>
    <w:rsid w:val="00B86185"/>
    <w:rsid w:val="00B87604"/>
    <w:rsid w:val="00B8774F"/>
    <w:rsid w:val="00B87DB3"/>
    <w:rsid w:val="00B915DC"/>
    <w:rsid w:val="00B92009"/>
    <w:rsid w:val="00B9215D"/>
    <w:rsid w:val="00B924CD"/>
    <w:rsid w:val="00B926F6"/>
    <w:rsid w:val="00B937E1"/>
    <w:rsid w:val="00B93A0B"/>
    <w:rsid w:val="00B942F9"/>
    <w:rsid w:val="00B95A95"/>
    <w:rsid w:val="00B96D50"/>
    <w:rsid w:val="00B97ABC"/>
    <w:rsid w:val="00BA072E"/>
    <w:rsid w:val="00BA087A"/>
    <w:rsid w:val="00BA3402"/>
    <w:rsid w:val="00BA4816"/>
    <w:rsid w:val="00BA4D86"/>
    <w:rsid w:val="00BA534B"/>
    <w:rsid w:val="00BA5C3B"/>
    <w:rsid w:val="00BA6032"/>
    <w:rsid w:val="00BA6157"/>
    <w:rsid w:val="00BA7829"/>
    <w:rsid w:val="00BA7885"/>
    <w:rsid w:val="00BA7AC2"/>
    <w:rsid w:val="00BA7B6D"/>
    <w:rsid w:val="00BB1A24"/>
    <w:rsid w:val="00BB1F87"/>
    <w:rsid w:val="00BB45FC"/>
    <w:rsid w:val="00BB4B04"/>
    <w:rsid w:val="00BB6BE0"/>
    <w:rsid w:val="00BC0D37"/>
    <w:rsid w:val="00BC12BB"/>
    <w:rsid w:val="00BC15C9"/>
    <w:rsid w:val="00BC38E4"/>
    <w:rsid w:val="00BC48EF"/>
    <w:rsid w:val="00BC5842"/>
    <w:rsid w:val="00BD05B6"/>
    <w:rsid w:val="00BD0BF0"/>
    <w:rsid w:val="00BD0E82"/>
    <w:rsid w:val="00BD2AC4"/>
    <w:rsid w:val="00BD2AF5"/>
    <w:rsid w:val="00BD3D36"/>
    <w:rsid w:val="00BD4ACE"/>
    <w:rsid w:val="00BD4C15"/>
    <w:rsid w:val="00BD5846"/>
    <w:rsid w:val="00BD60B1"/>
    <w:rsid w:val="00BD6E41"/>
    <w:rsid w:val="00BD7CAA"/>
    <w:rsid w:val="00BD7EC9"/>
    <w:rsid w:val="00BE0111"/>
    <w:rsid w:val="00BE0B70"/>
    <w:rsid w:val="00BE0D67"/>
    <w:rsid w:val="00BE0EEC"/>
    <w:rsid w:val="00BE1D88"/>
    <w:rsid w:val="00BE2006"/>
    <w:rsid w:val="00BE266C"/>
    <w:rsid w:val="00BE2A5A"/>
    <w:rsid w:val="00BE2E84"/>
    <w:rsid w:val="00BE3C5D"/>
    <w:rsid w:val="00BE4016"/>
    <w:rsid w:val="00BE4214"/>
    <w:rsid w:val="00BE48C9"/>
    <w:rsid w:val="00BE4BFF"/>
    <w:rsid w:val="00BE4D27"/>
    <w:rsid w:val="00BE5EC2"/>
    <w:rsid w:val="00BE6367"/>
    <w:rsid w:val="00BE7803"/>
    <w:rsid w:val="00BF0B12"/>
    <w:rsid w:val="00BF1916"/>
    <w:rsid w:val="00BF2BF1"/>
    <w:rsid w:val="00BF4002"/>
    <w:rsid w:val="00BF56B6"/>
    <w:rsid w:val="00BF5ECC"/>
    <w:rsid w:val="00BF60C8"/>
    <w:rsid w:val="00BF67EE"/>
    <w:rsid w:val="00BF717C"/>
    <w:rsid w:val="00BF7473"/>
    <w:rsid w:val="00C003C6"/>
    <w:rsid w:val="00C0044D"/>
    <w:rsid w:val="00C00FA9"/>
    <w:rsid w:val="00C016BD"/>
    <w:rsid w:val="00C017A9"/>
    <w:rsid w:val="00C01B17"/>
    <w:rsid w:val="00C030C2"/>
    <w:rsid w:val="00C035F9"/>
    <w:rsid w:val="00C039CC"/>
    <w:rsid w:val="00C03F30"/>
    <w:rsid w:val="00C05FF6"/>
    <w:rsid w:val="00C06AAB"/>
    <w:rsid w:val="00C075E4"/>
    <w:rsid w:val="00C07B61"/>
    <w:rsid w:val="00C1000C"/>
    <w:rsid w:val="00C10252"/>
    <w:rsid w:val="00C102D0"/>
    <w:rsid w:val="00C1073B"/>
    <w:rsid w:val="00C10AC0"/>
    <w:rsid w:val="00C10ECC"/>
    <w:rsid w:val="00C11117"/>
    <w:rsid w:val="00C11E15"/>
    <w:rsid w:val="00C12687"/>
    <w:rsid w:val="00C127BD"/>
    <w:rsid w:val="00C1344F"/>
    <w:rsid w:val="00C13CC4"/>
    <w:rsid w:val="00C14711"/>
    <w:rsid w:val="00C1484B"/>
    <w:rsid w:val="00C148AC"/>
    <w:rsid w:val="00C1531F"/>
    <w:rsid w:val="00C15467"/>
    <w:rsid w:val="00C15F97"/>
    <w:rsid w:val="00C1658C"/>
    <w:rsid w:val="00C172E2"/>
    <w:rsid w:val="00C17701"/>
    <w:rsid w:val="00C20D21"/>
    <w:rsid w:val="00C217DA"/>
    <w:rsid w:val="00C21F90"/>
    <w:rsid w:val="00C2274D"/>
    <w:rsid w:val="00C231B7"/>
    <w:rsid w:val="00C239A3"/>
    <w:rsid w:val="00C246BC"/>
    <w:rsid w:val="00C24DA0"/>
    <w:rsid w:val="00C24DC8"/>
    <w:rsid w:val="00C24E82"/>
    <w:rsid w:val="00C2696D"/>
    <w:rsid w:val="00C27055"/>
    <w:rsid w:val="00C272BD"/>
    <w:rsid w:val="00C2785D"/>
    <w:rsid w:val="00C27D7D"/>
    <w:rsid w:val="00C30227"/>
    <w:rsid w:val="00C30363"/>
    <w:rsid w:val="00C3350E"/>
    <w:rsid w:val="00C33908"/>
    <w:rsid w:val="00C33F4E"/>
    <w:rsid w:val="00C34C98"/>
    <w:rsid w:val="00C357E5"/>
    <w:rsid w:val="00C358AE"/>
    <w:rsid w:val="00C35965"/>
    <w:rsid w:val="00C36005"/>
    <w:rsid w:val="00C412F7"/>
    <w:rsid w:val="00C4135F"/>
    <w:rsid w:val="00C41569"/>
    <w:rsid w:val="00C415B5"/>
    <w:rsid w:val="00C43AA6"/>
    <w:rsid w:val="00C442B7"/>
    <w:rsid w:val="00C44751"/>
    <w:rsid w:val="00C447C5"/>
    <w:rsid w:val="00C44BB5"/>
    <w:rsid w:val="00C45E44"/>
    <w:rsid w:val="00C468DF"/>
    <w:rsid w:val="00C46BCA"/>
    <w:rsid w:val="00C46E12"/>
    <w:rsid w:val="00C52A0C"/>
    <w:rsid w:val="00C52A6D"/>
    <w:rsid w:val="00C52D89"/>
    <w:rsid w:val="00C53080"/>
    <w:rsid w:val="00C534D4"/>
    <w:rsid w:val="00C537E7"/>
    <w:rsid w:val="00C54127"/>
    <w:rsid w:val="00C545FE"/>
    <w:rsid w:val="00C54E81"/>
    <w:rsid w:val="00C54F25"/>
    <w:rsid w:val="00C56100"/>
    <w:rsid w:val="00C567F9"/>
    <w:rsid w:val="00C5722A"/>
    <w:rsid w:val="00C5733A"/>
    <w:rsid w:val="00C608C3"/>
    <w:rsid w:val="00C60EF6"/>
    <w:rsid w:val="00C6165F"/>
    <w:rsid w:val="00C61A04"/>
    <w:rsid w:val="00C627CA"/>
    <w:rsid w:val="00C627F8"/>
    <w:rsid w:val="00C62A20"/>
    <w:rsid w:val="00C65863"/>
    <w:rsid w:val="00C65EEF"/>
    <w:rsid w:val="00C66579"/>
    <w:rsid w:val="00C66C7C"/>
    <w:rsid w:val="00C70184"/>
    <w:rsid w:val="00C7083B"/>
    <w:rsid w:val="00C70BDC"/>
    <w:rsid w:val="00C71B5C"/>
    <w:rsid w:val="00C71BFD"/>
    <w:rsid w:val="00C720A8"/>
    <w:rsid w:val="00C73167"/>
    <w:rsid w:val="00C73A1D"/>
    <w:rsid w:val="00C74B2B"/>
    <w:rsid w:val="00C74B8B"/>
    <w:rsid w:val="00C75AB2"/>
    <w:rsid w:val="00C76EBE"/>
    <w:rsid w:val="00C7749C"/>
    <w:rsid w:val="00C7795B"/>
    <w:rsid w:val="00C77BCF"/>
    <w:rsid w:val="00C77F33"/>
    <w:rsid w:val="00C8007F"/>
    <w:rsid w:val="00C802FE"/>
    <w:rsid w:val="00C80A7F"/>
    <w:rsid w:val="00C80F7B"/>
    <w:rsid w:val="00C816AB"/>
    <w:rsid w:val="00C82BF6"/>
    <w:rsid w:val="00C82C2F"/>
    <w:rsid w:val="00C82ED4"/>
    <w:rsid w:val="00C8347A"/>
    <w:rsid w:val="00C837FC"/>
    <w:rsid w:val="00C84BAA"/>
    <w:rsid w:val="00C857F7"/>
    <w:rsid w:val="00C8580A"/>
    <w:rsid w:val="00C85CBE"/>
    <w:rsid w:val="00C8645C"/>
    <w:rsid w:val="00C86CB9"/>
    <w:rsid w:val="00C87B1F"/>
    <w:rsid w:val="00C90213"/>
    <w:rsid w:val="00C90E13"/>
    <w:rsid w:val="00C92FA9"/>
    <w:rsid w:val="00C94155"/>
    <w:rsid w:val="00C9509D"/>
    <w:rsid w:val="00C959B7"/>
    <w:rsid w:val="00C9604B"/>
    <w:rsid w:val="00C961BF"/>
    <w:rsid w:val="00C96D5A"/>
    <w:rsid w:val="00CA0494"/>
    <w:rsid w:val="00CA0741"/>
    <w:rsid w:val="00CA075C"/>
    <w:rsid w:val="00CA16E0"/>
    <w:rsid w:val="00CA2E67"/>
    <w:rsid w:val="00CA3BA5"/>
    <w:rsid w:val="00CA3C96"/>
    <w:rsid w:val="00CA3ED7"/>
    <w:rsid w:val="00CA3F00"/>
    <w:rsid w:val="00CA42D1"/>
    <w:rsid w:val="00CA45B4"/>
    <w:rsid w:val="00CA46A4"/>
    <w:rsid w:val="00CA49F5"/>
    <w:rsid w:val="00CA4C6A"/>
    <w:rsid w:val="00CA4E0C"/>
    <w:rsid w:val="00CA5097"/>
    <w:rsid w:val="00CA5BB9"/>
    <w:rsid w:val="00CA6D17"/>
    <w:rsid w:val="00CA7265"/>
    <w:rsid w:val="00CA7558"/>
    <w:rsid w:val="00CB0078"/>
    <w:rsid w:val="00CB04CA"/>
    <w:rsid w:val="00CB0B61"/>
    <w:rsid w:val="00CB2BF2"/>
    <w:rsid w:val="00CB305E"/>
    <w:rsid w:val="00CB33E9"/>
    <w:rsid w:val="00CB363B"/>
    <w:rsid w:val="00CB3782"/>
    <w:rsid w:val="00CB4414"/>
    <w:rsid w:val="00CB4D45"/>
    <w:rsid w:val="00CB4E7D"/>
    <w:rsid w:val="00CB5A10"/>
    <w:rsid w:val="00CB5CB3"/>
    <w:rsid w:val="00CB6D29"/>
    <w:rsid w:val="00CC0328"/>
    <w:rsid w:val="00CC0371"/>
    <w:rsid w:val="00CC1473"/>
    <w:rsid w:val="00CC152D"/>
    <w:rsid w:val="00CC2356"/>
    <w:rsid w:val="00CC29C5"/>
    <w:rsid w:val="00CC498E"/>
    <w:rsid w:val="00CC5854"/>
    <w:rsid w:val="00CC6082"/>
    <w:rsid w:val="00CC646A"/>
    <w:rsid w:val="00CC64AD"/>
    <w:rsid w:val="00CC6A75"/>
    <w:rsid w:val="00CC7A59"/>
    <w:rsid w:val="00CD0DC4"/>
    <w:rsid w:val="00CD274E"/>
    <w:rsid w:val="00CD29BA"/>
    <w:rsid w:val="00CD2AF4"/>
    <w:rsid w:val="00CD366E"/>
    <w:rsid w:val="00CD3D5F"/>
    <w:rsid w:val="00CD4882"/>
    <w:rsid w:val="00CD489C"/>
    <w:rsid w:val="00CD4AF1"/>
    <w:rsid w:val="00CD54A7"/>
    <w:rsid w:val="00CD5938"/>
    <w:rsid w:val="00CD59A5"/>
    <w:rsid w:val="00CD6209"/>
    <w:rsid w:val="00CD64EE"/>
    <w:rsid w:val="00CD6805"/>
    <w:rsid w:val="00CD69B5"/>
    <w:rsid w:val="00CD7110"/>
    <w:rsid w:val="00CD7114"/>
    <w:rsid w:val="00CD74EC"/>
    <w:rsid w:val="00CD77EA"/>
    <w:rsid w:val="00CE00C3"/>
    <w:rsid w:val="00CE0171"/>
    <w:rsid w:val="00CE04B0"/>
    <w:rsid w:val="00CE0A84"/>
    <w:rsid w:val="00CE1446"/>
    <w:rsid w:val="00CE2B06"/>
    <w:rsid w:val="00CE31B0"/>
    <w:rsid w:val="00CE3254"/>
    <w:rsid w:val="00CE3BF0"/>
    <w:rsid w:val="00CE3BFE"/>
    <w:rsid w:val="00CE3DC8"/>
    <w:rsid w:val="00CE3ED1"/>
    <w:rsid w:val="00CE4F23"/>
    <w:rsid w:val="00CE569E"/>
    <w:rsid w:val="00CE5F8A"/>
    <w:rsid w:val="00CE60F1"/>
    <w:rsid w:val="00CE61C3"/>
    <w:rsid w:val="00CE676F"/>
    <w:rsid w:val="00CF03CD"/>
    <w:rsid w:val="00CF0706"/>
    <w:rsid w:val="00CF081D"/>
    <w:rsid w:val="00CF0B3C"/>
    <w:rsid w:val="00CF0C3D"/>
    <w:rsid w:val="00CF212C"/>
    <w:rsid w:val="00CF2290"/>
    <w:rsid w:val="00CF2A13"/>
    <w:rsid w:val="00CF2ACF"/>
    <w:rsid w:val="00CF42D2"/>
    <w:rsid w:val="00CF4BF7"/>
    <w:rsid w:val="00CF4C25"/>
    <w:rsid w:val="00CF4E7B"/>
    <w:rsid w:val="00CF53BA"/>
    <w:rsid w:val="00CF6A9A"/>
    <w:rsid w:val="00CF773F"/>
    <w:rsid w:val="00CF77FF"/>
    <w:rsid w:val="00CF7D9B"/>
    <w:rsid w:val="00D006B9"/>
    <w:rsid w:val="00D00B94"/>
    <w:rsid w:val="00D01721"/>
    <w:rsid w:val="00D02907"/>
    <w:rsid w:val="00D02E7B"/>
    <w:rsid w:val="00D034D1"/>
    <w:rsid w:val="00D03512"/>
    <w:rsid w:val="00D04401"/>
    <w:rsid w:val="00D056BE"/>
    <w:rsid w:val="00D07AF4"/>
    <w:rsid w:val="00D07DEF"/>
    <w:rsid w:val="00D10991"/>
    <w:rsid w:val="00D11DF8"/>
    <w:rsid w:val="00D12320"/>
    <w:rsid w:val="00D12492"/>
    <w:rsid w:val="00D1253B"/>
    <w:rsid w:val="00D13123"/>
    <w:rsid w:val="00D13B43"/>
    <w:rsid w:val="00D1437C"/>
    <w:rsid w:val="00D14E38"/>
    <w:rsid w:val="00D15163"/>
    <w:rsid w:val="00D15335"/>
    <w:rsid w:val="00D15897"/>
    <w:rsid w:val="00D169CA"/>
    <w:rsid w:val="00D16BA1"/>
    <w:rsid w:val="00D16D2B"/>
    <w:rsid w:val="00D16E7E"/>
    <w:rsid w:val="00D1788A"/>
    <w:rsid w:val="00D17B5E"/>
    <w:rsid w:val="00D17C60"/>
    <w:rsid w:val="00D203E8"/>
    <w:rsid w:val="00D21EAA"/>
    <w:rsid w:val="00D22BE4"/>
    <w:rsid w:val="00D23216"/>
    <w:rsid w:val="00D23952"/>
    <w:rsid w:val="00D25F6D"/>
    <w:rsid w:val="00D263CE"/>
    <w:rsid w:val="00D27734"/>
    <w:rsid w:val="00D27811"/>
    <w:rsid w:val="00D309C2"/>
    <w:rsid w:val="00D3108F"/>
    <w:rsid w:val="00D312A4"/>
    <w:rsid w:val="00D313B0"/>
    <w:rsid w:val="00D3144A"/>
    <w:rsid w:val="00D31CD5"/>
    <w:rsid w:val="00D3253C"/>
    <w:rsid w:val="00D327CF"/>
    <w:rsid w:val="00D338CB"/>
    <w:rsid w:val="00D33A21"/>
    <w:rsid w:val="00D33DD0"/>
    <w:rsid w:val="00D3593B"/>
    <w:rsid w:val="00D35C76"/>
    <w:rsid w:val="00D35E16"/>
    <w:rsid w:val="00D3613E"/>
    <w:rsid w:val="00D375CD"/>
    <w:rsid w:val="00D3767C"/>
    <w:rsid w:val="00D377EA"/>
    <w:rsid w:val="00D41A62"/>
    <w:rsid w:val="00D4259D"/>
    <w:rsid w:val="00D42727"/>
    <w:rsid w:val="00D42748"/>
    <w:rsid w:val="00D42C56"/>
    <w:rsid w:val="00D42C9C"/>
    <w:rsid w:val="00D42F7B"/>
    <w:rsid w:val="00D43089"/>
    <w:rsid w:val="00D433DB"/>
    <w:rsid w:val="00D43658"/>
    <w:rsid w:val="00D4404E"/>
    <w:rsid w:val="00D45531"/>
    <w:rsid w:val="00D45991"/>
    <w:rsid w:val="00D464EC"/>
    <w:rsid w:val="00D46C45"/>
    <w:rsid w:val="00D46F2F"/>
    <w:rsid w:val="00D46F9B"/>
    <w:rsid w:val="00D473BF"/>
    <w:rsid w:val="00D47FD0"/>
    <w:rsid w:val="00D50412"/>
    <w:rsid w:val="00D50654"/>
    <w:rsid w:val="00D50D1A"/>
    <w:rsid w:val="00D50FBE"/>
    <w:rsid w:val="00D5122E"/>
    <w:rsid w:val="00D51B28"/>
    <w:rsid w:val="00D52867"/>
    <w:rsid w:val="00D52C88"/>
    <w:rsid w:val="00D52D7F"/>
    <w:rsid w:val="00D53183"/>
    <w:rsid w:val="00D53D93"/>
    <w:rsid w:val="00D53E92"/>
    <w:rsid w:val="00D53E9B"/>
    <w:rsid w:val="00D5463F"/>
    <w:rsid w:val="00D55347"/>
    <w:rsid w:val="00D55767"/>
    <w:rsid w:val="00D55DAE"/>
    <w:rsid w:val="00D562E0"/>
    <w:rsid w:val="00D563F8"/>
    <w:rsid w:val="00D56996"/>
    <w:rsid w:val="00D56B7A"/>
    <w:rsid w:val="00D57184"/>
    <w:rsid w:val="00D57E40"/>
    <w:rsid w:val="00D6181F"/>
    <w:rsid w:val="00D6191E"/>
    <w:rsid w:val="00D63106"/>
    <w:rsid w:val="00D649E8"/>
    <w:rsid w:val="00D64A3F"/>
    <w:rsid w:val="00D658D7"/>
    <w:rsid w:val="00D662C0"/>
    <w:rsid w:val="00D67DDF"/>
    <w:rsid w:val="00D70629"/>
    <w:rsid w:val="00D70D6D"/>
    <w:rsid w:val="00D70DA9"/>
    <w:rsid w:val="00D7139A"/>
    <w:rsid w:val="00D7233F"/>
    <w:rsid w:val="00D72D4F"/>
    <w:rsid w:val="00D770E7"/>
    <w:rsid w:val="00D778A0"/>
    <w:rsid w:val="00D77BBC"/>
    <w:rsid w:val="00D80408"/>
    <w:rsid w:val="00D810A4"/>
    <w:rsid w:val="00D81CB8"/>
    <w:rsid w:val="00D829BE"/>
    <w:rsid w:val="00D82F9B"/>
    <w:rsid w:val="00D831B2"/>
    <w:rsid w:val="00D84DEE"/>
    <w:rsid w:val="00D856D6"/>
    <w:rsid w:val="00D85B85"/>
    <w:rsid w:val="00D864D2"/>
    <w:rsid w:val="00D86B68"/>
    <w:rsid w:val="00D86D4B"/>
    <w:rsid w:val="00D86E08"/>
    <w:rsid w:val="00D87764"/>
    <w:rsid w:val="00D87CFD"/>
    <w:rsid w:val="00D904C7"/>
    <w:rsid w:val="00D908BF"/>
    <w:rsid w:val="00D90FDB"/>
    <w:rsid w:val="00D912E6"/>
    <w:rsid w:val="00D92B2C"/>
    <w:rsid w:val="00D92C32"/>
    <w:rsid w:val="00D9425E"/>
    <w:rsid w:val="00D94F3A"/>
    <w:rsid w:val="00D955BF"/>
    <w:rsid w:val="00D95787"/>
    <w:rsid w:val="00D958BE"/>
    <w:rsid w:val="00D959E6"/>
    <w:rsid w:val="00D95C51"/>
    <w:rsid w:val="00D95DD1"/>
    <w:rsid w:val="00D96CDC"/>
    <w:rsid w:val="00D96DFF"/>
    <w:rsid w:val="00D96F8D"/>
    <w:rsid w:val="00D97D3A"/>
    <w:rsid w:val="00DA0A8A"/>
    <w:rsid w:val="00DA0E8E"/>
    <w:rsid w:val="00DA16DD"/>
    <w:rsid w:val="00DA1AF3"/>
    <w:rsid w:val="00DA25A3"/>
    <w:rsid w:val="00DA2B09"/>
    <w:rsid w:val="00DA31A6"/>
    <w:rsid w:val="00DA3C3B"/>
    <w:rsid w:val="00DA3EA9"/>
    <w:rsid w:val="00DA436C"/>
    <w:rsid w:val="00DA450B"/>
    <w:rsid w:val="00DA474F"/>
    <w:rsid w:val="00DA481D"/>
    <w:rsid w:val="00DA4951"/>
    <w:rsid w:val="00DA4B1F"/>
    <w:rsid w:val="00DA50C5"/>
    <w:rsid w:val="00DA617D"/>
    <w:rsid w:val="00DA7401"/>
    <w:rsid w:val="00DA7DE5"/>
    <w:rsid w:val="00DB0545"/>
    <w:rsid w:val="00DB0C61"/>
    <w:rsid w:val="00DB0DCF"/>
    <w:rsid w:val="00DB11D0"/>
    <w:rsid w:val="00DB33A9"/>
    <w:rsid w:val="00DB33E7"/>
    <w:rsid w:val="00DB39E1"/>
    <w:rsid w:val="00DB4239"/>
    <w:rsid w:val="00DB4BB1"/>
    <w:rsid w:val="00DB5B86"/>
    <w:rsid w:val="00DB6540"/>
    <w:rsid w:val="00DB6968"/>
    <w:rsid w:val="00DB6BD3"/>
    <w:rsid w:val="00DB7181"/>
    <w:rsid w:val="00DB753A"/>
    <w:rsid w:val="00DB7ECF"/>
    <w:rsid w:val="00DC081C"/>
    <w:rsid w:val="00DC0AD3"/>
    <w:rsid w:val="00DC13CE"/>
    <w:rsid w:val="00DC1D59"/>
    <w:rsid w:val="00DC1E64"/>
    <w:rsid w:val="00DC2ED3"/>
    <w:rsid w:val="00DD00BF"/>
    <w:rsid w:val="00DD0211"/>
    <w:rsid w:val="00DD0383"/>
    <w:rsid w:val="00DD06FC"/>
    <w:rsid w:val="00DD078D"/>
    <w:rsid w:val="00DD084D"/>
    <w:rsid w:val="00DD168F"/>
    <w:rsid w:val="00DD1774"/>
    <w:rsid w:val="00DD197B"/>
    <w:rsid w:val="00DD2C2F"/>
    <w:rsid w:val="00DD2FBB"/>
    <w:rsid w:val="00DD301C"/>
    <w:rsid w:val="00DD33B8"/>
    <w:rsid w:val="00DD3B92"/>
    <w:rsid w:val="00DD423C"/>
    <w:rsid w:val="00DD64B3"/>
    <w:rsid w:val="00DD65D1"/>
    <w:rsid w:val="00DD6918"/>
    <w:rsid w:val="00DD7163"/>
    <w:rsid w:val="00DD7194"/>
    <w:rsid w:val="00DD76AE"/>
    <w:rsid w:val="00DE0285"/>
    <w:rsid w:val="00DE0B1B"/>
    <w:rsid w:val="00DE0DDB"/>
    <w:rsid w:val="00DE16AB"/>
    <w:rsid w:val="00DE1846"/>
    <w:rsid w:val="00DE197E"/>
    <w:rsid w:val="00DE1D03"/>
    <w:rsid w:val="00DE1D1E"/>
    <w:rsid w:val="00DE39C1"/>
    <w:rsid w:val="00DE42F5"/>
    <w:rsid w:val="00DE49CF"/>
    <w:rsid w:val="00DE4D9E"/>
    <w:rsid w:val="00DE54ED"/>
    <w:rsid w:val="00DE5EC3"/>
    <w:rsid w:val="00DE6512"/>
    <w:rsid w:val="00DE6D71"/>
    <w:rsid w:val="00DE6F09"/>
    <w:rsid w:val="00DE711B"/>
    <w:rsid w:val="00DE7A52"/>
    <w:rsid w:val="00DF15CB"/>
    <w:rsid w:val="00DF1878"/>
    <w:rsid w:val="00DF1C0E"/>
    <w:rsid w:val="00DF201C"/>
    <w:rsid w:val="00DF21D0"/>
    <w:rsid w:val="00DF2B63"/>
    <w:rsid w:val="00DF2C72"/>
    <w:rsid w:val="00DF3628"/>
    <w:rsid w:val="00DF3AAF"/>
    <w:rsid w:val="00DF45FB"/>
    <w:rsid w:val="00DF48FE"/>
    <w:rsid w:val="00DF4D88"/>
    <w:rsid w:val="00DF4F2D"/>
    <w:rsid w:val="00DF517D"/>
    <w:rsid w:val="00DF5B32"/>
    <w:rsid w:val="00DF5D0F"/>
    <w:rsid w:val="00DF5FBB"/>
    <w:rsid w:val="00DF5FFC"/>
    <w:rsid w:val="00DF622B"/>
    <w:rsid w:val="00DF6C56"/>
    <w:rsid w:val="00DF6F4D"/>
    <w:rsid w:val="00DF7246"/>
    <w:rsid w:val="00DF7BB3"/>
    <w:rsid w:val="00E00E58"/>
    <w:rsid w:val="00E01001"/>
    <w:rsid w:val="00E0189B"/>
    <w:rsid w:val="00E03935"/>
    <w:rsid w:val="00E03D42"/>
    <w:rsid w:val="00E04909"/>
    <w:rsid w:val="00E053B2"/>
    <w:rsid w:val="00E054BE"/>
    <w:rsid w:val="00E05CD8"/>
    <w:rsid w:val="00E05FE2"/>
    <w:rsid w:val="00E0669D"/>
    <w:rsid w:val="00E06A60"/>
    <w:rsid w:val="00E06AB0"/>
    <w:rsid w:val="00E06BDB"/>
    <w:rsid w:val="00E07278"/>
    <w:rsid w:val="00E07C08"/>
    <w:rsid w:val="00E10686"/>
    <w:rsid w:val="00E10D0D"/>
    <w:rsid w:val="00E10F19"/>
    <w:rsid w:val="00E1179E"/>
    <w:rsid w:val="00E11D2C"/>
    <w:rsid w:val="00E12533"/>
    <w:rsid w:val="00E127C2"/>
    <w:rsid w:val="00E1292D"/>
    <w:rsid w:val="00E14057"/>
    <w:rsid w:val="00E141FA"/>
    <w:rsid w:val="00E14B1B"/>
    <w:rsid w:val="00E15120"/>
    <w:rsid w:val="00E16111"/>
    <w:rsid w:val="00E1623B"/>
    <w:rsid w:val="00E16C40"/>
    <w:rsid w:val="00E16DFE"/>
    <w:rsid w:val="00E17DB0"/>
    <w:rsid w:val="00E200DE"/>
    <w:rsid w:val="00E2010A"/>
    <w:rsid w:val="00E2121A"/>
    <w:rsid w:val="00E21A05"/>
    <w:rsid w:val="00E228FA"/>
    <w:rsid w:val="00E22A55"/>
    <w:rsid w:val="00E2383C"/>
    <w:rsid w:val="00E23F41"/>
    <w:rsid w:val="00E24224"/>
    <w:rsid w:val="00E251D4"/>
    <w:rsid w:val="00E253BE"/>
    <w:rsid w:val="00E27FC1"/>
    <w:rsid w:val="00E3048B"/>
    <w:rsid w:val="00E3053F"/>
    <w:rsid w:val="00E308DF"/>
    <w:rsid w:val="00E314E6"/>
    <w:rsid w:val="00E329B6"/>
    <w:rsid w:val="00E33369"/>
    <w:rsid w:val="00E33F2A"/>
    <w:rsid w:val="00E341F0"/>
    <w:rsid w:val="00E3424F"/>
    <w:rsid w:val="00E343C5"/>
    <w:rsid w:val="00E36C36"/>
    <w:rsid w:val="00E40069"/>
    <w:rsid w:val="00E40549"/>
    <w:rsid w:val="00E416E2"/>
    <w:rsid w:val="00E418C2"/>
    <w:rsid w:val="00E4193B"/>
    <w:rsid w:val="00E41CDA"/>
    <w:rsid w:val="00E41F1F"/>
    <w:rsid w:val="00E426BD"/>
    <w:rsid w:val="00E42E32"/>
    <w:rsid w:val="00E4364B"/>
    <w:rsid w:val="00E43CDB"/>
    <w:rsid w:val="00E43FFC"/>
    <w:rsid w:val="00E44344"/>
    <w:rsid w:val="00E445DF"/>
    <w:rsid w:val="00E44679"/>
    <w:rsid w:val="00E45142"/>
    <w:rsid w:val="00E47C52"/>
    <w:rsid w:val="00E5030F"/>
    <w:rsid w:val="00E50AB0"/>
    <w:rsid w:val="00E5194C"/>
    <w:rsid w:val="00E53F0F"/>
    <w:rsid w:val="00E5400C"/>
    <w:rsid w:val="00E54458"/>
    <w:rsid w:val="00E5483A"/>
    <w:rsid w:val="00E54A8F"/>
    <w:rsid w:val="00E54FCB"/>
    <w:rsid w:val="00E559E5"/>
    <w:rsid w:val="00E55EA4"/>
    <w:rsid w:val="00E56DA3"/>
    <w:rsid w:val="00E5770D"/>
    <w:rsid w:val="00E578AC"/>
    <w:rsid w:val="00E578CF"/>
    <w:rsid w:val="00E57A5D"/>
    <w:rsid w:val="00E57C01"/>
    <w:rsid w:val="00E601A9"/>
    <w:rsid w:val="00E606D0"/>
    <w:rsid w:val="00E60B84"/>
    <w:rsid w:val="00E6165E"/>
    <w:rsid w:val="00E620CF"/>
    <w:rsid w:val="00E626E5"/>
    <w:rsid w:val="00E62BB6"/>
    <w:rsid w:val="00E63FC2"/>
    <w:rsid w:val="00E6489F"/>
    <w:rsid w:val="00E64AE2"/>
    <w:rsid w:val="00E65471"/>
    <w:rsid w:val="00E656C9"/>
    <w:rsid w:val="00E65D22"/>
    <w:rsid w:val="00E662C0"/>
    <w:rsid w:val="00E67059"/>
    <w:rsid w:val="00E67A8F"/>
    <w:rsid w:val="00E7083F"/>
    <w:rsid w:val="00E71412"/>
    <w:rsid w:val="00E71B37"/>
    <w:rsid w:val="00E71CC3"/>
    <w:rsid w:val="00E720EC"/>
    <w:rsid w:val="00E72B7E"/>
    <w:rsid w:val="00E73126"/>
    <w:rsid w:val="00E73E13"/>
    <w:rsid w:val="00E73E38"/>
    <w:rsid w:val="00E73FD2"/>
    <w:rsid w:val="00E7503B"/>
    <w:rsid w:val="00E75419"/>
    <w:rsid w:val="00E759C7"/>
    <w:rsid w:val="00E75BC0"/>
    <w:rsid w:val="00E77042"/>
    <w:rsid w:val="00E77106"/>
    <w:rsid w:val="00E80279"/>
    <w:rsid w:val="00E805C6"/>
    <w:rsid w:val="00E80F48"/>
    <w:rsid w:val="00E8143F"/>
    <w:rsid w:val="00E815FB"/>
    <w:rsid w:val="00E8183E"/>
    <w:rsid w:val="00E83133"/>
    <w:rsid w:val="00E83694"/>
    <w:rsid w:val="00E83734"/>
    <w:rsid w:val="00E83AED"/>
    <w:rsid w:val="00E84A62"/>
    <w:rsid w:val="00E857BD"/>
    <w:rsid w:val="00E85C4F"/>
    <w:rsid w:val="00E8682A"/>
    <w:rsid w:val="00E875D2"/>
    <w:rsid w:val="00E87D41"/>
    <w:rsid w:val="00E90CAA"/>
    <w:rsid w:val="00E911F8"/>
    <w:rsid w:val="00E913C8"/>
    <w:rsid w:val="00E92CA9"/>
    <w:rsid w:val="00E93551"/>
    <w:rsid w:val="00E956E4"/>
    <w:rsid w:val="00E95A34"/>
    <w:rsid w:val="00E963E6"/>
    <w:rsid w:val="00E973E8"/>
    <w:rsid w:val="00EA0C01"/>
    <w:rsid w:val="00EA115F"/>
    <w:rsid w:val="00EA1868"/>
    <w:rsid w:val="00EA189F"/>
    <w:rsid w:val="00EA1E08"/>
    <w:rsid w:val="00EA22BB"/>
    <w:rsid w:val="00EA2577"/>
    <w:rsid w:val="00EA327A"/>
    <w:rsid w:val="00EA33C0"/>
    <w:rsid w:val="00EA34FB"/>
    <w:rsid w:val="00EA37D7"/>
    <w:rsid w:val="00EA3D3F"/>
    <w:rsid w:val="00EA3D8E"/>
    <w:rsid w:val="00EA3F2D"/>
    <w:rsid w:val="00EA5DD9"/>
    <w:rsid w:val="00EA5FC8"/>
    <w:rsid w:val="00EA6129"/>
    <w:rsid w:val="00EA6B3F"/>
    <w:rsid w:val="00EA7382"/>
    <w:rsid w:val="00EA76EC"/>
    <w:rsid w:val="00EA7D4A"/>
    <w:rsid w:val="00EB0D22"/>
    <w:rsid w:val="00EB1233"/>
    <w:rsid w:val="00EB19C0"/>
    <w:rsid w:val="00EB1A8B"/>
    <w:rsid w:val="00EB1C8E"/>
    <w:rsid w:val="00EB24DE"/>
    <w:rsid w:val="00EB2AFC"/>
    <w:rsid w:val="00EB3497"/>
    <w:rsid w:val="00EB380A"/>
    <w:rsid w:val="00EB40DA"/>
    <w:rsid w:val="00EB424F"/>
    <w:rsid w:val="00EB464B"/>
    <w:rsid w:val="00EB6BB0"/>
    <w:rsid w:val="00EB6D8A"/>
    <w:rsid w:val="00EB6DF4"/>
    <w:rsid w:val="00EB7130"/>
    <w:rsid w:val="00EB7933"/>
    <w:rsid w:val="00EC020C"/>
    <w:rsid w:val="00EC097C"/>
    <w:rsid w:val="00EC1288"/>
    <w:rsid w:val="00EC2106"/>
    <w:rsid w:val="00EC39BF"/>
    <w:rsid w:val="00EC3E68"/>
    <w:rsid w:val="00EC44CC"/>
    <w:rsid w:val="00EC48C2"/>
    <w:rsid w:val="00EC4CA2"/>
    <w:rsid w:val="00EC56B6"/>
    <w:rsid w:val="00EC6C9A"/>
    <w:rsid w:val="00EC700B"/>
    <w:rsid w:val="00EC77AC"/>
    <w:rsid w:val="00EC7C5A"/>
    <w:rsid w:val="00EC7F22"/>
    <w:rsid w:val="00ED097B"/>
    <w:rsid w:val="00ED0BB1"/>
    <w:rsid w:val="00ED11B7"/>
    <w:rsid w:val="00ED19A2"/>
    <w:rsid w:val="00ED1AC4"/>
    <w:rsid w:val="00ED1FBC"/>
    <w:rsid w:val="00ED220B"/>
    <w:rsid w:val="00ED2948"/>
    <w:rsid w:val="00ED35CE"/>
    <w:rsid w:val="00ED4172"/>
    <w:rsid w:val="00ED44C6"/>
    <w:rsid w:val="00ED4D2C"/>
    <w:rsid w:val="00ED5E71"/>
    <w:rsid w:val="00ED67D7"/>
    <w:rsid w:val="00ED6821"/>
    <w:rsid w:val="00ED7233"/>
    <w:rsid w:val="00ED7C47"/>
    <w:rsid w:val="00ED7FA2"/>
    <w:rsid w:val="00EE0098"/>
    <w:rsid w:val="00EE0163"/>
    <w:rsid w:val="00EE07C1"/>
    <w:rsid w:val="00EE119A"/>
    <w:rsid w:val="00EE1492"/>
    <w:rsid w:val="00EE2354"/>
    <w:rsid w:val="00EE23A2"/>
    <w:rsid w:val="00EE293C"/>
    <w:rsid w:val="00EE3544"/>
    <w:rsid w:val="00EE429B"/>
    <w:rsid w:val="00EE4F50"/>
    <w:rsid w:val="00EE5733"/>
    <w:rsid w:val="00EE72F4"/>
    <w:rsid w:val="00EF0DAA"/>
    <w:rsid w:val="00EF0DE4"/>
    <w:rsid w:val="00EF1053"/>
    <w:rsid w:val="00EF205A"/>
    <w:rsid w:val="00EF3257"/>
    <w:rsid w:val="00EF34C3"/>
    <w:rsid w:val="00EF35DB"/>
    <w:rsid w:val="00EF3DFC"/>
    <w:rsid w:val="00EF4AE7"/>
    <w:rsid w:val="00EF4FD4"/>
    <w:rsid w:val="00EF64EA"/>
    <w:rsid w:val="00EF726F"/>
    <w:rsid w:val="00EF7BAD"/>
    <w:rsid w:val="00EF7C85"/>
    <w:rsid w:val="00F00681"/>
    <w:rsid w:val="00F00A01"/>
    <w:rsid w:val="00F011D3"/>
    <w:rsid w:val="00F01594"/>
    <w:rsid w:val="00F01A17"/>
    <w:rsid w:val="00F01C9F"/>
    <w:rsid w:val="00F022DA"/>
    <w:rsid w:val="00F02815"/>
    <w:rsid w:val="00F028FA"/>
    <w:rsid w:val="00F02F5A"/>
    <w:rsid w:val="00F037CB"/>
    <w:rsid w:val="00F03B2F"/>
    <w:rsid w:val="00F041BC"/>
    <w:rsid w:val="00F04411"/>
    <w:rsid w:val="00F049AB"/>
    <w:rsid w:val="00F04CD9"/>
    <w:rsid w:val="00F04D52"/>
    <w:rsid w:val="00F05BC2"/>
    <w:rsid w:val="00F064C1"/>
    <w:rsid w:val="00F0782E"/>
    <w:rsid w:val="00F07CCF"/>
    <w:rsid w:val="00F10870"/>
    <w:rsid w:val="00F1127E"/>
    <w:rsid w:val="00F114D1"/>
    <w:rsid w:val="00F12117"/>
    <w:rsid w:val="00F122B4"/>
    <w:rsid w:val="00F13154"/>
    <w:rsid w:val="00F15B66"/>
    <w:rsid w:val="00F15DAF"/>
    <w:rsid w:val="00F15E30"/>
    <w:rsid w:val="00F165DD"/>
    <w:rsid w:val="00F20B23"/>
    <w:rsid w:val="00F20B95"/>
    <w:rsid w:val="00F20D09"/>
    <w:rsid w:val="00F219F0"/>
    <w:rsid w:val="00F22AEF"/>
    <w:rsid w:val="00F22D02"/>
    <w:rsid w:val="00F24D0C"/>
    <w:rsid w:val="00F250EA"/>
    <w:rsid w:val="00F264B5"/>
    <w:rsid w:val="00F26BFD"/>
    <w:rsid w:val="00F26FDF"/>
    <w:rsid w:val="00F27307"/>
    <w:rsid w:val="00F278C6"/>
    <w:rsid w:val="00F31F6B"/>
    <w:rsid w:val="00F320B8"/>
    <w:rsid w:val="00F33A2C"/>
    <w:rsid w:val="00F341F1"/>
    <w:rsid w:val="00F34F81"/>
    <w:rsid w:val="00F351AF"/>
    <w:rsid w:val="00F3563C"/>
    <w:rsid w:val="00F35744"/>
    <w:rsid w:val="00F357FB"/>
    <w:rsid w:val="00F35CFE"/>
    <w:rsid w:val="00F36FA0"/>
    <w:rsid w:val="00F37E85"/>
    <w:rsid w:val="00F40354"/>
    <w:rsid w:val="00F413A3"/>
    <w:rsid w:val="00F41A9E"/>
    <w:rsid w:val="00F42652"/>
    <w:rsid w:val="00F42A11"/>
    <w:rsid w:val="00F42E85"/>
    <w:rsid w:val="00F43497"/>
    <w:rsid w:val="00F4397C"/>
    <w:rsid w:val="00F43A57"/>
    <w:rsid w:val="00F43E33"/>
    <w:rsid w:val="00F43F02"/>
    <w:rsid w:val="00F450AB"/>
    <w:rsid w:val="00F47770"/>
    <w:rsid w:val="00F47A6D"/>
    <w:rsid w:val="00F51539"/>
    <w:rsid w:val="00F5156C"/>
    <w:rsid w:val="00F51B52"/>
    <w:rsid w:val="00F52B39"/>
    <w:rsid w:val="00F52F27"/>
    <w:rsid w:val="00F534D5"/>
    <w:rsid w:val="00F535B8"/>
    <w:rsid w:val="00F537E7"/>
    <w:rsid w:val="00F53EFF"/>
    <w:rsid w:val="00F54240"/>
    <w:rsid w:val="00F54667"/>
    <w:rsid w:val="00F5472F"/>
    <w:rsid w:val="00F547ED"/>
    <w:rsid w:val="00F54DD8"/>
    <w:rsid w:val="00F54ECC"/>
    <w:rsid w:val="00F553F0"/>
    <w:rsid w:val="00F55B4E"/>
    <w:rsid w:val="00F560E7"/>
    <w:rsid w:val="00F5655B"/>
    <w:rsid w:val="00F56634"/>
    <w:rsid w:val="00F569CA"/>
    <w:rsid w:val="00F57142"/>
    <w:rsid w:val="00F61539"/>
    <w:rsid w:val="00F6308E"/>
    <w:rsid w:val="00F63207"/>
    <w:rsid w:val="00F63E06"/>
    <w:rsid w:val="00F66FAB"/>
    <w:rsid w:val="00F67187"/>
    <w:rsid w:val="00F67357"/>
    <w:rsid w:val="00F673D8"/>
    <w:rsid w:val="00F678FA"/>
    <w:rsid w:val="00F7216D"/>
    <w:rsid w:val="00F72D79"/>
    <w:rsid w:val="00F72F90"/>
    <w:rsid w:val="00F732C0"/>
    <w:rsid w:val="00F73350"/>
    <w:rsid w:val="00F7456A"/>
    <w:rsid w:val="00F74C49"/>
    <w:rsid w:val="00F751E1"/>
    <w:rsid w:val="00F75A0E"/>
    <w:rsid w:val="00F75BCA"/>
    <w:rsid w:val="00F76073"/>
    <w:rsid w:val="00F7785B"/>
    <w:rsid w:val="00F778C2"/>
    <w:rsid w:val="00F813E8"/>
    <w:rsid w:val="00F8173D"/>
    <w:rsid w:val="00F81D62"/>
    <w:rsid w:val="00F83CE9"/>
    <w:rsid w:val="00F8446D"/>
    <w:rsid w:val="00F84D0D"/>
    <w:rsid w:val="00F84D5F"/>
    <w:rsid w:val="00F851D8"/>
    <w:rsid w:val="00F85626"/>
    <w:rsid w:val="00F8586E"/>
    <w:rsid w:val="00F87280"/>
    <w:rsid w:val="00F879F6"/>
    <w:rsid w:val="00F87D11"/>
    <w:rsid w:val="00F90630"/>
    <w:rsid w:val="00F9084D"/>
    <w:rsid w:val="00F91013"/>
    <w:rsid w:val="00F914B4"/>
    <w:rsid w:val="00F9157A"/>
    <w:rsid w:val="00F91635"/>
    <w:rsid w:val="00F91DA1"/>
    <w:rsid w:val="00F92365"/>
    <w:rsid w:val="00F92C8E"/>
    <w:rsid w:val="00F92F71"/>
    <w:rsid w:val="00F94279"/>
    <w:rsid w:val="00F95350"/>
    <w:rsid w:val="00F95407"/>
    <w:rsid w:val="00F969FD"/>
    <w:rsid w:val="00F97174"/>
    <w:rsid w:val="00F9776C"/>
    <w:rsid w:val="00FA0172"/>
    <w:rsid w:val="00FA07BE"/>
    <w:rsid w:val="00FA191F"/>
    <w:rsid w:val="00FA1B12"/>
    <w:rsid w:val="00FA2CF9"/>
    <w:rsid w:val="00FA31BB"/>
    <w:rsid w:val="00FA3356"/>
    <w:rsid w:val="00FA38F0"/>
    <w:rsid w:val="00FA4636"/>
    <w:rsid w:val="00FA4960"/>
    <w:rsid w:val="00FA5044"/>
    <w:rsid w:val="00FA53B7"/>
    <w:rsid w:val="00FA59B8"/>
    <w:rsid w:val="00FA619D"/>
    <w:rsid w:val="00FA636F"/>
    <w:rsid w:val="00FA6A93"/>
    <w:rsid w:val="00FA76E4"/>
    <w:rsid w:val="00FA7859"/>
    <w:rsid w:val="00FA7CD5"/>
    <w:rsid w:val="00FA7EBC"/>
    <w:rsid w:val="00FB24F9"/>
    <w:rsid w:val="00FB3A0A"/>
    <w:rsid w:val="00FB3BA7"/>
    <w:rsid w:val="00FB4264"/>
    <w:rsid w:val="00FB46D6"/>
    <w:rsid w:val="00FB4725"/>
    <w:rsid w:val="00FB6996"/>
    <w:rsid w:val="00FB7283"/>
    <w:rsid w:val="00FC0BFA"/>
    <w:rsid w:val="00FC0FA4"/>
    <w:rsid w:val="00FC1FC3"/>
    <w:rsid w:val="00FC2337"/>
    <w:rsid w:val="00FC23F1"/>
    <w:rsid w:val="00FC2A30"/>
    <w:rsid w:val="00FC3283"/>
    <w:rsid w:val="00FC34A6"/>
    <w:rsid w:val="00FC3654"/>
    <w:rsid w:val="00FC43EB"/>
    <w:rsid w:val="00FC45EC"/>
    <w:rsid w:val="00FC59BE"/>
    <w:rsid w:val="00FC5B8E"/>
    <w:rsid w:val="00FC61AA"/>
    <w:rsid w:val="00FC64F2"/>
    <w:rsid w:val="00FC76C9"/>
    <w:rsid w:val="00FC7BC2"/>
    <w:rsid w:val="00FD0569"/>
    <w:rsid w:val="00FD0D9C"/>
    <w:rsid w:val="00FD0F78"/>
    <w:rsid w:val="00FD1284"/>
    <w:rsid w:val="00FD12E0"/>
    <w:rsid w:val="00FD1671"/>
    <w:rsid w:val="00FD22BB"/>
    <w:rsid w:val="00FD246C"/>
    <w:rsid w:val="00FD3B39"/>
    <w:rsid w:val="00FD400E"/>
    <w:rsid w:val="00FD42BE"/>
    <w:rsid w:val="00FD4981"/>
    <w:rsid w:val="00FD5391"/>
    <w:rsid w:val="00FD54E3"/>
    <w:rsid w:val="00FD557B"/>
    <w:rsid w:val="00FD638C"/>
    <w:rsid w:val="00FD6760"/>
    <w:rsid w:val="00FD6AC2"/>
    <w:rsid w:val="00FD7D69"/>
    <w:rsid w:val="00FE01D1"/>
    <w:rsid w:val="00FE045D"/>
    <w:rsid w:val="00FE0576"/>
    <w:rsid w:val="00FE0636"/>
    <w:rsid w:val="00FE0B3D"/>
    <w:rsid w:val="00FE17BA"/>
    <w:rsid w:val="00FE2112"/>
    <w:rsid w:val="00FE250D"/>
    <w:rsid w:val="00FE28C0"/>
    <w:rsid w:val="00FE34B1"/>
    <w:rsid w:val="00FE3908"/>
    <w:rsid w:val="00FE3A92"/>
    <w:rsid w:val="00FE3F47"/>
    <w:rsid w:val="00FE4224"/>
    <w:rsid w:val="00FE4596"/>
    <w:rsid w:val="00FE45AE"/>
    <w:rsid w:val="00FE45B1"/>
    <w:rsid w:val="00FE511D"/>
    <w:rsid w:val="00FE5735"/>
    <w:rsid w:val="00FE57EB"/>
    <w:rsid w:val="00FE5E74"/>
    <w:rsid w:val="00FE601C"/>
    <w:rsid w:val="00FE6064"/>
    <w:rsid w:val="00FE6449"/>
    <w:rsid w:val="00FE71F8"/>
    <w:rsid w:val="00FE7501"/>
    <w:rsid w:val="00FF1AC1"/>
    <w:rsid w:val="00FF1B19"/>
    <w:rsid w:val="00FF2DEA"/>
    <w:rsid w:val="00FF3568"/>
    <w:rsid w:val="00FF38B0"/>
    <w:rsid w:val="00FF429A"/>
    <w:rsid w:val="00FF4414"/>
    <w:rsid w:val="00FF65EE"/>
    <w:rsid w:val="00FF65EF"/>
    <w:rsid w:val="00FF6B76"/>
    <w:rsid w:val="00FF723C"/>
    <w:rsid w:val="00FF777B"/>
    <w:rsid w:val="00FF7E7C"/>
    <w:rsid w:val="01397196"/>
    <w:rsid w:val="01933707"/>
    <w:rsid w:val="01BD5608"/>
    <w:rsid w:val="020D05DC"/>
    <w:rsid w:val="021B32D1"/>
    <w:rsid w:val="024F3527"/>
    <w:rsid w:val="02557E8A"/>
    <w:rsid w:val="026715B5"/>
    <w:rsid w:val="026F03BE"/>
    <w:rsid w:val="029027B3"/>
    <w:rsid w:val="02A44F89"/>
    <w:rsid w:val="02B23A93"/>
    <w:rsid w:val="02B7079C"/>
    <w:rsid w:val="03003C4C"/>
    <w:rsid w:val="03070B42"/>
    <w:rsid w:val="03167814"/>
    <w:rsid w:val="033864EF"/>
    <w:rsid w:val="03392E1A"/>
    <w:rsid w:val="03457A63"/>
    <w:rsid w:val="03677D63"/>
    <w:rsid w:val="036D0F55"/>
    <w:rsid w:val="03826207"/>
    <w:rsid w:val="03917118"/>
    <w:rsid w:val="03A73C2D"/>
    <w:rsid w:val="03A8093F"/>
    <w:rsid w:val="03AA243F"/>
    <w:rsid w:val="03D8086D"/>
    <w:rsid w:val="03E660EF"/>
    <w:rsid w:val="03FB275C"/>
    <w:rsid w:val="045A2A2B"/>
    <w:rsid w:val="045A507D"/>
    <w:rsid w:val="04667B74"/>
    <w:rsid w:val="047B7F01"/>
    <w:rsid w:val="04906721"/>
    <w:rsid w:val="04E45466"/>
    <w:rsid w:val="04F52FC0"/>
    <w:rsid w:val="05401427"/>
    <w:rsid w:val="05AF3F66"/>
    <w:rsid w:val="05F05A4E"/>
    <w:rsid w:val="0614392D"/>
    <w:rsid w:val="064C3AF2"/>
    <w:rsid w:val="0698581F"/>
    <w:rsid w:val="069F0796"/>
    <w:rsid w:val="06C13B3D"/>
    <w:rsid w:val="06C62F02"/>
    <w:rsid w:val="06C953D6"/>
    <w:rsid w:val="070E48A8"/>
    <w:rsid w:val="07425BC7"/>
    <w:rsid w:val="074E2754"/>
    <w:rsid w:val="075254CB"/>
    <w:rsid w:val="07566962"/>
    <w:rsid w:val="07E47F6B"/>
    <w:rsid w:val="08060F5A"/>
    <w:rsid w:val="08170338"/>
    <w:rsid w:val="084B44AB"/>
    <w:rsid w:val="08563208"/>
    <w:rsid w:val="08575606"/>
    <w:rsid w:val="085B7B46"/>
    <w:rsid w:val="085D7896"/>
    <w:rsid w:val="08A41020"/>
    <w:rsid w:val="08AD2F43"/>
    <w:rsid w:val="08BA27E6"/>
    <w:rsid w:val="08D71031"/>
    <w:rsid w:val="08DB3308"/>
    <w:rsid w:val="08EF133D"/>
    <w:rsid w:val="09272174"/>
    <w:rsid w:val="093F2E32"/>
    <w:rsid w:val="094605A2"/>
    <w:rsid w:val="098C4A66"/>
    <w:rsid w:val="09E954E3"/>
    <w:rsid w:val="09EE6DB3"/>
    <w:rsid w:val="09FA476C"/>
    <w:rsid w:val="0A131D2D"/>
    <w:rsid w:val="0A195D40"/>
    <w:rsid w:val="0A2066A7"/>
    <w:rsid w:val="0A6937F7"/>
    <w:rsid w:val="0A9E3551"/>
    <w:rsid w:val="0ADE3BB0"/>
    <w:rsid w:val="0AF41D09"/>
    <w:rsid w:val="0AFD64D2"/>
    <w:rsid w:val="0B181AB8"/>
    <w:rsid w:val="0B187154"/>
    <w:rsid w:val="0B5C737F"/>
    <w:rsid w:val="0B862124"/>
    <w:rsid w:val="0B8A6DD7"/>
    <w:rsid w:val="0BEF326D"/>
    <w:rsid w:val="0C49148C"/>
    <w:rsid w:val="0C7D717F"/>
    <w:rsid w:val="0C820D4D"/>
    <w:rsid w:val="0CCE1D10"/>
    <w:rsid w:val="0CE03189"/>
    <w:rsid w:val="0CE53BCA"/>
    <w:rsid w:val="0CF67A03"/>
    <w:rsid w:val="0CF76B4F"/>
    <w:rsid w:val="0CFB6BAA"/>
    <w:rsid w:val="0D054EA3"/>
    <w:rsid w:val="0DA2103B"/>
    <w:rsid w:val="0DA21596"/>
    <w:rsid w:val="0DC36108"/>
    <w:rsid w:val="0DC76433"/>
    <w:rsid w:val="0DCC025E"/>
    <w:rsid w:val="0DE0615D"/>
    <w:rsid w:val="0DED346A"/>
    <w:rsid w:val="0DEF33DF"/>
    <w:rsid w:val="0DF11B05"/>
    <w:rsid w:val="0DFD3590"/>
    <w:rsid w:val="0E076C23"/>
    <w:rsid w:val="0E1D08A6"/>
    <w:rsid w:val="0E3D4D82"/>
    <w:rsid w:val="0E507ACD"/>
    <w:rsid w:val="0E5E6E78"/>
    <w:rsid w:val="0E5F7588"/>
    <w:rsid w:val="0E78718C"/>
    <w:rsid w:val="0E822395"/>
    <w:rsid w:val="0E843374"/>
    <w:rsid w:val="0E8C0B6E"/>
    <w:rsid w:val="0EAC1E22"/>
    <w:rsid w:val="0EC15B16"/>
    <w:rsid w:val="0F414886"/>
    <w:rsid w:val="0F457D9C"/>
    <w:rsid w:val="0F5F2A20"/>
    <w:rsid w:val="0F6A025C"/>
    <w:rsid w:val="0F8E50B8"/>
    <w:rsid w:val="0F9442F7"/>
    <w:rsid w:val="0F986232"/>
    <w:rsid w:val="10427C1A"/>
    <w:rsid w:val="104528F8"/>
    <w:rsid w:val="104963F7"/>
    <w:rsid w:val="106B0434"/>
    <w:rsid w:val="108B0D18"/>
    <w:rsid w:val="10AE4078"/>
    <w:rsid w:val="10CA16F8"/>
    <w:rsid w:val="10D62A53"/>
    <w:rsid w:val="11045E1A"/>
    <w:rsid w:val="114F2A06"/>
    <w:rsid w:val="11576797"/>
    <w:rsid w:val="117D4B05"/>
    <w:rsid w:val="11841BEE"/>
    <w:rsid w:val="119F5AB5"/>
    <w:rsid w:val="11B22B1F"/>
    <w:rsid w:val="11B95B91"/>
    <w:rsid w:val="12602851"/>
    <w:rsid w:val="129657A6"/>
    <w:rsid w:val="12A87120"/>
    <w:rsid w:val="12D5639B"/>
    <w:rsid w:val="12E32BAE"/>
    <w:rsid w:val="12F6758E"/>
    <w:rsid w:val="130A569B"/>
    <w:rsid w:val="13151E20"/>
    <w:rsid w:val="13236715"/>
    <w:rsid w:val="132D151F"/>
    <w:rsid w:val="13320CF2"/>
    <w:rsid w:val="137B5074"/>
    <w:rsid w:val="13890707"/>
    <w:rsid w:val="139D67AC"/>
    <w:rsid w:val="141471EA"/>
    <w:rsid w:val="142E2A80"/>
    <w:rsid w:val="14861ABA"/>
    <w:rsid w:val="14AB078A"/>
    <w:rsid w:val="14C90984"/>
    <w:rsid w:val="152333AC"/>
    <w:rsid w:val="153225E2"/>
    <w:rsid w:val="157E0D91"/>
    <w:rsid w:val="159B2DE0"/>
    <w:rsid w:val="159C2A6D"/>
    <w:rsid w:val="15AB279F"/>
    <w:rsid w:val="15C01DC0"/>
    <w:rsid w:val="15F5496F"/>
    <w:rsid w:val="15FD26F9"/>
    <w:rsid w:val="161B63F7"/>
    <w:rsid w:val="161E1A3F"/>
    <w:rsid w:val="163E5060"/>
    <w:rsid w:val="167C7241"/>
    <w:rsid w:val="169074B0"/>
    <w:rsid w:val="16A17737"/>
    <w:rsid w:val="16DF3088"/>
    <w:rsid w:val="173F2C62"/>
    <w:rsid w:val="17643BE0"/>
    <w:rsid w:val="17875802"/>
    <w:rsid w:val="17C2723E"/>
    <w:rsid w:val="17E7651D"/>
    <w:rsid w:val="18022FB5"/>
    <w:rsid w:val="18477663"/>
    <w:rsid w:val="18687C6B"/>
    <w:rsid w:val="187B20D8"/>
    <w:rsid w:val="188F74A9"/>
    <w:rsid w:val="18A118CF"/>
    <w:rsid w:val="18C864D5"/>
    <w:rsid w:val="18FB6460"/>
    <w:rsid w:val="18FF4051"/>
    <w:rsid w:val="19210C9F"/>
    <w:rsid w:val="196D36B1"/>
    <w:rsid w:val="19755596"/>
    <w:rsid w:val="19C134DC"/>
    <w:rsid w:val="19C34E1D"/>
    <w:rsid w:val="19C479B8"/>
    <w:rsid w:val="19FE7B98"/>
    <w:rsid w:val="1A184CB4"/>
    <w:rsid w:val="1A282709"/>
    <w:rsid w:val="1A330456"/>
    <w:rsid w:val="1A3520BC"/>
    <w:rsid w:val="1A804366"/>
    <w:rsid w:val="1A971F0E"/>
    <w:rsid w:val="1AD93A76"/>
    <w:rsid w:val="1B06728D"/>
    <w:rsid w:val="1B0F7E6B"/>
    <w:rsid w:val="1B1A622D"/>
    <w:rsid w:val="1B3361E5"/>
    <w:rsid w:val="1B9F6196"/>
    <w:rsid w:val="1BA411C2"/>
    <w:rsid w:val="1BAD5FE6"/>
    <w:rsid w:val="1BEF6BF8"/>
    <w:rsid w:val="1C125AA3"/>
    <w:rsid w:val="1C317222"/>
    <w:rsid w:val="1C482B6C"/>
    <w:rsid w:val="1C5B0151"/>
    <w:rsid w:val="1C673348"/>
    <w:rsid w:val="1C915D6A"/>
    <w:rsid w:val="1CA74034"/>
    <w:rsid w:val="1CA843A4"/>
    <w:rsid w:val="1CB92C2F"/>
    <w:rsid w:val="1CC04EA5"/>
    <w:rsid w:val="1CE60FA2"/>
    <w:rsid w:val="1D167101"/>
    <w:rsid w:val="1D226CD0"/>
    <w:rsid w:val="1D3F2F87"/>
    <w:rsid w:val="1D5B6CBC"/>
    <w:rsid w:val="1D5E5513"/>
    <w:rsid w:val="1D643539"/>
    <w:rsid w:val="1D6E143E"/>
    <w:rsid w:val="1D734828"/>
    <w:rsid w:val="1D8111DB"/>
    <w:rsid w:val="1DA533FF"/>
    <w:rsid w:val="1DB1440C"/>
    <w:rsid w:val="1DC85359"/>
    <w:rsid w:val="1DC913BC"/>
    <w:rsid w:val="1DDF2836"/>
    <w:rsid w:val="1DED3C2C"/>
    <w:rsid w:val="1E1F4D29"/>
    <w:rsid w:val="1E3F345A"/>
    <w:rsid w:val="1E402EE2"/>
    <w:rsid w:val="1E5505BA"/>
    <w:rsid w:val="1E6042FC"/>
    <w:rsid w:val="1E8709C8"/>
    <w:rsid w:val="1EAA0791"/>
    <w:rsid w:val="1EC11A03"/>
    <w:rsid w:val="1EEC1662"/>
    <w:rsid w:val="1EFF6ADB"/>
    <w:rsid w:val="1F046C23"/>
    <w:rsid w:val="1F1B690A"/>
    <w:rsid w:val="1F286A98"/>
    <w:rsid w:val="1F2B0442"/>
    <w:rsid w:val="1F4A79F0"/>
    <w:rsid w:val="1F5A78CD"/>
    <w:rsid w:val="1F614156"/>
    <w:rsid w:val="1F7E0E8E"/>
    <w:rsid w:val="1F9579EB"/>
    <w:rsid w:val="1FC643C8"/>
    <w:rsid w:val="1FC9026D"/>
    <w:rsid w:val="1FDA36F5"/>
    <w:rsid w:val="202D1DEC"/>
    <w:rsid w:val="205B1C3C"/>
    <w:rsid w:val="20893E93"/>
    <w:rsid w:val="20901CE0"/>
    <w:rsid w:val="20BA77B4"/>
    <w:rsid w:val="20D014B4"/>
    <w:rsid w:val="20DA25AA"/>
    <w:rsid w:val="20F621DE"/>
    <w:rsid w:val="213A3B59"/>
    <w:rsid w:val="21700A07"/>
    <w:rsid w:val="21954351"/>
    <w:rsid w:val="219F1015"/>
    <w:rsid w:val="21C51D48"/>
    <w:rsid w:val="21D14D6E"/>
    <w:rsid w:val="22065BA0"/>
    <w:rsid w:val="222310D6"/>
    <w:rsid w:val="224B4528"/>
    <w:rsid w:val="226C35F1"/>
    <w:rsid w:val="227730ED"/>
    <w:rsid w:val="227D2693"/>
    <w:rsid w:val="229E480A"/>
    <w:rsid w:val="22DF19A0"/>
    <w:rsid w:val="22E5186B"/>
    <w:rsid w:val="23316059"/>
    <w:rsid w:val="23357D9B"/>
    <w:rsid w:val="23584EF5"/>
    <w:rsid w:val="237E4E24"/>
    <w:rsid w:val="23867F9F"/>
    <w:rsid w:val="23E22CF5"/>
    <w:rsid w:val="24771887"/>
    <w:rsid w:val="24D6241C"/>
    <w:rsid w:val="24E86EA5"/>
    <w:rsid w:val="24EB0437"/>
    <w:rsid w:val="252F5CBE"/>
    <w:rsid w:val="256C2A6E"/>
    <w:rsid w:val="259C08CF"/>
    <w:rsid w:val="25A61150"/>
    <w:rsid w:val="25AF6735"/>
    <w:rsid w:val="25B421BE"/>
    <w:rsid w:val="25C7239A"/>
    <w:rsid w:val="25DF5C81"/>
    <w:rsid w:val="25F759AC"/>
    <w:rsid w:val="26084C7C"/>
    <w:rsid w:val="263D38A6"/>
    <w:rsid w:val="264964E5"/>
    <w:rsid w:val="264E6CB2"/>
    <w:rsid w:val="26603AFB"/>
    <w:rsid w:val="267F3849"/>
    <w:rsid w:val="26B020F8"/>
    <w:rsid w:val="26C244CB"/>
    <w:rsid w:val="26D064B7"/>
    <w:rsid w:val="26D16809"/>
    <w:rsid w:val="26D56C2D"/>
    <w:rsid w:val="26EB1523"/>
    <w:rsid w:val="26F70A5D"/>
    <w:rsid w:val="27005B64"/>
    <w:rsid w:val="270D5D6B"/>
    <w:rsid w:val="272322CF"/>
    <w:rsid w:val="274511F9"/>
    <w:rsid w:val="27883591"/>
    <w:rsid w:val="278C289E"/>
    <w:rsid w:val="279A4EC5"/>
    <w:rsid w:val="27A0399E"/>
    <w:rsid w:val="27AC42D6"/>
    <w:rsid w:val="27B1122C"/>
    <w:rsid w:val="27C836A9"/>
    <w:rsid w:val="27D53B2A"/>
    <w:rsid w:val="28551EE0"/>
    <w:rsid w:val="287D6E94"/>
    <w:rsid w:val="288D32D1"/>
    <w:rsid w:val="28DC1917"/>
    <w:rsid w:val="28EE663C"/>
    <w:rsid w:val="28F45921"/>
    <w:rsid w:val="28FB0F40"/>
    <w:rsid w:val="293D5EEC"/>
    <w:rsid w:val="29560F77"/>
    <w:rsid w:val="29763EBB"/>
    <w:rsid w:val="29D470BC"/>
    <w:rsid w:val="29DF4157"/>
    <w:rsid w:val="2A4D2AD5"/>
    <w:rsid w:val="2A7B29EF"/>
    <w:rsid w:val="2A9249A3"/>
    <w:rsid w:val="2AEA1E2E"/>
    <w:rsid w:val="2B211BBC"/>
    <w:rsid w:val="2B723E4F"/>
    <w:rsid w:val="2B7D3C2B"/>
    <w:rsid w:val="2BBD471E"/>
    <w:rsid w:val="2BE86D31"/>
    <w:rsid w:val="2C154FFB"/>
    <w:rsid w:val="2C430468"/>
    <w:rsid w:val="2C4E095E"/>
    <w:rsid w:val="2C532E03"/>
    <w:rsid w:val="2C556985"/>
    <w:rsid w:val="2C810D50"/>
    <w:rsid w:val="2C9E19E3"/>
    <w:rsid w:val="2CB87CE7"/>
    <w:rsid w:val="2CF62D01"/>
    <w:rsid w:val="2D044A01"/>
    <w:rsid w:val="2D161825"/>
    <w:rsid w:val="2D1939BD"/>
    <w:rsid w:val="2D607EE4"/>
    <w:rsid w:val="2D614CDF"/>
    <w:rsid w:val="2D671A9C"/>
    <w:rsid w:val="2D861F6F"/>
    <w:rsid w:val="2D9502C7"/>
    <w:rsid w:val="2DA502D5"/>
    <w:rsid w:val="2DC85889"/>
    <w:rsid w:val="2DC93154"/>
    <w:rsid w:val="2DCA6ECC"/>
    <w:rsid w:val="2DD3554F"/>
    <w:rsid w:val="2DEF09D6"/>
    <w:rsid w:val="2E160363"/>
    <w:rsid w:val="2E293CB8"/>
    <w:rsid w:val="2E33248F"/>
    <w:rsid w:val="2E352597"/>
    <w:rsid w:val="2E475DF2"/>
    <w:rsid w:val="2E545220"/>
    <w:rsid w:val="2E5C09C2"/>
    <w:rsid w:val="2E622FD4"/>
    <w:rsid w:val="2E855623"/>
    <w:rsid w:val="2EB07DE2"/>
    <w:rsid w:val="2EFC4E63"/>
    <w:rsid w:val="2F072B27"/>
    <w:rsid w:val="2F0E3A34"/>
    <w:rsid w:val="2F3B208A"/>
    <w:rsid w:val="2F3E5851"/>
    <w:rsid w:val="2F54283B"/>
    <w:rsid w:val="2F5A7D94"/>
    <w:rsid w:val="2F68664A"/>
    <w:rsid w:val="2F7414A9"/>
    <w:rsid w:val="2F9920E9"/>
    <w:rsid w:val="2FAB145D"/>
    <w:rsid w:val="2FD1746D"/>
    <w:rsid w:val="308019C8"/>
    <w:rsid w:val="30CE3344"/>
    <w:rsid w:val="30CE34F1"/>
    <w:rsid w:val="30DD24C1"/>
    <w:rsid w:val="30F32973"/>
    <w:rsid w:val="31126EF9"/>
    <w:rsid w:val="318B6E5A"/>
    <w:rsid w:val="318F0210"/>
    <w:rsid w:val="32083E57"/>
    <w:rsid w:val="322A3D1C"/>
    <w:rsid w:val="3245389A"/>
    <w:rsid w:val="324E77AD"/>
    <w:rsid w:val="32AB590C"/>
    <w:rsid w:val="32B86F9A"/>
    <w:rsid w:val="32DB5A88"/>
    <w:rsid w:val="332B5D17"/>
    <w:rsid w:val="337D1F7E"/>
    <w:rsid w:val="33973882"/>
    <w:rsid w:val="33A24CED"/>
    <w:rsid w:val="33D71AE1"/>
    <w:rsid w:val="34290525"/>
    <w:rsid w:val="34A32A33"/>
    <w:rsid w:val="34C60F09"/>
    <w:rsid w:val="34DD6428"/>
    <w:rsid w:val="352E7EEA"/>
    <w:rsid w:val="35313D1A"/>
    <w:rsid w:val="35950F0C"/>
    <w:rsid w:val="35FE649D"/>
    <w:rsid w:val="36084697"/>
    <w:rsid w:val="36261AFB"/>
    <w:rsid w:val="365633DC"/>
    <w:rsid w:val="36706DD9"/>
    <w:rsid w:val="3685634F"/>
    <w:rsid w:val="369416CB"/>
    <w:rsid w:val="36A5704D"/>
    <w:rsid w:val="36BD5820"/>
    <w:rsid w:val="36D729B2"/>
    <w:rsid w:val="36FD2C4D"/>
    <w:rsid w:val="37153CCA"/>
    <w:rsid w:val="378A51E7"/>
    <w:rsid w:val="37BE5942"/>
    <w:rsid w:val="37D66D1B"/>
    <w:rsid w:val="38066D52"/>
    <w:rsid w:val="388035E5"/>
    <w:rsid w:val="3890045F"/>
    <w:rsid w:val="39167EB2"/>
    <w:rsid w:val="39266781"/>
    <w:rsid w:val="398A4DAF"/>
    <w:rsid w:val="39E06018"/>
    <w:rsid w:val="39F826C8"/>
    <w:rsid w:val="3A5603CE"/>
    <w:rsid w:val="3A86775D"/>
    <w:rsid w:val="3A904658"/>
    <w:rsid w:val="3AE83341"/>
    <w:rsid w:val="3B0B217C"/>
    <w:rsid w:val="3B134D90"/>
    <w:rsid w:val="3B136FAC"/>
    <w:rsid w:val="3B36642C"/>
    <w:rsid w:val="3B856238"/>
    <w:rsid w:val="3BA16488"/>
    <w:rsid w:val="3BA51D81"/>
    <w:rsid w:val="3BB856DF"/>
    <w:rsid w:val="3BC0680B"/>
    <w:rsid w:val="3C0644B8"/>
    <w:rsid w:val="3C0C03A5"/>
    <w:rsid w:val="3C283CCF"/>
    <w:rsid w:val="3C5114ED"/>
    <w:rsid w:val="3C5A3B8E"/>
    <w:rsid w:val="3C7540BD"/>
    <w:rsid w:val="3D042B50"/>
    <w:rsid w:val="3D203CF5"/>
    <w:rsid w:val="3D2C1CB9"/>
    <w:rsid w:val="3DBF1E71"/>
    <w:rsid w:val="3DC5407C"/>
    <w:rsid w:val="3DD05BD6"/>
    <w:rsid w:val="3DF6563E"/>
    <w:rsid w:val="3DF70612"/>
    <w:rsid w:val="3E003E79"/>
    <w:rsid w:val="3E332D69"/>
    <w:rsid w:val="3E3A4F1F"/>
    <w:rsid w:val="3E507DE7"/>
    <w:rsid w:val="3E933846"/>
    <w:rsid w:val="3EC55179"/>
    <w:rsid w:val="3EDA2CC6"/>
    <w:rsid w:val="3EDE61C9"/>
    <w:rsid w:val="3EED3CC3"/>
    <w:rsid w:val="3F1C161C"/>
    <w:rsid w:val="3F4803EF"/>
    <w:rsid w:val="3F6D21BC"/>
    <w:rsid w:val="3F816789"/>
    <w:rsid w:val="3F891DC9"/>
    <w:rsid w:val="3F981507"/>
    <w:rsid w:val="3FBF06B3"/>
    <w:rsid w:val="3FE302AC"/>
    <w:rsid w:val="3FEB6194"/>
    <w:rsid w:val="3FF92759"/>
    <w:rsid w:val="400E49F6"/>
    <w:rsid w:val="40240CDD"/>
    <w:rsid w:val="404B791B"/>
    <w:rsid w:val="40A26319"/>
    <w:rsid w:val="40BA1986"/>
    <w:rsid w:val="40C551BC"/>
    <w:rsid w:val="40C75132"/>
    <w:rsid w:val="40CE45AD"/>
    <w:rsid w:val="40ED050C"/>
    <w:rsid w:val="412465F7"/>
    <w:rsid w:val="412A078B"/>
    <w:rsid w:val="413E3E8D"/>
    <w:rsid w:val="41596E4F"/>
    <w:rsid w:val="41635215"/>
    <w:rsid w:val="4180170D"/>
    <w:rsid w:val="418231AF"/>
    <w:rsid w:val="41894952"/>
    <w:rsid w:val="418D4040"/>
    <w:rsid w:val="41DE0D99"/>
    <w:rsid w:val="41E32DC2"/>
    <w:rsid w:val="42303838"/>
    <w:rsid w:val="4254611F"/>
    <w:rsid w:val="425B1DD5"/>
    <w:rsid w:val="425E3E4E"/>
    <w:rsid w:val="42945C38"/>
    <w:rsid w:val="43044BDB"/>
    <w:rsid w:val="43187044"/>
    <w:rsid w:val="43233EC9"/>
    <w:rsid w:val="432A0F09"/>
    <w:rsid w:val="432B54FD"/>
    <w:rsid w:val="434F5A51"/>
    <w:rsid w:val="439030B2"/>
    <w:rsid w:val="43B83A98"/>
    <w:rsid w:val="43DE5EAD"/>
    <w:rsid w:val="43E61472"/>
    <w:rsid w:val="440740F1"/>
    <w:rsid w:val="44131FA3"/>
    <w:rsid w:val="44140A9E"/>
    <w:rsid w:val="44676AFA"/>
    <w:rsid w:val="451E1B7F"/>
    <w:rsid w:val="45217119"/>
    <w:rsid w:val="45257B97"/>
    <w:rsid w:val="456A5E02"/>
    <w:rsid w:val="457808D7"/>
    <w:rsid w:val="45965998"/>
    <w:rsid w:val="45B35215"/>
    <w:rsid w:val="45CB508E"/>
    <w:rsid w:val="45D46BAF"/>
    <w:rsid w:val="46004564"/>
    <w:rsid w:val="46661462"/>
    <w:rsid w:val="46730185"/>
    <w:rsid w:val="467E1622"/>
    <w:rsid w:val="469A029F"/>
    <w:rsid w:val="46A20344"/>
    <w:rsid w:val="46A46564"/>
    <w:rsid w:val="46B06807"/>
    <w:rsid w:val="46BF1C4C"/>
    <w:rsid w:val="46C21562"/>
    <w:rsid w:val="46C339BE"/>
    <w:rsid w:val="46CC017A"/>
    <w:rsid w:val="46CF69B7"/>
    <w:rsid w:val="46DD4D58"/>
    <w:rsid w:val="46E634A0"/>
    <w:rsid w:val="46FC2626"/>
    <w:rsid w:val="470C587E"/>
    <w:rsid w:val="47222B39"/>
    <w:rsid w:val="47576F68"/>
    <w:rsid w:val="47652E8A"/>
    <w:rsid w:val="47A752F3"/>
    <w:rsid w:val="47AB512F"/>
    <w:rsid w:val="47C604F4"/>
    <w:rsid w:val="47F82368"/>
    <w:rsid w:val="481F2C2E"/>
    <w:rsid w:val="482C02E3"/>
    <w:rsid w:val="484821E2"/>
    <w:rsid w:val="4851401A"/>
    <w:rsid w:val="485D052D"/>
    <w:rsid w:val="487737AC"/>
    <w:rsid w:val="4882300A"/>
    <w:rsid w:val="48AC136B"/>
    <w:rsid w:val="490A2976"/>
    <w:rsid w:val="494A6586"/>
    <w:rsid w:val="49667ACF"/>
    <w:rsid w:val="496F2EF0"/>
    <w:rsid w:val="49785C5A"/>
    <w:rsid w:val="49842B76"/>
    <w:rsid w:val="49D0254C"/>
    <w:rsid w:val="49EB1BD5"/>
    <w:rsid w:val="4A011F51"/>
    <w:rsid w:val="4A337E24"/>
    <w:rsid w:val="4A8058E3"/>
    <w:rsid w:val="4B1643C8"/>
    <w:rsid w:val="4B3A7EC7"/>
    <w:rsid w:val="4B4550E2"/>
    <w:rsid w:val="4B6C0FBC"/>
    <w:rsid w:val="4BDD7346"/>
    <w:rsid w:val="4C322CD5"/>
    <w:rsid w:val="4C4C5DE3"/>
    <w:rsid w:val="4C50663B"/>
    <w:rsid w:val="4C571FA5"/>
    <w:rsid w:val="4C904591"/>
    <w:rsid w:val="4CEB3D53"/>
    <w:rsid w:val="4D427AFA"/>
    <w:rsid w:val="4D7A4288"/>
    <w:rsid w:val="4D8348DE"/>
    <w:rsid w:val="4D8520C9"/>
    <w:rsid w:val="4D861306"/>
    <w:rsid w:val="4D97365B"/>
    <w:rsid w:val="4DD67448"/>
    <w:rsid w:val="4DF473BE"/>
    <w:rsid w:val="4E520EE3"/>
    <w:rsid w:val="4E647E8A"/>
    <w:rsid w:val="4E696776"/>
    <w:rsid w:val="4E6B7D0D"/>
    <w:rsid w:val="4E7F298B"/>
    <w:rsid w:val="4EB032D6"/>
    <w:rsid w:val="4F3348FE"/>
    <w:rsid w:val="4FB43578"/>
    <w:rsid w:val="4FBC1632"/>
    <w:rsid w:val="4FFE361C"/>
    <w:rsid w:val="501E6ED7"/>
    <w:rsid w:val="504B084D"/>
    <w:rsid w:val="50B1290E"/>
    <w:rsid w:val="50BE6B5C"/>
    <w:rsid w:val="50C57977"/>
    <w:rsid w:val="50D939F7"/>
    <w:rsid w:val="50DA10F4"/>
    <w:rsid w:val="50E412B7"/>
    <w:rsid w:val="50EC3089"/>
    <w:rsid w:val="50EF6333"/>
    <w:rsid w:val="50F85BED"/>
    <w:rsid w:val="51075407"/>
    <w:rsid w:val="51112585"/>
    <w:rsid w:val="511C3697"/>
    <w:rsid w:val="51302B3F"/>
    <w:rsid w:val="518276D7"/>
    <w:rsid w:val="518F05FD"/>
    <w:rsid w:val="51EF0FDE"/>
    <w:rsid w:val="51F10DCE"/>
    <w:rsid w:val="52253C6F"/>
    <w:rsid w:val="52636769"/>
    <w:rsid w:val="52901199"/>
    <w:rsid w:val="52F07493"/>
    <w:rsid w:val="53193519"/>
    <w:rsid w:val="531E73FE"/>
    <w:rsid w:val="533878F6"/>
    <w:rsid w:val="539102A1"/>
    <w:rsid w:val="53BA0524"/>
    <w:rsid w:val="54002076"/>
    <w:rsid w:val="54022F41"/>
    <w:rsid w:val="5423331E"/>
    <w:rsid w:val="54570750"/>
    <w:rsid w:val="5482532E"/>
    <w:rsid w:val="54AF6952"/>
    <w:rsid w:val="54D844F6"/>
    <w:rsid w:val="55205C0D"/>
    <w:rsid w:val="55320714"/>
    <w:rsid w:val="5535696F"/>
    <w:rsid w:val="55614DC3"/>
    <w:rsid w:val="5611442B"/>
    <w:rsid w:val="564B52D3"/>
    <w:rsid w:val="566925D4"/>
    <w:rsid w:val="56A23794"/>
    <w:rsid w:val="56A60D35"/>
    <w:rsid w:val="56F16519"/>
    <w:rsid w:val="56FA762A"/>
    <w:rsid w:val="572309DB"/>
    <w:rsid w:val="57527D35"/>
    <w:rsid w:val="575E7753"/>
    <w:rsid w:val="57621579"/>
    <w:rsid w:val="57953D61"/>
    <w:rsid w:val="57960E14"/>
    <w:rsid w:val="579637F7"/>
    <w:rsid w:val="57A159AA"/>
    <w:rsid w:val="57AA6D10"/>
    <w:rsid w:val="57C953D7"/>
    <w:rsid w:val="57D422E0"/>
    <w:rsid w:val="58EA6842"/>
    <w:rsid w:val="592B385B"/>
    <w:rsid w:val="59306172"/>
    <w:rsid w:val="596863A2"/>
    <w:rsid w:val="59A75AF3"/>
    <w:rsid w:val="59BD036C"/>
    <w:rsid w:val="59C67CE7"/>
    <w:rsid w:val="59D07B79"/>
    <w:rsid w:val="59EB1BFA"/>
    <w:rsid w:val="5A343C8F"/>
    <w:rsid w:val="5A517EA9"/>
    <w:rsid w:val="5A5771A5"/>
    <w:rsid w:val="5A8965B8"/>
    <w:rsid w:val="5A8C2158"/>
    <w:rsid w:val="5AB430B9"/>
    <w:rsid w:val="5ABC5786"/>
    <w:rsid w:val="5ACA284E"/>
    <w:rsid w:val="5ADA4313"/>
    <w:rsid w:val="5AF64196"/>
    <w:rsid w:val="5B587054"/>
    <w:rsid w:val="5B8E00AC"/>
    <w:rsid w:val="5BA225F7"/>
    <w:rsid w:val="5BBF6383"/>
    <w:rsid w:val="5BC166DD"/>
    <w:rsid w:val="5BDF7777"/>
    <w:rsid w:val="5C0E68FE"/>
    <w:rsid w:val="5C124074"/>
    <w:rsid w:val="5C424F74"/>
    <w:rsid w:val="5C633178"/>
    <w:rsid w:val="5CA43532"/>
    <w:rsid w:val="5CBB09D5"/>
    <w:rsid w:val="5CDA204A"/>
    <w:rsid w:val="5CE870EC"/>
    <w:rsid w:val="5CEF739E"/>
    <w:rsid w:val="5D1D2B00"/>
    <w:rsid w:val="5D235B2D"/>
    <w:rsid w:val="5D2A08C1"/>
    <w:rsid w:val="5D2A15EE"/>
    <w:rsid w:val="5D9A7B0C"/>
    <w:rsid w:val="5D9E6BD1"/>
    <w:rsid w:val="5DE36C98"/>
    <w:rsid w:val="5E0B4767"/>
    <w:rsid w:val="5E3720EB"/>
    <w:rsid w:val="5E6E761B"/>
    <w:rsid w:val="5E976E38"/>
    <w:rsid w:val="5EC51909"/>
    <w:rsid w:val="5EDE1DE5"/>
    <w:rsid w:val="5F2B4D06"/>
    <w:rsid w:val="5F7E2C64"/>
    <w:rsid w:val="5F82462F"/>
    <w:rsid w:val="5F8B40F4"/>
    <w:rsid w:val="5FA7154D"/>
    <w:rsid w:val="5FBA7B2C"/>
    <w:rsid w:val="5FC93F0C"/>
    <w:rsid w:val="5FD21409"/>
    <w:rsid w:val="60067040"/>
    <w:rsid w:val="600C1F82"/>
    <w:rsid w:val="601A5980"/>
    <w:rsid w:val="604D3802"/>
    <w:rsid w:val="6054297B"/>
    <w:rsid w:val="609127A3"/>
    <w:rsid w:val="60A028E8"/>
    <w:rsid w:val="60AE6198"/>
    <w:rsid w:val="60C56359"/>
    <w:rsid w:val="60E11B03"/>
    <w:rsid w:val="612813CF"/>
    <w:rsid w:val="617701F5"/>
    <w:rsid w:val="61AE5BE1"/>
    <w:rsid w:val="61B73C23"/>
    <w:rsid w:val="61DA0784"/>
    <w:rsid w:val="61F54A57"/>
    <w:rsid w:val="61F97FCF"/>
    <w:rsid w:val="620A15C5"/>
    <w:rsid w:val="620B0936"/>
    <w:rsid w:val="624026FB"/>
    <w:rsid w:val="624A734E"/>
    <w:rsid w:val="625A6426"/>
    <w:rsid w:val="626A3744"/>
    <w:rsid w:val="626D7CE5"/>
    <w:rsid w:val="629B3047"/>
    <w:rsid w:val="62AE3675"/>
    <w:rsid w:val="62C531E2"/>
    <w:rsid w:val="62C84318"/>
    <w:rsid w:val="63125151"/>
    <w:rsid w:val="6315416A"/>
    <w:rsid w:val="638E799C"/>
    <w:rsid w:val="63AD1A92"/>
    <w:rsid w:val="63B773AF"/>
    <w:rsid w:val="63D363D3"/>
    <w:rsid w:val="63F21907"/>
    <w:rsid w:val="6404541E"/>
    <w:rsid w:val="64154D1A"/>
    <w:rsid w:val="642060E4"/>
    <w:rsid w:val="64415962"/>
    <w:rsid w:val="64A56577"/>
    <w:rsid w:val="64A648A8"/>
    <w:rsid w:val="64E002A0"/>
    <w:rsid w:val="64E12582"/>
    <w:rsid w:val="651B2FF3"/>
    <w:rsid w:val="652258CA"/>
    <w:rsid w:val="6553419D"/>
    <w:rsid w:val="65604308"/>
    <w:rsid w:val="65700B0B"/>
    <w:rsid w:val="65A02A1D"/>
    <w:rsid w:val="65A37328"/>
    <w:rsid w:val="65C0345F"/>
    <w:rsid w:val="65DA1603"/>
    <w:rsid w:val="65DB22B9"/>
    <w:rsid w:val="660F6271"/>
    <w:rsid w:val="666905F6"/>
    <w:rsid w:val="666D493C"/>
    <w:rsid w:val="66847BEE"/>
    <w:rsid w:val="66AD5D56"/>
    <w:rsid w:val="66AF7149"/>
    <w:rsid w:val="66B2435D"/>
    <w:rsid w:val="66C4146B"/>
    <w:rsid w:val="66E04CC5"/>
    <w:rsid w:val="66E3037E"/>
    <w:rsid w:val="67044650"/>
    <w:rsid w:val="670810B5"/>
    <w:rsid w:val="673A6B41"/>
    <w:rsid w:val="67667C06"/>
    <w:rsid w:val="67697AC2"/>
    <w:rsid w:val="678A7955"/>
    <w:rsid w:val="67B02055"/>
    <w:rsid w:val="67B46125"/>
    <w:rsid w:val="67CD302C"/>
    <w:rsid w:val="67EA727A"/>
    <w:rsid w:val="68076CD5"/>
    <w:rsid w:val="683F26AC"/>
    <w:rsid w:val="684026AA"/>
    <w:rsid w:val="686314D3"/>
    <w:rsid w:val="687C4343"/>
    <w:rsid w:val="6896164E"/>
    <w:rsid w:val="68964E22"/>
    <w:rsid w:val="68C17612"/>
    <w:rsid w:val="68D72712"/>
    <w:rsid w:val="68F975E9"/>
    <w:rsid w:val="690E21F6"/>
    <w:rsid w:val="69227B63"/>
    <w:rsid w:val="696760E2"/>
    <w:rsid w:val="69D30F81"/>
    <w:rsid w:val="6AB332C9"/>
    <w:rsid w:val="6AF01A89"/>
    <w:rsid w:val="6AF34582"/>
    <w:rsid w:val="6B2813CA"/>
    <w:rsid w:val="6B342FAA"/>
    <w:rsid w:val="6B7032C8"/>
    <w:rsid w:val="6B7A1677"/>
    <w:rsid w:val="6BA7592A"/>
    <w:rsid w:val="6BAF3C4D"/>
    <w:rsid w:val="6BBE0F0C"/>
    <w:rsid w:val="6BF36565"/>
    <w:rsid w:val="6BF609AF"/>
    <w:rsid w:val="6C131E4E"/>
    <w:rsid w:val="6C1A3795"/>
    <w:rsid w:val="6C29248B"/>
    <w:rsid w:val="6C312BEB"/>
    <w:rsid w:val="6C346700"/>
    <w:rsid w:val="6C464E52"/>
    <w:rsid w:val="6CC06802"/>
    <w:rsid w:val="6CD55BC4"/>
    <w:rsid w:val="6D044B8A"/>
    <w:rsid w:val="6D2D5806"/>
    <w:rsid w:val="6D471A43"/>
    <w:rsid w:val="6D526667"/>
    <w:rsid w:val="6D534EEB"/>
    <w:rsid w:val="6D553A23"/>
    <w:rsid w:val="6D6A620F"/>
    <w:rsid w:val="6DAC22A7"/>
    <w:rsid w:val="6DAE2170"/>
    <w:rsid w:val="6DB86EFD"/>
    <w:rsid w:val="6DF777CB"/>
    <w:rsid w:val="6E2D1662"/>
    <w:rsid w:val="6E371594"/>
    <w:rsid w:val="6E566540"/>
    <w:rsid w:val="6ECE2008"/>
    <w:rsid w:val="6ED81666"/>
    <w:rsid w:val="6F325BB0"/>
    <w:rsid w:val="6F631830"/>
    <w:rsid w:val="6F6B7429"/>
    <w:rsid w:val="6F8C4257"/>
    <w:rsid w:val="6FA44A8E"/>
    <w:rsid w:val="6FCD36D6"/>
    <w:rsid w:val="6FD54C70"/>
    <w:rsid w:val="6FE13097"/>
    <w:rsid w:val="70206C4C"/>
    <w:rsid w:val="705A56A8"/>
    <w:rsid w:val="705F2085"/>
    <w:rsid w:val="70615B55"/>
    <w:rsid w:val="70814DF7"/>
    <w:rsid w:val="70893AA1"/>
    <w:rsid w:val="709F3BC2"/>
    <w:rsid w:val="70AD48BF"/>
    <w:rsid w:val="710F4EB1"/>
    <w:rsid w:val="714268A8"/>
    <w:rsid w:val="715332D4"/>
    <w:rsid w:val="71752277"/>
    <w:rsid w:val="71A11566"/>
    <w:rsid w:val="71ED1CEC"/>
    <w:rsid w:val="71FF7969"/>
    <w:rsid w:val="720D1ADA"/>
    <w:rsid w:val="7210005D"/>
    <w:rsid w:val="722453E2"/>
    <w:rsid w:val="726A724A"/>
    <w:rsid w:val="7285474D"/>
    <w:rsid w:val="72866DD6"/>
    <w:rsid w:val="729619B9"/>
    <w:rsid w:val="72B23590"/>
    <w:rsid w:val="72ED6A0B"/>
    <w:rsid w:val="72F10039"/>
    <w:rsid w:val="730A536A"/>
    <w:rsid w:val="732531F5"/>
    <w:rsid w:val="7334290B"/>
    <w:rsid w:val="73555EBD"/>
    <w:rsid w:val="736519AF"/>
    <w:rsid w:val="73EE19E8"/>
    <w:rsid w:val="746D1230"/>
    <w:rsid w:val="748B5D9A"/>
    <w:rsid w:val="748F0AAD"/>
    <w:rsid w:val="749606D3"/>
    <w:rsid w:val="74B901F7"/>
    <w:rsid w:val="74BE4F00"/>
    <w:rsid w:val="74E81F89"/>
    <w:rsid w:val="74EA1049"/>
    <w:rsid w:val="75062D05"/>
    <w:rsid w:val="751F4720"/>
    <w:rsid w:val="75405B50"/>
    <w:rsid w:val="7589350C"/>
    <w:rsid w:val="7593525D"/>
    <w:rsid w:val="759451D7"/>
    <w:rsid w:val="75D339A9"/>
    <w:rsid w:val="763F7EAA"/>
    <w:rsid w:val="76412F05"/>
    <w:rsid w:val="764F3097"/>
    <w:rsid w:val="76AB01D5"/>
    <w:rsid w:val="76F919C7"/>
    <w:rsid w:val="77081DCC"/>
    <w:rsid w:val="770F40DE"/>
    <w:rsid w:val="77455BCB"/>
    <w:rsid w:val="77BD4B56"/>
    <w:rsid w:val="77DD6A1E"/>
    <w:rsid w:val="78722E78"/>
    <w:rsid w:val="78960C53"/>
    <w:rsid w:val="78A90C20"/>
    <w:rsid w:val="78B94E86"/>
    <w:rsid w:val="78E226A7"/>
    <w:rsid w:val="790465D0"/>
    <w:rsid w:val="79200D1B"/>
    <w:rsid w:val="7972638A"/>
    <w:rsid w:val="79925281"/>
    <w:rsid w:val="799534B7"/>
    <w:rsid w:val="79BA5387"/>
    <w:rsid w:val="79BE45E1"/>
    <w:rsid w:val="7A0A7100"/>
    <w:rsid w:val="7A2F52E9"/>
    <w:rsid w:val="7A66206A"/>
    <w:rsid w:val="7A9C0875"/>
    <w:rsid w:val="7AA77E9D"/>
    <w:rsid w:val="7AB672DE"/>
    <w:rsid w:val="7AC643F6"/>
    <w:rsid w:val="7ACD6C80"/>
    <w:rsid w:val="7AFB05F8"/>
    <w:rsid w:val="7B2D1817"/>
    <w:rsid w:val="7B2D4469"/>
    <w:rsid w:val="7B666D90"/>
    <w:rsid w:val="7BC255C5"/>
    <w:rsid w:val="7BC661A6"/>
    <w:rsid w:val="7C1A0E1E"/>
    <w:rsid w:val="7C325B99"/>
    <w:rsid w:val="7C425947"/>
    <w:rsid w:val="7C4D5B1D"/>
    <w:rsid w:val="7C6A0419"/>
    <w:rsid w:val="7CA11F69"/>
    <w:rsid w:val="7CFE2D07"/>
    <w:rsid w:val="7D055F67"/>
    <w:rsid w:val="7D3F20B7"/>
    <w:rsid w:val="7D40198C"/>
    <w:rsid w:val="7D737F59"/>
    <w:rsid w:val="7D8344FC"/>
    <w:rsid w:val="7E076724"/>
    <w:rsid w:val="7E0F0B38"/>
    <w:rsid w:val="7E2378FA"/>
    <w:rsid w:val="7E3B4840"/>
    <w:rsid w:val="7E4C4F44"/>
    <w:rsid w:val="7E57241E"/>
    <w:rsid w:val="7E5A082B"/>
    <w:rsid w:val="7E7B46F7"/>
    <w:rsid w:val="7EA07D6A"/>
    <w:rsid w:val="7EAE3264"/>
    <w:rsid w:val="7EBF544A"/>
    <w:rsid w:val="7F087428"/>
    <w:rsid w:val="7F0A623D"/>
    <w:rsid w:val="7F385618"/>
    <w:rsid w:val="7F41299D"/>
    <w:rsid w:val="7F78200B"/>
    <w:rsid w:val="7F8D2BC0"/>
    <w:rsid w:val="7F9E009F"/>
    <w:rsid w:val="7FC819E6"/>
    <w:rsid w:val="7FEB1B17"/>
    <w:rsid w:val="7FEF4239"/>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iPriority="9" w:name="heading 4" w:locked="1"/>
    <w:lsdException w:qFormat="1" w:unhideWhenUsed="0" w:uiPriority="99" w:semiHidden="0" w:name="heading 5"/>
    <w:lsdException w:qFormat="1" w:unhideWhenUsed="0" w:uiPriority="99" w:semiHidden="0" w:name="heading 6"/>
    <w:lsdException w:qFormat="1" w:unhideWhenUsed="0" w:uiPriority="99" w:semiHidden="0" w:name="heading 7"/>
    <w:lsdException w:qFormat="1" w:uiPriority="9" w:name="heading 8" w:locked="1"/>
    <w:lsdException w:qFormat="1" w:uiPriority="9" w:name="heading 9" w:locked="1"/>
    <w:lsdException w:uiPriority="99" w:name="index 1" w:locked="1"/>
    <w:lsdException w:uiPriority="99" w:name="index 2" w:locked="1"/>
    <w:lsdException w:uiPriority="99" w:name="index 3" w:locked="1"/>
    <w:lsdException w:uiPriority="99" w:name="index 4" w:locked="1"/>
    <w:lsdException w:uiPriority="99" w:name="index 5" w:locked="1"/>
    <w:lsdException w:uiPriority="99" w:name="index 6" w:locked="1"/>
    <w:lsdException w:uiPriority="99" w:name="index 7" w:locked="1"/>
    <w:lsdException w:uiPriority="99" w:name="index 8" w:locked="1"/>
    <w:lsdException w:uiPriority="99" w:name="index 9" w:locked="1"/>
    <w:lsdException w:qFormat="1" w:unhideWhenUsed="0" w:uiPriority="39" w:semiHidden="0" w:name="toc 1"/>
    <w:lsdException w:qFormat="1" w:unhideWhenUsed="0" w:uiPriority="3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uiPriority="99" w:name="Normal Indent" w:locked="1"/>
    <w:lsdException w:qFormat="1" w:unhideWhenUsed="0" w:uiPriority="0" w:semiHidden="0" w:name="footnote text"/>
    <w:lsdException w:qFormat="1" w:unhideWhenUsed="0" w:uiPriority="99" w:name="annotation text"/>
    <w:lsdException w:qFormat="1" w:unhideWhenUsed="0" w:uiPriority="99" w:semiHidden="0" w:name="header"/>
    <w:lsdException w:qFormat="1" w:unhideWhenUsed="0" w:uiPriority="99" w:semiHidden="0" w:name="footer"/>
    <w:lsdException w:uiPriority="99" w:name="index heading" w:locked="1"/>
    <w:lsdException w:qFormat="1" w:uiPriority="35" w:name="caption" w:locked="1"/>
    <w:lsdException w:uiPriority="99" w:name="table of figures" w:locked="1"/>
    <w:lsdException w:uiPriority="99" w:name="envelope address" w:locked="1"/>
    <w:lsdException w:uiPriority="99" w:name="envelope return" w:locked="1"/>
    <w:lsdException w:qFormat="1" w:unhideWhenUsed="0" w:uiPriority="0" w:semiHidden="0" w:name="footnote reference"/>
    <w:lsdException w:qFormat="1" w:unhideWhenUsed="0" w:uiPriority="99" w:name="annotation reference"/>
    <w:lsdException w:uiPriority="99" w:name="line number" w:locked="1"/>
    <w:lsdException w:qFormat="1" w:unhideWhenUsed="0" w:uiPriority="99" w:semiHidden="0" w:name="page number"/>
    <w:lsdException w:qFormat="1" w:uiPriority="99" w:name="endnote reference" w:locked="1"/>
    <w:lsdException w:qFormat="1" w:uiPriority="99" w:name="endnote text" w:locked="1"/>
    <w:lsdException w:uiPriority="99" w:name="table of authorities" w:locked="1"/>
    <w:lsdException w:uiPriority="99" w:name="macro" w:locked="1"/>
    <w:lsdException w:uiPriority="99" w:name="toa heading" w:locked="1"/>
    <w:lsdException w:uiPriority="99" w:name="List" w:locked="1"/>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99" w:semiHidden="0" w:name="Title"/>
    <w:lsdException w:uiPriority="99" w:name="Closing" w:locked="1"/>
    <w:lsdException w:uiPriority="99" w:name="Signature" w:locked="1"/>
    <w:lsdException w:qFormat="1" w:uiPriority="1" w:name="Default Paragraph Font"/>
    <w:lsdException w:qFormat="1" w:unhideWhenUsed="0" w:uiPriority="99" w:semiHidden="0" w:name="Body Text"/>
    <w:lsdException w:uiPriority="99" w:name="Body Text Indent" w:locked="1"/>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11" w:semiHidden="0" w:name="Subtitle" w:locked="1"/>
    <w:lsdException w:uiPriority="99" w:name="Salutation" w:locked="1"/>
    <w:lsdException w:qFormat="1" w:unhideWhenUsed="0" w:uiPriority="99" w:semiHidden="0" w:name="Date"/>
    <w:lsdException w:uiPriority="99" w:name="Body Text First Indent" w:locked="1"/>
    <w:lsdException w:uiPriority="99" w:name="Body Text First Indent 2" w:locked="1"/>
    <w:lsdException w:uiPriority="99" w:name="Note Heading" w:locked="1"/>
    <w:lsdException w:uiPriority="99" w:name="Body Text 2" w:locked="1"/>
    <w:lsdException w:uiPriority="99" w:name="Body Text 3" w:locked="1"/>
    <w:lsdException w:qFormat="1" w:unhideWhenUsed="0" w:uiPriority="99" w:semiHidden="0" w:name="Body Text Indent 2"/>
    <w:lsdException w:uiPriority="99" w:name="Body Text Indent 3" w:locked="1"/>
    <w:lsdException w:uiPriority="99" w:name="Block Text" w:locked="1"/>
    <w:lsdException w:qFormat="1" w:unhideWhenUsed="0" w:uiPriority="99" w:semiHidden="0" w:name="Hyperlink"/>
    <w:lsdException w:qFormat="1" w:unhideWhenUsed="0" w:uiPriority="99" w:semiHidden="0" w:name="FollowedHyperlink"/>
    <w:lsdException w:qFormat="1" w:unhideWhenUsed="0" w:uiPriority="22" w:semiHidden="0" w:name="Strong" w:locked="1"/>
    <w:lsdException w:qFormat="1" w:unhideWhenUsed="0" w:uiPriority="20" w:semiHidden="0" w:name="Emphasis" w:locked="1"/>
    <w:lsdException w:qFormat="1" w:unhideWhenUsed="0" w:uiPriority="99" w:semiHidden="0" w:name="Document Map"/>
    <w:lsdException w:uiPriority="99" w:name="Plain Text" w:locked="1"/>
    <w:lsdException w:uiPriority="99" w:name="E-mail Signature" w:locked="1"/>
    <w:lsdException w:qFormat="1" w:uiPriority="99" w:name="Normal (Web)" w:locked="1"/>
    <w:lsdException w:uiPriority="99" w:name="HTML Acronym" w:locked="1"/>
    <w:lsdException w:uiPriority="99" w:name="HTML Address" w:locked="1"/>
    <w:lsdException w:uiPriority="99" w:name="HTML Cite" w:locked="1"/>
    <w:lsdException w:uiPriority="99" w:name="HTML Code" w:locked="1"/>
    <w:lsdException w:uiPriority="99" w:name="HTML Definition" w:locked="1"/>
    <w:lsdException w:uiPriority="99" w:name="HTML Keyboard" w:locked="1"/>
    <w:lsdException w:uiPriority="99" w:name="HTML Preformatted" w:locked="1"/>
    <w:lsdException w:uiPriority="99" w:name="HTML Sample" w:locked="1"/>
    <w:lsdException w:uiPriority="99" w:name="HTML Typewriter" w:locked="1"/>
    <w:lsdException w:uiPriority="99" w:name="HTML Variable" w:locked="1"/>
    <w:lsdException w:qFormat="1" w:uiPriority="99" w:name="Normal Table"/>
    <w:lsdException w:qFormat="1" w:unhideWhenUsed="0" w:uiPriority="99" w:name="annotation subject"/>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qFormat="1" w:unhideWhenUsed="0" w:uiPriority="99" w:name="Balloon Text"/>
    <w:lsdException w:qFormat="1" w:unhideWhenUsed="0" w:uiPriority="99" w:semiHidden="0" w:name="Table Grid"/>
    <w:lsdException w:uiPriority="99"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500" w:lineRule="exact"/>
      <w:ind w:firstLine="200" w:firstLineChars="200"/>
      <w:contextualSpacing/>
      <w:jc w:val="both"/>
    </w:pPr>
    <w:rPr>
      <w:rFonts w:ascii="仿宋_GB2312" w:hAnsi="仿宋_GB2312" w:eastAsia="仿宋_GB2312" w:cs="仿宋_GB2312"/>
      <w:kern w:val="2"/>
      <w:sz w:val="28"/>
      <w:szCs w:val="28"/>
      <w:lang w:val="en-US" w:eastAsia="zh-CN" w:bidi="ar-SA"/>
    </w:rPr>
  </w:style>
  <w:style w:type="paragraph" w:styleId="2">
    <w:name w:val="heading 1"/>
    <w:basedOn w:val="1"/>
    <w:next w:val="1"/>
    <w:link w:val="39"/>
    <w:qFormat/>
    <w:uiPriority w:val="99"/>
    <w:pPr>
      <w:keepNext/>
      <w:keepLines/>
      <w:spacing w:after="120"/>
      <w:ind w:right="87" w:rightChars="31" w:firstLine="0" w:firstLineChars="0"/>
      <w:outlineLvl w:val="0"/>
    </w:pPr>
    <w:rPr>
      <w:rFonts w:cs="Times New Roman"/>
      <w:b/>
      <w:bCs/>
      <w:kern w:val="44"/>
      <w:sz w:val="30"/>
      <w:szCs w:val="30"/>
    </w:rPr>
  </w:style>
  <w:style w:type="paragraph" w:styleId="3">
    <w:name w:val="heading 2"/>
    <w:basedOn w:val="2"/>
    <w:next w:val="1"/>
    <w:link w:val="40"/>
    <w:qFormat/>
    <w:uiPriority w:val="99"/>
    <w:pPr>
      <w:spacing w:after="0"/>
      <w:ind w:right="0" w:rightChars="0" w:firstLine="602" w:firstLineChars="200"/>
      <w:outlineLvl w:val="1"/>
    </w:pPr>
    <w:rPr>
      <w:bCs w:val="0"/>
    </w:rPr>
  </w:style>
  <w:style w:type="paragraph" w:styleId="4">
    <w:name w:val="heading 3"/>
    <w:basedOn w:val="1"/>
    <w:next w:val="1"/>
    <w:link w:val="41"/>
    <w:qFormat/>
    <w:uiPriority w:val="99"/>
    <w:pPr>
      <w:keepNext/>
      <w:keepLines/>
      <w:spacing w:before="260" w:after="260" w:line="416" w:lineRule="auto"/>
      <w:outlineLvl w:val="2"/>
    </w:pPr>
    <w:rPr>
      <w:rFonts w:ascii="Times New Roman" w:hAnsi="Times New Roman" w:eastAsia="Simang" w:cs="Times New Roman"/>
      <w:b/>
      <w:bCs/>
      <w:sz w:val="32"/>
      <w:szCs w:val="32"/>
    </w:rPr>
  </w:style>
  <w:style w:type="paragraph" w:styleId="5">
    <w:name w:val="heading 5"/>
    <w:basedOn w:val="1"/>
    <w:next w:val="1"/>
    <w:link w:val="42"/>
    <w:qFormat/>
    <w:uiPriority w:val="99"/>
    <w:pPr>
      <w:keepNext/>
      <w:keepLines/>
      <w:spacing w:before="280" w:after="290" w:line="376" w:lineRule="atLeast"/>
      <w:outlineLvl w:val="4"/>
    </w:pPr>
    <w:rPr>
      <w:b/>
      <w:bCs/>
    </w:rPr>
  </w:style>
  <w:style w:type="paragraph" w:styleId="6">
    <w:name w:val="heading 6"/>
    <w:basedOn w:val="1"/>
    <w:next w:val="1"/>
    <w:link w:val="43"/>
    <w:qFormat/>
    <w:uiPriority w:val="99"/>
    <w:pPr>
      <w:keepNext/>
      <w:keepLines/>
      <w:spacing w:before="240" w:after="64" w:line="320" w:lineRule="atLeast"/>
      <w:outlineLvl w:val="5"/>
    </w:pPr>
    <w:rPr>
      <w:rFonts w:ascii="等线 Light" w:hAnsi="等线 Light" w:eastAsia="等线 Light" w:cs="Times New Roman"/>
      <w:b/>
      <w:bCs/>
      <w:sz w:val="24"/>
      <w:szCs w:val="24"/>
    </w:rPr>
  </w:style>
  <w:style w:type="paragraph" w:styleId="7">
    <w:name w:val="heading 7"/>
    <w:basedOn w:val="1"/>
    <w:next w:val="1"/>
    <w:link w:val="44"/>
    <w:qFormat/>
    <w:uiPriority w:val="99"/>
    <w:pPr>
      <w:keepNext/>
      <w:keepLines/>
      <w:spacing w:before="240" w:after="64" w:line="320" w:lineRule="atLeast"/>
      <w:outlineLvl w:val="6"/>
    </w:pPr>
    <w:rPr>
      <w:b/>
      <w:bCs/>
      <w:sz w:val="24"/>
      <w:szCs w:val="24"/>
    </w:rPr>
  </w:style>
  <w:style w:type="character" w:default="1" w:styleId="30">
    <w:name w:val="Default Paragraph Font"/>
    <w:semiHidden/>
    <w:unhideWhenUsed/>
    <w:qFormat/>
    <w:uiPriority w:val="1"/>
  </w:style>
  <w:style w:type="table" w:default="1" w:styleId="37">
    <w:name w:val="Normal Table"/>
    <w:semiHidden/>
    <w:unhideWhenUsed/>
    <w:qFormat/>
    <w:uiPriority w:val="99"/>
    <w:tblPr>
      <w:tblLayout w:type="fixed"/>
      <w:tblCellMar>
        <w:top w:w="0" w:type="dxa"/>
        <w:left w:w="108" w:type="dxa"/>
        <w:bottom w:w="0" w:type="dxa"/>
        <w:right w:w="108" w:type="dxa"/>
      </w:tblCellMar>
    </w:tblPr>
  </w:style>
  <w:style w:type="paragraph" w:styleId="8">
    <w:name w:val="annotation subject"/>
    <w:basedOn w:val="9"/>
    <w:next w:val="9"/>
    <w:link w:val="92"/>
    <w:semiHidden/>
    <w:qFormat/>
    <w:uiPriority w:val="99"/>
    <w:rPr>
      <w:b/>
      <w:bCs/>
    </w:rPr>
  </w:style>
  <w:style w:type="paragraph" w:styleId="9">
    <w:name w:val="annotation text"/>
    <w:basedOn w:val="1"/>
    <w:link w:val="91"/>
    <w:semiHidden/>
    <w:qFormat/>
    <w:uiPriority w:val="99"/>
    <w:pPr>
      <w:jc w:val="left"/>
    </w:pPr>
  </w:style>
  <w:style w:type="paragraph" w:styleId="10">
    <w:name w:val="toc 7"/>
    <w:basedOn w:val="1"/>
    <w:next w:val="1"/>
    <w:qFormat/>
    <w:uiPriority w:val="99"/>
    <w:pPr>
      <w:ind w:left="1680"/>
    </w:pPr>
  </w:style>
  <w:style w:type="paragraph" w:styleId="11">
    <w:name w:val="Document Map"/>
    <w:basedOn w:val="1"/>
    <w:link w:val="89"/>
    <w:qFormat/>
    <w:uiPriority w:val="99"/>
    <w:rPr>
      <w:rFonts w:ascii="Simang" w:hAnsi="Times New Roman" w:eastAsia="Simang" w:cs="Times New Roman"/>
      <w:sz w:val="24"/>
      <w:szCs w:val="24"/>
    </w:rPr>
  </w:style>
  <w:style w:type="paragraph" w:styleId="12">
    <w:name w:val="Body Text"/>
    <w:basedOn w:val="1"/>
    <w:link w:val="50"/>
    <w:qFormat/>
    <w:uiPriority w:val="99"/>
    <w:rPr>
      <w:rFonts w:ascii="Calibri" w:hAnsi="Calibri" w:eastAsia="Simang" w:cs="Times New Roman"/>
      <w:sz w:val="24"/>
      <w:szCs w:val="20"/>
    </w:rPr>
  </w:style>
  <w:style w:type="paragraph" w:styleId="13">
    <w:name w:val="toc 5"/>
    <w:basedOn w:val="1"/>
    <w:next w:val="1"/>
    <w:qFormat/>
    <w:uiPriority w:val="99"/>
    <w:pPr>
      <w:ind w:left="1120"/>
    </w:pPr>
  </w:style>
  <w:style w:type="paragraph" w:styleId="14">
    <w:name w:val="toc 3"/>
    <w:basedOn w:val="1"/>
    <w:next w:val="1"/>
    <w:qFormat/>
    <w:uiPriority w:val="99"/>
    <w:pPr>
      <w:ind w:left="560"/>
    </w:pPr>
  </w:style>
  <w:style w:type="paragraph" w:styleId="15">
    <w:name w:val="toc 8"/>
    <w:basedOn w:val="1"/>
    <w:next w:val="1"/>
    <w:qFormat/>
    <w:uiPriority w:val="99"/>
    <w:pPr>
      <w:ind w:left="1960"/>
    </w:pPr>
  </w:style>
  <w:style w:type="paragraph" w:styleId="16">
    <w:name w:val="Date"/>
    <w:basedOn w:val="1"/>
    <w:next w:val="1"/>
    <w:link w:val="61"/>
    <w:qFormat/>
    <w:uiPriority w:val="99"/>
    <w:pPr>
      <w:ind w:left="100" w:leftChars="2500"/>
    </w:pPr>
    <w:rPr>
      <w:rFonts w:ascii="Times New Roman" w:hAnsi="Times New Roman" w:eastAsia="Simang" w:cs="Times New Roman"/>
      <w:sz w:val="21"/>
      <w:szCs w:val="24"/>
    </w:rPr>
  </w:style>
  <w:style w:type="paragraph" w:styleId="17">
    <w:name w:val="Body Text Indent 2"/>
    <w:basedOn w:val="1"/>
    <w:link w:val="54"/>
    <w:qFormat/>
    <w:uiPriority w:val="99"/>
    <w:pPr>
      <w:spacing w:line="480" w:lineRule="auto"/>
      <w:ind w:left="420" w:leftChars="200"/>
    </w:pPr>
    <w:rPr>
      <w:rFonts w:ascii="Calibri" w:hAnsi="Calibri" w:eastAsia="Simang" w:cs="Times New Roman"/>
      <w:sz w:val="24"/>
      <w:szCs w:val="20"/>
    </w:rPr>
  </w:style>
  <w:style w:type="paragraph" w:styleId="18">
    <w:name w:val="endnote text"/>
    <w:basedOn w:val="1"/>
    <w:link w:val="97"/>
    <w:semiHidden/>
    <w:unhideWhenUsed/>
    <w:qFormat/>
    <w:locked/>
    <w:uiPriority w:val="99"/>
    <w:pPr>
      <w:snapToGrid w:val="0"/>
      <w:jc w:val="left"/>
    </w:pPr>
  </w:style>
  <w:style w:type="paragraph" w:styleId="19">
    <w:name w:val="Balloon Text"/>
    <w:basedOn w:val="1"/>
    <w:link w:val="53"/>
    <w:semiHidden/>
    <w:qFormat/>
    <w:uiPriority w:val="99"/>
    <w:rPr>
      <w:sz w:val="18"/>
      <w:szCs w:val="18"/>
    </w:rPr>
  </w:style>
  <w:style w:type="paragraph" w:styleId="20">
    <w:name w:val="footer"/>
    <w:basedOn w:val="1"/>
    <w:link w:val="52"/>
    <w:qFormat/>
    <w:uiPriority w:val="99"/>
    <w:pPr>
      <w:tabs>
        <w:tab w:val="center" w:pos="4153"/>
        <w:tab w:val="right" w:pos="8306"/>
      </w:tabs>
      <w:snapToGrid w:val="0"/>
      <w:jc w:val="left"/>
    </w:pPr>
    <w:rPr>
      <w:rFonts w:ascii="Times New Roman" w:hAnsi="Times New Roman" w:eastAsia="Simang" w:cs="Times New Roman"/>
      <w:sz w:val="18"/>
      <w:szCs w:val="20"/>
    </w:rPr>
  </w:style>
  <w:style w:type="paragraph" w:styleId="21">
    <w:name w:val="header"/>
    <w:basedOn w:val="1"/>
    <w:link w:val="51"/>
    <w:qFormat/>
    <w:uiPriority w:val="99"/>
    <w:pPr>
      <w:pBdr>
        <w:bottom w:val="single" w:color="auto" w:sz="6" w:space="1"/>
      </w:pBdr>
      <w:tabs>
        <w:tab w:val="center" w:pos="4153"/>
        <w:tab w:val="right" w:pos="8306"/>
      </w:tabs>
      <w:snapToGrid w:val="0"/>
      <w:jc w:val="center"/>
    </w:pPr>
    <w:rPr>
      <w:rFonts w:ascii="Times New Roman" w:hAnsi="Times New Roman" w:eastAsia="Simang" w:cs="Times New Roman"/>
      <w:sz w:val="18"/>
      <w:szCs w:val="20"/>
    </w:rPr>
  </w:style>
  <w:style w:type="paragraph" w:styleId="22">
    <w:name w:val="toc 1"/>
    <w:basedOn w:val="1"/>
    <w:next w:val="1"/>
    <w:qFormat/>
    <w:uiPriority w:val="39"/>
    <w:pPr>
      <w:ind w:firstLine="0" w:firstLineChars="0"/>
    </w:pPr>
  </w:style>
  <w:style w:type="paragraph" w:styleId="23">
    <w:name w:val="toc 4"/>
    <w:basedOn w:val="1"/>
    <w:next w:val="1"/>
    <w:qFormat/>
    <w:uiPriority w:val="99"/>
    <w:pPr>
      <w:ind w:left="840"/>
    </w:pPr>
  </w:style>
  <w:style w:type="paragraph" w:styleId="24">
    <w:name w:val="footnote text"/>
    <w:basedOn w:val="1"/>
    <w:link w:val="60"/>
    <w:qFormat/>
    <w:uiPriority w:val="0"/>
    <w:pPr>
      <w:snapToGrid w:val="0"/>
      <w:jc w:val="left"/>
    </w:pPr>
    <w:rPr>
      <w:rFonts w:ascii="Times New Roman" w:hAnsi="Times New Roman" w:eastAsia="Simang" w:cs="Times New Roman"/>
      <w:sz w:val="18"/>
      <w:szCs w:val="18"/>
    </w:rPr>
  </w:style>
  <w:style w:type="paragraph" w:styleId="25">
    <w:name w:val="toc 6"/>
    <w:basedOn w:val="1"/>
    <w:next w:val="1"/>
    <w:qFormat/>
    <w:uiPriority w:val="99"/>
    <w:pPr>
      <w:ind w:left="1400"/>
    </w:pPr>
  </w:style>
  <w:style w:type="paragraph" w:styleId="26">
    <w:name w:val="toc 2"/>
    <w:basedOn w:val="1"/>
    <w:next w:val="1"/>
    <w:qFormat/>
    <w:uiPriority w:val="39"/>
  </w:style>
  <w:style w:type="paragraph" w:styleId="27">
    <w:name w:val="toc 9"/>
    <w:basedOn w:val="1"/>
    <w:next w:val="1"/>
    <w:qFormat/>
    <w:uiPriority w:val="99"/>
    <w:pPr>
      <w:ind w:left="2240"/>
    </w:pPr>
  </w:style>
  <w:style w:type="paragraph" w:styleId="28">
    <w:name w:val="Normal (Web)"/>
    <w:basedOn w:val="1"/>
    <w:semiHidden/>
    <w:unhideWhenUsed/>
    <w:qFormat/>
    <w:locked/>
    <w:uiPriority w:val="99"/>
    <w:pPr>
      <w:widowControl/>
      <w:spacing w:before="100" w:beforeAutospacing="1" w:after="100" w:afterAutospacing="1" w:line="240" w:lineRule="auto"/>
      <w:ind w:firstLine="0" w:firstLineChars="0"/>
      <w:contextualSpacing w:val="0"/>
      <w:jc w:val="left"/>
    </w:pPr>
    <w:rPr>
      <w:rFonts w:ascii="宋体" w:hAnsi="宋体" w:eastAsia="宋体" w:cs="宋体"/>
      <w:kern w:val="0"/>
      <w:sz w:val="24"/>
      <w:szCs w:val="24"/>
    </w:rPr>
  </w:style>
  <w:style w:type="paragraph" w:styleId="29">
    <w:name w:val="Title"/>
    <w:basedOn w:val="1"/>
    <w:next w:val="1"/>
    <w:link w:val="90"/>
    <w:qFormat/>
    <w:uiPriority w:val="99"/>
    <w:pPr>
      <w:spacing w:before="240" w:after="60"/>
      <w:jc w:val="left"/>
      <w:outlineLvl w:val="0"/>
    </w:pPr>
    <w:rPr>
      <w:b/>
      <w:bCs/>
      <w:sz w:val="32"/>
      <w:szCs w:val="32"/>
    </w:rPr>
  </w:style>
  <w:style w:type="character" w:styleId="31">
    <w:name w:val="endnote reference"/>
    <w:basedOn w:val="30"/>
    <w:semiHidden/>
    <w:unhideWhenUsed/>
    <w:qFormat/>
    <w:locked/>
    <w:uiPriority w:val="99"/>
    <w:rPr>
      <w:vertAlign w:val="superscript"/>
    </w:rPr>
  </w:style>
  <w:style w:type="character" w:styleId="32">
    <w:name w:val="page number"/>
    <w:qFormat/>
    <w:uiPriority w:val="99"/>
    <w:rPr>
      <w:rFonts w:cs="Times New Roman"/>
    </w:rPr>
  </w:style>
  <w:style w:type="character" w:styleId="33">
    <w:name w:val="FollowedHyperlink"/>
    <w:qFormat/>
    <w:uiPriority w:val="99"/>
    <w:rPr>
      <w:rFonts w:cs="Times New Roman"/>
      <w:color w:val="800080"/>
      <w:u w:val="single"/>
    </w:rPr>
  </w:style>
  <w:style w:type="character" w:styleId="34">
    <w:name w:val="Hyperlink"/>
    <w:qFormat/>
    <w:uiPriority w:val="99"/>
    <w:rPr>
      <w:rFonts w:cs="Times New Roman"/>
      <w:color w:val="0000FF"/>
      <w:u w:val="single"/>
    </w:rPr>
  </w:style>
  <w:style w:type="character" w:styleId="35">
    <w:name w:val="annotation reference"/>
    <w:semiHidden/>
    <w:qFormat/>
    <w:uiPriority w:val="99"/>
    <w:rPr>
      <w:rFonts w:cs="Times New Roman"/>
      <w:sz w:val="21"/>
      <w:szCs w:val="21"/>
    </w:rPr>
  </w:style>
  <w:style w:type="character" w:styleId="36">
    <w:name w:val="footnote reference"/>
    <w:basedOn w:val="30"/>
    <w:qFormat/>
    <w:uiPriority w:val="0"/>
    <w:rPr>
      <w:rFonts w:cs="Times New Roman"/>
      <w:vertAlign w:val="superscript"/>
    </w:rPr>
  </w:style>
  <w:style w:type="table" w:styleId="38">
    <w:name w:val="Table Grid"/>
    <w:basedOn w:val="37"/>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tcPr>
      <w:tcBorders>
        <w:top w:val="single" w:color="auto" w:sz="4" w:space="0"/>
        <w:left w:val="single" w:color="auto" w:sz="4" w:space="0"/>
        <w:bottom w:val="single" w:color="auto" w:sz="4" w:space="0"/>
        <w:right w:val="single" w:color="auto" w:sz="4" w:space="0"/>
      </w:tcBorders>
    </w:tcPr>
  </w:style>
  <w:style w:type="character" w:customStyle="1" w:styleId="39">
    <w:name w:val="标题 1 字符"/>
    <w:link w:val="2"/>
    <w:qFormat/>
    <w:locked/>
    <w:uiPriority w:val="99"/>
    <w:rPr>
      <w:rFonts w:ascii="仿宋_GB2312" w:hAnsi="仿宋_GB2312" w:eastAsia="仿宋_GB2312"/>
      <w:b/>
      <w:bCs/>
      <w:kern w:val="44"/>
      <w:sz w:val="30"/>
      <w:szCs w:val="30"/>
    </w:rPr>
  </w:style>
  <w:style w:type="character" w:customStyle="1" w:styleId="40">
    <w:name w:val="标题 2 字符"/>
    <w:link w:val="3"/>
    <w:qFormat/>
    <w:locked/>
    <w:uiPriority w:val="99"/>
    <w:rPr>
      <w:rFonts w:ascii="仿宋_GB2312" w:hAnsi="仿宋_GB2312" w:eastAsia="仿宋_GB2312"/>
      <w:b/>
      <w:kern w:val="44"/>
      <w:sz w:val="30"/>
      <w:szCs w:val="30"/>
    </w:rPr>
  </w:style>
  <w:style w:type="character" w:customStyle="1" w:styleId="41">
    <w:name w:val="标题 3 字符"/>
    <w:link w:val="4"/>
    <w:semiHidden/>
    <w:qFormat/>
    <w:locked/>
    <w:uiPriority w:val="99"/>
    <w:rPr>
      <w:rFonts w:cs="Times New Roman"/>
      <w:b/>
      <w:kern w:val="2"/>
      <w:sz w:val="32"/>
    </w:rPr>
  </w:style>
  <w:style w:type="character" w:customStyle="1" w:styleId="42">
    <w:name w:val="标题 5 字符"/>
    <w:link w:val="5"/>
    <w:semiHidden/>
    <w:qFormat/>
    <w:locked/>
    <w:uiPriority w:val="99"/>
    <w:rPr>
      <w:rFonts w:ascii="仿宋_GB2312" w:hAnsi="仿宋_GB2312" w:eastAsia="仿宋_GB2312" w:cs="仿宋_GB2312"/>
      <w:b/>
      <w:bCs/>
      <w:kern w:val="2"/>
      <w:sz w:val="28"/>
      <w:szCs w:val="28"/>
    </w:rPr>
  </w:style>
  <w:style w:type="character" w:customStyle="1" w:styleId="43">
    <w:name w:val="标题 6 字符"/>
    <w:link w:val="6"/>
    <w:semiHidden/>
    <w:qFormat/>
    <w:locked/>
    <w:uiPriority w:val="99"/>
    <w:rPr>
      <w:rFonts w:ascii="等线 Light" w:hAnsi="等线 Light" w:eastAsia="等线 Light" w:cs="Times New Roman"/>
      <w:b/>
      <w:bCs/>
      <w:kern w:val="2"/>
      <w:sz w:val="24"/>
      <w:szCs w:val="24"/>
    </w:rPr>
  </w:style>
  <w:style w:type="character" w:customStyle="1" w:styleId="44">
    <w:name w:val="标题 7 字符"/>
    <w:link w:val="7"/>
    <w:semiHidden/>
    <w:qFormat/>
    <w:locked/>
    <w:uiPriority w:val="99"/>
    <w:rPr>
      <w:rFonts w:ascii="仿宋_GB2312" w:hAnsi="仿宋_GB2312" w:eastAsia="仿宋_GB2312" w:cs="仿宋_GB2312"/>
      <w:b/>
      <w:bCs/>
      <w:kern w:val="2"/>
      <w:sz w:val="24"/>
      <w:szCs w:val="24"/>
    </w:rPr>
  </w:style>
  <w:style w:type="character" w:customStyle="1" w:styleId="45">
    <w:name w:val="apple-converted-space"/>
    <w:qFormat/>
    <w:uiPriority w:val="99"/>
    <w:rPr>
      <w:rFonts w:cs="Times New Roman"/>
    </w:rPr>
  </w:style>
  <w:style w:type="character" w:customStyle="1" w:styleId="46">
    <w:name w:val="Body Text Indent 2 Char"/>
    <w:qFormat/>
    <w:locked/>
    <w:uiPriority w:val="99"/>
    <w:rPr>
      <w:rFonts w:ascii="Calibri" w:hAnsi="Calibri" w:eastAsia="Simang"/>
      <w:kern w:val="2"/>
      <w:sz w:val="24"/>
    </w:rPr>
  </w:style>
  <w:style w:type="character" w:customStyle="1" w:styleId="47">
    <w:name w:val="Body Text Char"/>
    <w:qFormat/>
    <w:locked/>
    <w:uiPriority w:val="99"/>
    <w:rPr>
      <w:rFonts w:ascii="Calibri" w:hAnsi="Calibri" w:eastAsia="Simang"/>
      <w:kern w:val="2"/>
      <w:sz w:val="24"/>
    </w:rPr>
  </w:style>
  <w:style w:type="character" w:customStyle="1" w:styleId="48">
    <w:name w:val="Footer Char"/>
    <w:qFormat/>
    <w:locked/>
    <w:uiPriority w:val="99"/>
    <w:rPr>
      <w:kern w:val="2"/>
      <w:sz w:val="18"/>
    </w:rPr>
  </w:style>
  <w:style w:type="character" w:customStyle="1" w:styleId="49">
    <w:name w:val="Header Char"/>
    <w:qFormat/>
    <w:locked/>
    <w:uiPriority w:val="99"/>
    <w:rPr>
      <w:kern w:val="2"/>
      <w:sz w:val="18"/>
    </w:rPr>
  </w:style>
  <w:style w:type="character" w:customStyle="1" w:styleId="50">
    <w:name w:val="正文文本 字符"/>
    <w:link w:val="12"/>
    <w:semiHidden/>
    <w:qFormat/>
    <w:locked/>
    <w:uiPriority w:val="99"/>
    <w:rPr>
      <w:rFonts w:ascii="仿宋_GB2312" w:hAnsi="仿宋_GB2312" w:eastAsia="仿宋_GB2312" w:cs="仿宋_GB2312"/>
      <w:sz w:val="28"/>
      <w:szCs w:val="28"/>
    </w:rPr>
  </w:style>
  <w:style w:type="character" w:customStyle="1" w:styleId="51">
    <w:name w:val="页眉 字符"/>
    <w:link w:val="21"/>
    <w:semiHidden/>
    <w:qFormat/>
    <w:locked/>
    <w:uiPriority w:val="99"/>
    <w:rPr>
      <w:rFonts w:ascii="仿宋_GB2312" w:hAnsi="仿宋_GB2312" w:eastAsia="仿宋_GB2312" w:cs="仿宋_GB2312"/>
      <w:sz w:val="18"/>
      <w:szCs w:val="18"/>
    </w:rPr>
  </w:style>
  <w:style w:type="character" w:customStyle="1" w:styleId="52">
    <w:name w:val="页脚 字符"/>
    <w:link w:val="20"/>
    <w:qFormat/>
    <w:locked/>
    <w:uiPriority w:val="99"/>
    <w:rPr>
      <w:rFonts w:ascii="仿宋_GB2312" w:hAnsi="仿宋_GB2312" w:eastAsia="仿宋_GB2312" w:cs="仿宋_GB2312"/>
      <w:sz w:val="18"/>
      <w:szCs w:val="18"/>
    </w:rPr>
  </w:style>
  <w:style w:type="character" w:customStyle="1" w:styleId="53">
    <w:name w:val="批注框文本 字符"/>
    <w:link w:val="19"/>
    <w:semiHidden/>
    <w:qFormat/>
    <w:locked/>
    <w:uiPriority w:val="99"/>
    <w:rPr>
      <w:rFonts w:ascii="仿宋_GB2312" w:hAnsi="仿宋_GB2312" w:eastAsia="仿宋_GB2312" w:cs="仿宋_GB2312"/>
      <w:sz w:val="2"/>
    </w:rPr>
  </w:style>
  <w:style w:type="character" w:customStyle="1" w:styleId="54">
    <w:name w:val="正文文本缩进 2 字符"/>
    <w:link w:val="17"/>
    <w:semiHidden/>
    <w:qFormat/>
    <w:locked/>
    <w:uiPriority w:val="99"/>
    <w:rPr>
      <w:rFonts w:ascii="仿宋_GB2312" w:hAnsi="仿宋_GB2312" w:eastAsia="仿宋_GB2312" w:cs="仿宋_GB2312"/>
      <w:sz w:val="28"/>
      <w:szCs w:val="28"/>
    </w:rPr>
  </w:style>
  <w:style w:type="paragraph" w:customStyle="1" w:styleId="55">
    <w:name w:val="Char Char Char Char Char Char Char"/>
    <w:basedOn w:val="1"/>
    <w:qFormat/>
    <w:uiPriority w:val="99"/>
    <w:rPr>
      <w:sz w:val="30"/>
      <w:szCs w:val="21"/>
    </w:rPr>
  </w:style>
  <w:style w:type="paragraph" w:customStyle="1" w:styleId="56">
    <w:name w:val="Char"/>
    <w:basedOn w:val="1"/>
    <w:next w:val="1"/>
    <w:qFormat/>
    <w:uiPriority w:val="99"/>
    <w:pPr>
      <w:widowControl/>
      <w:spacing w:after="160" w:line="240" w:lineRule="exact"/>
      <w:jc w:val="left"/>
    </w:pPr>
    <w:rPr>
      <w:rFonts w:ascii="Verdana" w:hAnsi="Verdana"/>
      <w:kern w:val="0"/>
      <w:sz w:val="20"/>
      <w:szCs w:val="20"/>
      <w:lang w:eastAsia="en-US"/>
    </w:rPr>
  </w:style>
  <w:style w:type="paragraph" w:styleId="57">
    <w:name w:val="List Paragraph"/>
    <w:basedOn w:val="1"/>
    <w:qFormat/>
    <w:uiPriority w:val="99"/>
    <w:pPr>
      <w:ind w:firstLine="420"/>
    </w:pPr>
    <w:rPr>
      <w:rFonts w:ascii="Calibri" w:hAnsi="Calibri" w:cs="Calibri"/>
      <w:szCs w:val="21"/>
    </w:rPr>
  </w:style>
  <w:style w:type="paragraph" w:customStyle="1" w:styleId="58">
    <w:name w:val="Char Char2 Char Char Char Char Char Char Char Char Char Char Char Char"/>
    <w:basedOn w:val="1"/>
    <w:qFormat/>
    <w:uiPriority w:val="99"/>
    <w:rPr>
      <w:rFonts w:ascii="Arial" w:hAnsi="Arial" w:cs="Arial"/>
      <w:sz w:val="20"/>
      <w:szCs w:val="20"/>
    </w:rPr>
  </w:style>
  <w:style w:type="paragraph" w:customStyle="1" w:styleId="59">
    <w:name w:val="_Style 3"/>
    <w:basedOn w:val="1"/>
    <w:qFormat/>
    <w:uiPriority w:val="99"/>
    <w:pPr>
      <w:ind w:firstLine="420"/>
    </w:pPr>
    <w:rPr>
      <w:rFonts w:ascii="Calibri" w:hAnsi="Calibri" w:cs="Calibri"/>
      <w:szCs w:val="21"/>
    </w:rPr>
  </w:style>
  <w:style w:type="character" w:customStyle="1" w:styleId="60">
    <w:name w:val="脚注文本 字符1"/>
    <w:link w:val="24"/>
    <w:qFormat/>
    <w:locked/>
    <w:uiPriority w:val="99"/>
    <w:rPr>
      <w:rFonts w:cs="Times New Roman"/>
      <w:kern w:val="2"/>
      <w:sz w:val="18"/>
    </w:rPr>
  </w:style>
  <w:style w:type="character" w:customStyle="1" w:styleId="61">
    <w:name w:val="日期 字符"/>
    <w:link w:val="16"/>
    <w:qFormat/>
    <w:locked/>
    <w:uiPriority w:val="99"/>
    <w:rPr>
      <w:rFonts w:cs="Times New Roman"/>
      <w:kern w:val="2"/>
      <w:sz w:val="24"/>
    </w:rPr>
  </w:style>
  <w:style w:type="paragraph" w:customStyle="1" w:styleId="62">
    <w:name w:val="font0"/>
    <w:basedOn w:val="1"/>
    <w:qFormat/>
    <w:uiPriority w:val="99"/>
    <w:pPr>
      <w:widowControl/>
      <w:spacing w:before="100" w:beforeAutospacing="1" w:after="100" w:afterAutospacing="1"/>
      <w:jc w:val="left"/>
    </w:pPr>
    <w:rPr>
      <w:rFonts w:ascii="Simang" w:hAnsi="Simang" w:cs="Simang"/>
      <w:kern w:val="0"/>
      <w:sz w:val="24"/>
    </w:rPr>
  </w:style>
  <w:style w:type="paragraph" w:customStyle="1" w:styleId="63">
    <w:name w:val="font5"/>
    <w:basedOn w:val="1"/>
    <w:qFormat/>
    <w:uiPriority w:val="99"/>
    <w:pPr>
      <w:widowControl/>
      <w:spacing w:before="100" w:beforeAutospacing="1" w:after="100" w:afterAutospacing="1"/>
      <w:jc w:val="left"/>
    </w:pPr>
    <w:rPr>
      <w:rFonts w:ascii="Simang" w:hAnsi="Simang" w:cs="Simang"/>
      <w:kern w:val="0"/>
      <w:sz w:val="18"/>
      <w:szCs w:val="18"/>
    </w:rPr>
  </w:style>
  <w:style w:type="paragraph" w:customStyle="1" w:styleId="64">
    <w:name w:val="xl67"/>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65">
    <w:name w:val="xl68"/>
    <w:basedOn w:val="1"/>
    <w:qFormat/>
    <w:uiPriority w:val="99"/>
    <w:pPr>
      <w:widowControl/>
      <w:spacing w:before="100" w:beforeAutospacing="1" w:after="100" w:afterAutospacing="1"/>
      <w:jc w:val="left"/>
    </w:pPr>
    <w:rPr>
      <w:rFonts w:ascii="Simang" w:hAnsi="Simang" w:cs="Simang"/>
      <w:b/>
      <w:bCs/>
      <w:kern w:val="0"/>
      <w:sz w:val="24"/>
    </w:rPr>
  </w:style>
  <w:style w:type="paragraph" w:customStyle="1" w:styleId="66">
    <w:name w:val="xl69"/>
    <w:basedOn w:val="1"/>
    <w:qFormat/>
    <w:uiPriority w:val="99"/>
    <w:pPr>
      <w:widowControl/>
      <w:spacing w:before="100" w:beforeAutospacing="1" w:after="100" w:afterAutospacing="1"/>
      <w:jc w:val="left"/>
    </w:pPr>
    <w:rPr>
      <w:rFonts w:ascii="Simang" w:hAnsi="Simang" w:cs="Simang"/>
      <w:kern w:val="0"/>
      <w:sz w:val="18"/>
      <w:szCs w:val="18"/>
    </w:rPr>
  </w:style>
  <w:style w:type="paragraph" w:customStyle="1" w:styleId="67">
    <w:name w:val="xl7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Simang" w:hAnsi="Simang" w:cs="Simang"/>
      <w:kern w:val="0"/>
      <w:sz w:val="24"/>
    </w:rPr>
  </w:style>
  <w:style w:type="paragraph" w:customStyle="1" w:styleId="68">
    <w:name w:val="xl7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18"/>
      <w:szCs w:val="18"/>
    </w:rPr>
  </w:style>
  <w:style w:type="paragraph" w:customStyle="1" w:styleId="69">
    <w:name w:val="xl72"/>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70">
    <w:name w:val="xl7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71">
    <w:name w:val="xl7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Simang" w:hAnsi="Simang" w:cs="Simang"/>
      <w:kern w:val="0"/>
      <w:sz w:val="24"/>
    </w:rPr>
  </w:style>
  <w:style w:type="paragraph" w:customStyle="1" w:styleId="72">
    <w:name w:val="xl75"/>
    <w:basedOn w:val="1"/>
    <w:qFormat/>
    <w:uiPriority w:val="99"/>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73">
    <w:name w:val="xl76"/>
    <w:basedOn w:val="1"/>
    <w:qFormat/>
    <w:uiPriority w:val="99"/>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74">
    <w:name w:val="xl77"/>
    <w:basedOn w:val="1"/>
    <w:qFormat/>
    <w:uiPriority w:val="99"/>
    <w:pPr>
      <w:widowControl/>
      <w:pBdr>
        <w:top w:val="single" w:color="auto" w:sz="4" w:space="0"/>
        <w:bottom w:val="single" w:color="auto" w:sz="4" w:space="0"/>
        <w:right w:val="single" w:color="auto" w:sz="4" w:space="0"/>
      </w:pBdr>
      <w:spacing w:before="100" w:beforeAutospacing="1" w:after="100" w:afterAutospacing="1"/>
      <w:jc w:val="left"/>
      <w:textAlignment w:val="center"/>
    </w:pPr>
    <w:rPr>
      <w:rFonts w:ascii="Simang" w:hAnsi="Simang" w:cs="Simang"/>
      <w:kern w:val="0"/>
      <w:sz w:val="32"/>
      <w:szCs w:val="32"/>
    </w:rPr>
  </w:style>
  <w:style w:type="paragraph" w:customStyle="1" w:styleId="75">
    <w:name w:val="xl7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Simang" w:hAnsi="Simang" w:cs="Simang"/>
      <w:kern w:val="0"/>
      <w:sz w:val="32"/>
      <w:szCs w:val="32"/>
    </w:rPr>
  </w:style>
  <w:style w:type="paragraph" w:customStyle="1" w:styleId="76">
    <w:name w:val="xl7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Simang" w:hAnsi="Simang" w:cs="Simang"/>
      <w:kern w:val="0"/>
      <w:sz w:val="32"/>
      <w:szCs w:val="32"/>
    </w:rPr>
  </w:style>
  <w:style w:type="paragraph" w:customStyle="1" w:styleId="77">
    <w:name w:val="xl8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Simang" w:hAnsi="Simang" w:cs="Simang"/>
      <w:kern w:val="0"/>
      <w:sz w:val="32"/>
      <w:szCs w:val="32"/>
    </w:rPr>
  </w:style>
  <w:style w:type="paragraph" w:customStyle="1" w:styleId="78">
    <w:name w:val="xl8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Simang" w:hAnsi="Simang" w:cs="Simang"/>
      <w:kern w:val="0"/>
      <w:sz w:val="24"/>
    </w:rPr>
  </w:style>
  <w:style w:type="paragraph" w:customStyle="1" w:styleId="79">
    <w:name w:val="xl82"/>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pPr>
    <w:rPr>
      <w:rFonts w:ascii="Simang" w:hAnsi="Simang" w:cs="Simang"/>
      <w:kern w:val="0"/>
      <w:sz w:val="32"/>
      <w:szCs w:val="32"/>
    </w:rPr>
  </w:style>
  <w:style w:type="paragraph" w:customStyle="1" w:styleId="80">
    <w:name w:val="xl83"/>
    <w:basedOn w:val="1"/>
    <w:qFormat/>
    <w:uiPriority w:val="99"/>
    <w:pPr>
      <w:widowControl/>
      <w:pBdr>
        <w:top w:val="single" w:color="auto" w:sz="4" w:space="0"/>
        <w:bottom w:val="single" w:color="auto" w:sz="4" w:space="0"/>
      </w:pBdr>
      <w:spacing w:before="100" w:beforeAutospacing="1" w:after="100" w:afterAutospacing="1"/>
      <w:jc w:val="center"/>
    </w:pPr>
    <w:rPr>
      <w:rFonts w:ascii="Simang" w:hAnsi="Simang" w:cs="Simang"/>
      <w:kern w:val="0"/>
      <w:sz w:val="32"/>
      <w:szCs w:val="32"/>
    </w:rPr>
  </w:style>
  <w:style w:type="paragraph" w:customStyle="1" w:styleId="81">
    <w:name w:val="xl84"/>
    <w:basedOn w:val="1"/>
    <w:qFormat/>
    <w:uiPriority w:val="99"/>
    <w:pPr>
      <w:widowControl/>
      <w:pBdr>
        <w:top w:val="single" w:color="auto" w:sz="4" w:space="0"/>
        <w:bottom w:val="single" w:color="auto" w:sz="4" w:space="0"/>
        <w:right w:val="single" w:color="auto" w:sz="4" w:space="0"/>
      </w:pBdr>
      <w:spacing w:before="100" w:beforeAutospacing="1" w:after="100" w:afterAutospacing="1"/>
      <w:jc w:val="center"/>
    </w:pPr>
    <w:rPr>
      <w:rFonts w:ascii="Simang" w:hAnsi="Simang" w:cs="Simang"/>
      <w:kern w:val="0"/>
      <w:sz w:val="32"/>
      <w:szCs w:val="32"/>
    </w:rPr>
  </w:style>
  <w:style w:type="paragraph" w:customStyle="1" w:styleId="82">
    <w:name w:val="xl85"/>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Simang" w:hAnsi="Simang" w:cs="Simang"/>
      <w:kern w:val="0"/>
      <w:sz w:val="24"/>
    </w:rPr>
  </w:style>
  <w:style w:type="paragraph" w:customStyle="1" w:styleId="83">
    <w:name w:val="xl86"/>
    <w:basedOn w:val="1"/>
    <w:qFormat/>
    <w:uiPriority w:val="99"/>
    <w:pPr>
      <w:widowControl/>
      <w:pBdr>
        <w:top w:val="single" w:color="auto" w:sz="4" w:space="0"/>
        <w:bottom w:val="single" w:color="auto" w:sz="4" w:space="0"/>
      </w:pBdr>
      <w:spacing w:before="100" w:beforeAutospacing="1" w:after="100" w:afterAutospacing="1"/>
      <w:jc w:val="center"/>
      <w:textAlignment w:val="center"/>
    </w:pPr>
    <w:rPr>
      <w:rFonts w:ascii="Simang" w:hAnsi="Simang" w:cs="Simang"/>
      <w:kern w:val="0"/>
      <w:sz w:val="24"/>
    </w:rPr>
  </w:style>
  <w:style w:type="paragraph" w:customStyle="1" w:styleId="84">
    <w:name w:val="xl87"/>
    <w:basedOn w:val="1"/>
    <w:qFormat/>
    <w:uiPriority w:val="99"/>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24"/>
    </w:rPr>
  </w:style>
  <w:style w:type="paragraph" w:customStyle="1" w:styleId="85">
    <w:name w:val="xl88"/>
    <w:basedOn w:val="1"/>
    <w:qFormat/>
    <w:uiPriority w:val="99"/>
    <w:pPr>
      <w:widowControl/>
      <w:spacing w:before="100" w:beforeAutospacing="1" w:after="100" w:afterAutospacing="1"/>
      <w:jc w:val="center"/>
    </w:pPr>
    <w:rPr>
      <w:rFonts w:ascii="Courier New" w:hAnsi="Courier New" w:cs="Courier New"/>
      <w:b/>
      <w:bCs/>
      <w:kern w:val="0"/>
      <w:sz w:val="40"/>
      <w:szCs w:val="40"/>
    </w:rPr>
  </w:style>
  <w:style w:type="paragraph" w:customStyle="1" w:styleId="86">
    <w:name w:val="xl89"/>
    <w:basedOn w:val="1"/>
    <w:qFormat/>
    <w:uiPriority w:val="99"/>
    <w:pPr>
      <w:widowControl/>
      <w:pBdr>
        <w:top w:val="single" w:color="auto" w:sz="4" w:space="0"/>
        <w:left w:val="single" w:color="auto" w:sz="4" w:space="0"/>
        <w:right w:val="single" w:color="auto" w:sz="4" w:space="0"/>
      </w:pBdr>
      <w:spacing w:before="100" w:beforeAutospacing="1" w:after="100" w:afterAutospacing="1"/>
      <w:jc w:val="center"/>
    </w:pPr>
    <w:rPr>
      <w:rFonts w:ascii="Simang" w:hAnsi="Simang" w:cs="Simang"/>
      <w:kern w:val="0"/>
      <w:sz w:val="24"/>
    </w:rPr>
  </w:style>
  <w:style w:type="paragraph" w:customStyle="1" w:styleId="87">
    <w:name w:val="xl90"/>
    <w:basedOn w:val="1"/>
    <w:qFormat/>
    <w:uiPriority w:val="99"/>
    <w:pPr>
      <w:widowControl/>
      <w:pBdr>
        <w:left w:val="single" w:color="auto" w:sz="4" w:space="0"/>
        <w:bottom w:val="single" w:color="auto" w:sz="4" w:space="0"/>
        <w:right w:val="single" w:color="auto" w:sz="4" w:space="0"/>
      </w:pBdr>
      <w:spacing w:before="100" w:beforeAutospacing="1" w:after="100" w:afterAutospacing="1"/>
      <w:jc w:val="center"/>
    </w:pPr>
    <w:rPr>
      <w:rFonts w:ascii="Simang" w:hAnsi="Simang" w:cs="Simang"/>
      <w:kern w:val="0"/>
      <w:sz w:val="24"/>
    </w:rPr>
  </w:style>
  <w:style w:type="character" w:customStyle="1" w:styleId="88">
    <w:name w:val="font121"/>
    <w:qFormat/>
    <w:uiPriority w:val="99"/>
    <w:rPr>
      <w:rFonts w:ascii="仿宋_GB2312" w:eastAsia="仿宋_GB2312"/>
      <w:b/>
      <w:color w:val="000000"/>
      <w:sz w:val="24"/>
      <w:u w:val="none"/>
    </w:rPr>
  </w:style>
  <w:style w:type="character" w:customStyle="1" w:styleId="89">
    <w:name w:val="文档结构图 字符"/>
    <w:link w:val="11"/>
    <w:qFormat/>
    <w:locked/>
    <w:uiPriority w:val="99"/>
    <w:rPr>
      <w:rFonts w:ascii="Simang" w:cs="Times New Roman"/>
      <w:kern w:val="2"/>
      <w:sz w:val="24"/>
    </w:rPr>
  </w:style>
  <w:style w:type="character" w:customStyle="1" w:styleId="90">
    <w:name w:val="标题 字符"/>
    <w:link w:val="29"/>
    <w:qFormat/>
    <w:locked/>
    <w:uiPriority w:val="99"/>
    <w:rPr>
      <w:rFonts w:ascii="仿宋_GB2312" w:hAnsi="仿宋_GB2312" w:eastAsia="仿宋_GB2312" w:cs="仿宋_GB2312"/>
      <w:b/>
      <w:bCs/>
      <w:kern w:val="2"/>
      <w:sz w:val="32"/>
      <w:szCs w:val="32"/>
    </w:rPr>
  </w:style>
  <w:style w:type="character" w:customStyle="1" w:styleId="91">
    <w:name w:val="批注文字 字符"/>
    <w:link w:val="9"/>
    <w:semiHidden/>
    <w:qFormat/>
    <w:locked/>
    <w:uiPriority w:val="99"/>
    <w:rPr>
      <w:rFonts w:ascii="仿宋_GB2312" w:hAnsi="仿宋_GB2312" w:eastAsia="仿宋_GB2312" w:cs="仿宋_GB2312"/>
      <w:sz w:val="28"/>
      <w:szCs w:val="28"/>
    </w:rPr>
  </w:style>
  <w:style w:type="character" w:customStyle="1" w:styleId="92">
    <w:name w:val="批注主题 字符"/>
    <w:link w:val="8"/>
    <w:semiHidden/>
    <w:qFormat/>
    <w:locked/>
    <w:uiPriority w:val="99"/>
    <w:rPr>
      <w:rFonts w:ascii="仿宋_GB2312" w:hAnsi="仿宋_GB2312" w:eastAsia="仿宋_GB2312" w:cs="仿宋_GB2312"/>
      <w:b/>
      <w:bCs/>
      <w:sz w:val="28"/>
      <w:szCs w:val="28"/>
    </w:rPr>
  </w:style>
  <w:style w:type="paragraph" w:customStyle="1" w:styleId="93">
    <w:name w:val="修订1"/>
    <w:hidden/>
    <w:semiHidden/>
    <w:qFormat/>
    <w:uiPriority w:val="99"/>
    <w:rPr>
      <w:rFonts w:ascii="仿宋_GB2312" w:hAnsi="仿宋_GB2312" w:eastAsia="仿宋_GB2312" w:cs="仿宋_GB2312"/>
      <w:kern w:val="2"/>
      <w:sz w:val="28"/>
      <w:szCs w:val="28"/>
      <w:lang w:val="en-US" w:eastAsia="zh-CN" w:bidi="ar-SA"/>
    </w:rPr>
  </w:style>
  <w:style w:type="table" w:customStyle="1" w:styleId="94">
    <w:name w:val="网格型1"/>
    <w:basedOn w:val="37"/>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
  </w:style>
  <w:style w:type="table" w:customStyle="1" w:styleId="95">
    <w:name w:val="网格型11"/>
    <w:basedOn w:val="37"/>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6">
    <w:name w:val="脚注文本 字符"/>
    <w:qFormat/>
    <w:uiPriority w:val="0"/>
    <w:rPr>
      <w:bCs/>
      <w:kern w:val="2"/>
      <w:sz w:val="18"/>
      <w:szCs w:val="18"/>
    </w:rPr>
  </w:style>
  <w:style w:type="character" w:customStyle="1" w:styleId="97">
    <w:name w:val="尾注文本 字符"/>
    <w:basedOn w:val="30"/>
    <w:link w:val="18"/>
    <w:semiHidden/>
    <w:qFormat/>
    <w:uiPriority w:val="99"/>
    <w:rPr>
      <w:rFonts w:ascii="仿宋_GB2312" w:hAnsi="仿宋_GB2312" w:eastAsia="仿宋_GB2312" w:cs="仿宋_GB2312"/>
      <w:kern w:val="2"/>
      <w:sz w:val="28"/>
      <w:szCs w:val="28"/>
    </w:rPr>
  </w:style>
  <w:style w:type="paragraph" w:customStyle="1" w:styleId="98">
    <w:name w:val="Char Char Char Char Char Char Char Char Char"/>
    <w:basedOn w:val="1"/>
    <w:qFormat/>
    <w:uiPriority w:val="0"/>
    <w:pPr>
      <w:adjustRightInd w:val="0"/>
      <w:snapToGrid w:val="0"/>
      <w:spacing w:before="120" w:line="360" w:lineRule="auto"/>
      <w:contextualSpacing w:val="0"/>
    </w:pPr>
    <w:rPr>
      <w:rFonts w:ascii="Times New Roman" w:hAnsi="Times New Roman" w:eastAsia="宋体" w:cs="Times New Roman"/>
      <w:bCs/>
      <w:szCs w:val="30"/>
    </w:rPr>
  </w:style>
  <w:style w:type="paragraph" w:customStyle="1" w:styleId="99">
    <w:name w:val="列出段落11"/>
    <w:basedOn w:val="1"/>
    <w:qFormat/>
    <w:uiPriority w:val="99"/>
    <w:pPr>
      <w:ind w:firstLine="420"/>
    </w:pPr>
    <w:rPr>
      <w:rFonts w:cs="宋体"/>
      <w:szCs w:val="21"/>
    </w:rPr>
  </w:style>
  <w:style w:type="character" w:customStyle="1" w:styleId="100">
    <w:name w:val="font31"/>
    <w:basedOn w:val="30"/>
    <w:qFormat/>
    <w:uiPriority w:val="0"/>
    <w:rPr>
      <w:rFonts w:hint="eastAsia" w:ascii="仿宋_GB2312" w:eastAsia="仿宋_GB2312" w:cs="仿宋_GB2312"/>
      <w:color w:val="000000"/>
      <w:sz w:val="22"/>
      <w:szCs w:val="22"/>
      <w:u w:val="none"/>
    </w:rPr>
  </w:style>
  <w:style w:type="character" w:customStyle="1" w:styleId="101">
    <w:name w:val="font21"/>
    <w:basedOn w:val="30"/>
    <w:qFormat/>
    <w:uiPriority w:val="0"/>
    <w:rPr>
      <w:rFonts w:hint="eastAsia" w:ascii="仿宋_GB2312" w:eastAsia="仿宋_GB2312"/>
      <w:b/>
      <w:bCs/>
      <w:color w:val="000000"/>
      <w:sz w:val="24"/>
      <w:szCs w:val="24"/>
      <w:u w:val="none"/>
    </w:rPr>
  </w:style>
  <w:style w:type="character" w:customStyle="1" w:styleId="102">
    <w:name w:val="font11"/>
    <w:basedOn w:val="30"/>
    <w:qFormat/>
    <w:uiPriority w:val="0"/>
    <w:rPr>
      <w:rFonts w:hint="eastAsia" w:ascii="仿宋_GB2312" w:eastAsia="仿宋_GB2312"/>
      <w:color w:val="000000"/>
      <w:sz w:val="24"/>
      <w:szCs w:val="24"/>
      <w:u w:val="none"/>
    </w:rPr>
  </w:style>
  <w:style w:type="character" w:customStyle="1" w:styleId="103">
    <w:name w:val="font01"/>
    <w:basedOn w:val="30"/>
    <w:qFormat/>
    <w:uiPriority w:val="0"/>
    <w:rPr>
      <w:rFonts w:hint="eastAsia" w:ascii="仿宋_GB2312" w:eastAsia="仿宋_GB2312"/>
      <w:b/>
      <w:bCs/>
      <w:i/>
      <w:iCs/>
      <w:color w:val="000000"/>
      <w:sz w:val="21"/>
      <w:szCs w:val="21"/>
      <w:u w:val="none"/>
    </w:rPr>
  </w:style>
  <w:style w:type="character" w:customStyle="1" w:styleId="104">
    <w:name w:val="font41"/>
    <w:basedOn w:val="30"/>
    <w:qFormat/>
    <w:uiPriority w:val="0"/>
    <w:rPr>
      <w:rFonts w:hint="eastAsia" w:ascii="仿宋_GB2312" w:eastAsia="仿宋_GB2312" w:cs="仿宋_GB2312"/>
      <w:color w:val="000000"/>
      <w:sz w:val="20"/>
      <w:szCs w:val="20"/>
      <w:u w:val="none"/>
    </w:rPr>
  </w:style>
  <w:style w:type="character" w:customStyle="1" w:styleId="105">
    <w:name w:val="font61"/>
    <w:basedOn w:val="30"/>
    <w:qFormat/>
    <w:uiPriority w:val="0"/>
    <w:rPr>
      <w:rFonts w:hint="eastAsia" w:ascii="仿宋_GB2312" w:eastAsia="仿宋_GB2312" w:cs="仿宋_GB2312"/>
      <w:color w:val="000000"/>
      <w:sz w:val="20"/>
      <w:szCs w:val="20"/>
      <w:u w:val="none"/>
    </w:rPr>
  </w:style>
  <w:style w:type="character" w:customStyle="1" w:styleId="106">
    <w:name w:val="font91"/>
    <w:basedOn w:val="30"/>
    <w:qFormat/>
    <w:uiPriority w:val="0"/>
    <w:rPr>
      <w:rFonts w:hint="eastAsia" w:ascii="宋体" w:hAnsi="宋体" w:eastAsia="宋体" w:cs="宋体"/>
      <w:color w:val="000000"/>
      <w:sz w:val="20"/>
      <w:szCs w:val="20"/>
      <w:u w:val="none"/>
    </w:rPr>
  </w:style>
  <w:style w:type="paragraph" w:customStyle="1" w:styleId="107">
    <w:name w:val="正文2"/>
    <w:qFormat/>
    <w:uiPriority w:val="0"/>
    <w:pPr>
      <w:jc w:val="both"/>
    </w:pPr>
    <w:rPr>
      <w:rFonts w:ascii="Times New Roman" w:hAnsi="Times New Roman"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header" Target="header1.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customXml" Target="../customXml/item2.xml"/><Relationship Id="rId21" Type="http://schemas.openxmlformats.org/officeDocument/2006/relationships/customXml" Target="../customXml/item1.xml"/><Relationship Id="rId20" Type="http://schemas.openxmlformats.org/officeDocument/2006/relationships/image" Target="media/image3.jpeg"/><Relationship Id="rId2" Type="http://schemas.openxmlformats.org/officeDocument/2006/relationships/settings" Target="settings.xml"/><Relationship Id="rId19" Type="http://schemas.openxmlformats.org/officeDocument/2006/relationships/image" Target="media/image2.jpeg"/><Relationship Id="rId18" Type="http://schemas.openxmlformats.org/officeDocument/2006/relationships/image" Target="media/image1.png"/><Relationship Id="rId17" Type="http://schemas.openxmlformats.org/officeDocument/2006/relationships/theme" Target="theme/theme1.xml"/><Relationship Id="rId16" Type="http://schemas.openxmlformats.org/officeDocument/2006/relationships/footer" Target="footer8.xml"/><Relationship Id="rId15" Type="http://schemas.openxmlformats.org/officeDocument/2006/relationships/header" Target="header5.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header" Target="head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0A9F2ED-B423-4753-90E6-8832D2BEE480}">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149</Pages>
  <Words>56967</Words>
  <Characters>62738</Characters>
  <Lines>317</Lines>
  <Paragraphs>89</Paragraphs>
  <TotalTime>0</TotalTime>
  <ScaleCrop>false</ScaleCrop>
  <LinksUpToDate>false</LinksUpToDate>
  <CharactersWithSpaces>63647</CharactersWithSpaces>
  <Application>WPS Office_10.8.2.7119_F1E327BC-269C-435d-A152-05C5408002CA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2020-06-28T08:47:00Z</dcterms:created>
  <dc:creator>俞宙</dc:creator>
  <cp:lastModifiedBy>cmcz</cp:lastModifiedBy>
  <cp:lastPrinted>2017-06-05T03:00:00Z</cp:lastPrinted>
  <dcterms:modified xsi:type="dcterms:W3CDTF">2023-11-22T07:35:30Z</dcterms:modified>
  <dc:title>上海市崇明区财政项目支出绩效评价</dc:title>
  <cp:revision>171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2052-10.8.2.7119</vt:lpwstr>
  </property>
  <property fmtid="{D5CDD505-2E9C-101B-9397-08002B2CF9AE}" pid="3" name="ICV">
    <vt:lpwstr>D506F29BE894487FAD8695DC238BA5C6_13</vt:lpwstr>
  </property>
</Properties>
</file>