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20" w:afterLines="50" w:line="500" w:lineRule="exact"/>
        <w:jc w:val="center"/>
        <w:rPr>
          <w:rFonts w:eastAsia="黑体"/>
          <w:b/>
          <w:sz w:val="36"/>
          <w:szCs w:val="36"/>
        </w:rPr>
      </w:pPr>
    </w:p>
    <w:p>
      <w:pPr>
        <w:spacing w:after="220" w:afterLines="50" w:line="500" w:lineRule="exact"/>
        <w:jc w:val="center"/>
        <w:rPr>
          <w:rFonts w:eastAsia="黑体"/>
          <w:b/>
          <w:sz w:val="36"/>
          <w:szCs w:val="36"/>
        </w:rPr>
      </w:pPr>
    </w:p>
    <w:p>
      <w:pPr>
        <w:spacing w:after="220" w:afterLines="50" w:line="500" w:lineRule="exact"/>
        <w:jc w:val="center"/>
        <w:rPr>
          <w:rFonts w:eastAsia="黑体"/>
          <w:b/>
          <w:sz w:val="36"/>
          <w:szCs w:val="36"/>
        </w:rPr>
      </w:pPr>
    </w:p>
    <w:p>
      <w:pPr>
        <w:spacing w:line="500" w:lineRule="exact"/>
        <w:jc w:val="center"/>
        <w:rPr>
          <w:b/>
          <w:sz w:val="44"/>
          <w:szCs w:val="44"/>
        </w:rPr>
      </w:pPr>
      <w:r>
        <w:rPr>
          <w:rFonts w:hint="eastAsia" w:eastAsia="方正小标宋简体"/>
          <w:b/>
          <w:sz w:val="44"/>
          <w:szCs w:val="44"/>
        </w:rPr>
        <w:t>崇明区财政项目支出绩效评价报告</w:t>
      </w:r>
      <w:r>
        <w:rPr>
          <w:rFonts w:eastAsia="方正小标宋简体"/>
          <w:b/>
          <w:sz w:val="44"/>
          <w:szCs w:val="44"/>
        </w:rPr>
        <w:t xml:space="preserve"> </w:t>
      </w:r>
    </w:p>
    <w:p>
      <w:pPr>
        <w:spacing w:line="500" w:lineRule="exact"/>
        <w:ind w:firstLine="883"/>
        <w:jc w:val="center"/>
        <w:rPr>
          <w:b/>
          <w:sz w:val="44"/>
          <w:szCs w:val="44"/>
        </w:rPr>
      </w:pPr>
    </w:p>
    <w:p>
      <w:pPr>
        <w:spacing w:line="500" w:lineRule="exact"/>
        <w:ind w:firstLine="883"/>
        <w:jc w:val="center"/>
        <w:rPr>
          <w:b/>
          <w:sz w:val="44"/>
          <w:szCs w:val="44"/>
        </w:rPr>
      </w:pPr>
    </w:p>
    <w:p>
      <w:pPr>
        <w:spacing w:line="500" w:lineRule="exact"/>
        <w:ind w:firstLine="883"/>
        <w:jc w:val="center"/>
        <w:rPr>
          <w:b/>
          <w:sz w:val="44"/>
          <w:szCs w:val="44"/>
        </w:rPr>
      </w:pPr>
    </w:p>
    <w:p>
      <w:pPr>
        <w:spacing w:line="500" w:lineRule="exact"/>
        <w:ind w:firstLine="883"/>
        <w:jc w:val="center"/>
        <w:rPr>
          <w:b/>
          <w:sz w:val="44"/>
          <w:szCs w:val="44"/>
        </w:rPr>
      </w:pPr>
    </w:p>
    <w:p>
      <w:pPr>
        <w:spacing w:line="500" w:lineRule="exact"/>
        <w:ind w:firstLine="883"/>
        <w:jc w:val="center"/>
        <w:rPr>
          <w:b/>
          <w:sz w:val="44"/>
          <w:szCs w:val="44"/>
        </w:rPr>
      </w:pPr>
    </w:p>
    <w:p>
      <w:pPr>
        <w:spacing w:line="500" w:lineRule="exact"/>
        <w:ind w:firstLine="883"/>
        <w:jc w:val="center"/>
        <w:rPr>
          <w:b/>
          <w:sz w:val="44"/>
          <w:szCs w:val="44"/>
        </w:rPr>
      </w:pPr>
    </w:p>
    <w:p>
      <w:pPr>
        <w:spacing w:line="500" w:lineRule="exact"/>
        <w:ind w:firstLine="883"/>
        <w:jc w:val="center"/>
        <w:rPr>
          <w:b/>
          <w:sz w:val="44"/>
          <w:szCs w:val="44"/>
        </w:rPr>
      </w:pPr>
    </w:p>
    <w:p>
      <w:pPr>
        <w:spacing w:line="500" w:lineRule="exact"/>
        <w:ind w:firstLine="883"/>
        <w:jc w:val="center"/>
        <w:rPr>
          <w:b/>
          <w:sz w:val="44"/>
          <w:szCs w:val="44"/>
        </w:rPr>
      </w:pPr>
    </w:p>
    <w:p>
      <w:pPr>
        <w:spacing w:line="500" w:lineRule="exact"/>
        <w:ind w:firstLine="883"/>
        <w:jc w:val="center"/>
        <w:rPr>
          <w:b/>
          <w:sz w:val="44"/>
          <w:szCs w:val="44"/>
        </w:rPr>
      </w:pPr>
    </w:p>
    <w:tbl>
      <w:tblPr>
        <w:tblStyle w:val="41"/>
        <w:tblW w:w="6100" w:type="dxa"/>
        <w:tblInd w:w="18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100" w:type="dxa"/>
          </w:tcPr>
          <w:p>
            <w:pPr>
              <w:spacing w:line="360" w:lineRule="auto"/>
              <w:ind w:left="1500" w:hanging="1500" w:hangingChars="500"/>
              <w:rPr>
                <w:b/>
                <w:sz w:val="44"/>
                <w:szCs w:val="44"/>
              </w:rPr>
            </w:pPr>
            <w:r>
              <w:rPr>
                <w:rFonts w:eastAsia="楷体_GB2312"/>
                <w:kern w:val="2"/>
                <w:sz w:val="30"/>
                <w:szCs w:val="30"/>
              </w:rPr>
              <w:t>项目名称：2022年成职科内涵发展经费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100" w:type="dxa"/>
          </w:tcPr>
          <w:p>
            <w:pPr>
              <w:spacing w:line="360" w:lineRule="auto"/>
              <w:ind w:left="1500" w:hanging="1500" w:hangingChars="500"/>
              <w:rPr>
                <w:rFonts w:eastAsia="楷体_GB2312"/>
                <w:kern w:val="2"/>
                <w:sz w:val="30"/>
                <w:szCs w:val="30"/>
              </w:rPr>
            </w:pPr>
            <w:r>
              <w:rPr>
                <w:rFonts w:hint="eastAsia" w:eastAsia="楷体_GB2312"/>
                <w:kern w:val="2"/>
                <w:sz w:val="30"/>
                <w:szCs w:val="30"/>
              </w:rPr>
              <w:t>预算单位：崇明区教育局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100" w:type="dxa"/>
          </w:tcPr>
          <w:p>
            <w:pPr>
              <w:spacing w:line="360" w:lineRule="auto"/>
              <w:rPr>
                <w:b/>
                <w:sz w:val="44"/>
                <w:szCs w:val="44"/>
              </w:rPr>
            </w:pPr>
            <w:r>
              <w:rPr>
                <w:rFonts w:eastAsia="楷体_GB2312"/>
                <w:kern w:val="2"/>
                <w:sz w:val="30"/>
                <w:szCs w:val="30"/>
              </w:rPr>
              <w:t>预算部门：崇明区教育局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100" w:type="dxa"/>
          </w:tcPr>
          <w:p>
            <w:pPr>
              <w:spacing w:line="360" w:lineRule="auto"/>
              <w:rPr>
                <w:b/>
                <w:sz w:val="44"/>
                <w:szCs w:val="44"/>
              </w:rPr>
            </w:pPr>
            <w:r>
              <w:rPr>
                <w:rFonts w:eastAsia="楷体_GB2312"/>
                <w:kern w:val="2"/>
                <w:sz w:val="30"/>
                <w:szCs w:val="30"/>
              </w:rPr>
              <w:t>委托部门：崇明区财政局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6100" w:type="dxa"/>
          </w:tcPr>
          <w:p>
            <w:pPr>
              <w:spacing w:line="360" w:lineRule="auto"/>
              <w:rPr>
                <w:b/>
                <w:sz w:val="44"/>
                <w:szCs w:val="44"/>
              </w:rPr>
            </w:pPr>
            <w:r>
              <w:rPr>
                <w:rFonts w:eastAsia="楷体_GB2312"/>
                <w:kern w:val="2"/>
                <w:sz w:val="30"/>
                <w:szCs w:val="30"/>
              </w:rPr>
              <w:t>评价机构：上海厚贤科技咨询有限公司</w:t>
            </w:r>
          </w:p>
        </w:tc>
      </w:tr>
    </w:tbl>
    <w:p>
      <w:pPr>
        <w:spacing w:line="500" w:lineRule="exact"/>
        <w:ind w:left="960" w:leftChars="400" w:firstLine="562"/>
        <w:rPr>
          <w:b/>
          <w:sz w:val="28"/>
          <w:szCs w:val="28"/>
        </w:rPr>
      </w:pPr>
    </w:p>
    <w:p>
      <w:pPr>
        <w:spacing w:line="500" w:lineRule="exact"/>
        <w:ind w:left="960" w:leftChars="400" w:firstLine="562"/>
        <w:rPr>
          <w:b/>
          <w:sz w:val="28"/>
          <w:szCs w:val="28"/>
        </w:rPr>
      </w:pPr>
    </w:p>
    <w:p>
      <w:pPr>
        <w:spacing w:line="500" w:lineRule="exact"/>
        <w:ind w:left="960" w:leftChars="400" w:firstLine="562"/>
        <w:rPr>
          <w:b/>
          <w:sz w:val="28"/>
          <w:szCs w:val="28"/>
        </w:rPr>
      </w:pPr>
    </w:p>
    <w:p>
      <w:pPr>
        <w:spacing w:line="500" w:lineRule="exact"/>
        <w:ind w:left="960" w:leftChars="400" w:firstLine="562"/>
        <w:rPr>
          <w:b/>
          <w:sz w:val="28"/>
          <w:szCs w:val="28"/>
        </w:rPr>
      </w:pPr>
    </w:p>
    <w:p>
      <w:pPr>
        <w:spacing w:line="500" w:lineRule="exact"/>
        <w:jc w:val="center"/>
        <w:rPr>
          <w:b/>
          <w:color w:val="000000"/>
          <w:sz w:val="30"/>
          <w:szCs w:val="30"/>
        </w:rPr>
      </w:pPr>
      <w:r>
        <w:rPr>
          <w:rFonts w:hint="eastAsia" w:eastAsia="黑体"/>
          <w:b/>
          <w:color w:val="000000"/>
          <w:sz w:val="30"/>
          <w:szCs w:val="30"/>
        </w:rPr>
        <w:t>二O二三</w:t>
      </w:r>
      <w:r>
        <w:rPr>
          <w:rFonts w:eastAsia="黑体"/>
          <w:b/>
          <w:color w:val="000000"/>
          <w:sz w:val="30"/>
          <w:szCs w:val="30"/>
        </w:rPr>
        <w:t>年</w:t>
      </w:r>
      <w:r>
        <w:rPr>
          <w:rFonts w:hint="eastAsia" w:eastAsia="黑体"/>
          <w:b/>
          <w:color w:val="000000"/>
          <w:sz w:val="30"/>
          <w:szCs w:val="30"/>
        </w:rPr>
        <w:t>六</w:t>
      </w:r>
      <w:r>
        <w:rPr>
          <w:rFonts w:eastAsia="黑体"/>
          <w:b/>
          <w:color w:val="000000"/>
          <w:sz w:val="30"/>
          <w:szCs w:val="30"/>
        </w:rPr>
        <w:t>月</w:t>
      </w:r>
    </w:p>
    <w:p>
      <w:pPr>
        <w:pStyle w:val="22"/>
        <w:tabs>
          <w:tab w:val="right" w:leader="dot" w:pos="9016"/>
        </w:tabs>
        <w:jc w:val="center"/>
        <w:rPr>
          <w:rFonts w:eastAsia="黑体"/>
          <w:b w:val="0"/>
          <w:sz w:val="36"/>
          <w:szCs w:val="36"/>
        </w:rPr>
        <w:sectPr>
          <w:headerReference r:id="rId6" w:type="first"/>
          <w:footerReference r:id="rId9" w:type="first"/>
          <w:headerReference r:id="rId4" w:type="default"/>
          <w:footerReference r:id="rId7" w:type="default"/>
          <w:headerReference r:id="rId5" w:type="even"/>
          <w:footerReference r:id="rId8" w:type="even"/>
          <w:type w:val="continuous"/>
          <w:pgSz w:w="11906" w:h="16838"/>
          <w:pgMar w:top="1797" w:right="1440" w:bottom="1797" w:left="1440" w:header="851" w:footer="992" w:gutter="0"/>
          <w:cols w:space="720" w:num="1"/>
          <w:docGrid w:type="lines" w:linePitch="441" w:charSpace="0"/>
        </w:sectPr>
      </w:pPr>
    </w:p>
    <w:p>
      <w:pPr>
        <w:pStyle w:val="22"/>
        <w:tabs>
          <w:tab w:val="right" w:leader="dot" w:pos="9016"/>
        </w:tabs>
        <w:jc w:val="center"/>
        <w:rPr>
          <w:rFonts w:eastAsia="黑体"/>
          <w:b w:val="0"/>
          <w:szCs w:val="32"/>
        </w:rPr>
      </w:pPr>
      <w:r>
        <w:rPr>
          <w:rFonts w:eastAsia="黑体"/>
          <w:b w:val="0"/>
          <w:szCs w:val="32"/>
        </w:rPr>
        <w:t>目  录</w:t>
      </w:r>
    </w:p>
    <w:p>
      <w:pPr>
        <w:pStyle w:val="22"/>
        <w:tabs>
          <w:tab w:val="right" w:leader="dot" w:pos="9026"/>
        </w:tabs>
      </w:pPr>
      <w:r>
        <w:rPr>
          <w:rFonts w:eastAsia="宋体"/>
          <w:sz w:val="28"/>
          <w:szCs w:val="28"/>
        </w:rPr>
        <w:fldChar w:fldCharType="begin"/>
      </w:r>
      <w:r>
        <w:rPr>
          <w:rFonts w:eastAsia="宋体"/>
          <w:sz w:val="28"/>
          <w:szCs w:val="28"/>
        </w:rPr>
        <w:instrText xml:space="preserve"> TOC \o "1-2" \h \z \u </w:instrText>
      </w:r>
      <w:r>
        <w:rPr>
          <w:rFonts w:eastAsia="宋体"/>
          <w:sz w:val="28"/>
          <w:szCs w:val="28"/>
        </w:rPr>
        <w:fldChar w:fldCharType="separate"/>
      </w:r>
      <w:r>
        <w:rPr>
          <w:rFonts w:eastAsia="宋体"/>
          <w:szCs w:val="28"/>
        </w:rPr>
        <w:fldChar w:fldCharType="begin"/>
      </w:r>
      <w:r>
        <w:rPr>
          <w:rFonts w:eastAsia="宋体"/>
          <w:szCs w:val="28"/>
        </w:rPr>
        <w:instrText xml:space="preserve"> HYPERLINK \l _Toc1616 </w:instrText>
      </w:r>
      <w:r>
        <w:rPr>
          <w:rFonts w:eastAsia="宋体"/>
          <w:szCs w:val="28"/>
        </w:rPr>
        <w:fldChar w:fldCharType="separate"/>
      </w:r>
      <w:r>
        <w:rPr>
          <w:rFonts w:ascii="黑体" w:hAnsi="黑体" w:eastAsia="黑体" w:cs="Times New Roman"/>
          <w:szCs w:val="32"/>
        </w:rPr>
        <w:t>摘</w:t>
      </w:r>
      <w:r>
        <w:rPr>
          <w:rFonts w:hint="eastAsia" w:ascii="黑体" w:hAnsi="黑体" w:eastAsia="黑体" w:cs="Times New Roman"/>
          <w:szCs w:val="32"/>
        </w:rPr>
        <w:t xml:space="preserve"> </w:t>
      </w:r>
      <w:r>
        <w:rPr>
          <w:rFonts w:ascii="黑体" w:hAnsi="黑体" w:eastAsia="黑体" w:cs="Times New Roman"/>
          <w:szCs w:val="32"/>
        </w:rPr>
        <w:t>要</w:t>
      </w:r>
      <w:r>
        <w:tab/>
      </w:r>
      <w:r>
        <w:fldChar w:fldCharType="begin"/>
      </w:r>
      <w:r>
        <w:instrText xml:space="preserve"> PAGEREF _Toc1616 </w:instrText>
      </w:r>
      <w:r>
        <w:fldChar w:fldCharType="separate"/>
      </w:r>
      <w:r>
        <w:t>1</w:t>
      </w:r>
      <w:r>
        <w:fldChar w:fldCharType="end"/>
      </w:r>
      <w:r>
        <w:rPr>
          <w:rFonts w:eastAsia="宋体"/>
          <w:szCs w:val="28"/>
        </w:rPr>
        <w:fldChar w:fldCharType="end"/>
      </w:r>
    </w:p>
    <w:p>
      <w:pPr>
        <w:pStyle w:val="22"/>
        <w:tabs>
          <w:tab w:val="right" w:leader="dot" w:pos="9026"/>
        </w:tabs>
      </w:pPr>
      <w:r>
        <w:rPr>
          <w:kern w:val="2"/>
          <w:szCs w:val="28"/>
        </w:rPr>
        <w:fldChar w:fldCharType="begin"/>
      </w:r>
      <w:r>
        <w:rPr>
          <w:kern w:val="2"/>
          <w:szCs w:val="28"/>
        </w:rPr>
        <w:instrText xml:space="preserve"> HYPERLINK \l _Toc14254 </w:instrText>
      </w:r>
      <w:r>
        <w:rPr>
          <w:kern w:val="2"/>
          <w:szCs w:val="28"/>
        </w:rPr>
        <w:fldChar w:fldCharType="separate"/>
      </w:r>
      <w:r>
        <w:rPr>
          <w:szCs w:val="32"/>
        </w:rPr>
        <w:t>一、基本情况</w:t>
      </w:r>
      <w:r>
        <w:tab/>
      </w:r>
      <w:r>
        <w:fldChar w:fldCharType="begin"/>
      </w:r>
      <w:r>
        <w:instrText xml:space="preserve"> PAGEREF _Toc14254 </w:instrText>
      </w:r>
      <w:r>
        <w:fldChar w:fldCharType="separate"/>
      </w:r>
      <w:r>
        <w:t>9</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_Toc9366 </w:instrText>
      </w:r>
      <w:r>
        <w:rPr>
          <w:kern w:val="2"/>
          <w:szCs w:val="28"/>
        </w:rPr>
        <w:fldChar w:fldCharType="separate"/>
      </w:r>
      <w:r>
        <w:rPr>
          <w:rFonts w:eastAsia="楷体_GB2312"/>
          <w:szCs w:val="32"/>
        </w:rPr>
        <w:t>（一）</w:t>
      </w:r>
      <w:r>
        <w:rPr>
          <w:rFonts w:hint="eastAsia" w:eastAsia="楷体_GB2312"/>
          <w:szCs w:val="32"/>
        </w:rPr>
        <w:t>项目立项背景、目的和依据</w:t>
      </w:r>
      <w:r>
        <w:tab/>
      </w:r>
      <w:r>
        <w:fldChar w:fldCharType="begin"/>
      </w:r>
      <w:r>
        <w:instrText xml:space="preserve"> PAGEREF _Toc9366 </w:instrText>
      </w:r>
      <w:r>
        <w:fldChar w:fldCharType="separate"/>
      </w:r>
      <w:r>
        <w:t>9</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_Toc21315 </w:instrText>
      </w:r>
      <w:r>
        <w:rPr>
          <w:kern w:val="2"/>
          <w:szCs w:val="28"/>
        </w:rPr>
        <w:fldChar w:fldCharType="separate"/>
      </w:r>
      <w:r>
        <w:rPr>
          <w:rFonts w:eastAsia="楷体_GB2312"/>
          <w:szCs w:val="32"/>
        </w:rPr>
        <w:t>（二）项目</w:t>
      </w:r>
      <w:r>
        <w:rPr>
          <w:rFonts w:hint="eastAsia" w:eastAsia="楷体_GB2312"/>
          <w:szCs w:val="32"/>
        </w:rPr>
        <w:t>实施计划及完成情况</w:t>
      </w:r>
      <w:r>
        <w:tab/>
      </w:r>
      <w:r>
        <w:fldChar w:fldCharType="begin"/>
      </w:r>
      <w:r>
        <w:instrText xml:space="preserve"> PAGEREF _Toc21315 </w:instrText>
      </w:r>
      <w:r>
        <w:fldChar w:fldCharType="separate"/>
      </w:r>
      <w:r>
        <w:t>15</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_Toc15803 </w:instrText>
      </w:r>
      <w:r>
        <w:rPr>
          <w:kern w:val="2"/>
          <w:szCs w:val="28"/>
        </w:rPr>
        <w:fldChar w:fldCharType="separate"/>
      </w:r>
      <w:r>
        <w:rPr>
          <w:rFonts w:eastAsia="楷体_GB2312"/>
          <w:szCs w:val="32"/>
        </w:rPr>
        <w:t>（三）</w:t>
      </w:r>
      <w:r>
        <w:rPr>
          <w:rFonts w:hint="eastAsia" w:eastAsia="楷体_GB2312"/>
          <w:szCs w:val="32"/>
        </w:rPr>
        <w:t>项目资金来源、项目预算及资金使用情况</w:t>
      </w:r>
      <w:r>
        <w:tab/>
      </w:r>
      <w:r>
        <w:fldChar w:fldCharType="begin"/>
      </w:r>
      <w:r>
        <w:instrText xml:space="preserve"> PAGEREF _Toc15803 </w:instrText>
      </w:r>
      <w:r>
        <w:fldChar w:fldCharType="separate"/>
      </w:r>
      <w:r>
        <w:t>39</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_Toc22216 </w:instrText>
      </w:r>
      <w:r>
        <w:rPr>
          <w:kern w:val="2"/>
          <w:szCs w:val="28"/>
        </w:rPr>
        <w:fldChar w:fldCharType="separate"/>
      </w:r>
      <w:r>
        <w:rPr>
          <w:rFonts w:eastAsia="楷体_GB2312"/>
          <w:szCs w:val="32"/>
        </w:rPr>
        <w:t>（四）项目的组织及管理情况</w:t>
      </w:r>
      <w:r>
        <w:tab/>
      </w:r>
      <w:r>
        <w:fldChar w:fldCharType="begin"/>
      </w:r>
      <w:r>
        <w:instrText xml:space="preserve"> PAGEREF _Toc22216 </w:instrText>
      </w:r>
      <w:r>
        <w:fldChar w:fldCharType="separate"/>
      </w:r>
      <w:r>
        <w:t>43</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_Toc3698 </w:instrText>
      </w:r>
      <w:r>
        <w:rPr>
          <w:kern w:val="2"/>
          <w:szCs w:val="28"/>
        </w:rPr>
        <w:fldChar w:fldCharType="separate"/>
      </w:r>
      <w:r>
        <w:rPr>
          <w:rFonts w:eastAsia="楷体_GB2312"/>
          <w:szCs w:val="32"/>
        </w:rPr>
        <w:t>（</w:t>
      </w:r>
      <w:r>
        <w:rPr>
          <w:rFonts w:hint="eastAsia" w:eastAsia="楷体_GB2312"/>
          <w:szCs w:val="32"/>
        </w:rPr>
        <w:t>五</w:t>
      </w:r>
      <w:r>
        <w:rPr>
          <w:rFonts w:eastAsia="楷体_GB2312"/>
          <w:szCs w:val="32"/>
        </w:rPr>
        <w:t>）项目绩效目标</w:t>
      </w:r>
      <w:r>
        <w:tab/>
      </w:r>
      <w:r>
        <w:fldChar w:fldCharType="begin"/>
      </w:r>
      <w:r>
        <w:instrText xml:space="preserve"> PAGEREF _Toc3698 </w:instrText>
      </w:r>
      <w:r>
        <w:fldChar w:fldCharType="separate"/>
      </w:r>
      <w:r>
        <w:t>48</w:t>
      </w:r>
      <w:r>
        <w:fldChar w:fldCharType="end"/>
      </w:r>
      <w:r>
        <w:rPr>
          <w:kern w:val="2"/>
          <w:szCs w:val="28"/>
        </w:rPr>
        <w:fldChar w:fldCharType="end"/>
      </w:r>
    </w:p>
    <w:p>
      <w:pPr>
        <w:pStyle w:val="22"/>
        <w:tabs>
          <w:tab w:val="right" w:leader="dot" w:pos="9026"/>
        </w:tabs>
      </w:pPr>
      <w:r>
        <w:rPr>
          <w:kern w:val="2"/>
          <w:szCs w:val="28"/>
        </w:rPr>
        <w:fldChar w:fldCharType="begin"/>
      </w:r>
      <w:r>
        <w:rPr>
          <w:kern w:val="2"/>
          <w:szCs w:val="28"/>
        </w:rPr>
        <w:instrText xml:space="preserve"> HYPERLINK \l _Toc31349 </w:instrText>
      </w:r>
      <w:r>
        <w:rPr>
          <w:kern w:val="2"/>
          <w:szCs w:val="28"/>
        </w:rPr>
        <w:fldChar w:fldCharType="separate"/>
      </w:r>
      <w:r>
        <w:rPr>
          <w:szCs w:val="32"/>
        </w:rPr>
        <w:t>二、</w:t>
      </w:r>
      <w:r>
        <w:rPr>
          <w:rFonts w:hint="eastAsia"/>
          <w:szCs w:val="32"/>
        </w:rPr>
        <w:t>绩效评价工作情况</w:t>
      </w:r>
      <w:r>
        <w:tab/>
      </w:r>
      <w:r>
        <w:fldChar w:fldCharType="begin"/>
      </w:r>
      <w:r>
        <w:instrText xml:space="preserve"> PAGEREF _Toc31349 </w:instrText>
      </w:r>
      <w:r>
        <w:fldChar w:fldCharType="separate"/>
      </w:r>
      <w:r>
        <w:t>53</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_Toc27420 </w:instrText>
      </w:r>
      <w:r>
        <w:rPr>
          <w:kern w:val="2"/>
          <w:szCs w:val="28"/>
        </w:rPr>
        <w:fldChar w:fldCharType="separate"/>
      </w:r>
      <w:r>
        <w:rPr>
          <w:rFonts w:eastAsia="楷体_GB2312"/>
          <w:szCs w:val="32"/>
        </w:rPr>
        <w:t>（一）</w:t>
      </w:r>
      <w:r>
        <w:rPr>
          <w:rFonts w:hint="eastAsia" w:eastAsia="楷体_GB2312"/>
          <w:szCs w:val="32"/>
        </w:rPr>
        <w:t>绩效评价目的、对象和范围</w:t>
      </w:r>
      <w:r>
        <w:tab/>
      </w:r>
      <w:r>
        <w:fldChar w:fldCharType="begin"/>
      </w:r>
      <w:r>
        <w:instrText xml:space="preserve"> PAGEREF _Toc27420 </w:instrText>
      </w:r>
      <w:r>
        <w:fldChar w:fldCharType="separate"/>
      </w:r>
      <w:r>
        <w:t>53</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_Toc29187 </w:instrText>
      </w:r>
      <w:r>
        <w:rPr>
          <w:kern w:val="2"/>
          <w:szCs w:val="28"/>
        </w:rPr>
        <w:fldChar w:fldCharType="separate"/>
      </w:r>
      <w:r>
        <w:rPr>
          <w:rFonts w:eastAsia="楷体_GB2312"/>
        </w:rPr>
        <w:t>（二）</w:t>
      </w:r>
      <w:r>
        <w:rPr>
          <w:rFonts w:hint="eastAsia" w:eastAsia="楷体_GB2312"/>
        </w:rPr>
        <w:t>绩效评价的依据</w:t>
      </w:r>
      <w:r>
        <w:tab/>
      </w:r>
      <w:r>
        <w:fldChar w:fldCharType="begin"/>
      </w:r>
      <w:r>
        <w:instrText xml:space="preserve"> PAGEREF _Toc29187 </w:instrText>
      </w:r>
      <w:r>
        <w:fldChar w:fldCharType="separate"/>
      </w:r>
      <w:r>
        <w:t>53</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_Toc11753 </w:instrText>
      </w:r>
      <w:r>
        <w:rPr>
          <w:kern w:val="2"/>
          <w:szCs w:val="28"/>
        </w:rPr>
        <w:fldChar w:fldCharType="separate"/>
      </w:r>
      <w:r>
        <w:rPr>
          <w:rFonts w:eastAsia="楷体_GB2312"/>
        </w:rPr>
        <w:t>（三）</w:t>
      </w:r>
      <w:r>
        <w:rPr>
          <w:rFonts w:hint="eastAsia" w:eastAsia="楷体_GB2312"/>
        </w:rPr>
        <w:t>绩效评价原则和评价方法</w:t>
      </w:r>
      <w:r>
        <w:tab/>
      </w:r>
      <w:r>
        <w:fldChar w:fldCharType="begin"/>
      </w:r>
      <w:r>
        <w:instrText xml:space="preserve"> PAGEREF _Toc11753 </w:instrText>
      </w:r>
      <w:r>
        <w:fldChar w:fldCharType="separate"/>
      </w:r>
      <w:r>
        <w:t>54</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_Toc14044 </w:instrText>
      </w:r>
      <w:r>
        <w:rPr>
          <w:kern w:val="2"/>
          <w:szCs w:val="28"/>
        </w:rPr>
        <w:fldChar w:fldCharType="separate"/>
      </w:r>
      <w:r>
        <w:rPr>
          <w:rFonts w:eastAsia="楷体_GB2312"/>
          <w:szCs w:val="32"/>
        </w:rPr>
        <w:t>（</w:t>
      </w:r>
      <w:r>
        <w:rPr>
          <w:rFonts w:hint="eastAsia" w:eastAsia="楷体_GB2312"/>
          <w:szCs w:val="32"/>
        </w:rPr>
        <w:t>四</w:t>
      </w:r>
      <w:r>
        <w:rPr>
          <w:rFonts w:eastAsia="楷体_GB2312"/>
          <w:szCs w:val="32"/>
        </w:rPr>
        <w:t>）</w:t>
      </w:r>
      <w:r>
        <w:rPr>
          <w:rFonts w:hint="eastAsia" w:eastAsia="楷体_GB2312"/>
          <w:szCs w:val="32"/>
        </w:rPr>
        <w:t>绩效评价工作方案制定过程</w:t>
      </w:r>
      <w:r>
        <w:tab/>
      </w:r>
      <w:r>
        <w:fldChar w:fldCharType="begin"/>
      </w:r>
      <w:r>
        <w:instrText xml:space="preserve"> PAGEREF _Toc14044 </w:instrText>
      </w:r>
      <w:r>
        <w:fldChar w:fldCharType="separate"/>
      </w:r>
      <w:r>
        <w:t>55</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_Toc6851 </w:instrText>
      </w:r>
      <w:r>
        <w:rPr>
          <w:kern w:val="2"/>
          <w:szCs w:val="28"/>
        </w:rPr>
        <w:fldChar w:fldCharType="separate"/>
      </w:r>
      <w:r>
        <w:rPr>
          <w:rFonts w:eastAsia="楷体_GB2312"/>
          <w:szCs w:val="32"/>
        </w:rPr>
        <w:t>（</w:t>
      </w:r>
      <w:r>
        <w:rPr>
          <w:rFonts w:hint="eastAsia" w:eastAsia="楷体_GB2312"/>
          <w:szCs w:val="32"/>
        </w:rPr>
        <w:t>五</w:t>
      </w:r>
      <w:r>
        <w:rPr>
          <w:rFonts w:eastAsia="楷体_GB2312"/>
          <w:szCs w:val="32"/>
        </w:rPr>
        <w:t>）</w:t>
      </w:r>
      <w:r>
        <w:rPr>
          <w:rFonts w:hint="eastAsia" w:eastAsia="楷体_GB2312"/>
          <w:szCs w:val="32"/>
        </w:rPr>
        <w:t>绩效评价实施过程</w:t>
      </w:r>
      <w:r>
        <w:tab/>
      </w:r>
      <w:r>
        <w:fldChar w:fldCharType="begin"/>
      </w:r>
      <w:r>
        <w:instrText xml:space="preserve"> PAGEREF _Toc6851 </w:instrText>
      </w:r>
      <w:r>
        <w:fldChar w:fldCharType="separate"/>
      </w:r>
      <w:r>
        <w:t>55</w:t>
      </w:r>
      <w:r>
        <w:fldChar w:fldCharType="end"/>
      </w:r>
      <w:r>
        <w:rPr>
          <w:kern w:val="2"/>
          <w:szCs w:val="28"/>
        </w:rPr>
        <w:fldChar w:fldCharType="end"/>
      </w:r>
    </w:p>
    <w:p>
      <w:pPr>
        <w:pStyle w:val="22"/>
        <w:tabs>
          <w:tab w:val="right" w:leader="dot" w:pos="9026"/>
        </w:tabs>
      </w:pPr>
      <w:r>
        <w:rPr>
          <w:kern w:val="2"/>
          <w:szCs w:val="28"/>
        </w:rPr>
        <w:fldChar w:fldCharType="begin"/>
      </w:r>
      <w:r>
        <w:rPr>
          <w:kern w:val="2"/>
          <w:szCs w:val="28"/>
        </w:rPr>
        <w:instrText xml:space="preserve"> HYPERLINK \l _Toc5310 </w:instrText>
      </w:r>
      <w:r>
        <w:rPr>
          <w:kern w:val="2"/>
          <w:szCs w:val="28"/>
        </w:rPr>
        <w:fldChar w:fldCharType="separate"/>
      </w:r>
      <w:r>
        <w:rPr>
          <w:szCs w:val="32"/>
        </w:rPr>
        <w:t>三、</w:t>
      </w:r>
      <w:r>
        <w:rPr>
          <w:rFonts w:hint="eastAsia"/>
          <w:szCs w:val="32"/>
        </w:rPr>
        <w:t>评价结论与绩效分析</w:t>
      </w:r>
      <w:r>
        <w:tab/>
      </w:r>
      <w:r>
        <w:fldChar w:fldCharType="begin"/>
      </w:r>
      <w:r>
        <w:instrText xml:space="preserve"> PAGEREF _Toc5310 </w:instrText>
      </w:r>
      <w:r>
        <w:fldChar w:fldCharType="separate"/>
      </w:r>
      <w:r>
        <w:t>58</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_Toc4074 </w:instrText>
      </w:r>
      <w:r>
        <w:rPr>
          <w:kern w:val="2"/>
          <w:szCs w:val="28"/>
        </w:rPr>
        <w:fldChar w:fldCharType="separate"/>
      </w:r>
      <w:r>
        <w:rPr>
          <w:rFonts w:eastAsia="楷体_GB2312"/>
          <w:szCs w:val="32"/>
        </w:rPr>
        <w:t>（一）</w:t>
      </w:r>
      <w:r>
        <w:rPr>
          <w:rFonts w:hint="eastAsia" w:eastAsia="楷体_GB2312"/>
          <w:szCs w:val="32"/>
        </w:rPr>
        <w:t>评价结论</w:t>
      </w:r>
      <w:r>
        <w:tab/>
      </w:r>
      <w:r>
        <w:fldChar w:fldCharType="begin"/>
      </w:r>
      <w:r>
        <w:instrText xml:space="preserve"> PAGEREF _Toc4074 </w:instrText>
      </w:r>
      <w:r>
        <w:fldChar w:fldCharType="separate"/>
      </w:r>
      <w:r>
        <w:t>58</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_Toc5244 </w:instrText>
      </w:r>
      <w:r>
        <w:rPr>
          <w:kern w:val="2"/>
          <w:szCs w:val="28"/>
        </w:rPr>
        <w:fldChar w:fldCharType="separate"/>
      </w:r>
      <w:r>
        <w:rPr>
          <w:szCs w:val="32"/>
        </w:rPr>
        <w:t>（二）</w:t>
      </w:r>
      <w:r>
        <w:rPr>
          <w:rFonts w:hint="eastAsia"/>
          <w:szCs w:val="32"/>
        </w:rPr>
        <w:t>具体绩效分析</w:t>
      </w:r>
      <w:r>
        <w:tab/>
      </w:r>
      <w:r>
        <w:fldChar w:fldCharType="begin"/>
      </w:r>
      <w:r>
        <w:instrText xml:space="preserve"> PAGEREF _Toc5244 </w:instrText>
      </w:r>
      <w:r>
        <w:fldChar w:fldCharType="separate"/>
      </w:r>
      <w:r>
        <w:t>61</w:t>
      </w:r>
      <w:r>
        <w:fldChar w:fldCharType="end"/>
      </w:r>
      <w:r>
        <w:rPr>
          <w:kern w:val="2"/>
          <w:szCs w:val="28"/>
        </w:rPr>
        <w:fldChar w:fldCharType="end"/>
      </w:r>
    </w:p>
    <w:p>
      <w:pPr>
        <w:pStyle w:val="22"/>
        <w:tabs>
          <w:tab w:val="right" w:leader="dot" w:pos="9026"/>
        </w:tabs>
      </w:pPr>
      <w:r>
        <w:rPr>
          <w:kern w:val="2"/>
          <w:szCs w:val="28"/>
        </w:rPr>
        <w:fldChar w:fldCharType="begin"/>
      </w:r>
      <w:r>
        <w:rPr>
          <w:kern w:val="2"/>
          <w:szCs w:val="28"/>
        </w:rPr>
        <w:instrText xml:space="preserve"> HYPERLINK \l _Toc20529 </w:instrText>
      </w:r>
      <w:r>
        <w:rPr>
          <w:kern w:val="2"/>
          <w:szCs w:val="28"/>
        </w:rPr>
        <w:fldChar w:fldCharType="separate"/>
      </w:r>
      <w:r>
        <w:rPr>
          <w:szCs w:val="32"/>
        </w:rPr>
        <w:t>四、</w:t>
      </w:r>
      <w:r>
        <w:rPr>
          <w:rFonts w:hint="eastAsia"/>
          <w:szCs w:val="32"/>
        </w:rPr>
        <w:t>主要经验及做法、存在问题和建议</w:t>
      </w:r>
      <w:r>
        <w:tab/>
      </w:r>
      <w:r>
        <w:fldChar w:fldCharType="begin"/>
      </w:r>
      <w:r>
        <w:instrText xml:space="preserve"> PAGEREF _Toc20529 </w:instrText>
      </w:r>
      <w:r>
        <w:fldChar w:fldCharType="separate"/>
      </w:r>
      <w:r>
        <w:t>76</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_Toc32196 </w:instrText>
      </w:r>
      <w:r>
        <w:rPr>
          <w:kern w:val="2"/>
          <w:szCs w:val="28"/>
        </w:rPr>
        <w:fldChar w:fldCharType="separate"/>
      </w:r>
      <w:r>
        <w:rPr>
          <w:szCs w:val="32"/>
        </w:rPr>
        <w:t>（一）</w:t>
      </w:r>
      <w:r>
        <w:rPr>
          <w:rFonts w:hint="eastAsia"/>
          <w:szCs w:val="32"/>
        </w:rPr>
        <w:t>主要经验及做法</w:t>
      </w:r>
      <w:r>
        <w:tab/>
      </w:r>
      <w:r>
        <w:fldChar w:fldCharType="begin"/>
      </w:r>
      <w:r>
        <w:instrText xml:space="preserve"> PAGEREF _Toc32196 </w:instrText>
      </w:r>
      <w:r>
        <w:fldChar w:fldCharType="separate"/>
      </w:r>
      <w:r>
        <w:t>76</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_Toc23593 </w:instrText>
      </w:r>
      <w:r>
        <w:rPr>
          <w:kern w:val="2"/>
          <w:szCs w:val="28"/>
        </w:rPr>
        <w:fldChar w:fldCharType="separate"/>
      </w:r>
      <w:r>
        <w:rPr>
          <w:rFonts w:ascii="Times New Roman" w:hAnsi="Times New Roman"/>
          <w:lang w:eastAsia="zh-CN"/>
        </w:rPr>
        <w:t>（二）</w:t>
      </w:r>
      <w:r>
        <w:rPr>
          <w:rFonts w:hint="eastAsia" w:ascii="Times New Roman" w:hAnsi="Times New Roman"/>
          <w:lang w:eastAsia="zh-CN"/>
        </w:rPr>
        <w:t>存在问题</w:t>
      </w:r>
      <w:r>
        <w:tab/>
      </w:r>
      <w:r>
        <w:fldChar w:fldCharType="begin"/>
      </w:r>
      <w:r>
        <w:instrText xml:space="preserve"> PAGEREF _Toc23593 </w:instrText>
      </w:r>
      <w:r>
        <w:fldChar w:fldCharType="separate"/>
      </w:r>
      <w:r>
        <w:t>77</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_Toc12303 </w:instrText>
      </w:r>
      <w:r>
        <w:rPr>
          <w:kern w:val="2"/>
          <w:szCs w:val="28"/>
        </w:rPr>
        <w:fldChar w:fldCharType="separate"/>
      </w:r>
      <w:r>
        <w:rPr>
          <w:rFonts w:ascii="Times New Roman" w:hAnsi="Times New Roman"/>
          <w:lang w:eastAsia="zh-CN"/>
        </w:rPr>
        <w:t>（三）</w:t>
      </w:r>
      <w:r>
        <w:rPr>
          <w:rFonts w:hint="eastAsia" w:ascii="Times New Roman" w:hAnsi="Times New Roman"/>
          <w:lang w:eastAsia="zh-CN"/>
        </w:rPr>
        <w:t>建议和改进举措</w:t>
      </w:r>
      <w:r>
        <w:tab/>
      </w:r>
      <w:r>
        <w:fldChar w:fldCharType="begin"/>
      </w:r>
      <w:r>
        <w:instrText xml:space="preserve"> PAGEREF _Toc12303 </w:instrText>
      </w:r>
      <w:r>
        <w:fldChar w:fldCharType="separate"/>
      </w:r>
      <w:r>
        <w:t>80</w:t>
      </w:r>
      <w:r>
        <w:fldChar w:fldCharType="end"/>
      </w:r>
      <w:r>
        <w:rPr>
          <w:kern w:val="2"/>
          <w:szCs w:val="28"/>
        </w:rPr>
        <w:fldChar w:fldCharType="end"/>
      </w:r>
    </w:p>
    <w:p>
      <w:pPr>
        <w:pStyle w:val="27"/>
        <w:tabs>
          <w:tab w:val="right" w:leader="dot" w:pos="9026"/>
        </w:tabs>
      </w:pPr>
      <w:r>
        <w:rPr>
          <w:kern w:val="2"/>
          <w:szCs w:val="28"/>
        </w:rPr>
        <w:fldChar w:fldCharType="begin"/>
      </w:r>
      <w:r>
        <w:rPr>
          <w:kern w:val="2"/>
          <w:szCs w:val="28"/>
        </w:rPr>
        <w:instrText xml:space="preserve"> HYPERLINK \l _Toc14799 </w:instrText>
      </w:r>
      <w:r>
        <w:rPr>
          <w:kern w:val="2"/>
          <w:szCs w:val="28"/>
        </w:rPr>
        <w:fldChar w:fldCharType="separate"/>
      </w:r>
      <w:r>
        <w:rPr>
          <w:rFonts w:ascii="Times New Roman" w:hAnsi="Times New Roman"/>
          <w:lang w:eastAsia="zh-CN"/>
        </w:rPr>
        <w:t>（</w:t>
      </w:r>
      <w:r>
        <w:rPr>
          <w:rFonts w:hint="eastAsia" w:ascii="Times New Roman" w:hAnsi="Times New Roman"/>
          <w:lang w:eastAsia="zh-CN"/>
        </w:rPr>
        <w:t>四</w:t>
      </w:r>
      <w:r>
        <w:rPr>
          <w:rFonts w:ascii="Times New Roman" w:hAnsi="Times New Roman"/>
          <w:lang w:eastAsia="zh-CN"/>
        </w:rPr>
        <w:t>）</w:t>
      </w:r>
      <w:r>
        <w:rPr>
          <w:rFonts w:hint="eastAsia" w:ascii="Times New Roman" w:hAnsi="Times New Roman"/>
          <w:lang w:eastAsia="zh-CN"/>
        </w:rPr>
        <w:t>2</w:t>
      </w:r>
      <w:r>
        <w:rPr>
          <w:rFonts w:ascii="Times New Roman" w:hAnsi="Times New Roman"/>
          <w:lang w:eastAsia="zh-CN"/>
        </w:rPr>
        <w:t>023</w:t>
      </w:r>
      <w:r>
        <w:rPr>
          <w:rFonts w:hint="eastAsia" w:ascii="Times New Roman" w:hAnsi="Times New Roman"/>
          <w:lang w:eastAsia="zh-CN"/>
        </w:rPr>
        <w:t>年项目预算建议</w:t>
      </w:r>
      <w:r>
        <w:tab/>
      </w:r>
      <w:r>
        <w:fldChar w:fldCharType="begin"/>
      </w:r>
      <w:r>
        <w:instrText xml:space="preserve"> PAGEREF _Toc14799 </w:instrText>
      </w:r>
      <w:r>
        <w:fldChar w:fldCharType="separate"/>
      </w:r>
      <w:r>
        <w:t>83</w:t>
      </w:r>
      <w:r>
        <w:fldChar w:fldCharType="end"/>
      </w:r>
      <w:r>
        <w:rPr>
          <w:kern w:val="2"/>
          <w:szCs w:val="28"/>
        </w:rPr>
        <w:fldChar w:fldCharType="end"/>
      </w:r>
    </w:p>
    <w:p>
      <w:pPr>
        <w:adjustRightInd w:val="0"/>
        <w:snapToGrid w:val="0"/>
        <w:jc w:val="center"/>
        <w:rPr>
          <w:b/>
          <w:sz w:val="28"/>
          <w:szCs w:val="28"/>
        </w:rPr>
        <w:sectPr>
          <w:footerReference r:id="rId10" w:type="default"/>
          <w:pgSz w:w="11906" w:h="16838"/>
          <w:pgMar w:top="1797" w:right="1440" w:bottom="1797" w:left="1440" w:header="851" w:footer="992" w:gutter="0"/>
          <w:cols w:space="720" w:num="1"/>
          <w:docGrid w:type="lines" w:linePitch="441" w:charSpace="0"/>
        </w:sectPr>
      </w:pPr>
      <w:r>
        <w:rPr>
          <w:kern w:val="2"/>
          <w:szCs w:val="28"/>
        </w:rPr>
        <w:fldChar w:fldCharType="end"/>
      </w:r>
    </w:p>
    <w:p>
      <w:pPr>
        <w:adjustRightInd w:val="0"/>
        <w:spacing w:line="540" w:lineRule="exact"/>
        <w:jc w:val="center"/>
        <w:outlineLvl w:val="0"/>
        <w:rPr>
          <w:rFonts w:ascii="黑体" w:hAnsi="黑体" w:eastAsia="黑体" w:cs="Times New Roman"/>
          <w:sz w:val="32"/>
          <w:szCs w:val="32"/>
        </w:rPr>
      </w:pPr>
      <w:bookmarkStart w:id="0" w:name="_Toc108602951"/>
      <w:bookmarkStart w:id="1" w:name="_Toc1616"/>
      <w:bookmarkStart w:id="2" w:name="_Hlk104932397"/>
      <w:r>
        <w:rPr>
          <w:rFonts w:ascii="黑体" w:hAnsi="黑体" w:eastAsia="黑体" w:cs="Times New Roman"/>
          <w:sz w:val="32"/>
          <w:szCs w:val="32"/>
        </w:rPr>
        <w:t>摘</w:t>
      </w:r>
      <w:r>
        <w:rPr>
          <w:rFonts w:hint="eastAsia" w:ascii="黑体" w:hAnsi="黑体" w:eastAsia="黑体" w:cs="Times New Roman"/>
          <w:sz w:val="32"/>
          <w:szCs w:val="32"/>
        </w:rPr>
        <w:t xml:space="preserve"> </w:t>
      </w:r>
      <w:r>
        <w:rPr>
          <w:rFonts w:ascii="黑体" w:hAnsi="黑体" w:eastAsia="黑体" w:cs="Times New Roman"/>
          <w:sz w:val="32"/>
          <w:szCs w:val="32"/>
        </w:rPr>
        <w:t>要</w:t>
      </w:r>
      <w:bookmarkEnd w:id="0"/>
      <w:bookmarkEnd w:id="1"/>
    </w:p>
    <w:p>
      <w:pPr>
        <w:spacing w:line="460" w:lineRule="exact"/>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一、项目概况</w:t>
      </w:r>
    </w:p>
    <w:p>
      <w:pPr>
        <w:pStyle w:val="209"/>
        <w:spacing w:line="460" w:lineRule="exact"/>
        <w:ind w:firstLine="560"/>
        <w:rPr>
          <w:sz w:val="28"/>
          <w:szCs w:val="28"/>
        </w:rPr>
      </w:pPr>
      <w:r>
        <w:rPr>
          <w:rFonts w:hint="eastAsia"/>
          <w:sz w:val="28"/>
          <w:szCs w:val="28"/>
        </w:rPr>
        <w:t>为</w:t>
      </w:r>
      <w:r>
        <w:rPr>
          <w:sz w:val="28"/>
          <w:szCs w:val="28"/>
        </w:rPr>
        <w:t>了落实上海市</w:t>
      </w:r>
      <w:r>
        <w:rPr>
          <w:rFonts w:hint="eastAsia"/>
          <w:sz w:val="28"/>
          <w:szCs w:val="28"/>
        </w:rPr>
        <w:t>终身</w:t>
      </w:r>
      <w:r>
        <w:rPr>
          <w:sz w:val="28"/>
          <w:szCs w:val="28"/>
        </w:rPr>
        <w:t>教育</w:t>
      </w:r>
      <w:r>
        <w:rPr>
          <w:rFonts w:hint="eastAsia"/>
          <w:sz w:val="28"/>
          <w:szCs w:val="28"/>
        </w:rPr>
        <w:t>和民办教育</w:t>
      </w:r>
      <w:r>
        <w:rPr>
          <w:sz w:val="28"/>
          <w:szCs w:val="28"/>
        </w:rPr>
        <w:t>发展</w:t>
      </w:r>
      <w:r>
        <w:rPr>
          <w:rFonts w:hint="eastAsia"/>
          <w:sz w:val="28"/>
          <w:szCs w:val="28"/>
        </w:rPr>
        <w:t>要求</w:t>
      </w:r>
      <w:r>
        <w:rPr>
          <w:sz w:val="28"/>
          <w:szCs w:val="28"/>
        </w:rPr>
        <w:t>，提升崇明区教育服务能力，区教育局设立了“成职科内涵发展经费”项目，列入区教育局项目支出中经常性项目，本次评价对象为2022年成职科内涵发展经费项目，</w:t>
      </w:r>
      <w:r>
        <w:rPr>
          <w:rFonts w:hint="eastAsia"/>
          <w:sz w:val="28"/>
          <w:szCs w:val="28"/>
        </w:rPr>
        <w:t>共涉及两大类子项目，分别为</w:t>
      </w:r>
      <w:r>
        <w:rPr>
          <w:sz w:val="28"/>
          <w:szCs w:val="28"/>
        </w:rPr>
        <w:t>终身教育和民办教育</w:t>
      </w:r>
      <w:r>
        <w:rPr>
          <w:rFonts w:hint="eastAsia"/>
          <w:sz w:val="28"/>
          <w:szCs w:val="28"/>
        </w:rPr>
        <w:t>，其中</w:t>
      </w:r>
      <w:r>
        <w:rPr>
          <w:sz w:val="28"/>
          <w:szCs w:val="28"/>
        </w:rPr>
        <w:t>终身教育</w:t>
      </w:r>
      <w:r>
        <w:rPr>
          <w:rFonts w:hint="eastAsia"/>
          <w:sz w:val="28"/>
          <w:szCs w:val="28"/>
        </w:rPr>
        <w:t>包含老年教育三类学习点建设经费、终身教育经费和学促办工作经费；</w:t>
      </w:r>
      <w:r>
        <w:rPr>
          <w:sz w:val="28"/>
          <w:szCs w:val="28"/>
        </w:rPr>
        <w:t>民办教育包含民办学校学生公用经费补助、民办教育发展专项资金和民办非学历教育机构管理经费。</w:t>
      </w:r>
      <w:r>
        <w:rPr>
          <w:rFonts w:hint="eastAsia"/>
          <w:sz w:val="28"/>
          <w:szCs w:val="28"/>
        </w:rPr>
        <w:t>崇明区现有</w:t>
      </w:r>
      <w:r>
        <w:rPr>
          <w:sz w:val="28"/>
          <w:szCs w:val="28"/>
        </w:rPr>
        <w:t>1所社区学院，6所成人教育学校，区社区学院负责全区终身教育业务指导工作，成校负责全区18个乡镇终身教育工作的具体实施。</w:t>
      </w:r>
      <w:r>
        <w:rPr>
          <w:rFonts w:hint="eastAsia"/>
          <w:sz w:val="28"/>
          <w:szCs w:val="28"/>
        </w:rPr>
        <w:t>截止</w:t>
      </w:r>
      <w:r>
        <w:rPr>
          <w:sz w:val="28"/>
          <w:szCs w:val="28"/>
        </w:rPr>
        <w:t>2022年，</w:t>
      </w:r>
      <w:r>
        <w:rPr>
          <w:rFonts w:hint="eastAsia"/>
          <w:sz w:val="28"/>
          <w:szCs w:val="28"/>
        </w:rPr>
        <w:t>崇明区有</w:t>
      </w:r>
      <w:r>
        <w:rPr>
          <w:sz w:val="28"/>
          <w:szCs w:val="28"/>
        </w:rPr>
        <w:t>4所民办中小幼</w:t>
      </w:r>
      <w:r>
        <w:rPr>
          <w:rFonts w:hint="eastAsia"/>
          <w:sz w:val="28"/>
          <w:szCs w:val="28"/>
        </w:rPr>
        <w:t>学校，</w:t>
      </w:r>
      <w:r>
        <w:rPr>
          <w:sz w:val="28"/>
          <w:szCs w:val="28"/>
        </w:rPr>
        <w:t>教职工335名，学生数1654名；培训机构48家</w:t>
      </w:r>
      <w:r>
        <w:rPr>
          <w:rFonts w:hint="eastAsia"/>
          <w:sz w:val="28"/>
          <w:szCs w:val="28"/>
        </w:rPr>
        <w:t>，</w:t>
      </w:r>
      <w:r>
        <w:rPr>
          <w:sz w:val="28"/>
          <w:szCs w:val="28"/>
        </w:rPr>
        <w:t>在岗职</w:t>
      </w:r>
      <w:r>
        <w:rPr>
          <w:rFonts w:hint="eastAsia"/>
          <w:sz w:val="28"/>
          <w:szCs w:val="28"/>
        </w:rPr>
        <w:t>工</w:t>
      </w:r>
      <w:r>
        <w:rPr>
          <w:sz w:val="28"/>
          <w:szCs w:val="28"/>
        </w:rPr>
        <w:t>448名，学生数4202名</w:t>
      </w:r>
      <w:r>
        <w:rPr>
          <w:rFonts w:hint="eastAsia"/>
          <w:sz w:val="28"/>
          <w:szCs w:val="28"/>
        </w:rPr>
        <w:t>。</w:t>
      </w:r>
    </w:p>
    <w:p>
      <w:pPr>
        <w:pStyle w:val="209"/>
        <w:spacing w:line="460" w:lineRule="exact"/>
        <w:ind w:firstLine="560"/>
        <w:rPr>
          <w:sz w:val="28"/>
          <w:szCs w:val="28"/>
        </w:rPr>
      </w:pPr>
      <w:r>
        <w:rPr>
          <w:sz w:val="28"/>
          <w:szCs w:val="28"/>
        </w:rPr>
        <w:t>2022年项目年初预算金额为1138.08万元，年中调增预算9.42万元，调整后预算数为1147.50万元，实际支出数为1147.50万元，预算执行率为100%。</w:t>
      </w:r>
    </w:p>
    <w:p>
      <w:pPr>
        <w:spacing w:line="460" w:lineRule="exact"/>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二、评价工作开展情况</w:t>
      </w:r>
    </w:p>
    <w:p>
      <w:pPr>
        <w:pStyle w:val="209"/>
        <w:spacing w:line="460" w:lineRule="exact"/>
        <w:ind w:firstLine="560"/>
        <w:rPr>
          <w:sz w:val="28"/>
          <w:szCs w:val="28"/>
        </w:rPr>
      </w:pPr>
      <w:r>
        <w:rPr>
          <w:rFonts w:hint="eastAsia"/>
          <w:sz w:val="28"/>
          <w:szCs w:val="28"/>
        </w:rPr>
        <w:t>本次绩效评价时段为202</w:t>
      </w:r>
      <w:r>
        <w:rPr>
          <w:sz w:val="28"/>
          <w:szCs w:val="28"/>
        </w:rPr>
        <w:t>2</w:t>
      </w:r>
      <w:r>
        <w:rPr>
          <w:rFonts w:hint="eastAsia"/>
          <w:sz w:val="28"/>
          <w:szCs w:val="28"/>
        </w:rPr>
        <w:t>年1月1日至202</w:t>
      </w:r>
      <w:r>
        <w:rPr>
          <w:sz w:val="28"/>
          <w:szCs w:val="28"/>
        </w:rPr>
        <w:t>2</w:t>
      </w:r>
      <w:r>
        <w:rPr>
          <w:rFonts w:hint="eastAsia"/>
          <w:sz w:val="28"/>
          <w:szCs w:val="28"/>
        </w:rPr>
        <w:t>年12月31日。202</w:t>
      </w:r>
      <w:r>
        <w:rPr>
          <w:sz w:val="28"/>
          <w:szCs w:val="28"/>
        </w:rPr>
        <w:t>3</w:t>
      </w:r>
      <w:r>
        <w:rPr>
          <w:rFonts w:hint="eastAsia"/>
          <w:sz w:val="28"/>
          <w:szCs w:val="28"/>
        </w:rPr>
        <w:t>年</w:t>
      </w:r>
      <w:r>
        <w:rPr>
          <w:sz w:val="28"/>
          <w:szCs w:val="28"/>
        </w:rPr>
        <w:t>3</w:t>
      </w:r>
      <w:r>
        <w:rPr>
          <w:rFonts w:hint="eastAsia"/>
          <w:sz w:val="28"/>
          <w:szCs w:val="28"/>
        </w:rPr>
        <w:t>月上旬绩效评价工作正式启动，</w:t>
      </w:r>
      <w:r>
        <w:rPr>
          <w:sz w:val="28"/>
          <w:szCs w:val="28"/>
        </w:rPr>
        <w:t>5</w:t>
      </w:r>
      <w:r>
        <w:rPr>
          <w:rFonts w:hint="eastAsia"/>
          <w:sz w:val="28"/>
          <w:szCs w:val="28"/>
        </w:rPr>
        <w:t>月上旬工作方案经专家评审后开展评价工作，评价小组重点评价了项目立项及预算安排、重点关注项目实施过程规范性，目标实现程度等，通过发放基础表、问卷、访谈以及实地走访等方式收集数据，依据绩效指标体系开展量化评价，对项目的主要成效和经验进行总结，针对存在的问题与不足提出改进建议，于</w:t>
      </w:r>
      <w:r>
        <w:rPr>
          <w:sz w:val="28"/>
          <w:szCs w:val="28"/>
        </w:rPr>
        <w:t>6</w:t>
      </w:r>
      <w:r>
        <w:rPr>
          <w:rFonts w:hint="eastAsia"/>
          <w:sz w:val="28"/>
          <w:szCs w:val="28"/>
        </w:rPr>
        <w:t>月初形成绩效评价报告。</w:t>
      </w:r>
    </w:p>
    <w:p>
      <w:pPr>
        <w:spacing w:line="460" w:lineRule="exact"/>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三、评价结论和主要绩效</w:t>
      </w:r>
    </w:p>
    <w:p>
      <w:pPr>
        <w:pStyle w:val="209"/>
        <w:spacing w:line="460" w:lineRule="exact"/>
        <w:ind w:firstLine="560"/>
        <w:rPr>
          <w:sz w:val="28"/>
          <w:szCs w:val="28"/>
        </w:rPr>
      </w:pPr>
      <w:r>
        <w:rPr>
          <w:rFonts w:hint="eastAsia"/>
          <w:sz w:val="28"/>
          <w:szCs w:val="28"/>
        </w:rPr>
        <w:t>项目绩效得分</w:t>
      </w:r>
      <w:r>
        <w:rPr>
          <w:sz w:val="28"/>
          <w:szCs w:val="28"/>
        </w:rPr>
        <w:t>84.8分，绩效评级属于“良”。其中</w:t>
      </w:r>
      <w:r>
        <w:rPr>
          <w:rFonts w:hint="eastAsia"/>
          <w:sz w:val="28"/>
          <w:szCs w:val="28"/>
        </w:rPr>
        <w:t>，</w:t>
      </w:r>
      <w:r>
        <w:rPr>
          <w:sz w:val="28"/>
          <w:szCs w:val="28"/>
        </w:rPr>
        <w:t>决策指标</w:t>
      </w:r>
      <w:r>
        <w:rPr>
          <w:rFonts w:hint="eastAsia"/>
          <w:sz w:val="28"/>
          <w:szCs w:val="28"/>
        </w:rPr>
        <w:t>权重2</w:t>
      </w:r>
      <w:r>
        <w:rPr>
          <w:sz w:val="28"/>
          <w:szCs w:val="28"/>
        </w:rPr>
        <w:t>0</w:t>
      </w:r>
      <w:r>
        <w:rPr>
          <w:rFonts w:hint="eastAsia"/>
          <w:sz w:val="28"/>
          <w:szCs w:val="28"/>
        </w:rPr>
        <w:t>分，得1</w:t>
      </w:r>
      <w:r>
        <w:rPr>
          <w:sz w:val="28"/>
          <w:szCs w:val="28"/>
        </w:rPr>
        <w:t>6</w:t>
      </w:r>
      <w:r>
        <w:rPr>
          <w:rFonts w:hint="eastAsia"/>
          <w:sz w:val="28"/>
          <w:szCs w:val="28"/>
        </w:rPr>
        <w:t>分，</w:t>
      </w:r>
      <w:r>
        <w:rPr>
          <w:sz w:val="28"/>
          <w:szCs w:val="28"/>
        </w:rPr>
        <w:t>得分率为80%</w:t>
      </w:r>
      <w:r>
        <w:rPr>
          <w:rFonts w:hint="eastAsia"/>
          <w:sz w:val="28"/>
          <w:szCs w:val="28"/>
        </w:rPr>
        <w:t>；</w:t>
      </w:r>
      <w:r>
        <w:rPr>
          <w:sz w:val="28"/>
          <w:szCs w:val="28"/>
        </w:rPr>
        <w:t>过程指标</w:t>
      </w:r>
      <w:r>
        <w:rPr>
          <w:rFonts w:hint="eastAsia"/>
          <w:sz w:val="28"/>
          <w:szCs w:val="28"/>
        </w:rPr>
        <w:t>权重2</w:t>
      </w:r>
      <w:r>
        <w:rPr>
          <w:sz w:val="28"/>
          <w:szCs w:val="28"/>
        </w:rPr>
        <w:t>0</w:t>
      </w:r>
      <w:r>
        <w:rPr>
          <w:rFonts w:hint="eastAsia"/>
          <w:sz w:val="28"/>
          <w:szCs w:val="28"/>
        </w:rPr>
        <w:t>分，得1</w:t>
      </w:r>
      <w:r>
        <w:rPr>
          <w:sz w:val="28"/>
          <w:szCs w:val="28"/>
        </w:rPr>
        <w:t>6.1</w:t>
      </w:r>
      <w:r>
        <w:rPr>
          <w:rFonts w:hint="eastAsia"/>
          <w:sz w:val="28"/>
          <w:szCs w:val="28"/>
        </w:rPr>
        <w:t>分，</w:t>
      </w:r>
      <w:r>
        <w:rPr>
          <w:sz w:val="28"/>
          <w:szCs w:val="28"/>
        </w:rPr>
        <w:t>得分率为80.5%</w:t>
      </w:r>
      <w:r>
        <w:rPr>
          <w:rFonts w:hint="eastAsia"/>
          <w:sz w:val="28"/>
          <w:szCs w:val="28"/>
        </w:rPr>
        <w:t>；</w:t>
      </w:r>
      <w:r>
        <w:rPr>
          <w:sz w:val="28"/>
          <w:szCs w:val="28"/>
        </w:rPr>
        <w:t>产出指标</w:t>
      </w:r>
      <w:r>
        <w:rPr>
          <w:rFonts w:hint="eastAsia"/>
          <w:sz w:val="28"/>
          <w:szCs w:val="28"/>
        </w:rPr>
        <w:t>权重3</w:t>
      </w:r>
      <w:r>
        <w:rPr>
          <w:sz w:val="28"/>
          <w:szCs w:val="28"/>
        </w:rPr>
        <w:t>0</w:t>
      </w:r>
      <w:r>
        <w:rPr>
          <w:rFonts w:hint="eastAsia"/>
          <w:sz w:val="28"/>
          <w:szCs w:val="28"/>
        </w:rPr>
        <w:t>分，得2</w:t>
      </w:r>
      <w:r>
        <w:rPr>
          <w:sz w:val="28"/>
          <w:szCs w:val="28"/>
        </w:rPr>
        <w:t>5.7</w:t>
      </w:r>
      <w:r>
        <w:rPr>
          <w:rFonts w:hint="eastAsia"/>
          <w:sz w:val="28"/>
          <w:szCs w:val="28"/>
        </w:rPr>
        <w:t>分，</w:t>
      </w:r>
      <w:r>
        <w:rPr>
          <w:sz w:val="28"/>
          <w:szCs w:val="28"/>
        </w:rPr>
        <w:t>得分率为85.7%，</w:t>
      </w:r>
      <w:r>
        <w:rPr>
          <w:rFonts w:hint="eastAsia"/>
          <w:sz w:val="28"/>
          <w:szCs w:val="28"/>
        </w:rPr>
        <w:t>效益</w:t>
      </w:r>
      <w:r>
        <w:rPr>
          <w:sz w:val="28"/>
          <w:szCs w:val="28"/>
        </w:rPr>
        <w:t>指标</w:t>
      </w:r>
      <w:r>
        <w:rPr>
          <w:rFonts w:hint="eastAsia"/>
          <w:sz w:val="28"/>
          <w:szCs w:val="28"/>
        </w:rPr>
        <w:t>权重3</w:t>
      </w:r>
      <w:r>
        <w:rPr>
          <w:sz w:val="28"/>
          <w:szCs w:val="28"/>
        </w:rPr>
        <w:t>0</w:t>
      </w:r>
      <w:r>
        <w:rPr>
          <w:rFonts w:hint="eastAsia"/>
          <w:sz w:val="28"/>
          <w:szCs w:val="28"/>
        </w:rPr>
        <w:t>分，得2</w:t>
      </w:r>
      <w:r>
        <w:rPr>
          <w:sz w:val="28"/>
          <w:szCs w:val="28"/>
        </w:rPr>
        <w:t>7</w:t>
      </w:r>
      <w:r>
        <w:rPr>
          <w:rFonts w:hint="eastAsia"/>
          <w:sz w:val="28"/>
          <w:szCs w:val="28"/>
        </w:rPr>
        <w:t>分，</w:t>
      </w:r>
      <w:r>
        <w:rPr>
          <w:sz w:val="28"/>
          <w:szCs w:val="28"/>
        </w:rPr>
        <w:t>得分率为90%。</w:t>
      </w:r>
    </w:p>
    <w:p>
      <w:pPr>
        <w:pStyle w:val="200"/>
        <w:spacing w:line="460" w:lineRule="exact"/>
        <w:rPr>
          <w:kern w:val="2"/>
          <w:lang w:val="en-US"/>
        </w:rPr>
      </w:pPr>
      <w:r>
        <w:rPr>
          <w:rFonts w:hint="eastAsia"/>
          <w:kern w:val="2"/>
          <w:lang w:val="en-US"/>
        </w:rPr>
        <w:t>根据上海市及崇明区关于终身教育和民办教育的相关要求，崇明区教育局2</w:t>
      </w:r>
      <w:r>
        <w:rPr>
          <w:kern w:val="2"/>
          <w:lang w:val="en-US"/>
        </w:rPr>
        <w:t>022</w:t>
      </w:r>
      <w:r>
        <w:rPr>
          <w:rFonts w:hint="eastAsia"/>
          <w:kern w:val="2"/>
          <w:lang w:val="en-US"/>
        </w:rPr>
        <w:t>年完成了三类</w:t>
      </w:r>
      <w:r>
        <w:rPr>
          <w:kern w:val="2"/>
          <w:lang w:val="en-US"/>
        </w:rPr>
        <w:t>学习点</w:t>
      </w:r>
      <w:r>
        <w:rPr>
          <w:rFonts w:hint="eastAsia"/>
          <w:kern w:val="2"/>
          <w:lang w:val="en-US"/>
        </w:rPr>
        <w:t>建设，扶持了社区学院和成校发展，</w:t>
      </w:r>
      <w:r>
        <w:rPr>
          <w:kern w:val="2"/>
          <w:lang w:val="en-US"/>
        </w:rPr>
        <w:t>2所学校被评为市优质校</w:t>
      </w:r>
      <w:r>
        <w:rPr>
          <w:rFonts w:hint="eastAsia"/>
          <w:kern w:val="2"/>
          <w:lang w:val="en-US"/>
        </w:rPr>
        <w:t>，推动老年人学习团队建设，不断优化终身教育课程，进一步扶持民办教育发展，加强民办学校管理取得一定成效</w:t>
      </w:r>
      <w:r>
        <w:rPr>
          <w:kern w:val="2"/>
          <w:lang w:val="en-US"/>
        </w:rPr>
        <w:t>。</w:t>
      </w:r>
    </w:p>
    <w:p>
      <w:pPr>
        <w:pStyle w:val="200"/>
        <w:spacing w:line="460" w:lineRule="exact"/>
        <w:rPr>
          <w:kern w:val="2"/>
          <w:lang w:val="en-US"/>
        </w:rPr>
      </w:pPr>
      <w:r>
        <w:rPr>
          <w:rFonts w:hint="eastAsia"/>
          <w:kern w:val="2"/>
          <w:lang w:val="en-US"/>
        </w:rPr>
        <w:t>项目立项程序规范，财务管理制度健全，工作计划完整、项目档案管理制度健全，完成了</w:t>
      </w:r>
      <w:r>
        <w:rPr>
          <w:kern w:val="2"/>
          <w:lang w:val="en-US"/>
        </w:rPr>
        <w:t>老年教育三类学习点建设</w:t>
      </w:r>
      <w:r>
        <w:rPr>
          <w:rFonts w:hint="eastAsia"/>
          <w:kern w:val="2"/>
          <w:lang w:val="en-US"/>
        </w:rPr>
        <w:t>任务，实际完成新创建学习点</w:t>
      </w:r>
      <w:r>
        <w:rPr>
          <w:kern w:val="2"/>
          <w:lang w:val="en-US"/>
        </w:rPr>
        <w:t>5个</w:t>
      </w:r>
      <w:r>
        <w:rPr>
          <w:rFonts w:hint="eastAsia"/>
          <w:kern w:val="2"/>
          <w:lang w:val="en-US"/>
        </w:rPr>
        <w:t>、完成了</w:t>
      </w:r>
      <w:r>
        <w:rPr>
          <w:kern w:val="2"/>
          <w:lang w:val="en-US"/>
        </w:rPr>
        <w:t>终身教育</w:t>
      </w:r>
      <w:r>
        <w:rPr>
          <w:rFonts w:hint="eastAsia"/>
          <w:kern w:val="2"/>
          <w:lang w:val="en-US"/>
        </w:rPr>
        <w:t>服务相关</w:t>
      </w:r>
      <w:r>
        <w:rPr>
          <w:kern w:val="2"/>
          <w:lang w:val="en-US"/>
        </w:rPr>
        <w:t>工作</w:t>
      </w:r>
      <w:r>
        <w:rPr>
          <w:rFonts w:hint="eastAsia"/>
          <w:kern w:val="2"/>
          <w:lang w:val="en-US"/>
        </w:rPr>
        <w:t>，完成了民办培训市场综合治理工作，完成对4</w:t>
      </w:r>
      <w:r>
        <w:rPr>
          <w:kern w:val="2"/>
          <w:lang w:val="en-US"/>
        </w:rPr>
        <w:t>8</w:t>
      </w:r>
      <w:r>
        <w:rPr>
          <w:rFonts w:hint="eastAsia"/>
          <w:kern w:val="2"/>
          <w:lang w:val="en-US"/>
        </w:rPr>
        <w:t>家培训结构的监督管理，学习型数据监测系统数据填报准确，</w:t>
      </w:r>
      <w:r>
        <w:rPr>
          <w:kern w:val="2"/>
          <w:lang w:val="en-US"/>
        </w:rPr>
        <w:t>基层老年教育成效</w:t>
      </w:r>
      <w:r>
        <w:rPr>
          <w:rFonts w:hint="eastAsia"/>
          <w:kern w:val="2"/>
          <w:lang w:val="en-US"/>
        </w:rPr>
        <w:t>和</w:t>
      </w:r>
      <w:r>
        <w:rPr>
          <w:kern w:val="2"/>
          <w:lang w:val="en-US"/>
        </w:rPr>
        <w:t>终身教育成效</w:t>
      </w:r>
      <w:r>
        <w:rPr>
          <w:rFonts w:hint="eastAsia"/>
          <w:kern w:val="2"/>
          <w:lang w:val="en-US"/>
        </w:rPr>
        <w:t>较为显著，</w:t>
      </w:r>
      <w:r>
        <w:rPr>
          <w:kern w:val="2"/>
          <w:lang w:val="en-US"/>
        </w:rPr>
        <w:t>终身学习便利度及多样性</w:t>
      </w:r>
      <w:r>
        <w:rPr>
          <w:rFonts w:hint="eastAsia"/>
          <w:kern w:val="2"/>
          <w:lang w:val="en-US"/>
        </w:rPr>
        <w:t>较强，</w:t>
      </w:r>
      <w:r>
        <w:rPr>
          <w:kern w:val="2"/>
          <w:lang w:val="en-US"/>
        </w:rPr>
        <w:t>终身教育宣传</w:t>
      </w:r>
      <w:r>
        <w:rPr>
          <w:rFonts w:hint="eastAsia"/>
          <w:kern w:val="2"/>
          <w:lang w:val="en-US"/>
        </w:rPr>
        <w:t>比较到位，</w:t>
      </w:r>
      <w:r>
        <w:rPr>
          <w:kern w:val="2"/>
          <w:lang w:val="en-US"/>
        </w:rPr>
        <w:t>民办学校教学设施设备使用率</w:t>
      </w:r>
      <w:r>
        <w:rPr>
          <w:rFonts w:hint="eastAsia"/>
          <w:kern w:val="2"/>
          <w:lang w:val="en-US"/>
        </w:rPr>
        <w:t>达到1</w:t>
      </w:r>
      <w:r>
        <w:rPr>
          <w:kern w:val="2"/>
          <w:lang w:val="en-US"/>
        </w:rPr>
        <w:t>00</w:t>
      </w:r>
      <w:r>
        <w:rPr>
          <w:rFonts w:hint="eastAsia"/>
          <w:kern w:val="2"/>
          <w:lang w:val="en-US"/>
        </w:rPr>
        <w:t>%，民办学校学生体质健康优良率为</w:t>
      </w:r>
      <w:r>
        <w:rPr>
          <w:kern w:val="2"/>
          <w:lang w:val="en-US"/>
        </w:rPr>
        <w:t>53</w:t>
      </w:r>
      <w:r>
        <w:rPr>
          <w:rFonts w:hint="eastAsia"/>
          <w:kern w:val="2"/>
          <w:lang w:val="en-US"/>
        </w:rPr>
        <w:t>%，高于5</w:t>
      </w:r>
      <w:r>
        <w:rPr>
          <w:kern w:val="2"/>
          <w:lang w:val="en-US"/>
        </w:rPr>
        <w:t>2</w:t>
      </w:r>
      <w:r>
        <w:rPr>
          <w:rFonts w:hint="eastAsia"/>
          <w:kern w:val="2"/>
          <w:lang w:val="en-US"/>
        </w:rPr>
        <w:t>%，</w:t>
      </w:r>
      <w:r>
        <w:rPr>
          <w:kern w:val="2"/>
          <w:lang w:val="en-US"/>
        </w:rPr>
        <w:t>学科类培训机构</w:t>
      </w:r>
      <w:r>
        <w:rPr>
          <w:rFonts w:hint="eastAsia"/>
          <w:kern w:val="2"/>
          <w:lang w:val="en-US"/>
        </w:rPr>
        <w:t>0</w:t>
      </w:r>
      <w:r>
        <w:rPr>
          <w:kern w:val="2"/>
          <w:lang w:val="en-US"/>
        </w:rPr>
        <w:t>新增</w:t>
      </w:r>
      <w:r>
        <w:rPr>
          <w:rFonts w:hint="eastAsia"/>
          <w:kern w:val="2"/>
          <w:lang w:val="en-US"/>
        </w:rPr>
        <w:t>，但是个别项目立项依据不充分，预算编制不合理、资金分配标准不明确，绩效目标指标不合理，个别学校资金有结余，业务管理制度不健全，合同管理不到位，部分项目没有完成，长效机制还需完善。</w:t>
      </w:r>
    </w:p>
    <w:p>
      <w:pPr>
        <w:spacing w:line="460" w:lineRule="exact"/>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四、主要经验、问题和建议</w:t>
      </w:r>
    </w:p>
    <w:p>
      <w:pPr>
        <w:pStyle w:val="209"/>
        <w:spacing w:line="460" w:lineRule="exact"/>
        <w:ind w:firstLine="562"/>
        <w:rPr>
          <w:b/>
          <w:bCs/>
          <w:sz w:val="28"/>
          <w:szCs w:val="28"/>
        </w:rPr>
      </w:pPr>
      <w:r>
        <w:rPr>
          <w:b/>
          <w:bCs/>
          <w:sz w:val="28"/>
          <w:szCs w:val="28"/>
        </w:rPr>
        <w:t>（一）主要经验及做法</w:t>
      </w:r>
    </w:p>
    <w:p>
      <w:pPr>
        <w:pStyle w:val="209"/>
        <w:spacing w:line="460" w:lineRule="exact"/>
        <w:ind w:firstLine="562"/>
        <w:rPr>
          <w:b/>
          <w:bCs/>
          <w:sz w:val="28"/>
          <w:szCs w:val="28"/>
        </w:rPr>
      </w:pPr>
      <w:r>
        <w:rPr>
          <w:b/>
          <w:bCs/>
          <w:sz w:val="28"/>
          <w:szCs w:val="28"/>
        </w:rPr>
        <w:t>1.多维度提升终身教育服务能力，不断推动终身教育持续发展</w:t>
      </w:r>
    </w:p>
    <w:p>
      <w:pPr>
        <w:pStyle w:val="209"/>
        <w:spacing w:line="460" w:lineRule="exact"/>
        <w:ind w:firstLine="560"/>
        <w:rPr>
          <w:sz w:val="28"/>
          <w:szCs w:val="28"/>
        </w:rPr>
      </w:pPr>
      <w:r>
        <w:rPr>
          <w:sz w:val="28"/>
          <w:szCs w:val="28"/>
        </w:rPr>
        <w:t>2022年，</w:t>
      </w:r>
      <w:r>
        <w:rPr>
          <w:rFonts w:hint="eastAsia"/>
          <w:sz w:val="28"/>
          <w:szCs w:val="28"/>
        </w:rPr>
        <w:t>建立了</w:t>
      </w:r>
      <w:r>
        <w:rPr>
          <w:sz w:val="28"/>
          <w:szCs w:val="28"/>
        </w:rPr>
        <w:t>以社区教育学院为龙头，社区学校为骨干，其他社区教学点为基础的三级办学网络；强化教育队伍建设，设立社区教育名师孵化室，为学员创建各类市级培训12次，10人次参与3个市级重点实验项目和1个委托项目，6人次参与国家级及市级课题。提升数字化服务水平，开展数字化课程进社区，遴选、审核，并上报了多门优质视频课程。优化课程建设，完成《瀛洲乡愁——创意海派插花》5个课程15个微课前期拍摄工作。庙镇成校入选上海市终身</w:t>
      </w:r>
      <w:r>
        <w:rPr>
          <w:rFonts w:hint="eastAsia"/>
          <w:sz w:val="28"/>
          <w:szCs w:val="28"/>
        </w:rPr>
        <w:t>教育研究会社区教育专业委员会第三批“社区教育科研基地”，并成为“上海市民终身学习监测研究基地”。申报市级老年人一星级团队</w:t>
      </w:r>
      <w:r>
        <w:rPr>
          <w:sz w:val="28"/>
          <w:szCs w:val="28"/>
        </w:rPr>
        <w:t>103个，五星级团队6个，智慧学习助学团队17个，中银长青树优秀学习团队3个</w:t>
      </w:r>
      <w:r>
        <w:rPr>
          <w:rFonts w:hint="eastAsia"/>
          <w:sz w:val="28"/>
          <w:szCs w:val="28"/>
        </w:rPr>
        <w:t>，</w:t>
      </w:r>
      <w:r>
        <w:rPr>
          <w:sz w:val="28"/>
          <w:szCs w:val="28"/>
        </w:rPr>
        <w:t>2所</w:t>
      </w:r>
      <w:r>
        <w:rPr>
          <w:rFonts w:hint="eastAsia"/>
          <w:sz w:val="28"/>
          <w:szCs w:val="28"/>
        </w:rPr>
        <w:t>成</w:t>
      </w:r>
      <w:r>
        <w:rPr>
          <w:sz w:val="28"/>
          <w:szCs w:val="28"/>
        </w:rPr>
        <w:t>校被评为市优质校。</w:t>
      </w:r>
    </w:p>
    <w:p>
      <w:pPr>
        <w:pStyle w:val="209"/>
        <w:spacing w:line="460" w:lineRule="exact"/>
        <w:ind w:firstLine="562"/>
        <w:rPr>
          <w:b/>
          <w:bCs/>
          <w:sz w:val="28"/>
          <w:szCs w:val="28"/>
        </w:rPr>
      </w:pPr>
      <w:r>
        <w:rPr>
          <w:b/>
          <w:bCs/>
          <w:sz w:val="28"/>
          <w:szCs w:val="28"/>
        </w:rPr>
        <w:t>2.多管齐下规范民办学校管理，不断推动民办教育有序发展</w:t>
      </w:r>
    </w:p>
    <w:p>
      <w:pPr>
        <w:pStyle w:val="209"/>
        <w:spacing w:line="460" w:lineRule="exact"/>
        <w:ind w:firstLine="560"/>
        <w:rPr>
          <w:sz w:val="28"/>
          <w:szCs w:val="28"/>
        </w:rPr>
      </w:pPr>
      <w:r>
        <w:rPr>
          <w:sz w:val="28"/>
          <w:szCs w:val="28"/>
        </w:rPr>
        <w:t>2022年，不再审批新的面向义务教育阶段学生的学科类校外培训机构，实现学科类培训机构“零新增”。组织开展专项行动和排查工作，重点暗访督查“资质证照、培训内容、培训对象、培训时间、收费管理、从业人员、防疫消防安全”等情况。严格落实“双减”和疫情防控工作要求，督促落实各项防控管理措施。</w:t>
      </w:r>
      <w:r>
        <w:rPr>
          <w:rFonts w:hint="eastAsia"/>
          <w:sz w:val="28"/>
          <w:szCs w:val="28"/>
        </w:rPr>
        <w:t>此外，崇明区民办教育取的一定成效，如，民办民一中学获得“上海市民办教育</w:t>
      </w:r>
      <w:r>
        <w:rPr>
          <w:sz w:val="28"/>
          <w:szCs w:val="28"/>
        </w:rPr>
        <w:t>5A级办学单位”“上海市安全文明校园”“上海市科普先进教育集体”“上海市美育教育特色学校”等荣誉称号，学校累计有3980多人次在国际、国家和市、区级的学科、体艺科等竞赛中获得各类奖项。</w:t>
      </w:r>
      <w:r>
        <w:rPr>
          <w:rFonts w:hint="eastAsia"/>
          <w:sz w:val="28"/>
          <w:szCs w:val="28"/>
        </w:rPr>
        <w:t>上海新纪元双语学校获得多项市级以上奖项，第</w:t>
      </w:r>
      <w:r>
        <w:rPr>
          <w:sz w:val="28"/>
          <w:szCs w:val="28"/>
        </w:rPr>
        <w:t>13届上海模型节竞赛活动无人机竞速赛中学组一等奖</w:t>
      </w:r>
      <w:r>
        <w:rPr>
          <w:rFonts w:hint="eastAsia"/>
          <w:sz w:val="28"/>
          <w:szCs w:val="28"/>
        </w:rPr>
        <w:t>，全国生态文明教育创新人物荣誉称号，</w:t>
      </w:r>
      <w:r>
        <w:rPr>
          <w:sz w:val="28"/>
          <w:szCs w:val="28"/>
        </w:rPr>
        <w:t>全国中学生翻译大赛七年级组国家级二等奖</w:t>
      </w:r>
      <w:r>
        <w:rPr>
          <w:rFonts w:hint="eastAsia"/>
          <w:sz w:val="28"/>
          <w:szCs w:val="28"/>
        </w:rPr>
        <w:t>，六年级组省级一等奖等。</w:t>
      </w:r>
    </w:p>
    <w:p>
      <w:pPr>
        <w:pStyle w:val="209"/>
        <w:spacing w:line="460" w:lineRule="exact"/>
        <w:ind w:firstLine="562"/>
        <w:rPr>
          <w:b/>
          <w:bCs/>
          <w:sz w:val="28"/>
          <w:szCs w:val="28"/>
        </w:rPr>
      </w:pPr>
      <w:r>
        <w:rPr>
          <w:b/>
          <w:bCs/>
          <w:sz w:val="28"/>
          <w:szCs w:val="28"/>
        </w:rPr>
        <w:t>（二）存在问题</w:t>
      </w:r>
    </w:p>
    <w:p>
      <w:pPr>
        <w:pStyle w:val="209"/>
        <w:spacing w:line="460" w:lineRule="exact"/>
        <w:ind w:firstLine="562"/>
        <w:rPr>
          <w:rFonts w:ascii="仿宋_GB2312"/>
          <w:b/>
          <w:bCs/>
          <w:sz w:val="28"/>
          <w:szCs w:val="28"/>
        </w:rPr>
      </w:pPr>
      <w:r>
        <w:rPr>
          <w:rFonts w:hint="eastAsia" w:ascii="仿宋_GB2312"/>
          <w:b/>
          <w:bCs/>
          <w:sz w:val="28"/>
          <w:szCs w:val="28"/>
        </w:rPr>
        <w:t>1.在项目决策方面，个别项目立项依据不充分，预算和绩效编制科学性不足</w:t>
      </w:r>
    </w:p>
    <w:p>
      <w:pPr>
        <w:pStyle w:val="209"/>
        <w:spacing w:line="460" w:lineRule="exact"/>
        <w:ind w:firstLine="560"/>
        <w:rPr>
          <w:rFonts w:ascii="仿宋_GB2312"/>
          <w:sz w:val="28"/>
          <w:szCs w:val="28"/>
        </w:rPr>
      </w:pPr>
      <w:r>
        <w:rPr>
          <w:rFonts w:hint="eastAsia" w:ascii="仿宋_GB2312"/>
          <w:sz w:val="28"/>
          <w:szCs w:val="28"/>
        </w:rPr>
        <w:t>（1）个别项目立项依据不充分，具体为①</w:t>
      </w:r>
      <w:r>
        <w:rPr>
          <w:rFonts w:hint="eastAsia" w:ascii="仿宋_GB2312"/>
          <w:b/>
          <w:bCs/>
          <w:sz w:val="28"/>
          <w:szCs w:val="28"/>
        </w:rPr>
        <w:t>成人学校考核奖励经费项目立项依据不充分，</w:t>
      </w:r>
      <w:r>
        <w:rPr>
          <w:rFonts w:hint="eastAsia" w:ascii="仿宋_GB2312"/>
          <w:sz w:val="28"/>
          <w:szCs w:val="28"/>
        </w:rPr>
        <w:t>《上海市终身教育促进条例》中明确“本市对终身教育工作中做出突出成绩的单位和个人，按照有关规定给予表彰奖励”，文件指出对有突出成绩的单位和个人给予奖励，而不是对所有成校进行奖励，该项目对6所成校均有奖励，与政策文件精神不相符合。②成人学校集团化办学经费子项目也无明确的政策立项依据。</w:t>
      </w:r>
    </w:p>
    <w:p>
      <w:pPr>
        <w:pStyle w:val="209"/>
        <w:spacing w:line="460" w:lineRule="exact"/>
        <w:ind w:firstLine="560"/>
        <w:rPr>
          <w:rFonts w:ascii="仿宋_GB2312"/>
          <w:sz w:val="28"/>
          <w:szCs w:val="28"/>
        </w:rPr>
      </w:pPr>
      <w:r>
        <w:rPr>
          <w:rFonts w:hint="eastAsia" w:ascii="仿宋_GB2312"/>
          <w:sz w:val="28"/>
          <w:szCs w:val="28"/>
        </w:rPr>
        <w:t>（</w:t>
      </w:r>
      <w:r>
        <w:rPr>
          <w:rFonts w:ascii="仿宋_GB2312"/>
          <w:sz w:val="28"/>
          <w:szCs w:val="28"/>
        </w:rPr>
        <w:t>2）个别项目预算编制不够合理，具体为</w:t>
      </w:r>
      <w:r>
        <w:rPr>
          <w:rFonts w:hint="eastAsia" w:ascii="仿宋_GB2312"/>
          <w:b/>
          <w:bCs/>
          <w:sz w:val="28"/>
          <w:szCs w:val="28"/>
        </w:rPr>
        <w:t>①</w:t>
      </w:r>
      <w:r>
        <w:rPr>
          <w:rFonts w:ascii="仿宋_GB2312"/>
          <w:b/>
          <w:bCs/>
          <w:sz w:val="28"/>
          <w:szCs w:val="28"/>
        </w:rPr>
        <w:t>个别项目预算无测算明细，</w:t>
      </w:r>
      <w:r>
        <w:rPr>
          <w:rFonts w:ascii="仿宋_GB2312"/>
          <w:sz w:val="28"/>
          <w:szCs w:val="28"/>
        </w:rPr>
        <w:t>如，</w:t>
      </w:r>
      <w:r>
        <w:rPr>
          <w:rFonts w:hint="eastAsia" w:ascii="仿宋_GB2312"/>
          <w:sz w:val="28"/>
          <w:szCs w:val="28"/>
        </w:rPr>
        <w:t>民办非学历教育机构管理经费中印刷费年初预算8</w:t>
      </w:r>
      <w:r>
        <w:rPr>
          <w:rFonts w:ascii="仿宋_GB2312"/>
          <w:sz w:val="28"/>
          <w:szCs w:val="28"/>
        </w:rPr>
        <w:t>0000</w:t>
      </w:r>
      <w:r>
        <w:rPr>
          <w:rFonts w:hint="eastAsia" w:ascii="仿宋_GB2312"/>
          <w:sz w:val="28"/>
          <w:szCs w:val="28"/>
        </w:rPr>
        <w:t>元</w:t>
      </w:r>
      <w:r>
        <w:rPr>
          <w:rFonts w:ascii="仿宋_GB2312"/>
          <w:sz w:val="28"/>
          <w:szCs w:val="28"/>
        </w:rPr>
        <w:t>，无具体数量和单价明细。</w:t>
      </w:r>
      <w:r>
        <w:rPr>
          <w:rFonts w:hint="eastAsia" w:ascii="仿宋_GB2312"/>
          <w:b/>
          <w:bCs/>
          <w:sz w:val="28"/>
          <w:szCs w:val="28"/>
        </w:rPr>
        <w:t>②</w:t>
      </w:r>
      <w:r>
        <w:rPr>
          <w:rFonts w:ascii="仿宋_GB2312"/>
          <w:b/>
          <w:bCs/>
          <w:sz w:val="28"/>
          <w:szCs w:val="28"/>
        </w:rPr>
        <w:t>个别项目预算编制依据不充分，</w:t>
      </w:r>
      <w:r>
        <w:rPr>
          <w:rFonts w:ascii="仿宋_GB2312"/>
          <w:sz w:val="28"/>
          <w:szCs w:val="28"/>
        </w:rPr>
        <w:t>如2022年区社区学院《创意海派插花》课程建设经费项目预算测算中有管理费（服务费及税费），经调研，本项目没有委托第三方实施，以外聘专家，组织研讨的形式实施，因此，经费中安排管理费依据不充分。</w:t>
      </w:r>
      <w:r>
        <w:rPr>
          <w:rFonts w:hint="eastAsia" w:ascii="仿宋_GB2312"/>
          <w:b/>
          <w:bCs/>
          <w:sz w:val="28"/>
          <w:szCs w:val="28"/>
        </w:rPr>
        <w:t>③</w:t>
      </w:r>
      <w:r>
        <w:rPr>
          <w:rFonts w:ascii="仿宋_GB2312"/>
          <w:b/>
          <w:bCs/>
          <w:sz w:val="28"/>
          <w:szCs w:val="28"/>
        </w:rPr>
        <w:t>个别项目预算编制标准不明确，</w:t>
      </w:r>
      <w:r>
        <w:rPr>
          <w:rFonts w:ascii="仿宋_GB2312"/>
          <w:sz w:val="28"/>
          <w:szCs w:val="28"/>
        </w:rPr>
        <w:t>如社区教育名师孵化室经费子项目中市级主持人2000元/次和区级主持人费用5000元/人没有明确的标准依据，参考培训标准，但</w:t>
      </w:r>
      <w:r>
        <w:rPr>
          <w:rFonts w:hint="eastAsia" w:ascii="仿宋_GB2312"/>
          <w:sz w:val="28"/>
          <w:szCs w:val="28"/>
        </w:rPr>
        <w:t>项目实际实施为会议不是培训，且市级主持人按照次数编制，而区级主持人按照人数编制，两者口径不一致。</w:t>
      </w:r>
      <w:r>
        <w:rPr>
          <w:rFonts w:hint="eastAsia" w:ascii="仿宋_GB2312"/>
          <w:b/>
          <w:bCs/>
          <w:sz w:val="28"/>
          <w:szCs w:val="28"/>
        </w:rPr>
        <w:t>④个别项目预算未按照标准编制预算，</w:t>
      </w:r>
      <w:r>
        <w:rPr>
          <w:rFonts w:hint="eastAsia" w:ascii="仿宋_GB2312"/>
          <w:sz w:val="28"/>
          <w:szCs w:val="28"/>
        </w:rPr>
        <w:t>如老年教育三类学习点建设经费子项目年初预算按照</w:t>
      </w:r>
      <w:r>
        <w:rPr>
          <w:rFonts w:ascii="仿宋_GB2312"/>
          <w:sz w:val="28"/>
          <w:szCs w:val="28"/>
        </w:rPr>
        <w:t>5000</w:t>
      </w:r>
      <w:r>
        <w:rPr>
          <w:rFonts w:hint="eastAsia" w:ascii="仿宋_GB2312"/>
          <w:sz w:val="28"/>
          <w:szCs w:val="28"/>
        </w:rPr>
        <w:t>元每个学习点，</w:t>
      </w:r>
      <w:r>
        <w:rPr>
          <w:rFonts w:ascii="仿宋_GB2312"/>
          <w:sz w:val="28"/>
          <w:szCs w:val="28"/>
        </w:rPr>
        <w:t>共67个点</w:t>
      </w:r>
      <w:r>
        <w:rPr>
          <w:rFonts w:hint="eastAsia" w:ascii="仿宋_GB2312"/>
          <w:sz w:val="28"/>
          <w:szCs w:val="28"/>
        </w:rPr>
        <w:t>编制，共3</w:t>
      </w:r>
      <w:r>
        <w:rPr>
          <w:rFonts w:ascii="仿宋_GB2312"/>
          <w:sz w:val="28"/>
          <w:szCs w:val="28"/>
        </w:rPr>
        <w:t>35000</w:t>
      </w:r>
      <w:r>
        <w:rPr>
          <w:rFonts w:hint="eastAsia" w:ascii="仿宋_GB2312"/>
          <w:sz w:val="28"/>
          <w:szCs w:val="28"/>
        </w:rPr>
        <w:t>元，没有按照补贴标准（</w:t>
      </w:r>
      <w:r>
        <w:rPr>
          <w:rFonts w:ascii="仿宋_GB2312"/>
          <w:sz w:val="28"/>
          <w:szCs w:val="28"/>
        </w:rPr>
        <w:t>已建成的学习点，每个补贴0.2万元</w:t>
      </w:r>
      <w:r>
        <w:rPr>
          <w:rFonts w:hint="eastAsia" w:ascii="仿宋_GB2312"/>
          <w:sz w:val="28"/>
          <w:szCs w:val="28"/>
        </w:rPr>
        <w:t>；</w:t>
      </w:r>
      <w:r>
        <w:rPr>
          <w:rFonts w:ascii="仿宋_GB2312"/>
          <w:sz w:val="28"/>
          <w:szCs w:val="28"/>
        </w:rPr>
        <w:t>新创建学习点</w:t>
      </w:r>
      <w:r>
        <w:rPr>
          <w:rFonts w:hint="eastAsia" w:ascii="仿宋_GB2312"/>
          <w:sz w:val="28"/>
          <w:szCs w:val="28"/>
        </w:rPr>
        <w:t>和</w:t>
      </w:r>
      <w:r>
        <w:rPr>
          <w:rFonts w:ascii="仿宋_GB2312"/>
          <w:sz w:val="28"/>
          <w:szCs w:val="28"/>
        </w:rPr>
        <w:t>升级创建学习点，每个补贴1万元</w:t>
      </w:r>
      <w:r>
        <w:rPr>
          <w:rFonts w:hint="eastAsia" w:ascii="仿宋_GB2312"/>
          <w:sz w:val="28"/>
          <w:szCs w:val="28"/>
        </w:rPr>
        <w:t>）进行预算编制，造成了年中预算的调减，实际学习点补贴发放为2</w:t>
      </w:r>
      <w:r>
        <w:rPr>
          <w:rFonts w:ascii="仿宋_GB2312"/>
          <w:sz w:val="28"/>
          <w:szCs w:val="28"/>
        </w:rPr>
        <w:t>4.4</w:t>
      </w:r>
      <w:r>
        <w:rPr>
          <w:rFonts w:hint="eastAsia" w:ascii="仿宋_GB2312"/>
          <w:sz w:val="28"/>
          <w:szCs w:val="28"/>
        </w:rPr>
        <w:t>万元。</w:t>
      </w:r>
    </w:p>
    <w:p>
      <w:pPr>
        <w:pStyle w:val="209"/>
        <w:spacing w:line="460" w:lineRule="exact"/>
        <w:ind w:firstLine="560"/>
        <w:rPr>
          <w:rFonts w:ascii="仿宋_GB2312"/>
          <w:sz w:val="28"/>
          <w:szCs w:val="28"/>
        </w:rPr>
      </w:pPr>
      <w:r>
        <w:rPr>
          <w:rFonts w:hint="eastAsia" w:ascii="仿宋_GB2312"/>
          <w:sz w:val="28"/>
          <w:szCs w:val="28"/>
        </w:rPr>
        <w:t>（3）</w:t>
      </w:r>
      <w:r>
        <w:rPr>
          <w:rFonts w:hint="eastAsia" w:ascii="仿宋_GB2312"/>
          <w:b/>
          <w:bCs/>
          <w:sz w:val="28"/>
          <w:szCs w:val="28"/>
        </w:rPr>
        <w:t>民办教育发展专项资金没有分配标准和依据</w:t>
      </w:r>
      <w:r>
        <w:rPr>
          <w:rFonts w:hint="eastAsia" w:ascii="仿宋_GB2312"/>
          <w:sz w:val="28"/>
          <w:szCs w:val="28"/>
        </w:rPr>
        <w:t>，</w:t>
      </w:r>
      <w:r>
        <w:rPr>
          <w:rFonts w:ascii="仿宋_GB2312"/>
          <w:sz w:val="28"/>
          <w:szCs w:val="28"/>
        </w:rPr>
        <w:t>2022年项目分配情况为上海新纪元双语学校45万元、上海民办民一中学200万元、上海盛源幼儿园45万元、上海露凝幼儿园有限公司10万元，分配金额差异较大，区教育局主要根据学校申请情况，参照2020年下拨方案（该方案较为简略），而没有形成2022年的分配下拨方案，且分配标准和依据不明确。</w:t>
      </w:r>
    </w:p>
    <w:p>
      <w:pPr>
        <w:pStyle w:val="209"/>
        <w:spacing w:line="460" w:lineRule="exact"/>
        <w:ind w:firstLine="562"/>
        <w:rPr>
          <w:rFonts w:ascii="仿宋_GB2312"/>
          <w:sz w:val="28"/>
          <w:szCs w:val="28"/>
        </w:rPr>
      </w:pPr>
      <w:r>
        <w:rPr>
          <w:rFonts w:hint="eastAsia" w:ascii="仿宋_GB2312"/>
          <w:b/>
          <w:bCs/>
          <w:sz w:val="28"/>
          <w:szCs w:val="28"/>
        </w:rPr>
        <w:t>（4）项目绩效目标指标还不够完善</w:t>
      </w:r>
      <w:r>
        <w:rPr>
          <w:rFonts w:hint="eastAsia" w:ascii="仿宋_GB2312"/>
          <w:sz w:val="28"/>
          <w:szCs w:val="28"/>
        </w:rPr>
        <w:t>，①项目总目标“贯彻中央关于形成全民学习、终身学习的学习型社会，促进人的全面发展的工作要求，满足市民终身学习的需求，积极发展继续教育，完善终身教育体系，促进全民学习、终身学习，加速推进本区学习型社会建设”，仅提炼了终身教育，缺少民办教育，与项目内容不符合；②产出指标不完整，缺少成本指标；③效益指标仅一个指标“提高老年学员参与度”，无法体现项目效益；④数量指标仅有一个指标“民办非学历教育机构评估数量”和项目内容、项目资金不匹配；⑤质量指标仅设置了两个指标“成校及其他成人教育机构办学质量合格率”和“专款专用率”，和项目内容、项目资金不匹配；⑥满意度指标仅设置了学生满意度和教师满意度，缺少成人学校学员满意度。</w:t>
      </w:r>
    </w:p>
    <w:p>
      <w:pPr>
        <w:pStyle w:val="209"/>
        <w:spacing w:line="460" w:lineRule="exact"/>
        <w:ind w:firstLine="562"/>
        <w:rPr>
          <w:rFonts w:ascii="仿宋_GB2312"/>
          <w:b/>
          <w:bCs/>
          <w:sz w:val="28"/>
          <w:szCs w:val="28"/>
        </w:rPr>
      </w:pPr>
      <w:r>
        <w:rPr>
          <w:rFonts w:hint="eastAsia" w:ascii="仿宋_GB2312"/>
          <w:b/>
          <w:bCs/>
          <w:sz w:val="28"/>
          <w:szCs w:val="28"/>
        </w:rPr>
        <w:t>2</w:t>
      </w:r>
      <w:r>
        <w:rPr>
          <w:rFonts w:ascii="仿宋_GB2312"/>
          <w:b/>
          <w:bCs/>
          <w:sz w:val="28"/>
          <w:szCs w:val="28"/>
        </w:rPr>
        <w:t>.</w:t>
      </w:r>
      <w:r>
        <w:rPr>
          <w:rFonts w:hint="eastAsia" w:ascii="仿宋_GB2312"/>
          <w:b/>
          <w:bCs/>
          <w:sz w:val="28"/>
          <w:szCs w:val="28"/>
        </w:rPr>
        <w:t>在项目过程管理方面，项目资金管理不到位，项目管理制度有缺失，合同要素不完备</w:t>
      </w:r>
    </w:p>
    <w:p>
      <w:pPr>
        <w:pStyle w:val="209"/>
        <w:spacing w:line="460" w:lineRule="exact"/>
        <w:ind w:firstLine="560"/>
        <w:rPr>
          <w:rFonts w:ascii="仿宋_GB2312"/>
          <w:sz w:val="28"/>
          <w:szCs w:val="28"/>
        </w:rPr>
      </w:pPr>
      <w:r>
        <w:rPr>
          <w:rFonts w:hint="eastAsia" w:ascii="仿宋_GB2312"/>
          <w:sz w:val="28"/>
          <w:szCs w:val="28"/>
        </w:rPr>
        <w:t>（1）</w:t>
      </w:r>
      <w:r>
        <w:rPr>
          <w:rFonts w:hint="eastAsia" w:ascii="仿宋_GB2312"/>
          <w:b/>
          <w:bCs/>
          <w:sz w:val="28"/>
          <w:szCs w:val="28"/>
        </w:rPr>
        <w:t>部分学校资金有不同程度结存</w:t>
      </w:r>
      <w:r>
        <w:rPr>
          <w:rFonts w:hint="eastAsia" w:ascii="仿宋_GB2312"/>
          <w:sz w:val="28"/>
          <w:szCs w:val="28"/>
        </w:rPr>
        <w:t>，</w:t>
      </w:r>
      <w:bookmarkStart w:id="3" w:name="_Hlk139482410"/>
      <w:r>
        <w:rPr>
          <w:rFonts w:hint="eastAsia" w:ascii="仿宋_GB2312"/>
          <w:sz w:val="28"/>
          <w:szCs w:val="28"/>
        </w:rPr>
        <w:t>经数据采集和现场核查，上</w:t>
      </w:r>
      <w:r>
        <w:rPr>
          <w:rFonts w:ascii="仿宋_GB2312"/>
          <w:sz w:val="28"/>
          <w:szCs w:val="28"/>
        </w:rPr>
        <w:t>海新纪元双语学校下拨资金执行率为98.3%，结</w:t>
      </w:r>
      <w:r>
        <w:rPr>
          <w:rFonts w:hint="eastAsia" w:ascii="仿宋_GB2312"/>
          <w:sz w:val="28"/>
          <w:szCs w:val="28"/>
        </w:rPr>
        <w:t>存</w:t>
      </w:r>
      <w:r>
        <w:rPr>
          <w:rFonts w:ascii="仿宋_GB2312"/>
          <w:sz w:val="28"/>
          <w:szCs w:val="28"/>
        </w:rPr>
        <w:t>4.4万元。上海民办民一中学下拨资金执行率为0%，</w:t>
      </w:r>
      <w:r>
        <w:rPr>
          <w:rFonts w:hint="eastAsia" w:ascii="仿宋_GB2312"/>
          <w:sz w:val="28"/>
          <w:szCs w:val="28"/>
        </w:rPr>
        <w:t>本年结存2</w:t>
      </w:r>
      <w:r>
        <w:rPr>
          <w:rFonts w:ascii="仿宋_GB2312"/>
          <w:sz w:val="28"/>
          <w:szCs w:val="28"/>
        </w:rPr>
        <w:t>00</w:t>
      </w:r>
      <w:r>
        <w:rPr>
          <w:rFonts w:hint="eastAsia" w:ascii="仿宋_GB2312"/>
          <w:sz w:val="28"/>
          <w:szCs w:val="28"/>
        </w:rPr>
        <w:t>万元，历年结存</w:t>
      </w:r>
      <w:r>
        <w:rPr>
          <w:rFonts w:ascii="仿宋_GB2312"/>
          <w:sz w:val="28"/>
          <w:szCs w:val="28"/>
        </w:rPr>
        <w:t>88.12</w:t>
      </w:r>
      <w:r>
        <w:rPr>
          <w:rFonts w:hint="eastAsia" w:ascii="仿宋_GB2312"/>
          <w:sz w:val="28"/>
          <w:szCs w:val="28"/>
        </w:rPr>
        <w:t>万元，共计结存2</w:t>
      </w:r>
      <w:r>
        <w:rPr>
          <w:rFonts w:ascii="仿宋_GB2312"/>
          <w:sz w:val="28"/>
          <w:szCs w:val="28"/>
        </w:rPr>
        <w:t>88.12</w:t>
      </w:r>
      <w:r>
        <w:rPr>
          <w:rFonts w:hint="eastAsia" w:ascii="仿宋_GB2312"/>
          <w:sz w:val="28"/>
          <w:szCs w:val="28"/>
        </w:rPr>
        <w:t>万元</w:t>
      </w:r>
      <w:r>
        <w:rPr>
          <w:rFonts w:ascii="仿宋_GB2312"/>
          <w:sz w:val="28"/>
          <w:szCs w:val="28"/>
        </w:rPr>
        <w:t>。上海盛源幼儿园下拨资金执行率为47%，结</w:t>
      </w:r>
      <w:r>
        <w:rPr>
          <w:rFonts w:hint="eastAsia" w:ascii="仿宋_GB2312"/>
          <w:sz w:val="28"/>
          <w:szCs w:val="28"/>
        </w:rPr>
        <w:t>存</w:t>
      </w:r>
      <w:r>
        <w:rPr>
          <w:rFonts w:ascii="仿宋_GB2312"/>
          <w:sz w:val="28"/>
          <w:szCs w:val="28"/>
        </w:rPr>
        <w:t>24.0931万元</w:t>
      </w:r>
      <w:bookmarkEnd w:id="3"/>
      <w:r>
        <w:rPr>
          <w:rFonts w:ascii="仿宋_GB2312"/>
          <w:sz w:val="28"/>
          <w:szCs w:val="28"/>
        </w:rPr>
        <w:t>。</w:t>
      </w:r>
    </w:p>
    <w:p>
      <w:pPr>
        <w:pStyle w:val="209"/>
        <w:spacing w:line="460" w:lineRule="exact"/>
        <w:ind w:firstLine="560"/>
        <w:rPr>
          <w:rFonts w:ascii="仿宋_GB2312"/>
          <w:sz w:val="28"/>
          <w:szCs w:val="28"/>
        </w:rPr>
      </w:pPr>
      <w:r>
        <w:rPr>
          <w:rFonts w:hint="eastAsia" w:ascii="仿宋_GB2312" w:hAnsi="宋体" w:cs="宋体"/>
          <w:sz w:val="28"/>
          <w:szCs w:val="28"/>
        </w:rPr>
        <w:t>（2）</w:t>
      </w:r>
      <w:r>
        <w:rPr>
          <w:rFonts w:hint="eastAsia" w:ascii="仿宋_GB2312" w:hAnsi="宋体" w:cs="宋体"/>
          <w:b/>
          <w:bCs/>
          <w:sz w:val="28"/>
          <w:szCs w:val="28"/>
        </w:rPr>
        <w:t>部分资金支出规范性不足，</w:t>
      </w:r>
      <w:r>
        <w:rPr>
          <w:rFonts w:hint="eastAsia" w:ascii="仿宋_GB2312"/>
          <w:sz w:val="28"/>
          <w:szCs w:val="28"/>
        </w:rPr>
        <w:t>①</w:t>
      </w:r>
      <w:r>
        <w:rPr>
          <w:rFonts w:ascii="仿宋_GB2312"/>
          <w:sz w:val="28"/>
          <w:szCs w:val="28"/>
        </w:rPr>
        <w:t>区教育局支付老年三类学习点建设工作人员劳务费每人800元，包含10个居村委学习点工作人员和6个社会学习点工作人员劳务费，16人，共12800元。支付人员劳务费无相关依据，支出合理</w:t>
      </w:r>
      <w:r>
        <w:rPr>
          <w:rFonts w:hint="eastAsia" w:ascii="仿宋_GB2312"/>
          <w:sz w:val="28"/>
          <w:szCs w:val="28"/>
        </w:rPr>
        <w:t>性不足</w:t>
      </w:r>
      <w:r>
        <w:rPr>
          <w:rFonts w:ascii="仿宋_GB2312"/>
          <w:sz w:val="28"/>
          <w:szCs w:val="28"/>
        </w:rPr>
        <w:t>。</w:t>
      </w:r>
      <w:r>
        <w:rPr>
          <w:rFonts w:hint="eastAsia" w:ascii="仿宋_GB2312"/>
          <w:sz w:val="28"/>
          <w:szCs w:val="28"/>
        </w:rPr>
        <w:t>②</w:t>
      </w:r>
      <w:r>
        <w:rPr>
          <w:rFonts w:ascii="仿宋_GB2312"/>
          <w:sz w:val="28"/>
          <w:szCs w:val="28"/>
        </w:rPr>
        <w:t>城桥镇成校使用项目经费订阅党报党刊、慰问困难</w:t>
      </w:r>
      <w:r>
        <w:rPr>
          <w:rFonts w:hint="eastAsia" w:ascii="仿宋_GB2312"/>
          <w:sz w:val="28"/>
          <w:szCs w:val="28"/>
        </w:rPr>
        <w:t>党员，支出合理性不足。</w:t>
      </w:r>
    </w:p>
    <w:p>
      <w:pPr>
        <w:pStyle w:val="209"/>
        <w:spacing w:line="460" w:lineRule="exact"/>
        <w:ind w:firstLine="560"/>
        <w:rPr>
          <w:rFonts w:ascii="仿宋_GB2312"/>
          <w:sz w:val="28"/>
          <w:szCs w:val="28"/>
        </w:rPr>
      </w:pPr>
      <w:r>
        <w:rPr>
          <w:rFonts w:hint="eastAsia" w:ascii="仿宋_GB2312"/>
          <w:sz w:val="28"/>
          <w:szCs w:val="28"/>
        </w:rPr>
        <w:t>（3）</w:t>
      </w:r>
      <w:r>
        <w:rPr>
          <w:rFonts w:hint="eastAsia" w:ascii="仿宋_GB2312"/>
          <w:b/>
          <w:bCs/>
          <w:sz w:val="28"/>
          <w:szCs w:val="28"/>
        </w:rPr>
        <w:t>个别项目管理制度不健全，</w:t>
      </w:r>
      <w:r>
        <w:rPr>
          <w:rFonts w:hint="eastAsia" w:ascii="仿宋_GB2312"/>
          <w:sz w:val="28"/>
          <w:szCs w:val="28"/>
        </w:rPr>
        <w:t>①</w:t>
      </w:r>
      <w:r>
        <w:rPr>
          <w:rFonts w:ascii="仿宋_GB2312"/>
          <w:b/>
          <w:bCs/>
          <w:sz w:val="28"/>
          <w:szCs w:val="28"/>
        </w:rPr>
        <w:t>民办教育发展专项资金缺少管理办法</w:t>
      </w:r>
      <w:r>
        <w:rPr>
          <w:rFonts w:ascii="仿宋_GB2312"/>
          <w:sz w:val="28"/>
          <w:szCs w:val="28"/>
        </w:rPr>
        <w:t>。根据《上海市促进民办教育发展专项资金管理办法》“各区县政府可以根据本地区实际情况，设立区县级民办教育发展专项资金，支持本区域内民办教育发展，并制定相关管理办法”，但崇明区教育局未制定民办教育发展管理办法，没有明确对项目的管理要求。</w:t>
      </w:r>
      <w:bookmarkStart w:id="4" w:name="_Hlk139483035"/>
      <w:r>
        <w:rPr>
          <w:rFonts w:hint="eastAsia" w:ascii="仿宋_GB2312"/>
          <w:sz w:val="28"/>
          <w:szCs w:val="28"/>
        </w:rPr>
        <w:t>②</w:t>
      </w:r>
      <w:r>
        <w:rPr>
          <w:rFonts w:hint="eastAsia" w:ascii="仿宋_GB2312"/>
          <w:b/>
          <w:bCs/>
          <w:sz w:val="28"/>
          <w:szCs w:val="28"/>
        </w:rPr>
        <w:t>民办生均公用经费补贴未按要求制定相关管理办法。</w:t>
      </w:r>
      <w:r>
        <w:rPr>
          <w:rFonts w:hint="eastAsia" w:ascii="仿宋_GB2312"/>
          <w:sz w:val="28"/>
          <w:szCs w:val="28"/>
        </w:rPr>
        <w:t>根据《上海市政府关于进一步完善本市城乡义务教育经费保障机制的通知》（沪府发〔</w:t>
      </w:r>
      <w:r>
        <w:rPr>
          <w:rFonts w:ascii="仿宋_GB2312"/>
          <w:sz w:val="28"/>
          <w:szCs w:val="28"/>
        </w:rPr>
        <w:t>2016〕35号）</w:t>
      </w:r>
      <w:r>
        <w:rPr>
          <w:rFonts w:hint="eastAsia" w:ascii="仿宋_GB2312"/>
          <w:sz w:val="28"/>
          <w:szCs w:val="28"/>
        </w:rPr>
        <w:t>“各区县实际补助民办学校公用经费水平高于本市基本标准的，要制定管理办法，明确扶持条件”，崇明区民办公用经费补助高于上海市基本标准，但是没有台相关管理办法。③</w:t>
      </w:r>
      <w:r>
        <w:rPr>
          <w:rFonts w:ascii="仿宋_GB2312"/>
          <w:b/>
          <w:bCs/>
          <w:sz w:val="28"/>
          <w:szCs w:val="28"/>
        </w:rPr>
        <w:t>终身教育经费中课程建设类和活动类项目没有结项规定</w:t>
      </w:r>
      <w:r>
        <w:rPr>
          <w:rFonts w:ascii="仿宋_GB2312"/>
          <w:sz w:val="28"/>
          <w:szCs w:val="28"/>
        </w:rPr>
        <w:t>，如区社区学</w:t>
      </w:r>
      <w:r>
        <w:rPr>
          <w:rFonts w:hint="eastAsia" w:ascii="仿宋_GB2312"/>
          <w:sz w:val="28"/>
          <w:szCs w:val="28"/>
        </w:rPr>
        <w:t>院《创意海派插花》课程建设经费项目、“我心目中的最美老年学员”主题征文讲述活动经费项目、涉农课程培训经费项目等。④调研的</w:t>
      </w:r>
      <w:r>
        <w:rPr>
          <w:rFonts w:ascii="仿宋_GB2312"/>
          <w:sz w:val="28"/>
          <w:szCs w:val="28"/>
        </w:rPr>
        <w:t>7所学校项目监督检查、验收方面</w:t>
      </w:r>
      <w:r>
        <w:rPr>
          <w:rFonts w:hint="eastAsia" w:ascii="仿宋_GB2312"/>
          <w:sz w:val="28"/>
          <w:szCs w:val="28"/>
        </w:rPr>
        <w:t>有</w:t>
      </w:r>
      <w:r>
        <w:rPr>
          <w:rFonts w:ascii="仿宋_GB2312"/>
          <w:sz w:val="28"/>
          <w:szCs w:val="28"/>
        </w:rPr>
        <w:t>缺失。</w:t>
      </w:r>
      <w:bookmarkEnd w:id="4"/>
    </w:p>
    <w:p>
      <w:pPr>
        <w:pStyle w:val="209"/>
        <w:spacing w:line="460" w:lineRule="exact"/>
        <w:ind w:firstLine="560"/>
        <w:rPr>
          <w:rFonts w:ascii="仿宋_GB2312"/>
          <w:sz w:val="28"/>
          <w:szCs w:val="28"/>
        </w:rPr>
      </w:pPr>
      <w:r>
        <w:rPr>
          <w:rFonts w:hint="eastAsia" w:ascii="仿宋_GB2312"/>
          <w:sz w:val="28"/>
          <w:szCs w:val="28"/>
        </w:rPr>
        <w:t>（4）</w:t>
      </w:r>
      <w:r>
        <w:rPr>
          <w:rFonts w:hint="eastAsia" w:ascii="仿宋_GB2312"/>
          <w:b/>
          <w:bCs/>
          <w:sz w:val="28"/>
          <w:szCs w:val="28"/>
        </w:rPr>
        <w:t>合同管理不到位，</w:t>
      </w:r>
      <w:r>
        <w:rPr>
          <w:rFonts w:hint="eastAsia" w:ascii="仿宋_GB2312"/>
          <w:sz w:val="28"/>
          <w:szCs w:val="28"/>
        </w:rPr>
        <w:t>①实地调查的</w:t>
      </w:r>
      <w:r>
        <w:rPr>
          <w:rFonts w:ascii="仿宋_GB2312"/>
          <w:sz w:val="28"/>
          <w:szCs w:val="28"/>
        </w:rPr>
        <w:t>7所学校中</w:t>
      </w:r>
      <w:r>
        <w:rPr>
          <w:rFonts w:hint="eastAsia" w:ascii="仿宋_GB2312"/>
          <w:sz w:val="28"/>
          <w:szCs w:val="28"/>
        </w:rPr>
        <w:t>有个别学校</w:t>
      </w:r>
      <w:r>
        <w:rPr>
          <w:rFonts w:ascii="仿宋_GB2312"/>
          <w:sz w:val="28"/>
          <w:szCs w:val="28"/>
        </w:rPr>
        <w:t>没有建立合同管理制度。</w:t>
      </w:r>
      <w:r>
        <w:rPr>
          <w:rFonts w:hint="eastAsia" w:ascii="仿宋_GB2312"/>
          <w:sz w:val="28"/>
          <w:szCs w:val="28"/>
        </w:rPr>
        <w:t>②</w:t>
      </w:r>
      <w:r>
        <w:rPr>
          <w:rFonts w:ascii="仿宋_GB2312"/>
          <w:sz w:val="28"/>
          <w:szCs w:val="28"/>
        </w:rPr>
        <w:t>区教育局与上海崇明教育评估中心、上海平协教育研究与评估事务所签订的合同不够完整，缺少付款方式，甲乙方权利与义务，保密规定、服务期限、签订日期等要素，此外，委托年度检查19家机构，实际完</w:t>
      </w:r>
      <w:r>
        <w:rPr>
          <w:rFonts w:hint="eastAsia" w:ascii="仿宋_GB2312"/>
          <w:sz w:val="28"/>
          <w:szCs w:val="28"/>
        </w:rPr>
        <w:t>成</w:t>
      </w:r>
      <w:r>
        <w:rPr>
          <w:rFonts w:ascii="仿宋_GB2312"/>
          <w:sz w:val="28"/>
          <w:szCs w:val="28"/>
        </w:rPr>
        <w:t>18家，有1家地址变更没有核查，但实际结算时</w:t>
      </w:r>
      <w:r>
        <w:rPr>
          <w:rFonts w:hint="eastAsia" w:ascii="仿宋_GB2312"/>
          <w:sz w:val="28"/>
          <w:szCs w:val="28"/>
        </w:rPr>
        <w:t>资金</w:t>
      </w:r>
      <w:r>
        <w:rPr>
          <w:rFonts w:ascii="仿宋_GB2312"/>
          <w:sz w:val="28"/>
          <w:szCs w:val="28"/>
        </w:rPr>
        <w:t>全额支付，没有按</w:t>
      </w:r>
      <w:r>
        <w:rPr>
          <w:rFonts w:hint="eastAsia" w:ascii="仿宋_GB2312"/>
          <w:sz w:val="28"/>
          <w:szCs w:val="28"/>
        </w:rPr>
        <w:t>实</w:t>
      </w:r>
      <w:r>
        <w:rPr>
          <w:rFonts w:ascii="仿宋_GB2312"/>
          <w:sz w:val="28"/>
          <w:szCs w:val="28"/>
        </w:rPr>
        <w:t>结算，主要原因是合同中没有约定“按实结算”的要求。</w:t>
      </w:r>
      <w:r>
        <w:rPr>
          <w:rFonts w:hint="eastAsia" w:ascii="仿宋_GB2312"/>
          <w:sz w:val="28"/>
          <w:szCs w:val="28"/>
        </w:rPr>
        <w:t>③</w:t>
      </w:r>
      <w:r>
        <w:rPr>
          <w:rFonts w:ascii="仿宋_GB2312"/>
          <w:sz w:val="28"/>
          <w:szCs w:val="28"/>
        </w:rPr>
        <w:t>社区学院与上海风河科技信息有限公司签订的视频制作的合同中付款方式为合同签订后一次性支付，不够合理；</w:t>
      </w:r>
      <w:r>
        <w:rPr>
          <w:rFonts w:hint="eastAsia" w:ascii="仿宋_GB2312"/>
          <w:sz w:val="28"/>
          <w:szCs w:val="28"/>
        </w:rPr>
        <w:t>城</w:t>
      </w:r>
      <w:r>
        <w:rPr>
          <w:rFonts w:ascii="仿宋_GB2312"/>
          <w:sz w:val="28"/>
          <w:szCs w:val="28"/>
        </w:rPr>
        <w:t>桥镇成校和上海惠秀环境科技中心签订的合同中支付方式为转账或现金，约定现金支付不符合规定（</w:t>
      </w:r>
      <w:r>
        <w:rPr>
          <w:rFonts w:hint="eastAsia" w:ascii="仿宋_GB2312"/>
          <w:sz w:val="28"/>
          <w:szCs w:val="28"/>
        </w:rPr>
        <w:t>注：2</w:t>
      </w:r>
      <w:r>
        <w:rPr>
          <w:rFonts w:ascii="仿宋_GB2312"/>
          <w:sz w:val="28"/>
          <w:szCs w:val="28"/>
        </w:rPr>
        <w:t>022</w:t>
      </w:r>
      <w:r>
        <w:rPr>
          <w:rFonts w:hint="eastAsia" w:ascii="仿宋_GB2312"/>
          <w:sz w:val="28"/>
          <w:szCs w:val="28"/>
        </w:rPr>
        <w:t>年</w:t>
      </w:r>
      <w:r>
        <w:rPr>
          <w:rFonts w:ascii="仿宋_GB2312"/>
          <w:sz w:val="28"/>
          <w:szCs w:val="28"/>
        </w:rPr>
        <w:t>实际支付为转账）；庙镇成校和上海煊昂建设工程服务中心签订的合同中付款方式为一次性付款，没有明确是完成前还是完成后支付，约定要素不完整（</w:t>
      </w:r>
      <w:r>
        <w:rPr>
          <w:rFonts w:hint="eastAsia" w:ascii="仿宋_GB2312"/>
          <w:sz w:val="28"/>
          <w:szCs w:val="28"/>
        </w:rPr>
        <w:t>注：2</w:t>
      </w:r>
      <w:r>
        <w:rPr>
          <w:rFonts w:ascii="仿宋_GB2312"/>
          <w:sz w:val="28"/>
          <w:szCs w:val="28"/>
        </w:rPr>
        <w:t>022</w:t>
      </w:r>
      <w:r>
        <w:rPr>
          <w:rFonts w:hint="eastAsia" w:ascii="仿宋_GB2312"/>
          <w:sz w:val="28"/>
          <w:szCs w:val="28"/>
        </w:rPr>
        <w:t>年</w:t>
      </w:r>
      <w:r>
        <w:rPr>
          <w:rFonts w:ascii="仿宋_GB2312"/>
          <w:sz w:val="28"/>
          <w:szCs w:val="28"/>
        </w:rPr>
        <w:t>实际付款为工程完工后）。</w:t>
      </w:r>
    </w:p>
    <w:p>
      <w:pPr>
        <w:pStyle w:val="209"/>
        <w:spacing w:line="460" w:lineRule="exact"/>
        <w:ind w:firstLine="562"/>
        <w:rPr>
          <w:rFonts w:ascii="仿宋_GB2312"/>
          <w:b/>
          <w:bCs/>
          <w:sz w:val="28"/>
          <w:szCs w:val="28"/>
        </w:rPr>
      </w:pPr>
      <w:r>
        <w:rPr>
          <w:rFonts w:hint="eastAsia" w:ascii="仿宋_GB2312"/>
          <w:b/>
          <w:bCs/>
          <w:sz w:val="28"/>
          <w:szCs w:val="28"/>
        </w:rPr>
        <w:t>3</w:t>
      </w:r>
      <w:r>
        <w:rPr>
          <w:rFonts w:ascii="仿宋_GB2312"/>
          <w:b/>
          <w:bCs/>
          <w:sz w:val="28"/>
          <w:szCs w:val="28"/>
        </w:rPr>
        <w:t>.</w:t>
      </w:r>
      <w:r>
        <w:rPr>
          <w:rFonts w:hint="eastAsia" w:ascii="仿宋_GB2312"/>
          <w:b/>
          <w:bCs/>
          <w:sz w:val="28"/>
          <w:szCs w:val="28"/>
        </w:rPr>
        <w:t>在项目产出和效果方面，部分工作未完成，成本控制待提高，长效机制待完善</w:t>
      </w:r>
    </w:p>
    <w:p>
      <w:pPr>
        <w:pStyle w:val="209"/>
        <w:spacing w:line="460" w:lineRule="exact"/>
        <w:ind w:firstLine="560"/>
        <w:rPr>
          <w:rFonts w:ascii="仿宋_GB2312"/>
          <w:sz w:val="28"/>
          <w:szCs w:val="28"/>
        </w:rPr>
      </w:pPr>
      <w:r>
        <w:rPr>
          <w:rFonts w:hint="eastAsia" w:ascii="仿宋_GB2312"/>
          <w:sz w:val="28"/>
          <w:szCs w:val="28"/>
        </w:rPr>
        <w:t>（1）部分民办学校工作未完成，具体为：①上海新纪元双语学校空调还未采购到位。②上海民办民一中学民办发展专项经费的相关项目均没有完成。③上海盛源幼儿园完成了特色创建项目和设备经采购，但受疫情影响，线下培训未完成。④</w:t>
      </w:r>
      <w:r>
        <w:rPr>
          <w:rFonts w:ascii="仿宋_GB2312"/>
          <w:sz w:val="28"/>
          <w:szCs w:val="28"/>
        </w:rPr>
        <w:t>2022年</w:t>
      </w:r>
      <w:r>
        <w:rPr>
          <w:rFonts w:hint="eastAsia" w:ascii="仿宋_GB2312"/>
          <w:sz w:val="28"/>
          <w:szCs w:val="28"/>
        </w:rPr>
        <w:t>年</w:t>
      </w:r>
      <w:r>
        <w:rPr>
          <w:rFonts w:ascii="仿宋_GB2312"/>
          <w:sz w:val="28"/>
          <w:szCs w:val="28"/>
        </w:rPr>
        <w:t>检工作有1家由于地址变更，没有核查。</w:t>
      </w:r>
    </w:p>
    <w:p>
      <w:pPr>
        <w:pStyle w:val="209"/>
        <w:spacing w:line="460" w:lineRule="exact"/>
        <w:ind w:firstLine="560"/>
        <w:rPr>
          <w:rFonts w:ascii="仿宋_GB2312"/>
          <w:sz w:val="28"/>
          <w:szCs w:val="28"/>
        </w:rPr>
      </w:pPr>
      <w:r>
        <w:rPr>
          <w:rFonts w:hint="eastAsia" w:ascii="仿宋_GB2312"/>
          <w:sz w:val="28"/>
          <w:szCs w:val="28"/>
        </w:rPr>
        <w:t>（2）部</w:t>
      </w:r>
      <w:r>
        <w:rPr>
          <w:rFonts w:ascii="仿宋_GB2312"/>
          <w:sz w:val="28"/>
          <w:szCs w:val="28"/>
        </w:rPr>
        <w:t>分项目成本标准偏高，如名师</w:t>
      </w:r>
      <w:r>
        <w:rPr>
          <w:rFonts w:hint="eastAsia" w:ascii="仿宋_GB2312"/>
          <w:sz w:val="28"/>
          <w:szCs w:val="28"/>
        </w:rPr>
        <w:t>孵化室市级主持人</w:t>
      </w:r>
      <w:r>
        <w:rPr>
          <w:rFonts w:ascii="仿宋_GB2312"/>
          <w:sz w:val="28"/>
          <w:szCs w:val="28"/>
        </w:rPr>
        <w:t>2000元/次，参照</w:t>
      </w:r>
      <w:r>
        <w:rPr>
          <w:rFonts w:hint="eastAsia" w:ascii="仿宋_GB2312"/>
          <w:sz w:val="28"/>
          <w:szCs w:val="28"/>
        </w:rPr>
        <w:t>的是</w:t>
      </w:r>
      <w:r>
        <w:rPr>
          <w:rFonts w:ascii="仿宋_GB2312"/>
          <w:sz w:val="28"/>
          <w:szCs w:val="28"/>
        </w:rPr>
        <w:t>崇明区培训费 “正高级技术职称专业人员每学时最高不超过1000元”</w:t>
      </w:r>
      <w:r>
        <w:rPr>
          <w:rFonts w:hint="eastAsia" w:ascii="仿宋_GB2312"/>
          <w:sz w:val="28"/>
          <w:szCs w:val="28"/>
        </w:rPr>
        <w:t>标准</w:t>
      </w:r>
      <w:r>
        <w:rPr>
          <w:rFonts w:ascii="仿宋_GB2312"/>
          <w:sz w:val="28"/>
          <w:szCs w:val="28"/>
        </w:rPr>
        <w:t>，实际</w:t>
      </w:r>
      <w:r>
        <w:rPr>
          <w:rFonts w:hint="eastAsia" w:ascii="仿宋_GB2312"/>
          <w:sz w:val="28"/>
          <w:szCs w:val="28"/>
        </w:rPr>
        <w:t>不是开展培训，而</w:t>
      </w:r>
      <w:r>
        <w:rPr>
          <w:rFonts w:ascii="仿宋_GB2312"/>
          <w:sz w:val="28"/>
          <w:szCs w:val="28"/>
        </w:rPr>
        <w:t>研讨会议，</w:t>
      </w:r>
      <w:r>
        <w:rPr>
          <w:rFonts w:hint="eastAsia" w:ascii="仿宋_GB2312"/>
          <w:sz w:val="28"/>
          <w:szCs w:val="28"/>
        </w:rPr>
        <w:t>一般会议邀请专家费用为1</w:t>
      </w:r>
      <w:r>
        <w:rPr>
          <w:rFonts w:ascii="仿宋_GB2312"/>
          <w:sz w:val="28"/>
          <w:szCs w:val="28"/>
        </w:rPr>
        <w:t>00</w:t>
      </w:r>
      <w:r>
        <w:rPr>
          <w:rFonts w:hint="eastAsia" w:ascii="仿宋_GB2312"/>
          <w:sz w:val="28"/>
          <w:szCs w:val="28"/>
        </w:rPr>
        <w:t>0元/次，当前标准偏高。</w:t>
      </w:r>
    </w:p>
    <w:p>
      <w:pPr>
        <w:pStyle w:val="209"/>
        <w:spacing w:line="460" w:lineRule="exact"/>
        <w:ind w:firstLine="560"/>
        <w:rPr>
          <w:rFonts w:ascii="仿宋_GB2312"/>
          <w:sz w:val="28"/>
          <w:szCs w:val="28"/>
        </w:rPr>
      </w:pPr>
      <w:r>
        <w:rPr>
          <w:rFonts w:hint="eastAsia" w:ascii="仿宋_GB2312"/>
          <w:sz w:val="28"/>
          <w:szCs w:val="28"/>
        </w:rPr>
        <w:t>（3）</w:t>
      </w:r>
      <w:r>
        <w:rPr>
          <w:rFonts w:ascii="仿宋_GB2312"/>
          <w:sz w:val="28"/>
          <w:szCs w:val="28"/>
        </w:rPr>
        <w:t>缺少对项目的定期评价、跟踪</w:t>
      </w:r>
      <w:r>
        <w:rPr>
          <w:rFonts w:hint="eastAsia" w:ascii="仿宋_GB2312"/>
          <w:sz w:val="28"/>
          <w:szCs w:val="28"/>
        </w:rPr>
        <w:t>机制，项目长效机制还不够完善</w:t>
      </w:r>
      <w:r>
        <w:rPr>
          <w:rFonts w:ascii="仿宋_GB2312"/>
          <w:sz w:val="28"/>
          <w:szCs w:val="28"/>
        </w:rPr>
        <w:t>。</w:t>
      </w:r>
    </w:p>
    <w:p>
      <w:pPr>
        <w:pStyle w:val="209"/>
        <w:spacing w:line="460" w:lineRule="exact"/>
        <w:ind w:firstLine="562"/>
        <w:rPr>
          <w:b/>
          <w:bCs/>
          <w:sz w:val="28"/>
          <w:szCs w:val="28"/>
        </w:rPr>
      </w:pPr>
      <w:r>
        <w:rPr>
          <w:rFonts w:hint="eastAsia"/>
          <w:b/>
          <w:bCs/>
          <w:sz w:val="28"/>
          <w:szCs w:val="28"/>
        </w:rPr>
        <w:t>（三）建议和改进举措</w:t>
      </w:r>
    </w:p>
    <w:p>
      <w:pPr>
        <w:pStyle w:val="209"/>
        <w:spacing w:line="460" w:lineRule="exact"/>
        <w:ind w:firstLine="562"/>
        <w:rPr>
          <w:rFonts w:ascii="仿宋_GB2312"/>
          <w:b/>
          <w:bCs/>
          <w:sz w:val="28"/>
          <w:szCs w:val="28"/>
        </w:rPr>
      </w:pPr>
      <w:r>
        <w:rPr>
          <w:rFonts w:hint="eastAsia" w:ascii="仿宋_GB2312"/>
          <w:b/>
          <w:bCs/>
          <w:sz w:val="28"/>
          <w:szCs w:val="28"/>
        </w:rPr>
        <w:t>1</w:t>
      </w:r>
      <w:r>
        <w:rPr>
          <w:rFonts w:ascii="仿宋_GB2312"/>
          <w:b/>
          <w:bCs/>
          <w:sz w:val="28"/>
          <w:szCs w:val="28"/>
        </w:rPr>
        <w:t>.</w:t>
      </w:r>
      <w:r>
        <w:rPr>
          <w:rFonts w:hint="eastAsia" w:ascii="仿宋_GB2312"/>
          <w:b/>
          <w:bCs/>
          <w:sz w:val="28"/>
          <w:szCs w:val="28"/>
        </w:rPr>
        <w:t>进一步严格项目立项、优化预算编制，完善绩效目标编制，提升预算管理水平</w:t>
      </w:r>
    </w:p>
    <w:p>
      <w:pPr>
        <w:pStyle w:val="209"/>
        <w:spacing w:line="460" w:lineRule="exact"/>
        <w:ind w:firstLine="560"/>
        <w:rPr>
          <w:rFonts w:ascii="仿宋_GB2312" w:hAnsi="仿宋"/>
          <w:sz w:val="28"/>
          <w:szCs w:val="28"/>
        </w:rPr>
      </w:pPr>
      <w:r>
        <w:rPr>
          <w:rFonts w:hint="eastAsia"/>
          <w:sz w:val="28"/>
          <w:szCs w:val="28"/>
        </w:rPr>
        <w:t>第一，建议区教育局成人学校考核奖励经费和成人学校集团化办学经费项目进行重新论证，对其实施的必要性和充分性进行充分论证。第二，研究制定民办教育发展资金补贴标准、分配方式，做到分配有依据。第三，优化预算编制，明确</w:t>
      </w:r>
      <w:r>
        <w:rPr>
          <w:rFonts w:hint="eastAsia" w:ascii="仿宋_GB2312" w:hAnsi="仿宋"/>
          <w:sz w:val="28"/>
          <w:szCs w:val="28"/>
        </w:rPr>
        <w:t>老年教育三类学习点建设经费的三级子项目区教育局建设经费和</w:t>
      </w:r>
      <w:r>
        <w:rPr>
          <w:rFonts w:ascii="仿宋_GB2312" w:hAnsi="仿宋"/>
          <w:sz w:val="28"/>
          <w:szCs w:val="28"/>
        </w:rPr>
        <w:t>民办非学历教育机构管理经费</w:t>
      </w:r>
      <w:r>
        <w:rPr>
          <w:rFonts w:hint="eastAsia" w:ascii="仿宋_GB2312" w:hAnsi="仿宋"/>
          <w:sz w:val="28"/>
          <w:szCs w:val="28"/>
        </w:rPr>
        <w:t>的具体数量和单价明细，具体支出内容。建议今后类似</w:t>
      </w:r>
      <w:r>
        <w:rPr>
          <w:rFonts w:ascii="仿宋_GB2312" w:hAnsi="仿宋"/>
          <w:sz w:val="28"/>
          <w:szCs w:val="28"/>
        </w:rPr>
        <w:t>区社区学院《创意海派插花》课程建设经费</w:t>
      </w:r>
      <w:r>
        <w:rPr>
          <w:rFonts w:hint="eastAsia" w:ascii="仿宋_GB2312" w:hAnsi="仿宋"/>
          <w:sz w:val="28"/>
          <w:szCs w:val="28"/>
        </w:rPr>
        <w:t>的项目，不要将管理费（服务费及税费）纳入项目预算。第四，区教育局要加强预算审核，审核项目单价标准依据充分性以及数量测算合理性。第五，完善项目绩效目标和指标，从科学性、合理性等方面构建项目绩效目标指标，具体建议详见正文“项目绩效目标”。</w:t>
      </w:r>
    </w:p>
    <w:p>
      <w:pPr>
        <w:pStyle w:val="209"/>
        <w:spacing w:line="460" w:lineRule="exact"/>
        <w:ind w:firstLine="562"/>
        <w:rPr>
          <w:rFonts w:ascii="仿宋_GB2312"/>
          <w:b/>
          <w:bCs/>
          <w:sz w:val="28"/>
          <w:szCs w:val="28"/>
        </w:rPr>
      </w:pPr>
      <w:r>
        <w:rPr>
          <w:rFonts w:hint="eastAsia" w:ascii="仿宋_GB2312"/>
          <w:b/>
          <w:bCs/>
          <w:sz w:val="28"/>
          <w:szCs w:val="28"/>
        </w:rPr>
        <w:t>2</w:t>
      </w:r>
      <w:r>
        <w:rPr>
          <w:rFonts w:ascii="仿宋_GB2312"/>
          <w:b/>
          <w:bCs/>
          <w:sz w:val="28"/>
          <w:szCs w:val="28"/>
        </w:rPr>
        <w:t>.</w:t>
      </w:r>
      <w:r>
        <w:rPr>
          <w:rFonts w:hint="eastAsia" w:ascii="仿宋_GB2312"/>
          <w:b/>
          <w:bCs/>
          <w:sz w:val="28"/>
          <w:szCs w:val="28"/>
        </w:rPr>
        <w:t>进一步加强资金管理，完善业务管理制度，规范合同管理</w:t>
      </w:r>
    </w:p>
    <w:p>
      <w:pPr>
        <w:pStyle w:val="209"/>
        <w:spacing w:line="460" w:lineRule="exact"/>
        <w:ind w:firstLine="560"/>
        <w:rPr>
          <w:rFonts w:ascii="仿宋_GB2312"/>
          <w:sz w:val="28"/>
          <w:szCs w:val="28"/>
        </w:rPr>
      </w:pPr>
      <w:r>
        <w:rPr>
          <w:rFonts w:hint="eastAsia" w:ascii="仿宋_GB2312"/>
          <w:sz w:val="28"/>
          <w:szCs w:val="28"/>
        </w:rPr>
        <w:t>第一，建议区教育局进一步加强资金监管，对民办学校结存资金制定监管方案，且在安排下一年度扶持资金时，充分考虑其结存情况。第二，对支出资金不规范项目，加快整改，理清资金支付范围。第三，建立崇明区民办发展专项资金管理办法，</w:t>
      </w:r>
      <w:r>
        <w:rPr>
          <w:rFonts w:ascii="仿宋_GB2312"/>
          <w:sz w:val="28"/>
          <w:szCs w:val="28"/>
        </w:rPr>
        <w:t>明确资金分配标准、使用范围、监督管理等要求，具体建议详见正文表4-1-1</w:t>
      </w:r>
      <w:r>
        <w:rPr>
          <w:rFonts w:hint="eastAsia" w:ascii="仿宋_GB2312"/>
          <w:sz w:val="28"/>
          <w:szCs w:val="28"/>
        </w:rPr>
        <w:t>。第四，建议根据《上海市政府关于进一步完善本市城乡义务教育经费保障机制的通知》（沪府发〔</w:t>
      </w:r>
      <w:r>
        <w:rPr>
          <w:rFonts w:ascii="仿宋_GB2312"/>
          <w:sz w:val="28"/>
          <w:szCs w:val="28"/>
        </w:rPr>
        <w:t>2016〕35号）</w:t>
      </w:r>
      <w:r>
        <w:rPr>
          <w:rFonts w:hint="eastAsia" w:ascii="仿宋_GB2312"/>
          <w:sz w:val="28"/>
          <w:szCs w:val="28"/>
        </w:rPr>
        <w:t>要求，出台崇明区民办学校生均公用经费管理办法，明确扶持条件。第五，根据项目闭环管理要求，对于课程建设类项目、活动类项目，建议区教育局制定相关结项要求，包括项目目标完成情况、资金使用情况等如何结项。第六，加强合同管理。首先，未建立合同制度的民办学校，建议根据内控制度要求，建立健全合同管理制度，明确合同制定要求、合同审批程序、合同执行管理、合同支付管理等。其次，对于合同要素不完整，支付方式不合理的合同，建议在以后合同签订中，按照合同法的有关要求，明确权利义务，控制项目风险。</w:t>
      </w:r>
    </w:p>
    <w:p>
      <w:pPr>
        <w:pStyle w:val="209"/>
        <w:spacing w:line="460" w:lineRule="exact"/>
        <w:ind w:firstLine="562"/>
        <w:rPr>
          <w:rFonts w:ascii="仿宋_GB2312"/>
          <w:b/>
          <w:bCs/>
          <w:sz w:val="28"/>
          <w:szCs w:val="28"/>
        </w:rPr>
      </w:pPr>
      <w:r>
        <w:rPr>
          <w:rFonts w:hint="eastAsia" w:ascii="仿宋_GB2312"/>
          <w:b/>
          <w:bCs/>
          <w:sz w:val="28"/>
          <w:szCs w:val="28"/>
        </w:rPr>
        <w:t>3</w:t>
      </w:r>
      <w:r>
        <w:rPr>
          <w:rFonts w:ascii="仿宋_GB2312"/>
          <w:b/>
          <w:bCs/>
          <w:sz w:val="28"/>
          <w:szCs w:val="28"/>
        </w:rPr>
        <w:t>.</w:t>
      </w:r>
      <w:r>
        <w:rPr>
          <w:rFonts w:hint="eastAsia" w:ascii="仿宋_GB2312"/>
          <w:b/>
          <w:bCs/>
          <w:sz w:val="28"/>
          <w:szCs w:val="28"/>
        </w:rPr>
        <w:t>进一步加强工作计划的约束性，控制项目成本，建立健全项目长效机制</w:t>
      </w:r>
    </w:p>
    <w:p>
      <w:pPr>
        <w:pStyle w:val="209"/>
        <w:spacing w:line="460" w:lineRule="exact"/>
        <w:ind w:firstLine="560"/>
        <w:rPr>
          <w:rFonts w:ascii="仿宋_GB2312"/>
          <w:sz w:val="28"/>
          <w:szCs w:val="28"/>
        </w:rPr>
      </w:pPr>
      <w:r>
        <w:rPr>
          <w:rFonts w:hint="eastAsia" w:ascii="仿宋_GB2312"/>
          <w:sz w:val="28"/>
          <w:szCs w:val="28"/>
        </w:rPr>
        <w:t>首先，由于部分项目未完成，导致项目资金执行率不高，项目存在结余，建议加强项目计划的刚性，确保项目的顺利完成。其次，建议区教育局建立成本核算机制，定期对项目成本进行测算分析，制定合理项目支出标准。最后，建议建立健全项目长效管理机制，制定项目定期评估、跟踪要求，评估频次等。</w:t>
      </w:r>
    </w:p>
    <w:p>
      <w:pPr>
        <w:pStyle w:val="209"/>
        <w:spacing w:line="460" w:lineRule="exact"/>
        <w:ind w:firstLine="562"/>
        <w:rPr>
          <w:b/>
          <w:bCs/>
          <w:sz w:val="28"/>
          <w:szCs w:val="28"/>
        </w:rPr>
      </w:pPr>
      <w:r>
        <w:rPr>
          <w:b/>
          <w:bCs/>
          <w:sz w:val="28"/>
          <w:szCs w:val="28"/>
        </w:rPr>
        <w:t>（</w:t>
      </w:r>
      <w:r>
        <w:rPr>
          <w:rFonts w:hint="eastAsia"/>
          <w:b/>
          <w:bCs/>
          <w:sz w:val="28"/>
          <w:szCs w:val="28"/>
        </w:rPr>
        <w:t>四</w:t>
      </w:r>
      <w:r>
        <w:rPr>
          <w:b/>
          <w:bCs/>
          <w:sz w:val="28"/>
          <w:szCs w:val="28"/>
        </w:rPr>
        <w:t>）</w:t>
      </w:r>
      <w:r>
        <w:rPr>
          <w:rFonts w:hint="eastAsia"/>
          <w:b/>
          <w:bCs/>
          <w:sz w:val="28"/>
          <w:szCs w:val="28"/>
        </w:rPr>
        <w:t>2</w:t>
      </w:r>
      <w:r>
        <w:rPr>
          <w:b/>
          <w:bCs/>
          <w:sz w:val="28"/>
          <w:szCs w:val="28"/>
        </w:rPr>
        <w:t>023</w:t>
      </w:r>
      <w:r>
        <w:rPr>
          <w:rFonts w:hint="eastAsia"/>
          <w:b/>
          <w:bCs/>
          <w:sz w:val="28"/>
          <w:szCs w:val="28"/>
        </w:rPr>
        <w:t>年项目预算建议</w:t>
      </w:r>
    </w:p>
    <w:p>
      <w:pPr>
        <w:pStyle w:val="200"/>
        <w:spacing w:line="460" w:lineRule="exact"/>
        <w:rPr>
          <w:rFonts w:ascii="仿宋_GB2312"/>
          <w:kern w:val="2"/>
          <w:lang w:val="en-US"/>
        </w:rPr>
      </w:pPr>
      <w:r>
        <w:rPr>
          <w:rFonts w:hint="eastAsia" w:ascii="仿宋_GB2312"/>
          <w:kern w:val="2"/>
          <w:lang w:val="en-US"/>
        </w:rPr>
        <w:t>2</w:t>
      </w:r>
      <w:r>
        <w:rPr>
          <w:rFonts w:ascii="仿宋_GB2312"/>
          <w:kern w:val="2"/>
          <w:lang w:val="en-US"/>
        </w:rPr>
        <w:t>023</w:t>
      </w:r>
      <w:r>
        <w:rPr>
          <w:rFonts w:hint="eastAsia" w:ascii="仿宋_GB2312"/>
          <w:kern w:val="2"/>
          <w:lang w:val="en-US"/>
        </w:rPr>
        <w:t>年成职科内涵发展经费项目年初预算安排1</w:t>
      </w:r>
      <w:r>
        <w:rPr>
          <w:rFonts w:ascii="仿宋_GB2312"/>
          <w:kern w:val="2"/>
          <w:lang w:val="en-US"/>
        </w:rPr>
        <w:t>031.66</w:t>
      </w:r>
      <w:r>
        <w:rPr>
          <w:rFonts w:hint="eastAsia" w:ascii="仿宋_GB2312"/>
          <w:kern w:val="2"/>
          <w:lang w:val="en-US"/>
        </w:rPr>
        <w:t>万元，较2</w:t>
      </w:r>
      <w:r>
        <w:rPr>
          <w:rFonts w:ascii="仿宋_GB2312"/>
          <w:kern w:val="2"/>
          <w:lang w:val="en-US"/>
        </w:rPr>
        <w:t>022</w:t>
      </w:r>
      <w:r>
        <w:rPr>
          <w:rFonts w:hint="eastAsia" w:ascii="仿宋_GB2312"/>
          <w:kern w:val="2"/>
          <w:lang w:val="en-US"/>
        </w:rPr>
        <w:t>年项目年初预算下降9</w:t>
      </w:r>
      <w:r>
        <w:rPr>
          <w:rFonts w:ascii="仿宋_GB2312"/>
          <w:kern w:val="2"/>
          <w:lang w:val="en-US"/>
        </w:rPr>
        <w:t>.4</w:t>
      </w:r>
      <w:r>
        <w:rPr>
          <w:rFonts w:hint="eastAsia" w:ascii="仿宋_GB2312"/>
          <w:kern w:val="2"/>
          <w:lang w:val="en-US"/>
        </w:rPr>
        <w:t>%，根据绩效评价结果，项目组建议区教育局尽快出台民办学校公用经费补助项目和民办教育发展专项资金项目相关管理办法，依据办法合理安排资金，建议调减</w:t>
      </w:r>
      <w:r>
        <w:rPr>
          <w:rFonts w:ascii="仿宋_GB2312"/>
          <w:kern w:val="2"/>
          <w:lang w:val="en-US"/>
        </w:rPr>
        <w:t>25</w:t>
      </w:r>
      <w:r>
        <w:rPr>
          <w:rFonts w:hint="eastAsia" w:ascii="仿宋_GB2312"/>
          <w:kern w:val="2"/>
          <w:lang w:val="en-US"/>
        </w:rPr>
        <w:t>万元，调整后预算</w:t>
      </w:r>
      <w:r>
        <w:rPr>
          <w:rFonts w:ascii="仿宋_GB2312"/>
          <w:kern w:val="2"/>
          <w:lang w:val="en-US"/>
        </w:rPr>
        <w:t>1006.66</w:t>
      </w:r>
      <w:r>
        <w:rPr>
          <w:rFonts w:hint="eastAsia" w:ascii="仿宋_GB2312"/>
          <w:kern w:val="2"/>
          <w:lang w:val="en-US"/>
        </w:rPr>
        <w:t>万元。</w:t>
      </w:r>
    </w:p>
    <w:p>
      <w:pPr>
        <w:pStyle w:val="200"/>
        <w:spacing w:line="560" w:lineRule="exact"/>
        <w:ind w:firstLine="0" w:firstLineChars="0"/>
        <w:jc w:val="center"/>
        <w:rPr>
          <w:rFonts w:ascii="仿宋_GB2312"/>
          <w:b/>
          <w:bCs/>
          <w:kern w:val="2"/>
          <w:sz w:val="24"/>
          <w:szCs w:val="24"/>
          <w:lang w:val="en-US"/>
        </w:rPr>
      </w:pPr>
      <w:r>
        <w:rPr>
          <w:rFonts w:ascii="仿宋_GB2312"/>
          <w:b/>
          <w:bCs/>
          <w:kern w:val="2"/>
          <w:sz w:val="24"/>
          <w:szCs w:val="24"/>
          <w:lang w:val="en-US"/>
        </w:rPr>
        <w:t>2023</w:t>
      </w:r>
      <w:r>
        <w:rPr>
          <w:rFonts w:hint="eastAsia" w:ascii="仿宋_GB2312"/>
          <w:b/>
          <w:bCs/>
          <w:kern w:val="2"/>
          <w:sz w:val="24"/>
          <w:szCs w:val="24"/>
          <w:lang w:val="en-US"/>
        </w:rPr>
        <w:t>年项目预算安排调整建议表</w:t>
      </w:r>
    </w:p>
    <w:tbl>
      <w:tblPr>
        <w:tblStyle w:val="40"/>
        <w:tblW w:w="109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225"/>
        <w:gridCol w:w="1712"/>
        <w:gridCol w:w="1396"/>
        <w:gridCol w:w="1439"/>
        <w:gridCol w:w="1701"/>
        <w:gridCol w:w="2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blHeader/>
          <w:jc w:val="center"/>
        </w:trPr>
        <w:tc>
          <w:tcPr>
            <w:tcW w:w="744"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序号</w:t>
            </w:r>
          </w:p>
        </w:tc>
        <w:tc>
          <w:tcPr>
            <w:tcW w:w="1225"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项目构成</w:t>
            </w:r>
          </w:p>
        </w:tc>
        <w:tc>
          <w:tcPr>
            <w:tcW w:w="1712"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项目明细</w:t>
            </w:r>
          </w:p>
        </w:tc>
        <w:tc>
          <w:tcPr>
            <w:tcW w:w="1396"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年初预算</w:t>
            </w:r>
          </w:p>
        </w:tc>
        <w:tc>
          <w:tcPr>
            <w:tcW w:w="1439"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建议调整</w:t>
            </w:r>
          </w:p>
        </w:tc>
        <w:tc>
          <w:tcPr>
            <w:tcW w:w="1701"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调整后预算</w:t>
            </w:r>
          </w:p>
        </w:tc>
        <w:tc>
          <w:tcPr>
            <w:tcW w:w="2724"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1</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老年教育三类学习点建设经费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居村委示范学习点、养老机构养教结合学习点、老年教育社会学习点培训考核</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257,000.00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257,000.00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2023年预算较2022年预算调减了4万元，主要是2022年区教育局的建设经费年初预算5.3万元，执行1.28万元，在2023年按照1.3万元安排，较为合理。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2</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老年人学习团队培育经费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市级老年人学习团队扶持经费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3</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终身教育经费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所乡镇成人（社区）学校办学经费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2,871,400.00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-230,000.00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2,641,400.00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由于成人学校考核奖励经费立项依据不充分，建议调减成人学校考核奖励经费23万元。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4</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学促办工作经费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学习型城区监测</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30,000.00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-20,000.00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建议按照2022年支出金额调整。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5</w:t>
            </w:r>
          </w:p>
        </w:tc>
        <w:tc>
          <w:tcPr>
            <w:tcW w:w="1225" w:type="dxa"/>
            <w:vMerge w:val="restart"/>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民办学校学生公用经费补助</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寄宿生补助经费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129,600.00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129,600.00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6</w:t>
            </w:r>
          </w:p>
        </w:tc>
        <w:tc>
          <w:tcPr>
            <w:tcW w:w="1225" w:type="dxa"/>
            <w:vMerge w:val="continue"/>
            <w:vAlign w:val="center"/>
          </w:tcPr>
          <w:p>
            <w:pPr>
              <w:snapToGrid w:val="0"/>
              <w:spacing w:line="240" w:lineRule="atLeast"/>
              <w:rPr>
                <w:rFonts w:ascii="仿宋_GB2312" w:hAnsi="等线" w:eastAsia="仿宋_GB2312"/>
                <w:color w:val="000000"/>
                <w:sz w:val="18"/>
                <w:szCs w:val="18"/>
              </w:rPr>
            </w:pP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民一、新纪元二免一补经费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1,037,600.00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1,037,600.00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7</w:t>
            </w:r>
          </w:p>
        </w:tc>
        <w:tc>
          <w:tcPr>
            <w:tcW w:w="1225" w:type="dxa"/>
            <w:vMerge w:val="continue"/>
            <w:vAlign w:val="center"/>
          </w:tcPr>
          <w:p>
            <w:pPr>
              <w:snapToGrid w:val="0"/>
              <w:spacing w:line="240" w:lineRule="atLeast"/>
              <w:rPr>
                <w:rFonts w:ascii="仿宋_GB2312" w:hAnsi="等线" w:eastAsia="仿宋_GB2312"/>
                <w:color w:val="000000"/>
                <w:sz w:val="18"/>
                <w:szCs w:val="18"/>
              </w:rPr>
            </w:pP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民一、新纪元两校生均公用经费补助</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2,771,000.00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 xml:space="preserve">2,771,000.00 </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建议尽快出台管理办法，按照办法下拨资金到学校。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8</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民办教育发展专项资金</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用于民一、新纪元、盛源等学校特色创建或专项经费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3,000,000.00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 xml:space="preserve">3,000,000.00 </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建议尽快出台管理办法，按照办法下拨资金到学校。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9</w:t>
            </w:r>
          </w:p>
        </w:tc>
        <w:tc>
          <w:tcPr>
            <w:tcW w:w="1225" w:type="dxa"/>
            <w:vMerge w:val="restart"/>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民办非学历教育机构管理经费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民办非学历教育机构新设、变更、年检检查等委托评估费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200,000.00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200,000.00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10</w:t>
            </w:r>
          </w:p>
        </w:tc>
        <w:tc>
          <w:tcPr>
            <w:tcW w:w="1225" w:type="dxa"/>
            <w:vMerge w:val="continue"/>
            <w:vAlign w:val="center"/>
          </w:tcPr>
          <w:p>
            <w:pPr>
              <w:snapToGrid w:val="0"/>
              <w:spacing w:line="240" w:lineRule="atLeast"/>
              <w:rPr>
                <w:rFonts w:ascii="仿宋_GB2312" w:hAnsi="等线" w:eastAsia="仿宋_GB2312"/>
                <w:color w:val="000000"/>
                <w:sz w:val="18"/>
                <w:szCs w:val="18"/>
              </w:rPr>
            </w:pP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全区培训市场综合治理工作相关工作经费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3681" w:type="dxa"/>
            <w:gridSpan w:val="3"/>
            <w:shd w:val="clear" w:color="auto" w:fill="auto"/>
            <w:vAlign w:val="center"/>
          </w:tcPr>
          <w:p>
            <w:pPr>
              <w:snapToGrid w:val="0"/>
              <w:spacing w:line="240" w:lineRule="atLeast"/>
              <w:jc w:val="both"/>
              <w:rPr>
                <w:rFonts w:ascii="仿宋_GB2312" w:hAnsi="等线" w:eastAsia="仿宋_GB2312"/>
                <w:b/>
                <w:bCs/>
                <w:color w:val="000000"/>
                <w:sz w:val="18"/>
                <w:szCs w:val="18"/>
              </w:rPr>
            </w:pPr>
            <w:r>
              <w:rPr>
                <w:rFonts w:hint="eastAsia" w:ascii="仿宋_GB2312" w:hAnsi="等线" w:eastAsia="仿宋_GB2312"/>
                <w:b/>
                <w:bCs/>
                <w:color w:val="000000"/>
                <w:sz w:val="18"/>
                <w:szCs w:val="18"/>
              </w:rPr>
              <w:t>合计</w:t>
            </w:r>
          </w:p>
        </w:tc>
        <w:tc>
          <w:tcPr>
            <w:tcW w:w="1396" w:type="dxa"/>
            <w:shd w:val="clear" w:color="auto" w:fill="auto"/>
            <w:vAlign w:val="center"/>
          </w:tcPr>
          <w:p>
            <w:pPr>
              <w:snapToGrid w:val="0"/>
              <w:spacing w:line="240" w:lineRule="atLeast"/>
              <w:jc w:val="right"/>
              <w:rPr>
                <w:rFonts w:ascii="仿宋_GB2312" w:hAnsi="等线" w:eastAsia="仿宋_GB2312"/>
                <w:b/>
                <w:bCs/>
                <w:color w:val="000000"/>
                <w:sz w:val="18"/>
                <w:szCs w:val="18"/>
              </w:rPr>
            </w:pPr>
            <w:r>
              <w:rPr>
                <w:rFonts w:hint="eastAsia" w:ascii="仿宋_GB2312" w:hAnsi="等线" w:eastAsia="仿宋_GB2312"/>
                <w:b/>
                <w:bCs/>
                <w:color w:val="000000"/>
                <w:sz w:val="18"/>
                <w:szCs w:val="18"/>
              </w:rPr>
              <w:t>10,316,600.00</w:t>
            </w:r>
          </w:p>
        </w:tc>
        <w:tc>
          <w:tcPr>
            <w:tcW w:w="1439" w:type="dxa"/>
            <w:shd w:val="clear" w:color="auto" w:fill="auto"/>
            <w:vAlign w:val="center"/>
          </w:tcPr>
          <w:p>
            <w:pPr>
              <w:snapToGrid w:val="0"/>
              <w:spacing w:line="240" w:lineRule="atLeast"/>
              <w:jc w:val="right"/>
              <w:rPr>
                <w:rFonts w:ascii="仿宋_GB2312" w:hAnsi="等线" w:eastAsia="仿宋_GB2312"/>
                <w:b/>
                <w:bCs/>
                <w:color w:val="000000"/>
                <w:sz w:val="18"/>
                <w:szCs w:val="18"/>
              </w:rPr>
            </w:pPr>
            <w:r>
              <w:rPr>
                <w:rFonts w:hint="eastAsia" w:ascii="仿宋_GB2312" w:hAnsi="等线" w:eastAsia="仿宋_GB2312"/>
                <w:b/>
                <w:bCs/>
                <w:color w:val="000000"/>
                <w:sz w:val="18"/>
                <w:szCs w:val="18"/>
              </w:rPr>
              <w:t>-250,000.00</w:t>
            </w:r>
          </w:p>
        </w:tc>
        <w:tc>
          <w:tcPr>
            <w:tcW w:w="1701" w:type="dxa"/>
            <w:shd w:val="clear" w:color="auto" w:fill="auto"/>
            <w:vAlign w:val="center"/>
          </w:tcPr>
          <w:p>
            <w:pPr>
              <w:snapToGrid w:val="0"/>
              <w:spacing w:line="240" w:lineRule="atLeast"/>
              <w:jc w:val="right"/>
              <w:rPr>
                <w:rFonts w:ascii="仿宋_GB2312" w:hAnsi="等线" w:eastAsia="仿宋_GB2312"/>
                <w:b/>
                <w:bCs/>
                <w:color w:val="000000"/>
                <w:sz w:val="18"/>
                <w:szCs w:val="18"/>
              </w:rPr>
            </w:pPr>
            <w:r>
              <w:rPr>
                <w:rFonts w:hint="eastAsia" w:ascii="仿宋_GB2312" w:hAnsi="等线" w:eastAsia="仿宋_GB2312"/>
                <w:b/>
                <w:bCs/>
                <w:color w:val="000000"/>
                <w:sz w:val="18"/>
                <w:szCs w:val="18"/>
              </w:rPr>
              <w:t>10,066,600.00</w:t>
            </w:r>
          </w:p>
        </w:tc>
        <w:tc>
          <w:tcPr>
            <w:tcW w:w="2724" w:type="dxa"/>
            <w:shd w:val="clear" w:color="auto" w:fill="auto"/>
            <w:vAlign w:val="center"/>
          </w:tcPr>
          <w:p>
            <w:pPr>
              <w:snapToGrid w:val="0"/>
              <w:spacing w:line="240" w:lineRule="atLeast"/>
              <w:jc w:val="both"/>
              <w:rPr>
                <w:rFonts w:ascii="仿宋_GB2312" w:hAnsi="等线" w:eastAsia="仿宋_GB2312"/>
                <w:b/>
                <w:bCs/>
                <w:color w:val="000000"/>
                <w:sz w:val="18"/>
                <w:szCs w:val="18"/>
              </w:rPr>
            </w:pPr>
            <w:r>
              <w:rPr>
                <w:rFonts w:hint="eastAsia" w:ascii="仿宋_GB2312" w:hAnsi="等线" w:eastAsia="仿宋_GB2312"/>
                <w:b/>
                <w:bCs/>
                <w:color w:val="000000"/>
                <w:sz w:val="18"/>
                <w:szCs w:val="18"/>
              </w:rPr>
              <w:t>——</w:t>
            </w:r>
          </w:p>
        </w:tc>
      </w:tr>
    </w:tbl>
    <w:p>
      <w:pPr>
        <w:pStyle w:val="209"/>
        <w:spacing w:line="460" w:lineRule="exact"/>
        <w:ind w:firstLine="560"/>
        <w:rPr>
          <w:sz w:val="28"/>
          <w:szCs w:val="28"/>
        </w:rPr>
      </w:pPr>
    </w:p>
    <w:p>
      <w:pPr>
        <w:keepNext/>
        <w:keepLines/>
        <w:pageBreakBefore/>
        <w:widowControl w:val="0"/>
        <w:adjustRightInd w:val="0"/>
        <w:spacing w:before="217" w:beforeLines="50" w:after="217" w:afterLines="50" w:line="560" w:lineRule="exact"/>
        <w:jc w:val="center"/>
        <w:rPr>
          <w:rFonts w:ascii="黑体" w:hAnsi="黑体" w:eastAsia="黑体"/>
          <w:kern w:val="2"/>
          <w:sz w:val="36"/>
          <w:szCs w:val="36"/>
        </w:rPr>
      </w:pPr>
      <w:r>
        <w:rPr>
          <w:rFonts w:ascii="黑体" w:hAnsi="黑体" w:eastAsia="黑体"/>
          <w:kern w:val="2"/>
          <w:sz w:val="36"/>
          <w:szCs w:val="36"/>
        </w:rPr>
        <w:t>2022年成职科内涵发展经费项目绩效评价</w:t>
      </w:r>
      <w:bookmarkEnd w:id="2"/>
      <w:r>
        <w:rPr>
          <w:rFonts w:hint="eastAsia" w:ascii="黑体" w:hAnsi="黑体" w:eastAsia="黑体"/>
          <w:kern w:val="2"/>
          <w:sz w:val="36"/>
          <w:szCs w:val="36"/>
        </w:rPr>
        <w:t>报告</w:t>
      </w:r>
      <w:r>
        <w:rPr>
          <w:rFonts w:eastAsia="方正小标宋简体"/>
          <w:kern w:val="2"/>
          <w:sz w:val="36"/>
          <w:szCs w:val="36"/>
        </w:rPr>
        <w:t xml:space="preserve"> </w:t>
      </w:r>
    </w:p>
    <w:p>
      <w:pPr>
        <w:pStyle w:val="103"/>
        <w:ind w:firstLine="600"/>
        <w:jc w:val="both"/>
        <w:rPr>
          <w:sz w:val="30"/>
          <w:szCs w:val="30"/>
        </w:rPr>
      </w:pPr>
      <w:bookmarkStart w:id="5" w:name="_Toc14067"/>
      <w:bookmarkStart w:id="6" w:name="_Toc20001"/>
      <w:r>
        <w:rPr>
          <w:sz w:val="30"/>
          <w:szCs w:val="30"/>
        </w:rPr>
        <w:t>为全面贯彻落实上海市实施预算绩效管理工作的要求，根据《上海市财政项目支出预算绩效管理办法（试行）》（沪财绩〔2020〕6号）</w:t>
      </w:r>
      <w:bookmarkStart w:id="7" w:name="_Hlk106449352"/>
      <w:r>
        <w:rPr>
          <w:sz w:val="30"/>
          <w:szCs w:val="30"/>
        </w:rPr>
        <w:t>、《中共上海市崇明区委 上海市崇明区人民政府关于我区全面实施预算绩效管理的实施意见》（崇委发〔2019〕21号）</w:t>
      </w:r>
      <w:bookmarkEnd w:id="7"/>
      <w:r>
        <w:rPr>
          <w:sz w:val="30"/>
          <w:szCs w:val="30"/>
        </w:rPr>
        <w:t>和《2020年崇明区全面实施预算绩效管理工作要点》（沪崇财绩〔2020〕1号）的相关规定，受上海市崇明区财政局（</w:t>
      </w:r>
      <w:r>
        <w:rPr>
          <w:rFonts w:hint="eastAsia"/>
          <w:sz w:val="30"/>
          <w:szCs w:val="30"/>
        </w:rPr>
        <w:t>简称</w:t>
      </w:r>
      <w:r>
        <w:rPr>
          <w:sz w:val="30"/>
          <w:szCs w:val="30"/>
        </w:rPr>
        <w:t>区财政局）委托，上海厚贤科技咨询有限公司承担了崇明区教育局（</w:t>
      </w:r>
      <w:r>
        <w:rPr>
          <w:rFonts w:hint="eastAsia"/>
          <w:sz w:val="30"/>
          <w:szCs w:val="30"/>
        </w:rPr>
        <w:t>简称</w:t>
      </w:r>
      <w:r>
        <w:rPr>
          <w:sz w:val="30"/>
          <w:szCs w:val="30"/>
        </w:rPr>
        <w:t>区教育局）2022年成职科内涵发展经费项目绩效评价工作。</w:t>
      </w:r>
      <w:r>
        <w:rPr>
          <w:rFonts w:hint="eastAsia"/>
          <w:sz w:val="30"/>
          <w:szCs w:val="30"/>
        </w:rPr>
        <w:t>经过数据采集、数据分析、社会调查和现场核查，依据绩效评价方案确定的绩效评价指标体系进行了评价，对项目进行了绩效评价，形成了本报告。</w:t>
      </w:r>
    </w:p>
    <w:p>
      <w:pPr>
        <w:pStyle w:val="193"/>
        <w:spacing w:line="560" w:lineRule="exact"/>
        <w:ind w:firstLine="643"/>
        <w:outlineLvl w:val="0"/>
        <w:rPr>
          <w:sz w:val="32"/>
          <w:szCs w:val="32"/>
        </w:rPr>
      </w:pPr>
      <w:bookmarkStart w:id="8" w:name="_Toc14254"/>
      <w:r>
        <w:rPr>
          <w:sz w:val="32"/>
          <w:szCs w:val="32"/>
        </w:rPr>
        <w:t>一、基本情况</w:t>
      </w:r>
      <w:bookmarkEnd w:id="5"/>
      <w:bookmarkEnd w:id="6"/>
      <w:bookmarkEnd w:id="8"/>
    </w:p>
    <w:p>
      <w:pPr>
        <w:pStyle w:val="195"/>
        <w:spacing w:line="560" w:lineRule="exact"/>
        <w:ind w:firstLine="643"/>
        <w:outlineLvl w:val="1"/>
        <w:rPr>
          <w:rFonts w:eastAsia="楷体_GB2312"/>
          <w:sz w:val="32"/>
          <w:szCs w:val="32"/>
        </w:rPr>
      </w:pPr>
      <w:bookmarkStart w:id="9" w:name="_Toc29805"/>
      <w:bookmarkStart w:id="10" w:name="_Toc29988"/>
      <w:bookmarkStart w:id="11" w:name="_Toc9366"/>
      <w:r>
        <w:rPr>
          <w:rFonts w:eastAsia="楷体_GB2312"/>
          <w:sz w:val="32"/>
          <w:szCs w:val="32"/>
        </w:rPr>
        <w:t>（一）</w:t>
      </w:r>
      <w:bookmarkEnd w:id="9"/>
      <w:bookmarkEnd w:id="10"/>
      <w:r>
        <w:rPr>
          <w:rFonts w:hint="eastAsia" w:eastAsia="楷体_GB2312"/>
          <w:sz w:val="32"/>
          <w:szCs w:val="32"/>
        </w:rPr>
        <w:t>项目立项背景、目的和依据</w:t>
      </w:r>
      <w:bookmarkEnd w:id="11"/>
    </w:p>
    <w:p>
      <w:pPr>
        <w:pStyle w:val="195"/>
        <w:spacing w:line="560" w:lineRule="exact"/>
        <w:outlineLvl w:val="2"/>
      </w:pPr>
      <w:bookmarkStart w:id="12" w:name="_Toc18203"/>
      <w:r>
        <w:t>1.立项背景</w:t>
      </w:r>
      <w:bookmarkEnd w:id="12"/>
    </w:p>
    <w:p>
      <w:pPr>
        <w:pStyle w:val="103"/>
        <w:ind w:firstLine="600"/>
        <w:jc w:val="both"/>
        <w:rPr>
          <w:sz w:val="30"/>
          <w:szCs w:val="30"/>
        </w:rPr>
      </w:pPr>
      <w:bookmarkStart w:id="13" w:name="_Hlk83196990"/>
      <w:bookmarkStart w:id="14" w:name="_Toc4912"/>
      <w:r>
        <w:rPr>
          <w:sz w:val="30"/>
          <w:szCs w:val="30"/>
        </w:rPr>
        <w:t>为了落实上海市</w:t>
      </w:r>
      <w:r>
        <w:rPr>
          <w:rFonts w:hint="eastAsia"/>
          <w:sz w:val="30"/>
          <w:szCs w:val="30"/>
        </w:rPr>
        <w:t>终身</w:t>
      </w:r>
      <w:r>
        <w:rPr>
          <w:sz w:val="30"/>
          <w:szCs w:val="30"/>
        </w:rPr>
        <w:t>教育</w:t>
      </w:r>
      <w:r>
        <w:rPr>
          <w:rFonts w:hint="eastAsia"/>
          <w:sz w:val="30"/>
          <w:szCs w:val="30"/>
        </w:rPr>
        <w:t>和民办教育</w:t>
      </w:r>
      <w:r>
        <w:rPr>
          <w:sz w:val="30"/>
          <w:szCs w:val="30"/>
        </w:rPr>
        <w:t>发展</w:t>
      </w:r>
      <w:r>
        <w:rPr>
          <w:rFonts w:hint="eastAsia"/>
          <w:sz w:val="30"/>
          <w:szCs w:val="30"/>
        </w:rPr>
        <w:t>要求</w:t>
      </w:r>
      <w:r>
        <w:rPr>
          <w:sz w:val="30"/>
          <w:szCs w:val="30"/>
        </w:rPr>
        <w:t>，提升崇明区教育服务能力，区教育局设立了“成职科内涵发展经费”项目，列入区教育局项目支出中经常性项目，本次评价对象为2022年成职科内涵发展</w:t>
      </w:r>
      <w:r>
        <w:rPr>
          <w:rStyle w:val="39"/>
          <w:sz w:val="30"/>
          <w:szCs w:val="30"/>
        </w:rPr>
        <w:footnoteReference w:id="0"/>
      </w:r>
      <w:r>
        <w:rPr>
          <w:sz w:val="30"/>
          <w:szCs w:val="30"/>
        </w:rPr>
        <w:t>经费项目，</w:t>
      </w:r>
      <w:r>
        <w:rPr>
          <w:rFonts w:hint="eastAsia"/>
          <w:sz w:val="30"/>
          <w:szCs w:val="30"/>
        </w:rPr>
        <w:t>共涉及两大类子项目，分别为</w:t>
      </w:r>
      <w:r>
        <w:rPr>
          <w:sz w:val="30"/>
          <w:szCs w:val="30"/>
        </w:rPr>
        <w:t>终身教育</w:t>
      </w:r>
      <w:r>
        <w:rPr>
          <w:rStyle w:val="39"/>
          <w:sz w:val="30"/>
          <w:szCs w:val="30"/>
        </w:rPr>
        <w:footnoteReference w:id="1"/>
      </w:r>
      <w:r>
        <w:rPr>
          <w:sz w:val="30"/>
          <w:szCs w:val="30"/>
        </w:rPr>
        <w:t>和民办教育</w:t>
      </w:r>
      <w:r>
        <w:rPr>
          <w:rStyle w:val="39"/>
          <w:sz w:val="30"/>
          <w:szCs w:val="30"/>
        </w:rPr>
        <w:footnoteReference w:id="2"/>
      </w:r>
      <w:r>
        <w:rPr>
          <w:sz w:val="30"/>
          <w:szCs w:val="30"/>
        </w:rPr>
        <w:t>，由于</w:t>
      </w:r>
      <w:r>
        <w:rPr>
          <w:rFonts w:hint="eastAsia"/>
          <w:sz w:val="30"/>
          <w:szCs w:val="30"/>
        </w:rPr>
        <w:t>两</w:t>
      </w:r>
      <w:r>
        <w:rPr>
          <w:sz w:val="30"/>
          <w:szCs w:val="30"/>
        </w:rPr>
        <w:t>类项目背景不同将分别介绍。</w:t>
      </w:r>
    </w:p>
    <w:p>
      <w:pPr>
        <w:widowControl w:val="0"/>
        <w:spacing w:line="520" w:lineRule="exact"/>
        <w:ind w:firstLine="602"/>
        <w:jc w:val="both"/>
        <w:rPr>
          <w:rFonts w:ascii="仿宋_GB2312" w:eastAsia="仿宋_GB2312"/>
          <w:b/>
          <w:bCs/>
          <w:kern w:val="2"/>
          <w:sz w:val="30"/>
          <w:szCs w:val="30"/>
        </w:rPr>
      </w:pPr>
      <w:r>
        <w:rPr>
          <w:rFonts w:hint="eastAsia" w:ascii="仿宋_GB2312" w:eastAsia="仿宋_GB2312"/>
          <w:b/>
          <w:bCs/>
          <w:kern w:val="2"/>
          <w:sz w:val="30"/>
          <w:szCs w:val="30"/>
        </w:rPr>
        <w:t>（1）终身教育</w:t>
      </w:r>
    </w:p>
    <w:p>
      <w:pPr>
        <w:pStyle w:val="103"/>
        <w:ind w:firstLine="600"/>
        <w:jc w:val="both"/>
        <w:rPr>
          <w:sz w:val="30"/>
          <w:szCs w:val="30"/>
        </w:rPr>
      </w:pPr>
      <w:bookmarkStart w:id="15" w:name="_Hlk137662916"/>
      <w:r>
        <w:rPr>
          <w:rFonts w:hint="eastAsia"/>
          <w:sz w:val="30"/>
          <w:szCs w:val="30"/>
        </w:rPr>
        <w:t>崇明全区18个乡镇，目前区域人口67.3万，地域宽广，人口密度低。截止2021年底，本区60岁以上老年人数为26.3万，占比39%，进入高度老龄化社会。随着老龄化程度的不断提升以及老年人的精神文化和学习需求的快速增长，如何展示、宣传和交流终身教育发展成效，传播终身学习理念，激发市民学习积极性显得尤为重要。为了</w:t>
      </w:r>
      <w:r>
        <w:rPr>
          <w:sz w:val="30"/>
          <w:szCs w:val="30"/>
        </w:rPr>
        <w:t>构建服务全民的终身学习体系</w:t>
      </w:r>
      <w:r>
        <w:rPr>
          <w:rFonts w:hint="eastAsia"/>
          <w:sz w:val="30"/>
          <w:szCs w:val="30"/>
        </w:rPr>
        <w:t>，</w:t>
      </w:r>
      <w:r>
        <w:rPr>
          <w:sz w:val="30"/>
          <w:szCs w:val="30"/>
        </w:rPr>
        <w:t>加快发展城乡社区老年教</w:t>
      </w:r>
      <w:r>
        <w:rPr>
          <w:rFonts w:hint="eastAsia"/>
          <w:sz w:val="30"/>
          <w:szCs w:val="30"/>
        </w:rPr>
        <w:t>，崇明区设立了“终身教育经费”子项目，通过扶持社区学院和成人教育学校，推进终身教育建设，提升终身教育服务能力。</w:t>
      </w:r>
      <w:bookmarkStart w:id="16" w:name="_Hlk137663375"/>
      <w:r>
        <w:rPr>
          <w:rStyle w:val="104"/>
          <w:sz w:val="30"/>
          <w:szCs w:val="30"/>
        </w:rPr>
        <w:t>崇明区</w:t>
      </w:r>
      <w:r>
        <w:rPr>
          <w:rStyle w:val="104"/>
          <w:rFonts w:hint="eastAsia"/>
          <w:sz w:val="30"/>
          <w:szCs w:val="30"/>
        </w:rPr>
        <w:t>现有</w:t>
      </w:r>
      <w:r>
        <w:rPr>
          <w:sz w:val="30"/>
          <w:szCs w:val="30"/>
        </w:rPr>
        <w:t>1所社区学院</w:t>
      </w:r>
      <w:r>
        <w:rPr>
          <w:rFonts w:hint="eastAsia"/>
          <w:sz w:val="30"/>
          <w:szCs w:val="30"/>
        </w:rPr>
        <w:t>，</w:t>
      </w:r>
      <w:r>
        <w:rPr>
          <w:rStyle w:val="104"/>
          <w:sz w:val="30"/>
          <w:szCs w:val="30"/>
        </w:rPr>
        <w:t>6所成人教育学校</w:t>
      </w:r>
      <w:r>
        <w:rPr>
          <w:rStyle w:val="39"/>
          <w:sz w:val="30"/>
          <w:szCs w:val="30"/>
        </w:rPr>
        <w:footnoteReference w:id="3"/>
      </w:r>
      <w:r>
        <w:rPr>
          <w:rStyle w:val="104"/>
          <w:rFonts w:hint="eastAsia"/>
          <w:sz w:val="30"/>
          <w:szCs w:val="30"/>
        </w:rPr>
        <w:t>，</w:t>
      </w:r>
      <w:r>
        <w:rPr>
          <w:rFonts w:hint="eastAsia"/>
          <w:sz w:val="30"/>
          <w:szCs w:val="30"/>
        </w:rPr>
        <w:t>区社区学院负责全区终身教育业务指导工作，成校负责全区18个乡镇终身教育工作的具体实施。</w:t>
      </w:r>
      <w:bookmarkEnd w:id="16"/>
    </w:p>
    <w:p>
      <w:pPr>
        <w:pStyle w:val="103"/>
        <w:ind w:firstLine="600"/>
        <w:jc w:val="both"/>
        <w:rPr>
          <w:sz w:val="30"/>
          <w:szCs w:val="30"/>
        </w:rPr>
      </w:pPr>
      <w:r>
        <w:rPr>
          <w:rStyle w:val="104"/>
          <w:rFonts w:hint="eastAsia"/>
          <w:sz w:val="30"/>
          <w:szCs w:val="30"/>
        </w:rPr>
        <w:t>自2</w:t>
      </w:r>
      <w:r>
        <w:rPr>
          <w:rStyle w:val="104"/>
          <w:sz w:val="30"/>
          <w:szCs w:val="30"/>
        </w:rPr>
        <w:t>016</w:t>
      </w:r>
      <w:r>
        <w:rPr>
          <w:rStyle w:val="104"/>
          <w:rFonts w:hint="eastAsia"/>
          <w:sz w:val="30"/>
          <w:szCs w:val="30"/>
        </w:rPr>
        <w:t>年，上海市开始推动建设“居村委示范学习点” “老年人社会学习点”和“</w:t>
      </w:r>
      <w:r>
        <w:rPr>
          <w:rFonts w:hint="eastAsia"/>
          <w:sz w:val="30"/>
          <w:szCs w:val="30"/>
        </w:rPr>
        <w:t>养教结合学习点</w:t>
      </w:r>
      <w:r>
        <w:rPr>
          <w:rStyle w:val="104"/>
          <w:rFonts w:hint="eastAsia"/>
          <w:sz w:val="30"/>
          <w:szCs w:val="30"/>
        </w:rPr>
        <w:t>”，并在全国率先发布了三类学习点建设指导标准。</w:t>
      </w:r>
      <w:r>
        <w:rPr>
          <w:rFonts w:hint="eastAsia"/>
          <w:sz w:val="30"/>
          <w:szCs w:val="30"/>
        </w:rPr>
        <w:t>截至2021年底，崇明区已建成老年教育三类学习点67个，其中居村委示范学习点31个，老年人社会学习点17个，养教结合学习点19个。为了确保三类学点的正常运行，故设立了“</w:t>
      </w:r>
      <w:r>
        <w:rPr>
          <w:sz w:val="30"/>
          <w:szCs w:val="30"/>
        </w:rPr>
        <w:t>老年教育三类学习点建设经费</w:t>
      </w:r>
      <w:r>
        <w:rPr>
          <w:rFonts w:hint="eastAsia"/>
          <w:sz w:val="30"/>
          <w:szCs w:val="30"/>
        </w:rPr>
        <w:t>”子项目，</w:t>
      </w:r>
      <w:r>
        <w:rPr>
          <w:rStyle w:val="104"/>
          <w:rFonts w:hint="eastAsia"/>
          <w:sz w:val="30"/>
          <w:szCs w:val="30"/>
        </w:rPr>
        <w:t>该经费主要用于各学习点购置学习用品、配置投影仪、课桌椅、音响、报刊等学习设备、支付兼职教师经费、志愿者的交通补贴等。</w:t>
      </w:r>
    </w:p>
    <w:p>
      <w:pPr>
        <w:pStyle w:val="103"/>
        <w:ind w:firstLine="600"/>
        <w:jc w:val="both"/>
        <w:rPr>
          <w:rStyle w:val="104"/>
          <w:sz w:val="30"/>
          <w:szCs w:val="30"/>
        </w:rPr>
      </w:pPr>
      <w:bookmarkStart w:id="17" w:name="_Hlk137388949"/>
      <w:r>
        <w:rPr>
          <w:rStyle w:val="104"/>
          <w:rFonts w:hint="eastAsia"/>
          <w:sz w:val="30"/>
          <w:szCs w:val="30"/>
        </w:rPr>
        <w:t>上海市教委等十部门于2021年联合下发了《关于开展上海市学习型城市监测工作的通知》，确立了上海学习型城市监测的基本框架、总体规划和重点任务。上海学习型城市监测体系由学习型城区、学习型组织和市民终身学习等三大板块构成。学习型城区监测聚焦区级层面的制度和服务供给，确立了领导架构、管理制度、基础设施、资源供给等方面指标。上海市学习型社会建设与终身教育促进委员会办公室牵头实施，各区学习型社会建设与终身教育促进委员会办公室每年对照指标体系和数据标准，在上海市“学习型城区监测平台”填报相关文档材料和统计数据。因此，崇明区设置了“</w:t>
      </w:r>
      <w:r>
        <w:rPr>
          <w:sz w:val="30"/>
          <w:szCs w:val="30"/>
        </w:rPr>
        <w:t>学促办工作经费</w:t>
      </w:r>
      <w:r>
        <w:rPr>
          <w:rStyle w:val="104"/>
          <w:rFonts w:hint="eastAsia"/>
          <w:sz w:val="30"/>
          <w:szCs w:val="30"/>
        </w:rPr>
        <w:t>”子项目，主要用于推动学习型城区监测工作，崇明区学习型社会建设与终身教育促进委员会办公室（以下简称区学促办）设在崇明区教育局，负责学习型城区监测的具体实施。</w:t>
      </w:r>
    </w:p>
    <w:bookmarkEnd w:id="15"/>
    <w:bookmarkEnd w:id="17"/>
    <w:p>
      <w:pPr>
        <w:widowControl w:val="0"/>
        <w:spacing w:line="520" w:lineRule="exact"/>
        <w:ind w:firstLine="602"/>
        <w:jc w:val="both"/>
        <w:rPr>
          <w:rFonts w:ascii="仿宋_GB2312" w:eastAsia="仿宋_GB2312"/>
          <w:b/>
          <w:bCs/>
          <w:kern w:val="2"/>
          <w:sz w:val="30"/>
          <w:szCs w:val="30"/>
        </w:rPr>
      </w:pPr>
      <w:r>
        <w:rPr>
          <w:rFonts w:ascii="仿宋_GB2312" w:eastAsia="仿宋_GB2312"/>
          <w:b/>
          <w:bCs/>
          <w:kern w:val="2"/>
          <w:sz w:val="30"/>
          <w:szCs w:val="30"/>
        </w:rPr>
        <w:t>（2）民办教育</w:t>
      </w:r>
    </w:p>
    <w:p>
      <w:pPr>
        <w:pStyle w:val="103"/>
        <w:ind w:firstLine="600"/>
        <w:jc w:val="both"/>
        <w:rPr>
          <w:sz w:val="30"/>
          <w:szCs w:val="30"/>
        </w:rPr>
      </w:pPr>
      <w:r>
        <w:rPr>
          <w:bCs/>
          <w:sz w:val="30"/>
          <w:szCs w:val="30"/>
        </w:rPr>
        <w:t>《中华人民共和国民办教育促进法实施条例》（国务院令第741号）</w:t>
      </w:r>
      <w:r>
        <w:rPr>
          <w:rFonts w:hint="eastAsia"/>
          <w:bCs/>
          <w:sz w:val="30"/>
          <w:szCs w:val="30"/>
        </w:rPr>
        <w:t>明确要求</w:t>
      </w:r>
      <w:r>
        <w:rPr>
          <w:bCs/>
          <w:sz w:val="30"/>
          <w:szCs w:val="30"/>
        </w:rPr>
        <w:t>各级人民政府应当依法支持和规范社会力量举办民办教育。</w:t>
      </w:r>
      <w:r>
        <w:rPr>
          <w:sz w:val="30"/>
          <w:szCs w:val="30"/>
        </w:rPr>
        <w:t>2016年，上海市出台《进一步完善本市城乡义务教育经费保障机制》（沪府发〔2016〕35号），</w:t>
      </w:r>
      <w:r>
        <w:rPr>
          <w:rFonts w:hint="eastAsia"/>
          <w:sz w:val="30"/>
          <w:szCs w:val="30"/>
        </w:rPr>
        <w:t>通知</w:t>
      </w:r>
      <w:r>
        <w:rPr>
          <w:sz w:val="30"/>
          <w:szCs w:val="30"/>
        </w:rPr>
        <w:t>要求对本市义务教育阶段政府购买学位的民办学校（含以招收进城务工人员随迁子女为主的民办学校）在籍学生全额免除学杂费</w:t>
      </w:r>
      <w:r>
        <w:rPr>
          <w:rFonts w:hint="eastAsia"/>
          <w:sz w:val="30"/>
          <w:szCs w:val="30"/>
        </w:rPr>
        <w:t>，免费提供教科书（含作业本），对本市城乡义务教育学校家庭经济困难寄宿生补助生活费，并按照不低于上海市义务教育公办学校生均公用经费基本标准，补助公用经费（含免学杂费部分）</w:t>
      </w:r>
      <w:r>
        <w:rPr>
          <w:sz w:val="30"/>
          <w:szCs w:val="30"/>
        </w:rPr>
        <w:t>。2017年，</w:t>
      </w:r>
      <w:r>
        <w:rPr>
          <w:rFonts w:hint="eastAsia"/>
          <w:sz w:val="30"/>
          <w:szCs w:val="30"/>
        </w:rPr>
        <w:t>印发</w:t>
      </w:r>
      <w:r>
        <w:rPr>
          <w:sz w:val="30"/>
          <w:szCs w:val="30"/>
        </w:rPr>
        <w:t>《促进民办教育健康发展的实施意见》（沪府发〔2017〕94号）</w:t>
      </w:r>
      <w:r>
        <w:rPr>
          <w:rFonts w:hint="eastAsia"/>
          <w:sz w:val="30"/>
          <w:szCs w:val="30"/>
        </w:rPr>
        <w:t>，意见明确</w:t>
      </w:r>
      <w:r>
        <w:rPr>
          <w:sz w:val="30"/>
          <w:szCs w:val="30"/>
        </w:rPr>
        <w:t>提升民办教育治理水平、创新政府扶持机制、规范</w:t>
      </w:r>
      <w:r>
        <w:rPr>
          <w:rFonts w:hint="eastAsia"/>
          <w:sz w:val="30"/>
          <w:szCs w:val="30"/>
        </w:rPr>
        <w:t>民办</w:t>
      </w:r>
      <w:r>
        <w:rPr>
          <w:sz w:val="30"/>
          <w:szCs w:val="30"/>
        </w:rPr>
        <w:t>办学行为。</w:t>
      </w:r>
      <w:r>
        <w:rPr>
          <w:rFonts w:hint="eastAsia"/>
          <w:bCs/>
          <w:sz w:val="30"/>
          <w:szCs w:val="30"/>
        </w:rPr>
        <w:t>因此，</w:t>
      </w:r>
      <w:r>
        <w:rPr>
          <w:sz w:val="30"/>
          <w:szCs w:val="30"/>
        </w:rPr>
        <w:t>为落实国家、市的关于民办教育的相关要求，崇明教育局</w:t>
      </w:r>
      <w:r>
        <w:rPr>
          <w:rStyle w:val="104"/>
          <w:sz w:val="30"/>
          <w:szCs w:val="30"/>
        </w:rPr>
        <w:t>设置了</w:t>
      </w:r>
      <w:r>
        <w:rPr>
          <w:rStyle w:val="104"/>
          <w:rFonts w:hint="eastAsia"/>
          <w:sz w:val="30"/>
          <w:szCs w:val="30"/>
        </w:rPr>
        <w:t>“</w:t>
      </w:r>
      <w:r>
        <w:rPr>
          <w:rStyle w:val="104"/>
          <w:sz w:val="30"/>
          <w:szCs w:val="30"/>
        </w:rPr>
        <w:t>民办学校学生公用经费补助</w:t>
      </w:r>
      <w:r>
        <w:rPr>
          <w:rStyle w:val="104"/>
          <w:rFonts w:hint="eastAsia"/>
          <w:sz w:val="30"/>
          <w:szCs w:val="30"/>
        </w:rPr>
        <w:t>”和“</w:t>
      </w:r>
      <w:r>
        <w:rPr>
          <w:sz w:val="30"/>
          <w:szCs w:val="30"/>
        </w:rPr>
        <w:t>民办教育发展专项资金</w:t>
      </w:r>
      <w:r>
        <w:rPr>
          <w:rFonts w:hint="eastAsia"/>
          <w:sz w:val="30"/>
          <w:szCs w:val="30"/>
        </w:rPr>
        <w:t>”子项目。</w:t>
      </w:r>
      <w:r>
        <w:rPr>
          <w:sz w:val="30"/>
          <w:szCs w:val="30"/>
        </w:rPr>
        <w:t>崇明区现有民办中小幼4</w:t>
      </w:r>
      <w:r>
        <w:rPr>
          <w:rFonts w:hint="eastAsia"/>
          <w:sz w:val="30"/>
          <w:szCs w:val="30"/>
        </w:rPr>
        <w:t>所，分别是上海新纪元双语学校（九年一贯制寄宿学校）、上海民办民一中学（初中）、上海盛源幼儿园和上海露凝幼儿园。截止2022年，4所民办中小幼学校，教职工</w:t>
      </w:r>
      <w:r>
        <w:rPr>
          <w:sz w:val="30"/>
          <w:szCs w:val="30"/>
        </w:rPr>
        <w:t>335</w:t>
      </w:r>
      <w:r>
        <w:rPr>
          <w:rFonts w:hint="eastAsia"/>
          <w:sz w:val="30"/>
          <w:szCs w:val="30"/>
        </w:rPr>
        <w:t>名，学生数16</w:t>
      </w:r>
      <w:r>
        <w:rPr>
          <w:sz w:val="30"/>
          <w:szCs w:val="30"/>
        </w:rPr>
        <w:t>54</w:t>
      </w:r>
      <w:r>
        <w:rPr>
          <w:rFonts w:hint="eastAsia"/>
          <w:sz w:val="30"/>
          <w:szCs w:val="30"/>
        </w:rPr>
        <w:t>名；培训机构48家，在岗职工448名，学生数4202名</w:t>
      </w:r>
      <w:r>
        <w:rPr>
          <w:sz w:val="30"/>
          <w:szCs w:val="30"/>
        </w:rPr>
        <w:t>。</w:t>
      </w:r>
      <w:bookmarkEnd w:id="13"/>
    </w:p>
    <w:p>
      <w:pPr>
        <w:pStyle w:val="103"/>
        <w:ind w:firstLine="600"/>
        <w:jc w:val="both"/>
        <w:rPr>
          <w:bCs/>
          <w:sz w:val="30"/>
          <w:szCs w:val="30"/>
        </w:rPr>
      </w:pPr>
      <w:r>
        <w:rPr>
          <w:rFonts w:hint="eastAsia"/>
          <w:sz w:val="30"/>
          <w:szCs w:val="30"/>
        </w:rPr>
        <w:t>为了规范民办教育发展，按照市教委关于民办学校规范发展的工作要求，每年度对民办学校和培训机构进行年检评估，</w:t>
      </w:r>
      <w:r>
        <w:rPr>
          <w:sz w:val="30"/>
          <w:szCs w:val="30"/>
        </w:rPr>
        <w:t>对所有培训机构开展专项检查</w:t>
      </w:r>
      <w:r>
        <w:rPr>
          <w:rFonts w:hint="eastAsia"/>
          <w:sz w:val="30"/>
          <w:szCs w:val="30"/>
        </w:rPr>
        <w:t>，实现了学科类培训机构“零新增”，因此，设立了“</w:t>
      </w:r>
      <w:r>
        <w:rPr>
          <w:sz w:val="30"/>
          <w:szCs w:val="30"/>
        </w:rPr>
        <w:t>民办非学历教育机构管理经费</w:t>
      </w:r>
      <w:r>
        <w:rPr>
          <w:rFonts w:hint="eastAsia"/>
          <w:sz w:val="30"/>
          <w:szCs w:val="30"/>
        </w:rPr>
        <w:t>”</w:t>
      </w:r>
      <w:r>
        <w:rPr>
          <w:sz w:val="30"/>
          <w:szCs w:val="30"/>
        </w:rPr>
        <w:t>子项目</w:t>
      </w:r>
      <w:r>
        <w:rPr>
          <w:rStyle w:val="104"/>
          <w:rFonts w:hint="eastAsia"/>
          <w:sz w:val="30"/>
          <w:szCs w:val="30"/>
        </w:rPr>
        <w:t>，</w:t>
      </w:r>
      <w:r>
        <w:rPr>
          <w:rFonts w:hint="eastAsia"/>
          <w:sz w:val="30"/>
          <w:szCs w:val="30"/>
        </w:rPr>
        <w:t>截止2022年，</w:t>
      </w:r>
      <w:r>
        <w:rPr>
          <w:rStyle w:val="104"/>
          <w:rFonts w:hint="eastAsia"/>
          <w:sz w:val="30"/>
          <w:szCs w:val="30"/>
        </w:rPr>
        <w:t>崇明区</w:t>
      </w:r>
      <w:r>
        <w:rPr>
          <w:sz w:val="30"/>
          <w:szCs w:val="30"/>
        </w:rPr>
        <w:t>教育许可培训机构48</w:t>
      </w:r>
      <w:r>
        <w:rPr>
          <w:rFonts w:hint="eastAsia"/>
          <w:sz w:val="30"/>
          <w:szCs w:val="30"/>
        </w:rPr>
        <w:t>家。</w:t>
      </w:r>
    </w:p>
    <w:p>
      <w:pPr>
        <w:pStyle w:val="195"/>
        <w:spacing w:line="560" w:lineRule="exact"/>
        <w:outlineLvl w:val="2"/>
      </w:pPr>
      <w:r>
        <w:t>2.立项目的</w:t>
      </w:r>
    </w:p>
    <w:p>
      <w:pPr>
        <w:pStyle w:val="103"/>
        <w:ind w:firstLine="600"/>
        <w:jc w:val="both"/>
        <w:rPr>
          <w:rStyle w:val="104"/>
          <w:sz w:val="30"/>
          <w:szCs w:val="30"/>
        </w:rPr>
      </w:pPr>
      <w:r>
        <w:rPr>
          <w:rStyle w:val="104"/>
          <w:rFonts w:hint="eastAsia"/>
          <w:sz w:val="30"/>
          <w:szCs w:val="30"/>
        </w:rPr>
        <w:t>（</w:t>
      </w:r>
      <w:r>
        <w:rPr>
          <w:rStyle w:val="104"/>
          <w:sz w:val="30"/>
          <w:szCs w:val="30"/>
        </w:rPr>
        <w:t>1）终身教育</w:t>
      </w:r>
    </w:p>
    <w:p>
      <w:pPr>
        <w:pStyle w:val="103"/>
        <w:ind w:firstLine="600"/>
        <w:jc w:val="both"/>
        <w:rPr>
          <w:rStyle w:val="104"/>
          <w:sz w:val="30"/>
          <w:szCs w:val="30"/>
        </w:rPr>
      </w:pPr>
      <w:r>
        <w:rPr>
          <w:rStyle w:val="104"/>
          <w:rFonts w:hint="eastAsia"/>
          <w:sz w:val="30"/>
          <w:szCs w:val="30"/>
        </w:rPr>
        <w:t>通过扶持社区学院（老年大学）、成人学校发展，建立学习点，进一步统筹整合教育资源，构建新型终身教育体系，进一步提升崇明区终身教育影响力，助力学习型城区建设。</w:t>
      </w:r>
    </w:p>
    <w:p>
      <w:pPr>
        <w:pStyle w:val="103"/>
        <w:ind w:firstLine="600"/>
        <w:jc w:val="both"/>
        <w:rPr>
          <w:rStyle w:val="104"/>
          <w:sz w:val="30"/>
          <w:szCs w:val="30"/>
        </w:rPr>
      </w:pPr>
      <w:r>
        <w:rPr>
          <w:rStyle w:val="104"/>
          <w:rFonts w:hint="eastAsia"/>
          <w:sz w:val="30"/>
          <w:szCs w:val="30"/>
        </w:rPr>
        <w:t>（</w:t>
      </w:r>
      <w:r>
        <w:rPr>
          <w:rStyle w:val="104"/>
          <w:sz w:val="30"/>
          <w:szCs w:val="30"/>
        </w:rPr>
        <w:t>2）民办教育</w:t>
      </w:r>
    </w:p>
    <w:p>
      <w:pPr>
        <w:pStyle w:val="103"/>
        <w:ind w:firstLine="600"/>
        <w:jc w:val="both"/>
        <w:rPr>
          <w:rStyle w:val="104"/>
          <w:sz w:val="30"/>
          <w:szCs w:val="30"/>
        </w:rPr>
        <w:sectPr>
          <w:headerReference r:id="rId13" w:type="first"/>
          <w:footerReference r:id="rId16" w:type="first"/>
          <w:headerReference r:id="rId11" w:type="default"/>
          <w:footerReference r:id="rId14" w:type="default"/>
          <w:headerReference r:id="rId12" w:type="even"/>
          <w:footerReference r:id="rId15" w:type="even"/>
          <w:footnotePr>
            <w:numFmt w:val="decimalEnclosedCircleChinese"/>
          </w:footnotePr>
          <w:pgSz w:w="11906" w:h="16838"/>
          <w:pgMar w:top="1418" w:right="1588" w:bottom="1418" w:left="1701" w:header="851" w:footer="992" w:gutter="0"/>
          <w:pgNumType w:start="1"/>
          <w:cols w:space="425" w:num="1"/>
          <w:docGrid w:type="lines" w:linePitch="435" w:charSpace="0"/>
        </w:sectPr>
      </w:pPr>
      <w:r>
        <w:rPr>
          <w:rStyle w:val="104"/>
          <w:rFonts w:hint="eastAsia"/>
          <w:sz w:val="30"/>
          <w:szCs w:val="30"/>
        </w:rPr>
        <w:t>通过扶持民办学校，进一步促进崇明区民办教育有序健康发展，坚持优质特色发展导向，落实民办义务教育学校招生改革政策，严控办学规模，推进品牌建设，形成良好的民办学校发展生态，满足崇明区人民群众对教育服务多样化的需求。通过民办教育监管，推动行业规范发展。</w:t>
      </w:r>
    </w:p>
    <w:p>
      <w:pPr>
        <w:pStyle w:val="195"/>
        <w:spacing w:line="560" w:lineRule="exact"/>
        <w:ind w:firstLine="594"/>
        <w:outlineLvl w:val="2"/>
      </w:pPr>
      <w:r>
        <w:t>3.立项依据</w:t>
      </w:r>
      <w:bookmarkEnd w:id="14"/>
      <w:bookmarkStart w:id="18" w:name="_Toc29248"/>
      <w:r>
        <w:t xml:space="preserve"> </w:t>
      </w:r>
    </w:p>
    <w:p>
      <w:pPr>
        <w:widowControl w:val="0"/>
        <w:spacing w:line="560" w:lineRule="exact"/>
        <w:ind w:firstLine="594"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本项目涉及的立项依据文件</w:t>
      </w:r>
      <w:r>
        <w:rPr>
          <w:rFonts w:hint="eastAsia" w:ascii="Times New Roman" w:hAnsi="Times New Roman" w:eastAsia="仿宋_GB2312" w:cs="Times New Roman"/>
          <w:kern w:val="2"/>
          <w:sz w:val="30"/>
          <w:szCs w:val="30"/>
        </w:rPr>
        <w:t>及项目对应关系</w:t>
      </w:r>
      <w:r>
        <w:rPr>
          <w:rFonts w:ascii="Times New Roman" w:hAnsi="Times New Roman" w:eastAsia="仿宋_GB2312" w:cs="Times New Roman"/>
          <w:kern w:val="2"/>
          <w:sz w:val="30"/>
          <w:szCs w:val="30"/>
        </w:rPr>
        <w:t>详见下表。</w:t>
      </w:r>
    </w:p>
    <w:p>
      <w:pPr>
        <w:widowControl w:val="0"/>
        <w:spacing w:line="560" w:lineRule="exact"/>
        <w:jc w:val="center"/>
        <w:rPr>
          <w:rFonts w:ascii="仿宋_GB2312" w:eastAsia="仿宋_GB2312"/>
          <w:b/>
        </w:rPr>
      </w:pPr>
      <w:r>
        <w:rPr>
          <w:rFonts w:hint="eastAsia" w:ascii="仿宋_GB2312" w:eastAsia="仿宋_GB2312"/>
          <w:b/>
        </w:rPr>
        <w:t>表</w:t>
      </w:r>
      <w:r>
        <w:rPr>
          <w:rFonts w:ascii="仿宋_GB2312" w:eastAsia="仿宋_GB2312"/>
          <w:b/>
        </w:rPr>
        <w:t>1-1</w:t>
      </w:r>
      <w:r>
        <w:rPr>
          <w:rFonts w:hint="eastAsia" w:ascii="仿宋_GB2312" w:eastAsia="仿宋_GB2312"/>
          <w:b/>
        </w:rPr>
        <w:t>-</w:t>
      </w:r>
      <w:r>
        <w:rPr>
          <w:rFonts w:ascii="仿宋_GB2312" w:eastAsia="仿宋_GB2312"/>
          <w:b/>
        </w:rPr>
        <w:t>1 2021年崇明区教育局成职科内涵发展经费立项依据明细表</w:t>
      </w:r>
    </w:p>
    <w:bookmarkEnd w:id="18"/>
    <w:tbl>
      <w:tblPr>
        <w:tblStyle w:val="40"/>
        <w:tblW w:w="16050" w:type="dxa"/>
        <w:jc w:val="center"/>
        <w:tblInd w:w="0" w:type="dxa"/>
        <w:tblLayout w:type="fixed"/>
        <w:tblCellMar>
          <w:top w:w="0" w:type="dxa"/>
          <w:left w:w="108" w:type="dxa"/>
          <w:bottom w:w="0" w:type="dxa"/>
          <w:right w:w="108" w:type="dxa"/>
        </w:tblCellMar>
      </w:tblPr>
      <w:tblGrid>
        <w:gridCol w:w="697"/>
        <w:gridCol w:w="4462"/>
        <w:gridCol w:w="937"/>
        <w:gridCol w:w="8285"/>
        <w:gridCol w:w="1669"/>
      </w:tblGrid>
      <w:tr>
        <w:tblPrEx>
          <w:tblLayout w:type="fixed"/>
          <w:tblCellMar>
            <w:top w:w="0" w:type="dxa"/>
            <w:left w:w="108" w:type="dxa"/>
            <w:bottom w:w="0" w:type="dxa"/>
            <w:right w:w="108" w:type="dxa"/>
          </w:tblCellMar>
        </w:tblPrEx>
        <w:trPr>
          <w:trHeight w:val="284" w:hRule="atLeast"/>
          <w:tblHeader/>
          <w:jc w:val="center"/>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b/>
                <w:bCs/>
                <w:color w:val="000000"/>
                <w:sz w:val="21"/>
                <w:szCs w:val="21"/>
              </w:rPr>
            </w:pPr>
            <w:r>
              <w:rPr>
                <w:rFonts w:hint="eastAsia" w:ascii="仿宋_GB2312" w:eastAsia="仿宋_GB2312"/>
                <w:b/>
                <w:bCs/>
                <w:color w:val="000000"/>
                <w:sz w:val="21"/>
                <w:szCs w:val="21"/>
              </w:rPr>
              <w:t>序号</w:t>
            </w:r>
          </w:p>
        </w:tc>
        <w:tc>
          <w:tcPr>
            <w:tcW w:w="4462"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b/>
                <w:bCs/>
                <w:color w:val="000000"/>
                <w:sz w:val="21"/>
                <w:szCs w:val="21"/>
              </w:rPr>
            </w:pPr>
            <w:r>
              <w:rPr>
                <w:rFonts w:hint="eastAsia" w:ascii="仿宋_GB2312" w:eastAsia="仿宋_GB2312"/>
                <w:b/>
                <w:bCs/>
                <w:color w:val="000000"/>
                <w:sz w:val="21"/>
                <w:szCs w:val="21"/>
              </w:rPr>
              <w:t>文件名称</w:t>
            </w:r>
          </w:p>
        </w:tc>
        <w:tc>
          <w:tcPr>
            <w:tcW w:w="937"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b/>
                <w:bCs/>
                <w:color w:val="000000"/>
                <w:sz w:val="21"/>
                <w:szCs w:val="21"/>
              </w:rPr>
            </w:pPr>
            <w:r>
              <w:rPr>
                <w:rFonts w:hint="eastAsia" w:ascii="仿宋_GB2312" w:eastAsia="仿宋_GB2312"/>
                <w:b/>
                <w:bCs/>
                <w:color w:val="000000"/>
                <w:sz w:val="21"/>
                <w:szCs w:val="21"/>
              </w:rPr>
              <w:t>文件类别</w:t>
            </w:r>
          </w:p>
        </w:tc>
        <w:tc>
          <w:tcPr>
            <w:tcW w:w="8285"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b/>
                <w:bCs/>
                <w:color w:val="000000"/>
                <w:sz w:val="21"/>
                <w:szCs w:val="21"/>
              </w:rPr>
            </w:pPr>
            <w:r>
              <w:rPr>
                <w:rFonts w:hint="eastAsia" w:ascii="仿宋_GB2312" w:eastAsia="仿宋_GB2312"/>
                <w:b/>
                <w:bCs/>
                <w:color w:val="000000"/>
                <w:sz w:val="21"/>
                <w:szCs w:val="21"/>
              </w:rPr>
              <w:t>文件内容</w:t>
            </w:r>
          </w:p>
        </w:tc>
        <w:tc>
          <w:tcPr>
            <w:tcW w:w="1669" w:type="dxa"/>
            <w:tcBorders>
              <w:top w:val="single" w:color="auto" w:sz="4" w:space="0"/>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b/>
                <w:bCs/>
                <w:color w:val="000000"/>
                <w:sz w:val="21"/>
                <w:szCs w:val="21"/>
              </w:rPr>
            </w:pPr>
            <w:r>
              <w:rPr>
                <w:rFonts w:hint="eastAsia" w:ascii="仿宋_GB2312" w:eastAsia="仿宋_GB2312"/>
                <w:b/>
                <w:bCs/>
                <w:color w:val="000000"/>
                <w:sz w:val="21"/>
                <w:szCs w:val="21"/>
              </w:rPr>
              <w:t>对应子项目</w:t>
            </w: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1</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《中国教育现代化2035》</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国家级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构建服务全民的终身学习体系。扩大社区教育资源供给，加快发展城乡社区老年教育，推动各类学习型组织建设。</w:t>
            </w:r>
          </w:p>
        </w:tc>
        <w:tc>
          <w:tcPr>
            <w:tcW w:w="1669" w:type="dxa"/>
            <w:vMerge w:val="restart"/>
            <w:tcBorders>
              <w:top w:val="nil"/>
              <w:left w:val="nil"/>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老年教育三类学习点建设经费项目、终身教育经费</w:t>
            </w: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2</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《关于印发“十四五”国家老龄事业发展和养老服务体系规划的通知》（国发〔2021〕35号）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国家级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加快发展城乡社区老年教育，支持各类有条件的学校举办老年大学（学校）、参与老年教育，鼓励老年教育机构开展在线老年教育。</w:t>
            </w:r>
          </w:p>
        </w:tc>
        <w:tc>
          <w:tcPr>
            <w:tcW w:w="1669" w:type="dxa"/>
            <w:vMerge w:val="continue"/>
            <w:tcBorders>
              <w:left w:val="nil"/>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3</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《上海市教育委员会  上海市学习型社会建设与终身教育促进委员会办公室关于印发&lt;上海市终身教育发展“十四五”规划&gt;的通知》（沪教委终〔2022〕2号）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市级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扩大老年教育资源供给，新建老年教育社会学习点200个。促进老年教育优质均衡发展，推广区域老年教育共同体管理模式。加强老年教育特色品牌建设，各级各类办学机构实现“一校一品牌”，老年教育三类学习点实现“一点一特色”。</w:t>
            </w:r>
          </w:p>
        </w:tc>
        <w:tc>
          <w:tcPr>
            <w:tcW w:w="1669" w:type="dxa"/>
            <w:vMerge w:val="continue"/>
            <w:tcBorders>
              <w:left w:val="nil"/>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4</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《上海市老年教育发展“十四五”规划》（沪教委终〔2022〕3号）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市级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实施老年大学“倍增计划”。培育100个优秀老年教育社会学习点，新增50个老年教育养教结合学习点、50个老年教育养教结合优秀学习点，培育200个老年教育居村委特色学习点。培育100个老年教育服务品牌。</w:t>
            </w:r>
          </w:p>
        </w:tc>
        <w:tc>
          <w:tcPr>
            <w:tcW w:w="1669" w:type="dxa"/>
            <w:vMerge w:val="continue"/>
            <w:tcBorders>
              <w:left w:val="nil"/>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5</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《2022年上海市老年教育工作要点》（沪老教办〔2022〕1号）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市级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2022年，在巩固“三类学习点”建设成果的基础上，根据实际适量拓展，重在提升品质，其中，新增老年教育社会学习点50个、养教结合学习点10个。重点培育居村委特色学习点60个、优秀社会学习点30个、养教结合优秀学习点10个。</w:t>
            </w:r>
          </w:p>
        </w:tc>
        <w:tc>
          <w:tcPr>
            <w:tcW w:w="1669" w:type="dxa"/>
            <w:vMerge w:val="continue"/>
            <w:tcBorders>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6</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《上海市学习型社会建设与终身教育促进委员会办公室关于开展2022年度学习型城区监测数据填报工作的通知》（沪学习促进办〔2022〕3号）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市级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决定开展2022年度学习型城区监测数据填报工作。各区要高度重视学习型城区监测数据填报工作，保证人员、经费和物资等方面的必要投入。</w:t>
            </w:r>
          </w:p>
        </w:tc>
        <w:tc>
          <w:tcPr>
            <w:tcW w:w="166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学促办工作经费</w:t>
            </w: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7</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《上海市崇明区人民政府办公室关于印发&lt;崇明区老龄事业发展“十四五”规划&gt;的通知》（沪崇府办发〔2021〕28号）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区级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实施新一轮老年教育机构能力提升工程，形成一批社区（老年）优质校。加强老年教育课程、教材、教学、评价研究，鼓励老年教育特色发展，注重老年教育品牌塑造。持续推进“养教结合学习点和居村委学习点”建设。</w:t>
            </w:r>
          </w:p>
        </w:tc>
        <w:tc>
          <w:tcPr>
            <w:tcW w:w="1669" w:type="dxa"/>
            <w:vMerge w:val="restart"/>
            <w:tcBorders>
              <w:top w:val="nil"/>
              <w:left w:val="nil"/>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老年教育三类学习点建设经费项目、终身教育经费</w:t>
            </w: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8</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《2022年崇明区老年教育工作要点》（区老教办〔2022〕第1号）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区级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以“特色、优质学习点”建设为重点，深度推进“三类学习点”建设。2022年，在新增老年教育社会学习点2个、新增养教结合学习点1个、新增养教结合标准化学习点1个的基础上，重点培育居村委特色学习点2-3个、优秀社会学习点2个。</w:t>
            </w:r>
          </w:p>
        </w:tc>
        <w:tc>
          <w:tcPr>
            <w:tcW w:w="1669" w:type="dxa"/>
            <w:vMerge w:val="continue"/>
            <w:tcBorders>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9</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《中华人民共和国民办教育促进法实施条例》（国务院令第741号）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国家级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保障民办学校依法办学、自主管理，鼓励、引导民办学 校提高质量、办出特色，满足多样化教育需求。</w:t>
            </w:r>
          </w:p>
        </w:tc>
        <w:tc>
          <w:tcPr>
            <w:tcW w:w="1669" w:type="dxa"/>
            <w:vMerge w:val="restart"/>
            <w:tcBorders>
              <w:top w:val="nil"/>
              <w:left w:val="nil"/>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民办学校学生公用经费补助、民办教育发展专项资金、民办非学历教育机构管理经费</w:t>
            </w: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10</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《上海市人民政府关于促进民办教育健康发展的实施意见》（沪府发〔2017〕94号）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市级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全面深化教育综合改革，大力扶持和引导社会力量兴办教育，创新政府扶持机制、提高学校办学质量、规范办学行为。</w:t>
            </w:r>
          </w:p>
        </w:tc>
        <w:tc>
          <w:tcPr>
            <w:tcW w:w="1669" w:type="dxa"/>
            <w:vMerge w:val="continue"/>
            <w:tcBorders>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11</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《教育部、中央编办、司法部关于加强教育行政执法，深入推进校外培训综合治理的意见》（教监管〔2022〕1号）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国家级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加强校外培训监管行政执法工作，全面构建校外培训执法体系，全面提高校外培训监管行政执法质量和效能，依法严格查处校外培训违法违规行为，确保“双减”工作扎实有效。</w:t>
            </w:r>
          </w:p>
        </w:tc>
        <w:tc>
          <w:tcPr>
            <w:tcW w:w="1669" w:type="dxa"/>
            <w:vMerge w:val="restart"/>
            <w:tcBorders>
              <w:top w:val="nil"/>
              <w:left w:val="nil"/>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民办非学历教育机构管理经费</w:t>
            </w:r>
          </w:p>
          <w:p>
            <w:pPr>
              <w:adjustRightInd w:val="0"/>
              <w:snapToGrid w:val="0"/>
              <w:spacing w:line="240" w:lineRule="exact"/>
              <w:ind w:firstLine="420"/>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12</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《上海市人民政府办公厅关于转发市教委等四部门制订的&lt;上海市民办培训机构设置标准&gt;&lt;上海市营利性民办培训机构管理办法&gt;&lt;上海市非营利性民办培训机构管理办法&gt;的通知》（沪府办发</w:t>
            </w:r>
            <w:bookmarkStart w:id="19" w:name="_Hlk137115393"/>
            <w:r>
              <w:rPr>
                <w:rFonts w:hint="eastAsia" w:ascii="仿宋_GB2312" w:eastAsia="仿宋_GB2312"/>
                <w:color w:val="000000"/>
                <w:sz w:val="21"/>
                <w:szCs w:val="21"/>
              </w:rPr>
              <w:t>〔</w:t>
            </w:r>
            <w:bookmarkEnd w:id="19"/>
            <w:r>
              <w:rPr>
                <w:rFonts w:hint="eastAsia" w:ascii="仿宋_GB2312" w:eastAsia="仿宋_GB2312"/>
                <w:color w:val="000000"/>
                <w:sz w:val="21"/>
                <w:szCs w:val="21"/>
              </w:rPr>
              <w:t>2017〕82号）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市级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区教育部门、区人力资源社会保障部门和区市场监督管理部门按照属地管理的原则，建立健全年度报告（年度检查）制度，依法对营利性民办培训机构组织开展专项检查、日常检查、年度检查等工作。</w:t>
            </w:r>
          </w:p>
        </w:tc>
        <w:tc>
          <w:tcPr>
            <w:tcW w:w="1669" w:type="dxa"/>
            <w:vMerge w:val="continue"/>
            <w:tcBorders>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p>
        </w:tc>
      </w:tr>
      <w:tr>
        <w:tblPrEx>
          <w:tblLayout w:type="fixed"/>
          <w:tblCellMar>
            <w:top w:w="0" w:type="dxa"/>
            <w:left w:w="108" w:type="dxa"/>
            <w:bottom w:w="0" w:type="dxa"/>
            <w:right w:w="108" w:type="dxa"/>
          </w:tblCellMar>
        </w:tblPrEx>
        <w:trPr>
          <w:trHeight w:val="284" w:hRule="atLeast"/>
          <w:jc w:val="center"/>
        </w:trPr>
        <w:tc>
          <w:tcPr>
            <w:tcW w:w="697"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13</w:t>
            </w:r>
          </w:p>
        </w:tc>
        <w:tc>
          <w:tcPr>
            <w:tcW w:w="4462"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《上海市政府关于进一步完善本市城乡义务教育经费保障机制的通知》（沪府发〔2016〕35号）</w:t>
            </w:r>
          </w:p>
        </w:tc>
        <w:tc>
          <w:tcPr>
            <w:tcW w:w="937"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jc w:val="center"/>
              <w:rPr>
                <w:rFonts w:ascii="仿宋_GB2312" w:eastAsia="仿宋_GB2312"/>
                <w:color w:val="000000"/>
                <w:sz w:val="21"/>
                <w:szCs w:val="21"/>
              </w:rPr>
            </w:pPr>
            <w:r>
              <w:rPr>
                <w:rFonts w:hint="eastAsia" w:ascii="仿宋_GB2312" w:eastAsia="仿宋_GB2312"/>
                <w:color w:val="000000"/>
                <w:sz w:val="21"/>
                <w:szCs w:val="21"/>
              </w:rPr>
              <w:t>市级</w:t>
            </w:r>
          </w:p>
        </w:tc>
        <w:tc>
          <w:tcPr>
            <w:tcW w:w="8285"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b/>
                <w:bCs/>
                <w:color w:val="000000"/>
                <w:sz w:val="21"/>
                <w:szCs w:val="21"/>
              </w:rPr>
              <w:t>统一城乡义务教育学生“两免一补”政策</w:t>
            </w:r>
            <w:r>
              <w:rPr>
                <w:rFonts w:hint="eastAsia" w:ascii="仿宋_GB2312" w:eastAsia="仿宋_GB2312"/>
                <w:color w:val="000000"/>
                <w:sz w:val="21"/>
                <w:szCs w:val="21"/>
              </w:rPr>
              <w:t>：1.对本市城乡义务教育学生免除学杂费。对本市义务教育阶段公办学校、政府购买学位的民办学校（含以招收进城务工人员随迁子女为主的民办学校）在籍学生全额免除学杂费。民办学校在籍学生免除学杂费标准按照中央确定的生均公用经费基准定额执行。2016年中央确定的生均公用经费基准定额为：普通小学每生每年650元、普通初中每生每年850元、特殊教育学校和随班就读残疾学生每生每年6000元；在此基础上，对寄宿制学校寄宿生每生每年增加200元。2.对本市城乡义务教育学生免费提供教科书（含作业本）。免费向本市义务教育阶段公办学校和民办学校中具有本市学籍的在校学生提供教科书和作业本。3.对本市城乡义务教育学校家庭经济困难寄宿生补助生活费。对本市义务教育阶段公办和民办学校中特困供养人员、城乡低保家庭的在籍寄宿生给予生活费补助，补助的内容是免除学校代办服务性收费。</w:t>
            </w:r>
          </w:p>
          <w:p>
            <w:pPr>
              <w:adjustRightInd w:val="0"/>
              <w:snapToGrid w:val="0"/>
              <w:spacing w:line="240" w:lineRule="exact"/>
              <w:rPr>
                <w:rFonts w:ascii="仿宋_GB2312" w:eastAsia="仿宋_GB2312"/>
                <w:color w:val="000000"/>
                <w:sz w:val="21"/>
                <w:szCs w:val="21"/>
              </w:rPr>
            </w:pPr>
            <w:r>
              <w:rPr>
                <w:rFonts w:hint="eastAsia" w:ascii="仿宋_GB2312" w:eastAsia="仿宋_GB2312"/>
                <w:b/>
                <w:bCs/>
                <w:color w:val="000000"/>
                <w:sz w:val="21"/>
                <w:szCs w:val="21"/>
              </w:rPr>
              <w:t>统一城乡义务教育学校生均公用经费基本标准：</w:t>
            </w:r>
            <w:r>
              <w:rPr>
                <w:rFonts w:hint="eastAsia" w:ascii="仿宋_GB2312" w:eastAsia="仿宋_GB2312"/>
                <w:color w:val="000000"/>
                <w:sz w:val="21"/>
                <w:szCs w:val="21"/>
              </w:rPr>
              <w:t>统一确定本市义务教育学校生均公用经费基本标准。</w:t>
            </w:r>
            <w:bookmarkStart w:id="20" w:name="_Hlk133931953"/>
            <w:r>
              <w:rPr>
                <w:rFonts w:hint="eastAsia" w:ascii="仿宋_GB2312" w:eastAsia="仿宋_GB2312"/>
                <w:color w:val="000000"/>
                <w:sz w:val="21"/>
                <w:szCs w:val="21"/>
              </w:rPr>
              <w:t>对本市城乡义务教育学校（含民办学校）按照不低于上海市义务教育公办学校生均公用经费基本标准，补助公用经费（含免学杂费部分）</w:t>
            </w:r>
            <w:bookmarkEnd w:id="20"/>
            <w:r>
              <w:rPr>
                <w:rFonts w:hint="eastAsia" w:ascii="仿宋_GB2312" w:eastAsia="仿宋_GB2312"/>
                <w:color w:val="000000"/>
                <w:sz w:val="21"/>
                <w:szCs w:val="21"/>
              </w:rPr>
              <w:t>。在此基础上，对寄宿制学校按照寄宿生年生均200元标准，增加公用经费补助。</w:t>
            </w:r>
          </w:p>
        </w:tc>
        <w:tc>
          <w:tcPr>
            <w:tcW w:w="166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exact"/>
              <w:rPr>
                <w:rFonts w:ascii="仿宋_GB2312" w:eastAsia="仿宋_GB2312"/>
                <w:color w:val="000000"/>
                <w:sz w:val="21"/>
                <w:szCs w:val="21"/>
              </w:rPr>
            </w:pPr>
            <w:r>
              <w:rPr>
                <w:rFonts w:hint="eastAsia" w:ascii="仿宋_GB2312" w:eastAsia="仿宋_GB2312"/>
                <w:color w:val="000000"/>
                <w:sz w:val="21"/>
                <w:szCs w:val="21"/>
              </w:rPr>
              <w:t>民办学校学生公用经费补助、民办教育发展专项资金</w:t>
            </w:r>
          </w:p>
        </w:tc>
      </w:tr>
    </w:tbl>
    <w:p>
      <w:pPr>
        <w:pStyle w:val="195"/>
        <w:spacing w:line="560" w:lineRule="exact"/>
        <w:ind w:firstLine="635"/>
        <w:outlineLvl w:val="1"/>
        <w:rPr>
          <w:rFonts w:eastAsia="楷体_GB2312"/>
          <w:sz w:val="32"/>
          <w:szCs w:val="32"/>
        </w:rPr>
        <w:sectPr>
          <w:headerReference r:id="rId19" w:type="first"/>
          <w:footerReference r:id="rId22" w:type="first"/>
          <w:headerReference r:id="rId17" w:type="default"/>
          <w:footerReference r:id="rId20" w:type="default"/>
          <w:headerReference r:id="rId18" w:type="even"/>
          <w:footerReference r:id="rId21" w:type="even"/>
          <w:footnotePr>
            <w:numFmt w:val="decimalEnclosedCircleChinese"/>
          </w:footnotePr>
          <w:pgSz w:w="16838" w:h="11906" w:orient="landscape"/>
          <w:pgMar w:top="720" w:right="720" w:bottom="720" w:left="720" w:header="851" w:footer="992" w:gutter="0"/>
          <w:cols w:space="425" w:num="1"/>
          <w:docGrid w:type="linesAndChars" w:linePitch="579" w:charSpace="-819"/>
        </w:sectPr>
      </w:pPr>
    </w:p>
    <w:p>
      <w:pPr>
        <w:pStyle w:val="195"/>
        <w:spacing w:line="560" w:lineRule="exact"/>
        <w:ind w:firstLine="643"/>
        <w:outlineLvl w:val="1"/>
        <w:rPr>
          <w:rFonts w:eastAsia="楷体_GB2312"/>
          <w:sz w:val="32"/>
          <w:szCs w:val="32"/>
        </w:rPr>
      </w:pPr>
      <w:bookmarkStart w:id="21" w:name="_Toc21315"/>
      <w:r>
        <w:rPr>
          <w:rFonts w:eastAsia="楷体_GB2312"/>
          <w:sz w:val="32"/>
          <w:szCs w:val="32"/>
        </w:rPr>
        <w:t>（二）项目</w:t>
      </w:r>
      <w:r>
        <w:rPr>
          <w:rFonts w:hint="eastAsia" w:eastAsia="楷体_GB2312"/>
          <w:sz w:val="32"/>
          <w:szCs w:val="32"/>
        </w:rPr>
        <w:t>实施计划及完成情况</w:t>
      </w:r>
      <w:bookmarkEnd w:id="21"/>
    </w:p>
    <w:p>
      <w:pPr>
        <w:widowControl w:val="0"/>
        <w:spacing w:line="520" w:lineRule="exact"/>
        <w:ind w:firstLine="600"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2022年成职科内涵发展经费项目，主要共涉及六个子项目，可分为两大类，分别为终身教育和民办教育。终身教育包括老年教育三类学习点建设经费、终身教育经费和学促办工作经费 ；民办教育包括民办学校学生公用经费补助、民办教育发展专项资金和民办非学历教育机构管理经费。</w:t>
      </w:r>
    </w:p>
    <w:p>
      <w:pPr>
        <w:pStyle w:val="195"/>
        <w:spacing w:line="560" w:lineRule="exact"/>
        <w:outlineLvl w:val="2"/>
      </w:pPr>
      <w:r>
        <w:rPr>
          <w:rFonts w:hint="eastAsia"/>
        </w:rPr>
        <w:t>1</w:t>
      </w:r>
      <w:r>
        <w:t>.</w:t>
      </w:r>
      <w:r>
        <w:rPr>
          <w:rFonts w:hint="eastAsia"/>
        </w:rPr>
        <w:t>终身教育</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kern w:val="2"/>
          <w:sz w:val="30"/>
          <w:szCs w:val="30"/>
        </w:rPr>
        <w:t>崇明区现有</w:t>
      </w:r>
      <w:r>
        <w:rPr>
          <w:rFonts w:ascii="Times New Roman" w:hAnsi="Times New Roman" w:eastAsia="仿宋_GB2312" w:cs="Times New Roman"/>
          <w:kern w:val="2"/>
          <w:sz w:val="30"/>
          <w:szCs w:val="30"/>
        </w:rPr>
        <w:t>1所社区学院，6所成人教育学校</w:t>
      </w:r>
      <w:r>
        <w:rPr>
          <w:rFonts w:hint="eastAsia" w:ascii="Times New Roman" w:hAnsi="Times New Roman" w:eastAsia="仿宋_GB2312" w:cs="Times New Roman"/>
          <w:kern w:val="2"/>
          <w:sz w:val="30"/>
          <w:szCs w:val="30"/>
        </w:rPr>
        <w:t>，</w:t>
      </w:r>
      <w:r>
        <w:rPr>
          <w:rFonts w:ascii="Times New Roman" w:hAnsi="Times New Roman" w:eastAsia="仿宋_GB2312" w:cs="Times New Roman"/>
          <w:kern w:val="2"/>
          <w:sz w:val="30"/>
          <w:szCs w:val="30"/>
        </w:rPr>
        <w:t>区社区学院负责全区终身教育业务指导工作，成校负责全区18个乡镇终身教育工作的具体实施。</w:t>
      </w:r>
      <w:r>
        <w:rPr>
          <w:rFonts w:hint="eastAsia" w:ascii="Times New Roman" w:hAnsi="Times New Roman" w:eastAsia="仿宋_GB2312" w:cs="Times New Roman"/>
          <w:kern w:val="2"/>
          <w:sz w:val="30"/>
          <w:szCs w:val="30"/>
        </w:rPr>
        <w:t>从下表可见，教职工人数最多是城桥镇成校为2</w:t>
      </w:r>
      <w:r>
        <w:rPr>
          <w:rFonts w:ascii="Times New Roman" w:hAnsi="Times New Roman" w:eastAsia="仿宋_GB2312" w:cs="Times New Roman"/>
          <w:kern w:val="2"/>
          <w:sz w:val="30"/>
          <w:szCs w:val="30"/>
        </w:rPr>
        <w:t>5</w:t>
      </w:r>
      <w:r>
        <w:rPr>
          <w:rFonts w:hint="eastAsia" w:ascii="Times New Roman" w:hAnsi="Times New Roman" w:eastAsia="仿宋_GB2312" w:cs="Times New Roman"/>
          <w:kern w:val="2"/>
          <w:sz w:val="30"/>
          <w:szCs w:val="30"/>
        </w:rPr>
        <w:t>人，也是所属区域人口数最多的成校，为</w:t>
      </w:r>
      <w:r>
        <w:rPr>
          <w:rFonts w:ascii="Times New Roman" w:hAnsi="Times New Roman" w:eastAsia="仿宋_GB2312" w:cs="Times New Roman"/>
          <w:kern w:val="2"/>
          <w:sz w:val="30"/>
          <w:szCs w:val="30"/>
        </w:rPr>
        <w:t>147324</w:t>
      </w:r>
      <w:r>
        <w:rPr>
          <w:rFonts w:hint="eastAsia" w:ascii="Times New Roman" w:hAnsi="Times New Roman" w:eastAsia="仿宋_GB2312" w:cs="Times New Roman"/>
          <w:kern w:val="2"/>
          <w:sz w:val="30"/>
          <w:szCs w:val="30"/>
        </w:rPr>
        <w:t>人；长兴镇成校教职工人数最少，为1</w:t>
      </w:r>
      <w:r>
        <w:rPr>
          <w:rFonts w:ascii="Times New Roman" w:hAnsi="Times New Roman" w:eastAsia="仿宋_GB2312" w:cs="Times New Roman"/>
          <w:kern w:val="2"/>
          <w:sz w:val="30"/>
          <w:szCs w:val="30"/>
        </w:rPr>
        <w:t>1</w:t>
      </w:r>
      <w:r>
        <w:rPr>
          <w:rFonts w:hint="eastAsia" w:ascii="Times New Roman" w:hAnsi="Times New Roman" w:eastAsia="仿宋_GB2312" w:cs="Times New Roman"/>
          <w:kern w:val="2"/>
          <w:sz w:val="30"/>
          <w:szCs w:val="30"/>
        </w:rPr>
        <w:t>人，所属区域人口数也最少，为</w:t>
      </w:r>
      <w:r>
        <w:rPr>
          <w:rFonts w:ascii="Times New Roman" w:hAnsi="Times New Roman" w:eastAsia="仿宋_GB2312" w:cs="Times New Roman"/>
          <w:kern w:val="2"/>
          <w:sz w:val="30"/>
          <w:szCs w:val="30"/>
        </w:rPr>
        <w:t>74884</w:t>
      </w:r>
      <w:r>
        <w:rPr>
          <w:rFonts w:hint="eastAsia" w:ascii="Times New Roman" w:hAnsi="Times New Roman" w:eastAsia="仿宋_GB2312" w:cs="Times New Roman"/>
          <w:kern w:val="2"/>
          <w:sz w:val="30"/>
          <w:szCs w:val="30"/>
        </w:rPr>
        <w:t>人；庙镇的校区数最多和学生数最多，分别是5个和1</w:t>
      </w:r>
      <w:r>
        <w:rPr>
          <w:rFonts w:ascii="Times New Roman" w:hAnsi="Times New Roman" w:eastAsia="仿宋_GB2312" w:cs="Times New Roman"/>
          <w:kern w:val="2"/>
          <w:sz w:val="30"/>
          <w:szCs w:val="30"/>
        </w:rPr>
        <w:t>628</w:t>
      </w:r>
      <w:r>
        <w:rPr>
          <w:rFonts w:hint="eastAsia" w:ascii="Times New Roman" w:hAnsi="Times New Roman" w:eastAsia="仿宋_GB2312" w:cs="Times New Roman"/>
          <w:kern w:val="2"/>
          <w:sz w:val="30"/>
          <w:szCs w:val="30"/>
        </w:rPr>
        <w:t>人。</w:t>
      </w:r>
    </w:p>
    <w:p>
      <w:pPr>
        <w:widowControl w:val="0"/>
        <w:spacing w:line="520" w:lineRule="exact"/>
        <w:jc w:val="center"/>
        <w:rPr>
          <w:rFonts w:ascii="仿宋_GB2312" w:hAnsi="Times New Roman" w:eastAsia="仿宋_GB2312" w:cs="Times New Roman"/>
          <w:b/>
          <w:bCs/>
          <w:kern w:val="2"/>
        </w:rPr>
      </w:pPr>
      <w:r>
        <w:rPr>
          <w:rFonts w:hint="eastAsia" w:ascii="仿宋_GB2312" w:hAnsi="Times New Roman" w:eastAsia="仿宋_GB2312" w:cs="Times New Roman"/>
          <w:b/>
          <w:bCs/>
          <w:kern w:val="2"/>
        </w:rPr>
        <w:t>表1-</w:t>
      </w:r>
      <w:r>
        <w:rPr>
          <w:rFonts w:ascii="仿宋_GB2312" w:hAnsi="Times New Roman" w:eastAsia="仿宋_GB2312" w:cs="Times New Roman"/>
          <w:b/>
          <w:bCs/>
          <w:kern w:val="2"/>
        </w:rPr>
        <w:t>2</w:t>
      </w:r>
      <w:r>
        <w:rPr>
          <w:rFonts w:hint="eastAsia" w:ascii="仿宋_GB2312" w:hAnsi="Times New Roman" w:eastAsia="仿宋_GB2312" w:cs="Times New Roman"/>
          <w:b/>
          <w:bCs/>
          <w:kern w:val="2"/>
        </w:rPr>
        <w:t>-1 成校基本情况表</w:t>
      </w:r>
    </w:p>
    <w:tbl>
      <w:tblPr>
        <w:tblStyle w:val="40"/>
        <w:tblW w:w="9554" w:type="dxa"/>
        <w:jc w:val="center"/>
        <w:tblInd w:w="0" w:type="dxa"/>
        <w:tblLayout w:type="fixed"/>
        <w:tblCellMar>
          <w:top w:w="0" w:type="dxa"/>
          <w:left w:w="108" w:type="dxa"/>
          <w:bottom w:w="0" w:type="dxa"/>
          <w:right w:w="108" w:type="dxa"/>
        </w:tblCellMar>
      </w:tblPr>
      <w:tblGrid>
        <w:gridCol w:w="2154"/>
        <w:gridCol w:w="1093"/>
        <w:gridCol w:w="1305"/>
        <w:gridCol w:w="1305"/>
        <w:gridCol w:w="1091"/>
        <w:gridCol w:w="1305"/>
        <w:gridCol w:w="1301"/>
      </w:tblGrid>
      <w:tr>
        <w:tblPrEx>
          <w:tblLayout w:type="fixed"/>
          <w:tblCellMar>
            <w:top w:w="0" w:type="dxa"/>
            <w:left w:w="108" w:type="dxa"/>
            <w:bottom w:w="0" w:type="dxa"/>
            <w:right w:w="108" w:type="dxa"/>
          </w:tblCellMar>
        </w:tblPrEx>
        <w:trPr>
          <w:trHeight w:val="347" w:hRule="atLeast"/>
          <w:jc w:val="center"/>
        </w:trPr>
        <w:tc>
          <w:tcPr>
            <w:tcW w:w="215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内容</w:t>
            </w:r>
          </w:p>
        </w:tc>
        <w:tc>
          <w:tcPr>
            <w:tcW w:w="1093"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堡镇成校</w:t>
            </w:r>
          </w:p>
        </w:tc>
        <w:tc>
          <w:tcPr>
            <w:tcW w:w="13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城桥镇成校</w:t>
            </w:r>
          </w:p>
        </w:tc>
        <w:tc>
          <w:tcPr>
            <w:tcW w:w="13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陈家镇成校</w:t>
            </w:r>
          </w:p>
        </w:tc>
        <w:tc>
          <w:tcPr>
            <w:tcW w:w="109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庙镇成校</w:t>
            </w:r>
          </w:p>
        </w:tc>
        <w:tc>
          <w:tcPr>
            <w:tcW w:w="13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长兴镇成校</w:t>
            </w:r>
          </w:p>
        </w:tc>
        <w:tc>
          <w:tcPr>
            <w:tcW w:w="13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新河镇成校</w:t>
            </w:r>
          </w:p>
        </w:tc>
      </w:tr>
      <w:tr>
        <w:tblPrEx>
          <w:tblLayout w:type="fixed"/>
          <w:tblCellMar>
            <w:top w:w="0" w:type="dxa"/>
            <w:left w:w="108" w:type="dxa"/>
            <w:bottom w:w="0" w:type="dxa"/>
            <w:right w:w="108" w:type="dxa"/>
          </w:tblCellMar>
        </w:tblPrEx>
        <w:trPr>
          <w:trHeight w:val="347" w:hRule="atLeast"/>
          <w:jc w:val="center"/>
        </w:trPr>
        <w:tc>
          <w:tcPr>
            <w:tcW w:w="2154"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b/>
                <w:bCs/>
                <w:sz w:val="20"/>
                <w:szCs w:val="20"/>
              </w:rPr>
            </w:pPr>
            <w:r>
              <w:rPr>
                <w:rFonts w:hint="eastAsia" w:ascii="仿宋_GB2312" w:hAnsi="等线" w:eastAsia="仿宋_GB2312"/>
                <w:b/>
                <w:bCs/>
                <w:sz w:val="20"/>
                <w:szCs w:val="20"/>
              </w:rPr>
              <w:t>1.教职工总数</w:t>
            </w:r>
          </w:p>
        </w:tc>
        <w:tc>
          <w:tcPr>
            <w:tcW w:w="1093"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16</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25</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17</w:t>
            </w:r>
          </w:p>
        </w:tc>
        <w:tc>
          <w:tcPr>
            <w:tcW w:w="109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19</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11</w:t>
            </w:r>
          </w:p>
        </w:tc>
        <w:tc>
          <w:tcPr>
            <w:tcW w:w="130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15</w:t>
            </w:r>
          </w:p>
        </w:tc>
      </w:tr>
      <w:tr>
        <w:tblPrEx>
          <w:tblLayout w:type="fixed"/>
          <w:tblCellMar>
            <w:top w:w="0" w:type="dxa"/>
            <w:left w:w="108" w:type="dxa"/>
            <w:bottom w:w="0" w:type="dxa"/>
            <w:right w:w="108" w:type="dxa"/>
          </w:tblCellMar>
        </w:tblPrEx>
        <w:trPr>
          <w:trHeight w:val="306" w:hRule="atLeast"/>
          <w:jc w:val="center"/>
        </w:trPr>
        <w:tc>
          <w:tcPr>
            <w:tcW w:w="2154"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sz w:val="20"/>
                <w:szCs w:val="20"/>
              </w:rPr>
            </w:pPr>
            <w:r>
              <w:rPr>
                <w:rFonts w:hint="eastAsia" w:ascii="仿宋_GB2312" w:hAnsi="等线" w:eastAsia="仿宋_GB2312"/>
                <w:sz w:val="20"/>
                <w:szCs w:val="20"/>
              </w:rPr>
              <w:t xml:space="preserve">    其中：教师数</w:t>
            </w:r>
          </w:p>
        </w:tc>
        <w:tc>
          <w:tcPr>
            <w:tcW w:w="1093"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15</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23</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17</w:t>
            </w:r>
          </w:p>
        </w:tc>
        <w:tc>
          <w:tcPr>
            <w:tcW w:w="109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19</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11</w:t>
            </w:r>
          </w:p>
        </w:tc>
        <w:tc>
          <w:tcPr>
            <w:tcW w:w="130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15</w:t>
            </w:r>
          </w:p>
        </w:tc>
      </w:tr>
      <w:tr>
        <w:tblPrEx>
          <w:tblLayout w:type="fixed"/>
          <w:tblCellMar>
            <w:top w:w="0" w:type="dxa"/>
            <w:left w:w="108" w:type="dxa"/>
            <w:bottom w:w="0" w:type="dxa"/>
            <w:right w:w="108" w:type="dxa"/>
          </w:tblCellMar>
        </w:tblPrEx>
        <w:trPr>
          <w:trHeight w:val="306" w:hRule="atLeast"/>
          <w:jc w:val="center"/>
        </w:trPr>
        <w:tc>
          <w:tcPr>
            <w:tcW w:w="2154"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sz w:val="20"/>
                <w:szCs w:val="20"/>
              </w:rPr>
            </w:pPr>
            <w:r>
              <w:rPr>
                <w:rFonts w:hint="eastAsia" w:ascii="仿宋_GB2312" w:hAnsi="等线" w:eastAsia="仿宋_GB2312"/>
                <w:sz w:val="20"/>
                <w:szCs w:val="20"/>
              </w:rPr>
              <w:t xml:space="preserve">          职工数</w:t>
            </w:r>
          </w:p>
        </w:tc>
        <w:tc>
          <w:tcPr>
            <w:tcW w:w="1093"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2</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w:t>
            </w:r>
          </w:p>
        </w:tc>
        <w:tc>
          <w:tcPr>
            <w:tcW w:w="109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w:t>
            </w:r>
          </w:p>
        </w:tc>
        <w:tc>
          <w:tcPr>
            <w:tcW w:w="130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w:t>
            </w:r>
          </w:p>
        </w:tc>
      </w:tr>
      <w:tr>
        <w:tblPrEx>
          <w:tblLayout w:type="fixed"/>
          <w:tblCellMar>
            <w:top w:w="0" w:type="dxa"/>
            <w:left w:w="108" w:type="dxa"/>
            <w:bottom w:w="0" w:type="dxa"/>
            <w:right w:w="108" w:type="dxa"/>
          </w:tblCellMar>
        </w:tblPrEx>
        <w:trPr>
          <w:trHeight w:val="306" w:hRule="atLeast"/>
          <w:jc w:val="center"/>
        </w:trPr>
        <w:tc>
          <w:tcPr>
            <w:tcW w:w="2154"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b/>
                <w:bCs/>
                <w:sz w:val="20"/>
                <w:szCs w:val="20"/>
              </w:rPr>
            </w:pPr>
            <w:r>
              <w:rPr>
                <w:rFonts w:hint="eastAsia" w:ascii="仿宋_GB2312" w:hAnsi="等线" w:eastAsia="仿宋_GB2312"/>
                <w:b/>
                <w:bCs/>
                <w:sz w:val="20"/>
                <w:szCs w:val="20"/>
              </w:rPr>
              <w:t>2.学生数</w:t>
            </w:r>
          </w:p>
        </w:tc>
        <w:tc>
          <w:tcPr>
            <w:tcW w:w="1093"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6</w:t>
            </w:r>
            <w:r>
              <w:rPr>
                <w:rFonts w:ascii="仿宋_GB2312" w:hAnsi="等线" w:eastAsia="仿宋_GB2312"/>
                <w:color w:val="000000"/>
                <w:sz w:val="20"/>
                <w:szCs w:val="20"/>
              </w:rPr>
              <w:t>00</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1200</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526</w:t>
            </w:r>
          </w:p>
        </w:tc>
        <w:tc>
          <w:tcPr>
            <w:tcW w:w="109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1628</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539</w:t>
            </w:r>
          </w:p>
        </w:tc>
        <w:tc>
          <w:tcPr>
            <w:tcW w:w="130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433</w:t>
            </w:r>
          </w:p>
        </w:tc>
      </w:tr>
      <w:tr>
        <w:tblPrEx>
          <w:tblLayout w:type="fixed"/>
          <w:tblCellMar>
            <w:top w:w="0" w:type="dxa"/>
            <w:left w:w="108" w:type="dxa"/>
            <w:bottom w:w="0" w:type="dxa"/>
            <w:right w:w="108" w:type="dxa"/>
          </w:tblCellMar>
        </w:tblPrEx>
        <w:trPr>
          <w:trHeight w:val="306" w:hRule="atLeast"/>
          <w:jc w:val="center"/>
        </w:trPr>
        <w:tc>
          <w:tcPr>
            <w:tcW w:w="2154"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b/>
                <w:bCs/>
                <w:sz w:val="20"/>
                <w:szCs w:val="20"/>
              </w:rPr>
            </w:pPr>
            <w:r>
              <w:rPr>
                <w:rFonts w:hint="eastAsia" w:ascii="仿宋_GB2312" w:hAnsi="等线" w:eastAsia="仿宋_GB2312"/>
                <w:b/>
                <w:bCs/>
                <w:sz w:val="20"/>
                <w:szCs w:val="20"/>
              </w:rPr>
              <w:t>3.校区数</w:t>
            </w:r>
          </w:p>
        </w:tc>
        <w:tc>
          <w:tcPr>
            <w:tcW w:w="1093"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2</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109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5</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2</w:t>
            </w:r>
          </w:p>
        </w:tc>
        <w:tc>
          <w:tcPr>
            <w:tcW w:w="130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r>
      <w:tr>
        <w:tblPrEx>
          <w:tblLayout w:type="fixed"/>
          <w:tblCellMar>
            <w:top w:w="0" w:type="dxa"/>
            <w:left w:w="108" w:type="dxa"/>
            <w:bottom w:w="0" w:type="dxa"/>
            <w:right w:w="108" w:type="dxa"/>
          </w:tblCellMar>
        </w:tblPrEx>
        <w:trPr>
          <w:trHeight w:val="306" w:hRule="atLeast"/>
          <w:jc w:val="center"/>
        </w:trPr>
        <w:tc>
          <w:tcPr>
            <w:tcW w:w="2154"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b/>
                <w:bCs/>
                <w:sz w:val="20"/>
                <w:szCs w:val="20"/>
              </w:rPr>
            </w:pPr>
            <w:r>
              <w:rPr>
                <w:rFonts w:hint="eastAsia" w:ascii="仿宋_GB2312" w:hAnsi="等线" w:eastAsia="仿宋_GB2312"/>
                <w:b/>
                <w:bCs/>
                <w:sz w:val="20"/>
                <w:szCs w:val="20"/>
              </w:rPr>
              <w:t>4.所属区域人口总数</w:t>
            </w:r>
          </w:p>
        </w:tc>
        <w:tc>
          <w:tcPr>
            <w:tcW w:w="1093"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110132</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bookmarkStart w:id="22" w:name="_Hlk137390933"/>
            <w:r>
              <w:rPr>
                <w:rFonts w:hint="eastAsia" w:ascii="仿宋_GB2312" w:hAnsi="等线" w:eastAsia="仿宋_GB2312"/>
                <w:color w:val="000000"/>
                <w:sz w:val="20"/>
                <w:szCs w:val="20"/>
              </w:rPr>
              <w:t>147324</w:t>
            </w:r>
            <w:bookmarkEnd w:id="22"/>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120420</w:t>
            </w:r>
          </w:p>
        </w:tc>
        <w:tc>
          <w:tcPr>
            <w:tcW w:w="109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124255</w:t>
            </w:r>
          </w:p>
        </w:tc>
        <w:tc>
          <w:tcPr>
            <w:tcW w:w="130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74884</w:t>
            </w:r>
          </w:p>
        </w:tc>
        <w:tc>
          <w:tcPr>
            <w:tcW w:w="1301"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95893</w:t>
            </w:r>
          </w:p>
        </w:tc>
      </w:tr>
    </w:tbl>
    <w:p>
      <w:pPr>
        <w:widowControl w:val="0"/>
        <w:spacing w:line="520" w:lineRule="exact"/>
        <w:ind w:firstLine="602" w:firstLineChars="200"/>
        <w:jc w:val="both"/>
        <w:rPr>
          <w:rFonts w:ascii="Times New Roman" w:hAnsi="Times New Roman" w:eastAsia="仿宋_GB2312" w:cs="Times New Roman"/>
          <w:b/>
          <w:bCs/>
          <w:kern w:val="2"/>
          <w:sz w:val="30"/>
          <w:szCs w:val="30"/>
        </w:rPr>
      </w:pPr>
      <w:r>
        <w:rPr>
          <w:rFonts w:hint="eastAsia" w:ascii="Times New Roman" w:hAnsi="Times New Roman" w:eastAsia="仿宋_GB2312" w:cs="Times New Roman"/>
          <w:b/>
          <w:bCs/>
          <w:kern w:val="2"/>
          <w:sz w:val="30"/>
          <w:szCs w:val="30"/>
        </w:rPr>
        <w:t>（1）</w:t>
      </w:r>
      <w:r>
        <w:rPr>
          <w:rFonts w:ascii="Times New Roman" w:hAnsi="Times New Roman" w:eastAsia="仿宋_GB2312" w:cs="Times New Roman"/>
          <w:b/>
          <w:bCs/>
          <w:kern w:val="2"/>
          <w:sz w:val="30"/>
          <w:szCs w:val="30"/>
        </w:rPr>
        <w:t>老年教育三类学习点建设经费</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kern w:val="2"/>
          <w:sz w:val="30"/>
          <w:szCs w:val="30"/>
        </w:rPr>
        <w:t>根据上海市老年教育工作小组办公室《关于进一步推进养教结合工作的实施意见》（沪老教办〔</w:t>
      </w:r>
      <w:r>
        <w:rPr>
          <w:rFonts w:ascii="Times New Roman" w:hAnsi="Times New Roman" w:eastAsia="仿宋_GB2312" w:cs="Times New Roman"/>
          <w:kern w:val="2"/>
          <w:sz w:val="30"/>
          <w:szCs w:val="30"/>
        </w:rPr>
        <w:t>2017</w:t>
      </w:r>
      <w:r>
        <w:rPr>
          <w:rFonts w:hint="eastAsia" w:ascii="Times New Roman" w:hAnsi="Times New Roman" w:eastAsia="仿宋_GB2312" w:cs="Times New Roman"/>
          <w:kern w:val="2"/>
          <w:sz w:val="30"/>
          <w:szCs w:val="30"/>
        </w:rPr>
        <w:t>〕</w:t>
      </w:r>
      <w:r>
        <w:rPr>
          <w:rFonts w:ascii="Times New Roman" w:hAnsi="Times New Roman" w:eastAsia="仿宋_GB2312" w:cs="Times New Roman"/>
          <w:kern w:val="2"/>
          <w:sz w:val="30"/>
          <w:szCs w:val="30"/>
        </w:rPr>
        <w:t>4号</w:t>
      </w:r>
      <w:r>
        <w:rPr>
          <w:rFonts w:hint="eastAsia" w:ascii="Times New Roman" w:hAnsi="Times New Roman" w:eastAsia="仿宋_GB2312" w:cs="Times New Roman"/>
          <w:kern w:val="2"/>
          <w:sz w:val="30"/>
          <w:szCs w:val="30"/>
        </w:rPr>
        <w:t>）、《上海市老年教育“居村委示范学习点”、“老年人社会学习点”建设的实施意见》（沪老教办〔</w:t>
      </w:r>
      <w:r>
        <w:rPr>
          <w:rFonts w:ascii="Times New Roman" w:hAnsi="Times New Roman" w:eastAsia="仿宋_GB2312" w:cs="Times New Roman"/>
          <w:kern w:val="2"/>
          <w:sz w:val="30"/>
          <w:szCs w:val="30"/>
        </w:rPr>
        <w:t>2017</w:t>
      </w:r>
      <w:r>
        <w:rPr>
          <w:rFonts w:hint="eastAsia" w:ascii="Times New Roman" w:hAnsi="Times New Roman" w:eastAsia="仿宋_GB2312" w:cs="Times New Roman"/>
          <w:kern w:val="2"/>
          <w:sz w:val="30"/>
          <w:szCs w:val="30"/>
        </w:rPr>
        <w:t>〕</w:t>
      </w:r>
      <w:r>
        <w:rPr>
          <w:rFonts w:ascii="Times New Roman" w:hAnsi="Times New Roman" w:eastAsia="仿宋_GB2312" w:cs="Times New Roman"/>
          <w:kern w:val="2"/>
          <w:sz w:val="30"/>
          <w:szCs w:val="30"/>
        </w:rPr>
        <w:t>2号</w:t>
      </w:r>
      <w:r>
        <w:rPr>
          <w:rFonts w:hint="eastAsia" w:ascii="Times New Roman" w:hAnsi="Times New Roman" w:eastAsia="仿宋_GB2312" w:cs="Times New Roman"/>
          <w:kern w:val="2"/>
          <w:sz w:val="30"/>
          <w:szCs w:val="30"/>
        </w:rPr>
        <w:t>）、《关于开展居村委特色学习点和优秀社会学习点建设工作的通知》、《上海市老年教育工作小组办公室关于开展居村委特色学习点和优秀社会学习点建设工作的通知》要求，按照《上海市老年教育居村委示范学习点建设指导标准》、《上海市老年教育社会学习点建设指导标准》、《上海市养老机构养教结合标准化学习点建设》规定，崇明区负责本区三类学习点的组织、协调和培育工作，做好本区年度建设计划，分期分批组织实施，在培育的基础上，好中选优，推送参评，并成立了区老年教育工作小组办（社区学院牵头），按照建设标准指导学习点建设，具体负责制定建设方案、初审、申报、中期调研、评估验收等。各学习点依托各乡镇成人学校进行建设。每年新增的建设任务数是根据市级统一计划安排确定，然后各区进行学习点的创建申报，最终由市级审批认定。崇明区对于</w:t>
      </w:r>
      <w:r>
        <w:rPr>
          <w:rFonts w:ascii="Times New Roman" w:hAnsi="Times New Roman" w:eastAsia="仿宋_GB2312" w:cs="Times New Roman"/>
          <w:kern w:val="2"/>
          <w:sz w:val="30"/>
          <w:szCs w:val="30"/>
        </w:rPr>
        <w:t>已建成的学习点，每个补贴0.2万元</w:t>
      </w:r>
      <w:r>
        <w:rPr>
          <w:rFonts w:hint="eastAsia" w:ascii="Times New Roman" w:hAnsi="Times New Roman" w:eastAsia="仿宋_GB2312" w:cs="Times New Roman"/>
          <w:kern w:val="2"/>
          <w:sz w:val="30"/>
          <w:szCs w:val="30"/>
        </w:rPr>
        <w:t>；</w:t>
      </w:r>
      <w:r>
        <w:rPr>
          <w:rFonts w:ascii="Times New Roman" w:hAnsi="Times New Roman" w:eastAsia="仿宋_GB2312" w:cs="Times New Roman"/>
          <w:kern w:val="2"/>
          <w:sz w:val="30"/>
          <w:szCs w:val="30"/>
        </w:rPr>
        <w:t>新创建学习点</w:t>
      </w:r>
      <w:r>
        <w:rPr>
          <w:rFonts w:hint="eastAsia" w:ascii="Times New Roman" w:hAnsi="Times New Roman" w:eastAsia="仿宋_GB2312" w:cs="Times New Roman"/>
          <w:kern w:val="2"/>
          <w:sz w:val="30"/>
          <w:szCs w:val="30"/>
        </w:rPr>
        <w:t>和</w:t>
      </w:r>
      <w:r>
        <w:rPr>
          <w:rFonts w:ascii="Times New Roman" w:hAnsi="Times New Roman" w:eastAsia="仿宋_GB2312" w:cs="Times New Roman"/>
          <w:kern w:val="2"/>
          <w:sz w:val="30"/>
          <w:szCs w:val="30"/>
        </w:rPr>
        <w:t>升级创建学习点，每个补贴1万元。补贴经费主要用作老年学习点的日常工作经费，包括课程培训费、志愿者交通费、老年学员活动的开展等，帮助学习点开展各项活动。</w:t>
      </w:r>
      <w:r>
        <w:rPr>
          <w:rFonts w:hint="eastAsia" w:ascii="Times New Roman" w:hAnsi="Times New Roman" w:eastAsia="仿宋_GB2312" w:cs="Times New Roman"/>
          <w:kern w:val="2"/>
          <w:sz w:val="30"/>
          <w:szCs w:val="30"/>
        </w:rPr>
        <w:t>具体完成情况及资金安排情况详见下表。</w:t>
      </w:r>
    </w:p>
    <w:p>
      <w:pPr>
        <w:widowControl w:val="0"/>
        <w:spacing w:line="520" w:lineRule="exact"/>
        <w:ind w:firstLine="482" w:firstLineChars="200"/>
        <w:jc w:val="center"/>
        <w:rPr>
          <w:rFonts w:ascii="Times New Roman" w:hAnsi="Times New Roman" w:eastAsia="仿宋_GB2312" w:cs="Times New Roman"/>
          <w:b/>
          <w:bCs/>
          <w:kern w:val="2"/>
        </w:rPr>
      </w:pPr>
      <w:r>
        <w:rPr>
          <w:rFonts w:hint="eastAsia" w:ascii="Times New Roman" w:hAnsi="Times New Roman" w:eastAsia="仿宋_GB2312" w:cs="Times New Roman"/>
          <w:b/>
          <w:bCs/>
          <w:kern w:val="2"/>
        </w:rPr>
        <w:t>表1-</w:t>
      </w:r>
      <w:r>
        <w:rPr>
          <w:rFonts w:ascii="Times New Roman" w:hAnsi="Times New Roman" w:eastAsia="仿宋_GB2312" w:cs="Times New Roman"/>
          <w:b/>
          <w:bCs/>
          <w:kern w:val="2"/>
        </w:rPr>
        <w:t>2</w:t>
      </w:r>
      <w:r>
        <w:rPr>
          <w:rFonts w:hint="eastAsia" w:ascii="Times New Roman" w:hAnsi="Times New Roman" w:eastAsia="仿宋_GB2312" w:cs="Times New Roman"/>
          <w:b/>
          <w:bCs/>
          <w:kern w:val="2"/>
        </w:rPr>
        <w:t>-</w:t>
      </w:r>
      <w:r>
        <w:rPr>
          <w:rFonts w:ascii="Times New Roman" w:hAnsi="Times New Roman" w:eastAsia="仿宋_GB2312" w:cs="Times New Roman"/>
          <w:b/>
          <w:bCs/>
          <w:kern w:val="2"/>
        </w:rPr>
        <w:t xml:space="preserve">2 </w:t>
      </w:r>
      <w:r>
        <w:rPr>
          <w:rFonts w:hint="eastAsia" w:ascii="Times New Roman" w:hAnsi="Times New Roman" w:eastAsia="仿宋_GB2312" w:cs="Times New Roman"/>
          <w:b/>
          <w:bCs/>
          <w:kern w:val="2"/>
        </w:rPr>
        <w:t>崇明区建设任务计划及完成情况</w:t>
      </w:r>
    </w:p>
    <w:tbl>
      <w:tblPr>
        <w:tblStyle w:val="40"/>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3263"/>
        <w:gridCol w:w="1490"/>
        <w:gridCol w:w="1626"/>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4391" w:type="dxa"/>
            <w:gridSpan w:val="2"/>
            <w:vMerge w:val="restart"/>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类别</w:t>
            </w:r>
          </w:p>
        </w:tc>
        <w:tc>
          <w:tcPr>
            <w:tcW w:w="1490" w:type="dxa"/>
            <w:vMerge w:val="restart"/>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2021年前创建完成</w:t>
            </w:r>
          </w:p>
        </w:tc>
        <w:tc>
          <w:tcPr>
            <w:tcW w:w="2947" w:type="dxa"/>
            <w:gridSpan w:val="2"/>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2</w:t>
            </w:r>
            <w:r>
              <w:rPr>
                <w:rFonts w:ascii="仿宋_GB2312" w:hAnsi="等线" w:eastAsia="仿宋_GB2312"/>
                <w:b/>
                <w:bCs/>
                <w:color w:val="000000"/>
                <w:sz w:val="21"/>
                <w:szCs w:val="21"/>
              </w:rPr>
              <w:t>022</w:t>
            </w:r>
            <w:r>
              <w:rPr>
                <w:rFonts w:hint="eastAsia" w:ascii="仿宋_GB2312" w:hAnsi="等线" w:eastAsia="仿宋_GB2312"/>
                <w:b/>
                <w:bCs/>
                <w:color w:val="000000"/>
                <w:sz w:val="21"/>
                <w:szCs w:val="21"/>
              </w:rPr>
              <w:t>年创建情况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4391" w:type="dxa"/>
            <w:gridSpan w:val="2"/>
            <w:vMerge w:val="continue"/>
            <w:vAlign w:val="center"/>
          </w:tcPr>
          <w:p>
            <w:pPr>
              <w:snapToGrid w:val="0"/>
              <w:spacing w:line="240" w:lineRule="atLeast"/>
              <w:rPr>
                <w:rFonts w:ascii="仿宋_GB2312" w:hAnsi="等线" w:eastAsia="仿宋_GB2312"/>
                <w:b/>
                <w:bCs/>
                <w:color w:val="000000"/>
                <w:sz w:val="21"/>
                <w:szCs w:val="21"/>
              </w:rPr>
            </w:pPr>
          </w:p>
        </w:tc>
        <w:tc>
          <w:tcPr>
            <w:tcW w:w="1490" w:type="dxa"/>
            <w:vMerge w:val="continue"/>
            <w:shd w:val="clear" w:color="auto" w:fill="auto"/>
            <w:vAlign w:val="center"/>
          </w:tcPr>
          <w:p>
            <w:pPr>
              <w:snapToGrid w:val="0"/>
              <w:spacing w:line="240" w:lineRule="atLeast"/>
              <w:jc w:val="center"/>
              <w:rPr>
                <w:rFonts w:ascii="仿宋_GB2312" w:hAnsi="等线" w:eastAsia="仿宋_GB2312"/>
                <w:b/>
                <w:bCs/>
                <w:color w:val="000000"/>
                <w:sz w:val="21"/>
                <w:szCs w:val="21"/>
              </w:rPr>
            </w:pPr>
          </w:p>
        </w:tc>
        <w:tc>
          <w:tcPr>
            <w:tcW w:w="1626"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创建任务</w:t>
            </w:r>
          </w:p>
        </w:tc>
        <w:tc>
          <w:tcPr>
            <w:tcW w:w="1321"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28" w:type="dxa"/>
            <w:vMerge w:val="restart"/>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居委会学习点</w:t>
            </w:r>
          </w:p>
        </w:tc>
        <w:tc>
          <w:tcPr>
            <w:tcW w:w="3263" w:type="dxa"/>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居村委示范学习点（新建）</w:t>
            </w:r>
          </w:p>
        </w:tc>
        <w:tc>
          <w:tcPr>
            <w:tcW w:w="1490"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29</w:t>
            </w:r>
          </w:p>
        </w:tc>
        <w:tc>
          <w:tcPr>
            <w:tcW w:w="162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1-3</w:t>
            </w:r>
          </w:p>
        </w:tc>
        <w:tc>
          <w:tcPr>
            <w:tcW w:w="1321"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28" w:type="dxa"/>
            <w:vMerge w:val="continue"/>
            <w:vAlign w:val="center"/>
          </w:tcPr>
          <w:p>
            <w:pPr>
              <w:snapToGrid w:val="0"/>
              <w:spacing w:line="240" w:lineRule="atLeast"/>
              <w:rPr>
                <w:rFonts w:ascii="仿宋_GB2312" w:hAnsi="等线" w:eastAsia="仿宋_GB2312"/>
                <w:color w:val="000000"/>
                <w:sz w:val="21"/>
                <w:szCs w:val="21"/>
              </w:rPr>
            </w:pPr>
          </w:p>
        </w:tc>
        <w:tc>
          <w:tcPr>
            <w:tcW w:w="3263" w:type="dxa"/>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居村委特色学习点（升级）</w:t>
            </w:r>
          </w:p>
        </w:tc>
        <w:tc>
          <w:tcPr>
            <w:tcW w:w="1490"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62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2-3</w:t>
            </w:r>
          </w:p>
        </w:tc>
        <w:tc>
          <w:tcPr>
            <w:tcW w:w="1321"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28" w:type="dxa"/>
            <w:vMerge w:val="restart"/>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社会学习点</w:t>
            </w:r>
          </w:p>
        </w:tc>
        <w:tc>
          <w:tcPr>
            <w:tcW w:w="3263" w:type="dxa"/>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社会学习点（新建）</w:t>
            </w:r>
          </w:p>
        </w:tc>
        <w:tc>
          <w:tcPr>
            <w:tcW w:w="1490"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16</w:t>
            </w:r>
          </w:p>
        </w:tc>
        <w:tc>
          <w:tcPr>
            <w:tcW w:w="162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321"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28" w:type="dxa"/>
            <w:vMerge w:val="continue"/>
            <w:vAlign w:val="center"/>
          </w:tcPr>
          <w:p>
            <w:pPr>
              <w:snapToGrid w:val="0"/>
              <w:spacing w:line="240" w:lineRule="atLeast"/>
              <w:rPr>
                <w:rFonts w:ascii="仿宋_GB2312" w:hAnsi="等线" w:eastAsia="仿宋_GB2312"/>
                <w:color w:val="000000"/>
                <w:sz w:val="21"/>
                <w:szCs w:val="21"/>
              </w:rPr>
            </w:pPr>
          </w:p>
        </w:tc>
        <w:tc>
          <w:tcPr>
            <w:tcW w:w="3263" w:type="dxa"/>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优秀社会学习点（升级）</w:t>
            </w:r>
          </w:p>
        </w:tc>
        <w:tc>
          <w:tcPr>
            <w:tcW w:w="1490"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62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321"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28" w:type="dxa"/>
            <w:vMerge w:val="restart"/>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养教结合学习点</w:t>
            </w:r>
          </w:p>
        </w:tc>
        <w:tc>
          <w:tcPr>
            <w:tcW w:w="3263" w:type="dxa"/>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养教结合学习点（新建）</w:t>
            </w:r>
          </w:p>
        </w:tc>
        <w:tc>
          <w:tcPr>
            <w:tcW w:w="1490"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9</w:t>
            </w:r>
          </w:p>
        </w:tc>
        <w:tc>
          <w:tcPr>
            <w:tcW w:w="162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321"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128" w:type="dxa"/>
            <w:vMerge w:val="continue"/>
            <w:vAlign w:val="center"/>
          </w:tcPr>
          <w:p>
            <w:pPr>
              <w:snapToGrid w:val="0"/>
              <w:spacing w:line="240" w:lineRule="atLeast"/>
              <w:rPr>
                <w:rFonts w:ascii="仿宋_GB2312" w:hAnsi="等线" w:eastAsia="仿宋_GB2312"/>
                <w:color w:val="000000"/>
                <w:sz w:val="21"/>
                <w:szCs w:val="21"/>
              </w:rPr>
            </w:pPr>
          </w:p>
        </w:tc>
        <w:tc>
          <w:tcPr>
            <w:tcW w:w="3263" w:type="dxa"/>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养教结合标准化学习点（新建）</w:t>
            </w:r>
          </w:p>
        </w:tc>
        <w:tc>
          <w:tcPr>
            <w:tcW w:w="1490"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w:t>
            </w:r>
          </w:p>
        </w:tc>
        <w:tc>
          <w:tcPr>
            <w:tcW w:w="162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321"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4391" w:type="dxa"/>
            <w:gridSpan w:val="2"/>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合计</w:t>
            </w:r>
          </w:p>
        </w:tc>
        <w:tc>
          <w:tcPr>
            <w:tcW w:w="1490"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67</w:t>
            </w:r>
          </w:p>
        </w:tc>
        <w:tc>
          <w:tcPr>
            <w:tcW w:w="1626"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w:t>
            </w:r>
          </w:p>
        </w:tc>
        <w:tc>
          <w:tcPr>
            <w:tcW w:w="1321"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11</w:t>
            </w:r>
          </w:p>
        </w:tc>
      </w:tr>
    </w:tbl>
    <w:p>
      <w:pPr>
        <w:widowControl w:val="0"/>
        <w:snapToGrid w:val="0"/>
        <w:spacing w:line="240" w:lineRule="atLeast"/>
        <w:ind w:firstLine="480" w:firstLineChars="200"/>
        <w:jc w:val="both"/>
        <w:rPr>
          <w:rFonts w:ascii="Times New Roman" w:hAnsi="Times New Roman" w:eastAsia="仿宋_GB2312" w:cs="Times New Roman"/>
          <w:kern w:val="2"/>
        </w:rPr>
      </w:pPr>
      <w:r>
        <w:rPr>
          <w:rFonts w:hint="eastAsia" w:ascii="Times New Roman" w:hAnsi="Times New Roman" w:eastAsia="仿宋_GB2312" w:cs="Times New Roman"/>
          <w:kern w:val="2"/>
        </w:rPr>
        <w:t>注：2</w:t>
      </w:r>
      <w:r>
        <w:rPr>
          <w:rFonts w:ascii="Times New Roman" w:hAnsi="Times New Roman" w:eastAsia="仿宋_GB2312" w:cs="Times New Roman"/>
          <w:kern w:val="2"/>
        </w:rPr>
        <w:t>022</w:t>
      </w:r>
      <w:r>
        <w:rPr>
          <w:rFonts w:hint="eastAsia" w:ascii="Times New Roman" w:hAnsi="Times New Roman" w:eastAsia="仿宋_GB2312" w:cs="Times New Roman"/>
          <w:kern w:val="2"/>
        </w:rPr>
        <w:t>年1</w:t>
      </w:r>
      <w:r>
        <w:rPr>
          <w:rFonts w:ascii="Times New Roman" w:hAnsi="Times New Roman" w:eastAsia="仿宋_GB2312" w:cs="Times New Roman"/>
          <w:kern w:val="2"/>
        </w:rPr>
        <w:t>1</w:t>
      </w:r>
      <w:r>
        <w:rPr>
          <w:rFonts w:hint="eastAsia" w:ascii="Times New Roman" w:hAnsi="Times New Roman" w:eastAsia="仿宋_GB2312" w:cs="Times New Roman"/>
          <w:kern w:val="2"/>
        </w:rPr>
        <w:t>个学习点为市级评定和评选结果。</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kern w:val="2"/>
          <w:sz w:val="30"/>
          <w:szCs w:val="30"/>
        </w:rPr>
        <w:t>由于三类学习点由各成校牵头建设，因此，按照不同成校对学习点进行分类，具体情况详见下表。</w:t>
      </w:r>
    </w:p>
    <w:p>
      <w:pPr>
        <w:widowControl w:val="0"/>
        <w:spacing w:line="520" w:lineRule="exact"/>
        <w:ind w:firstLine="482" w:firstLineChars="200"/>
        <w:jc w:val="center"/>
        <w:rPr>
          <w:rFonts w:ascii="Times New Roman" w:hAnsi="Times New Roman" w:eastAsia="仿宋_GB2312" w:cs="Times New Roman"/>
          <w:b/>
          <w:bCs/>
          <w:kern w:val="2"/>
        </w:rPr>
      </w:pPr>
      <w:r>
        <w:rPr>
          <w:rFonts w:hint="eastAsia" w:ascii="Times New Roman" w:hAnsi="Times New Roman" w:eastAsia="仿宋_GB2312" w:cs="Times New Roman"/>
          <w:b/>
          <w:bCs/>
          <w:kern w:val="2"/>
        </w:rPr>
        <w:t>表1-</w:t>
      </w:r>
      <w:r>
        <w:rPr>
          <w:rFonts w:ascii="Times New Roman" w:hAnsi="Times New Roman" w:eastAsia="仿宋_GB2312" w:cs="Times New Roman"/>
          <w:b/>
          <w:bCs/>
          <w:kern w:val="2"/>
        </w:rPr>
        <w:t>2</w:t>
      </w:r>
      <w:r>
        <w:rPr>
          <w:rFonts w:hint="eastAsia" w:ascii="Times New Roman" w:hAnsi="Times New Roman" w:eastAsia="仿宋_GB2312" w:cs="Times New Roman"/>
          <w:b/>
          <w:bCs/>
          <w:kern w:val="2"/>
        </w:rPr>
        <w:t>-</w:t>
      </w:r>
      <w:r>
        <w:rPr>
          <w:rFonts w:ascii="Times New Roman" w:hAnsi="Times New Roman" w:eastAsia="仿宋_GB2312" w:cs="Times New Roman"/>
          <w:b/>
          <w:bCs/>
          <w:kern w:val="2"/>
        </w:rPr>
        <w:t>3 崇明区老年教育三类学习点</w:t>
      </w:r>
      <w:r>
        <w:rPr>
          <w:rFonts w:hint="eastAsia" w:ascii="Times New Roman" w:hAnsi="Times New Roman" w:eastAsia="仿宋_GB2312" w:cs="Times New Roman"/>
          <w:b/>
          <w:bCs/>
          <w:kern w:val="2"/>
        </w:rPr>
        <w:t>补贴情况（单位：万元）</w:t>
      </w:r>
    </w:p>
    <w:tbl>
      <w:tblPr>
        <w:tblStyle w:val="40"/>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268"/>
        <w:gridCol w:w="1368"/>
        <w:gridCol w:w="1321"/>
        <w:gridCol w:w="1255"/>
        <w:gridCol w:w="1536"/>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blHeader/>
        </w:trPr>
        <w:tc>
          <w:tcPr>
            <w:tcW w:w="902" w:type="dxa"/>
            <w:vMerge w:val="restart"/>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序号</w:t>
            </w:r>
          </w:p>
        </w:tc>
        <w:tc>
          <w:tcPr>
            <w:tcW w:w="1268" w:type="dxa"/>
            <w:vMerge w:val="restart"/>
            <w:shd w:val="clear" w:color="auto" w:fill="auto"/>
            <w:vAlign w:val="center"/>
          </w:tcPr>
          <w:p>
            <w:pPr>
              <w:snapToGrid w:val="0"/>
              <w:spacing w:line="240" w:lineRule="atLeast"/>
              <w:rPr>
                <w:rFonts w:ascii="仿宋_GB2312" w:eastAsia="仿宋_GB2312"/>
                <w:b/>
                <w:bCs/>
                <w:color w:val="000000"/>
                <w:sz w:val="21"/>
                <w:szCs w:val="21"/>
              </w:rPr>
            </w:pPr>
            <w:r>
              <w:rPr>
                <w:rFonts w:hint="eastAsia" w:ascii="仿宋_GB2312" w:eastAsia="仿宋_GB2312"/>
                <w:b/>
                <w:bCs/>
                <w:color w:val="000000"/>
                <w:sz w:val="21"/>
                <w:szCs w:val="21"/>
              </w:rPr>
              <w:t>所在成校</w:t>
            </w:r>
          </w:p>
        </w:tc>
        <w:tc>
          <w:tcPr>
            <w:tcW w:w="2689" w:type="dxa"/>
            <w:gridSpan w:val="2"/>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已建成学习点</w:t>
            </w:r>
          </w:p>
        </w:tc>
        <w:tc>
          <w:tcPr>
            <w:tcW w:w="2791" w:type="dxa"/>
            <w:gridSpan w:val="2"/>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新建及升级创建</w:t>
            </w:r>
          </w:p>
        </w:tc>
        <w:tc>
          <w:tcPr>
            <w:tcW w:w="1178" w:type="dxa"/>
            <w:vMerge w:val="restart"/>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blHeader/>
        </w:trPr>
        <w:tc>
          <w:tcPr>
            <w:tcW w:w="902" w:type="dxa"/>
            <w:vMerge w:val="continue"/>
            <w:shd w:val="clear" w:color="auto" w:fill="auto"/>
            <w:vAlign w:val="center"/>
          </w:tcPr>
          <w:p>
            <w:pPr>
              <w:snapToGrid w:val="0"/>
              <w:spacing w:line="240" w:lineRule="atLeast"/>
              <w:jc w:val="center"/>
              <w:rPr>
                <w:rFonts w:ascii="仿宋_GB2312" w:eastAsia="仿宋_GB2312"/>
                <w:b/>
                <w:bCs/>
                <w:color w:val="000000"/>
                <w:sz w:val="21"/>
                <w:szCs w:val="21"/>
              </w:rPr>
            </w:pPr>
          </w:p>
        </w:tc>
        <w:tc>
          <w:tcPr>
            <w:tcW w:w="1268" w:type="dxa"/>
            <w:vMerge w:val="continue"/>
            <w:shd w:val="clear" w:color="auto" w:fill="auto"/>
            <w:vAlign w:val="center"/>
          </w:tcPr>
          <w:p>
            <w:pPr>
              <w:snapToGrid w:val="0"/>
              <w:spacing w:line="240" w:lineRule="atLeast"/>
              <w:rPr>
                <w:rFonts w:ascii="仿宋_GB2312" w:eastAsia="仿宋_GB2312"/>
                <w:b/>
                <w:bCs/>
                <w:color w:val="000000"/>
                <w:sz w:val="21"/>
                <w:szCs w:val="21"/>
              </w:rPr>
            </w:pPr>
          </w:p>
        </w:tc>
        <w:tc>
          <w:tcPr>
            <w:tcW w:w="1368"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数量</w:t>
            </w:r>
          </w:p>
        </w:tc>
        <w:tc>
          <w:tcPr>
            <w:tcW w:w="1321"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补贴金额</w:t>
            </w:r>
          </w:p>
        </w:tc>
        <w:tc>
          <w:tcPr>
            <w:tcW w:w="1255"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数量</w:t>
            </w:r>
          </w:p>
        </w:tc>
        <w:tc>
          <w:tcPr>
            <w:tcW w:w="1536"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补贴金额</w:t>
            </w:r>
          </w:p>
        </w:tc>
        <w:tc>
          <w:tcPr>
            <w:tcW w:w="1178" w:type="dxa"/>
            <w:vMerge w:val="continue"/>
            <w:shd w:val="clear" w:color="auto" w:fill="auto"/>
            <w:vAlign w:val="center"/>
          </w:tcPr>
          <w:p>
            <w:pPr>
              <w:snapToGrid w:val="0"/>
              <w:spacing w:line="240" w:lineRule="atLeast"/>
              <w:jc w:val="center"/>
              <w:rPr>
                <w:rFonts w:ascii="仿宋_GB2312" w:eastAsia="仿宋_GB2312"/>
                <w:b/>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02"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w:t>
            </w:r>
          </w:p>
        </w:tc>
        <w:tc>
          <w:tcPr>
            <w:tcW w:w="1268" w:type="dxa"/>
            <w:shd w:val="clear" w:color="auto" w:fill="auto"/>
            <w:vAlign w:val="center"/>
          </w:tcPr>
          <w:p>
            <w:pPr>
              <w:snapToGrid w:val="0"/>
              <w:spacing w:line="240" w:lineRule="atLeast"/>
              <w:rPr>
                <w:rFonts w:ascii="仿宋_GB2312" w:eastAsia="仿宋_GB2312"/>
                <w:color w:val="000000"/>
                <w:sz w:val="21"/>
                <w:szCs w:val="21"/>
              </w:rPr>
            </w:pPr>
            <w:r>
              <w:rPr>
                <w:rFonts w:hint="eastAsia" w:ascii="仿宋_GB2312" w:eastAsia="仿宋_GB2312"/>
                <w:color w:val="000000"/>
                <w:sz w:val="21"/>
                <w:szCs w:val="21"/>
              </w:rPr>
              <w:t>庙镇成校</w:t>
            </w:r>
          </w:p>
        </w:tc>
        <w:tc>
          <w:tcPr>
            <w:tcW w:w="136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13</w:t>
            </w:r>
          </w:p>
        </w:tc>
        <w:tc>
          <w:tcPr>
            <w:tcW w:w="1321"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2.6</w:t>
            </w:r>
          </w:p>
        </w:tc>
        <w:tc>
          <w:tcPr>
            <w:tcW w:w="1255"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4</w:t>
            </w:r>
          </w:p>
        </w:tc>
        <w:tc>
          <w:tcPr>
            <w:tcW w:w="1536"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4</w:t>
            </w:r>
          </w:p>
        </w:tc>
        <w:tc>
          <w:tcPr>
            <w:tcW w:w="117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02"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w:t>
            </w:r>
          </w:p>
        </w:tc>
        <w:tc>
          <w:tcPr>
            <w:tcW w:w="1268" w:type="dxa"/>
            <w:shd w:val="clear" w:color="auto" w:fill="auto"/>
            <w:vAlign w:val="center"/>
          </w:tcPr>
          <w:p>
            <w:pPr>
              <w:snapToGrid w:val="0"/>
              <w:spacing w:line="240" w:lineRule="atLeast"/>
              <w:rPr>
                <w:rFonts w:ascii="仿宋_GB2312" w:eastAsia="仿宋_GB2312"/>
                <w:color w:val="000000"/>
                <w:sz w:val="21"/>
                <w:szCs w:val="21"/>
              </w:rPr>
            </w:pPr>
            <w:r>
              <w:rPr>
                <w:rFonts w:hint="eastAsia" w:ascii="仿宋_GB2312" w:eastAsia="仿宋_GB2312"/>
                <w:color w:val="000000"/>
                <w:sz w:val="21"/>
                <w:szCs w:val="21"/>
              </w:rPr>
              <w:t>城桥镇成校</w:t>
            </w:r>
          </w:p>
        </w:tc>
        <w:tc>
          <w:tcPr>
            <w:tcW w:w="136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22</w:t>
            </w:r>
          </w:p>
        </w:tc>
        <w:tc>
          <w:tcPr>
            <w:tcW w:w="1321"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4.4</w:t>
            </w:r>
          </w:p>
        </w:tc>
        <w:tc>
          <w:tcPr>
            <w:tcW w:w="1255"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w:t>
            </w:r>
          </w:p>
        </w:tc>
        <w:tc>
          <w:tcPr>
            <w:tcW w:w="1536"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w:t>
            </w:r>
          </w:p>
        </w:tc>
        <w:tc>
          <w:tcPr>
            <w:tcW w:w="117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02"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3</w:t>
            </w:r>
          </w:p>
        </w:tc>
        <w:tc>
          <w:tcPr>
            <w:tcW w:w="1268" w:type="dxa"/>
            <w:shd w:val="clear" w:color="auto" w:fill="auto"/>
            <w:vAlign w:val="center"/>
          </w:tcPr>
          <w:p>
            <w:pPr>
              <w:snapToGrid w:val="0"/>
              <w:spacing w:line="240" w:lineRule="atLeast"/>
              <w:rPr>
                <w:rFonts w:ascii="仿宋_GB2312" w:eastAsia="仿宋_GB2312"/>
                <w:color w:val="000000"/>
                <w:sz w:val="21"/>
                <w:szCs w:val="21"/>
              </w:rPr>
            </w:pPr>
            <w:r>
              <w:rPr>
                <w:rFonts w:hint="eastAsia" w:ascii="仿宋_GB2312" w:eastAsia="仿宋_GB2312"/>
                <w:color w:val="000000"/>
                <w:sz w:val="21"/>
                <w:szCs w:val="21"/>
              </w:rPr>
              <w:t>新河镇成校</w:t>
            </w:r>
          </w:p>
        </w:tc>
        <w:tc>
          <w:tcPr>
            <w:tcW w:w="136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10</w:t>
            </w:r>
          </w:p>
        </w:tc>
        <w:tc>
          <w:tcPr>
            <w:tcW w:w="1321"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w:t>
            </w:r>
          </w:p>
        </w:tc>
        <w:tc>
          <w:tcPr>
            <w:tcW w:w="1255"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w:t>
            </w:r>
          </w:p>
        </w:tc>
        <w:tc>
          <w:tcPr>
            <w:tcW w:w="1536"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w:t>
            </w:r>
          </w:p>
        </w:tc>
        <w:tc>
          <w:tcPr>
            <w:tcW w:w="117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02"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4</w:t>
            </w:r>
          </w:p>
        </w:tc>
        <w:tc>
          <w:tcPr>
            <w:tcW w:w="1268" w:type="dxa"/>
            <w:shd w:val="clear" w:color="auto" w:fill="auto"/>
            <w:vAlign w:val="center"/>
          </w:tcPr>
          <w:p>
            <w:pPr>
              <w:snapToGrid w:val="0"/>
              <w:spacing w:line="240" w:lineRule="atLeast"/>
              <w:rPr>
                <w:rFonts w:ascii="仿宋_GB2312" w:eastAsia="仿宋_GB2312"/>
                <w:color w:val="000000"/>
                <w:sz w:val="21"/>
                <w:szCs w:val="21"/>
              </w:rPr>
            </w:pPr>
            <w:r>
              <w:rPr>
                <w:rFonts w:hint="eastAsia" w:ascii="仿宋_GB2312" w:eastAsia="仿宋_GB2312"/>
                <w:color w:val="000000"/>
                <w:sz w:val="21"/>
                <w:szCs w:val="21"/>
              </w:rPr>
              <w:t>堡镇成校</w:t>
            </w:r>
          </w:p>
        </w:tc>
        <w:tc>
          <w:tcPr>
            <w:tcW w:w="136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10</w:t>
            </w:r>
          </w:p>
        </w:tc>
        <w:tc>
          <w:tcPr>
            <w:tcW w:w="1321"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w:t>
            </w:r>
          </w:p>
        </w:tc>
        <w:tc>
          <w:tcPr>
            <w:tcW w:w="1255"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w:t>
            </w:r>
          </w:p>
        </w:tc>
        <w:tc>
          <w:tcPr>
            <w:tcW w:w="1536"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w:t>
            </w:r>
          </w:p>
        </w:tc>
        <w:tc>
          <w:tcPr>
            <w:tcW w:w="117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02"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5</w:t>
            </w:r>
          </w:p>
        </w:tc>
        <w:tc>
          <w:tcPr>
            <w:tcW w:w="1268" w:type="dxa"/>
            <w:shd w:val="clear" w:color="auto" w:fill="auto"/>
            <w:vAlign w:val="center"/>
          </w:tcPr>
          <w:p>
            <w:pPr>
              <w:snapToGrid w:val="0"/>
              <w:spacing w:line="240" w:lineRule="atLeast"/>
              <w:rPr>
                <w:rFonts w:ascii="仿宋_GB2312" w:eastAsia="仿宋_GB2312"/>
                <w:color w:val="000000"/>
                <w:sz w:val="21"/>
                <w:szCs w:val="21"/>
              </w:rPr>
            </w:pPr>
            <w:r>
              <w:rPr>
                <w:rFonts w:hint="eastAsia" w:ascii="仿宋_GB2312" w:eastAsia="仿宋_GB2312"/>
                <w:color w:val="000000"/>
                <w:sz w:val="21"/>
                <w:szCs w:val="21"/>
              </w:rPr>
              <w:t>陈家镇成校</w:t>
            </w:r>
          </w:p>
        </w:tc>
        <w:tc>
          <w:tcPr>
            <w:tcW w:w="136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8</w:t>
            </w:r>
          </w:p>
        </w:tc>
        <w:tc>
          <w:tcPr>
            <w:tcW w:w="1321"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1.6</w:t>
            </w:r>
          </w:p>
        </w:tc>
        <w:tc>
          <w:tcPr>
            <w:tcW w:w="1255"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w:t>
            </w:r>
          </w:p>
        </w:tc>
        <w:tc>
          <w:tcPr>
            <w:tcW w:w="1536"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w:t>
            </w:r>
          </w:p>
        </w:tc>
        <w:tc>
          <w:tcPr>
            <w:tcW w:w="117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902"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6</w:t>
            </w:r>
          </w:p>
        </w:tc>
        <w:tc>
          <w:tcPr>
            <w:tcW w:w="1268" w:type="dxa"/>
            <w:shd w:val="clear" w:color="auto" w:fill="auto"/>
            <w:vAlign w:val="center"/>
          </w:tcPr>
          <w:p>
            <w:pPr>
              <w:snapToGrid w:val="0"/>
              <w:spacing w:line="240" w:lineRule="atLeast"/>
              <w:rPr>
                <w:rFonts w:ascii="仿宋_GB2312" w:eastAsia="仿宋_GB2312"/>
                <w:color w:val="000000"/>
                <w:sz w:val="21"/>
                <w:szCs w:val="21"/>
              </w:rPr>
            </w:pPr>
            <w:r>
              <w:rPr>
                <w:rFonts w:hint="eastAsia" w:ascii="仿宋_GB2312" w:eastAsia="仿宋_GB2312"/>
                <w:color w:val="000000"/>
                <w:sz w:val="21"/>
                <w:szCs w:val="21"/>
              </w:rPr>
              <w:t>长兴镇成校</w:t>
            </w:r>
          </w:p>
        </w:tc>
        <w:tc>
          <w:tcPr>
            <w:tcW w:w="136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4</w:t>
            </w:r>
          </w:p>
        </w:tc>
        <w:tc>
          <w:tcPr>
            <w:tcW w:w="1321"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0.8</w:t>
            </w:r>
          </w:p>
        </w:tc>
        <w:tc>
          <w:tcPr>
            <w:tcW w:w="1255"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w:t>
            </w:r>
          </w:p>
        </w:tc>
        <w:tc>
          <w:tcPr>
            <w:tcW w:w="1536"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w:t>
            </w:r>
          </w:p>
        </w:tc>
        <w:tc>
          <w:tcPr>
            <w:tcW w:w="1178" w:type="dxa"/>
            <w:shd w:val="clear" w:color="auto" w:fill="auto"/>
            <w:vAlign w:val="center"/>
          </w:tcPr>
          <w:p>
            <w:pPr>
              <w:snapToGrid w:val="0"/>
              <w:spacing w:line="240" w:lineRule="atLeast"/>
              <w:jc w:val="center"/>
              <w:rPr>
                <w:rFonts w:ascii="仿宋_GB2312" w:eastAsia="仿宋_GB2312"/>
                <w:color w:val="000000"/>
                <w:sz w:val="21"/>
                <w:szCs w:val="21"/>
              </w:rPr>
            </w:pPr>
            <w:r>
              <w:rPr>
                <w:rFonts w:hint="eastAsia" w:ascii="仿宋_GB2312" w:eastAsia="仿宋_GB2312"/>
                <w:color w:val="000000"/>
                <w:sz w:val="21"/>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2170" w:type="dxa"/>
            <w:gridSpan w:val="2"/>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合计：</w:t>
            </w:r>
          </w:p>
        </w:tc>
        <w:tc>
          <w:tcPr>
            <w:tcW w:w="1368"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67</w:t>
            </w:r>
          </w:p>
        </w:tc>
        <w:tc>
          <w:tcPr>
            <w:tcW w:w="1321"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13.4</w:t>
            </w:r>
          </w:p>
        </w:tc>
        <w:tc>
          <w:tcPr>
            <w:tcW w:w="1255"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11</w:t>
            </w:r>
          </w:p>
        </w:tc>
        <w:tc>
          <w:tcPr>
            <w:tcW w:w="1536"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11</w:t>
            </w:r>
          </w:p>
        </w:tc>
        <w:tc>
          <w:tcPr>
            <w:tcW w:w="1178" w:type="dxa"/>
            <w:shd w:val="clear" w:color="auto" w:fill="auto"/>
            <w:vAlign w:val="center"/>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24.4</w:t>
            </w:r>
          </w:p>
        </w:tc>
      </w:tr>
    </w:tbl>
    <w:p>
      <w:pPr>
        <w:widowControl w:val="0"/>
        <w:snapToGrid w:val="0"/>
        <w:spacing w:line="240" w:lineRule="atLeast"/>
        <w:ind w:firstLine="480" w:firstLineChars="200"/>
        <w:jc w:val="both"/>
        <w:rPr>
          <w:rFonts w:ascii="Times New Roman" w:hAnsi="Times New Roman" w:eastAsia="仿宋_GB2312" w:cs="Times New Roman"/>
          <w:kern w:val="2"/>
        </w:rPr>
      </w:pPr>
      <w:r>
        <w:rPr>
          <w:rFonts w:hint="eastAsia" w:ascii="Times New Roman" w:hAnsi="Times New Roman" w:eastAsia="仿宋_GB2312" w:cs="Times New Roman"/>
          <w:kern w:val="2"/>
        </w:rPr>
        <w:t>注：除补贴经费外，区教育局还支付老年三类学习点建设工作人员劳务费每人800元，包含10个居村委学习点工作人员和6个社会学习点工作人员劳务费，1</w:t>
      </w:r>
      <w:r>
        <w:rPr>
          <w:rFonts w:ascii="Times New Roman" w:hAnsi="Times New Roman" w:eastAsia="仿宋_GB2312" w:cs="Times New Roman"/>
          <w:kern w:val="2"/>
        </w:rPr>
        <w:t>6</w:t>
      </w:r>
      <w:r>
        <w:rPr>
          <w:rFonts w:hint="eastAsia" w:ascii="Times New Roman" w:hAnsi="Times New Roman" w:eastAsia="仿宋_GB2312" w:cs="Times New Roman"/>
          <w:kern w:val="2"/>
        </w:rPr>
        <w:t>人，共12800元。因此，</w:t>
      </w:r>
      <w:r>
        <w:rPr>
          <w:rFonts w:hint="eastAsia" w:ascii="Times New Roman" w:hAnsi="Times New Roman" w:eastAsia="仿宋_GB2312" w:cs="Times New Roman"/>
          <w:b/>
          <w:bCs/>
          <w:kern w:val="2"/>
        </w:rPr>
        <w:t>三类学习点建设合计支出256800元</w:t>
      </w:r>
      <w:r>
        <w:rPr>
          <w:rFonts w:hint="eastAsia" w:ascii="Times New Roman" w:hAnsi="Times New Roman" w:eastAsia="仿宋_GB2312" w:cs="Times New Roman"/>
          <w:kern w:val="2"/>
        </w:rPr>
        <w:t>。单独列支人员劳务费没有明确依据，支出合理性不足。</w:t>
      </w:r>
    </w:p>
    <w:p>
      <w:pPr>
        <w:widowControl w:val="0"/>
        <w:spacing w:line="520" w:lineRule="exact"/>
        <w:ind w:firstLine="602"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b/>
          <w:bCs/>
          <w:kern w:val="2"/>
          <w:sz w:val="30"/>
          <w:szCs w:val="30"/>
        </w:rPr>
        <w:t>（</w:t>
      </w:r>
      <w:r>
        <w:rPr>
          <w:rFonts w:ascii="Times New Roman" w:hAnsi="Times New Roman" w:eastAsia="仿宋_GB2312" w:cs="Times New Roman"/>
          <w:b/>
          <w:bCs/>
          <w:kern w:val="2"/>
          <w:sz w:val="30"/>
          <w:szCs w:val="30"/>
        </w:rPr>
        <w:t>2</w:t>
      </w:r>
      <w:r>
        <w:rPr>
          <w:rFonts w:hint="eastAsia" w:ascii="Times New Roman" w:hAnsi="Times New Roman" w:eastAsia="仿宋_GB2312" w:cs="Times New Roman"/>
          <w:b/>
          <w:bCs/>
          <w:kern w:val="2"/>
          <w:sz w:val="30"/>
          <w:szCs w:val="30"/>
        </w:rPr>
        <w:t>）终身教育经费</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根据崇明区财政局</w:t>
      </w:r>
      <w:r>
        <w:rPr>
          <w:rFonts w:ascii="仿宋_GB2312" w:hAnsi="Times New Roman" w:eastAsia="仿宋_GB2312" w:cs="Times New Roman"/>
          <w:kern w:val="2"/>
          <w:sz w:val="30"/>
          <w:szCs w:val="30"/>
        </w:rPr>
        <w:t>《关于编制2022年区级部门预算和2022-2024年中期财政规划的通知》（沪崇财预〔2021〕4号）“终身教育经费按全区64万人口每人每年7元计算，计448万元(另乡镇每人每年3元)”</w:t>
      </w:r>
      <w:r>
        <w:rPr>
          <w:rFonts w:hint="eastAsia" w:ascii="仿宋_GB2312" w:hAnsi="Times New Roman" w:eastAsia="仿宋_GB2312" w:cs="Times New Roman"/>
          <w:kern w:val="2"/>
          <w:sz w:val="30"/>
          <w:szCs w:val="30"/>
        </w:rPr>
        <w:t>要求</w:t>
      </w:r>
      <w:r>
        <w:rPr>
          <w:rFonts w:ascii="仿宋_GB2312" w:hAnsi="Times New Roman" w:eastAsia="仿宋_GB2312" w:cs="Times New Roman"/>
          <w:kern w:val="2"/>
          <w:sz w:val="30"/>
          <w:szCs w:val="30"/>
        </w:rPr>
        <w:t>，</w:t>
      </w:r>
      <w:r>
        <w:rPr>
          <w:rFonts w:hint="eastAsia" w:ascii="仿宋_GB2312" w:hAnsi="Times New Roman" w:eastAsia="仿宋_GB2312" w:cs="Times New Roman"/>
          <w:kern w:val="2"/>
          <w:sz w:val="30"/>
          <w:szCs w:val="30"/>
        </w:rPr>
        <w:t>基于实际情况，年初终身教育经费安排了</w:t>
      </w:r>
      <w:r>
        <w:rPr>
          <w:rFonts w:ascii="仿宋_GB2312" w:hAnsi="Times New Roman" w:eastAsia="仿宋_GB2312" w:cs="Times New Roman"/>
          <w:kern w:val="2"/>
          <w:sz w:val="30"/>
          <w:szCs w:val="30"/>
        </w:rPr>
        <w:t>412.4</w:t>
      </w:r>
      <w:r>
        <w:rPr>
          <w:rFonts w:hint="eastAsia" w:ascii="仿宋_GB2312" w:hAnsi="Times New Roman" w:eastAsia="仿宋_GB2312" w:cs="Times New Roman"/>
          <w:kern w:val="2"/>
          <w:sz w:val="30"/>
          <w:szCs w:val="30"/>
        </w:rPr>
        <w:t>万元（具体情况见附件），其中，一是下拨成校用于办学，二是由区教育局和区社区学院用于终身教育相关工作。具体实施内容如下：</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①</w:t>
      </w:r>
      <w:r>
        <w:rPr>
          <w:rFonts w:ascii="仿宋_GB2312" w:hAnsi="Times New Roman" w:eastAsia="仿宋_GB2312" w:cs="Times New Roman"/>
          <w:b/>
          <w:bCs/>
          <w:kern w:val="2"/>
          <w:sz w:val="30"/>
          <w:szCs w:val="30"/>
        </w:rPr>
        <w:t>2022年成人教育</w:t>
      </w:r>
      <w:r>
        <w:rPr>
          <w:rFonts w:hint="eastAsia" w:ascii="仿宋_GB2312" w:hAnsi="Times New Roman" w:eastAsia="仿宋_GB2312" w:cs="Times New Roman"/>
          <w:b/>
          <w:bCs/>
          <w:kern w:val="2"/>
          <w:sz w:val="30"/>
          <w:szCs w:val="30"/>
        </w:rPr>
        <w:t>办学</w:t>
      </w:r>
      <w:r>
        <w:rPr>
          <w:rFonts w:ascii="仿宋_GB2312" w:hAnsi="Times New Roman" w:eastAsia="仿宋_GB2312" w:cs="Times New Roman"/>
          <w:b/>
          <w:bCs/>
          <w:kern w:val="2"/>
          <w:sz w:val="30"/>
          <w:szCs w:val="30"/>
        </w:rPr>
        <w:t>经费</w:t>
      </w:r>
      <w:r>
        <w:rPr>
          <w:rFonts w:hint="eastAsia" w:ascii="仿宋_GB2312" w:hAnsi="Times New Roman" w:eastAsia="仿宋_GB2312" w:cs="Times New Roman"/>
          <w:b/>
          <w:bCs/>
          <w:kern w:val="2"/>
          <w:sz w:val="30"/>
          <w:szCs w:val="30"/>
        </w:rPr>
        <w:t>（人头经费）</w:t>
      </w:r>
      <w:r>
        <w:rPr>
          <w:rFonts w:ascii="仿宋_GB2312" w:hAnsi="Times New Roman" w:eastAsia="仿宋_GB2312" w:cs="Times New Roman"/>
          <w:kern w:val="2"/>
          <w:sz w:val="30"/>
          <w:szCs w:val="30"/>
        </w:rPr>
        <w:t>：2022年上半年，崇明区成人教育人头经费按照每人每年3元的标准下拨</w:t>
      </w:r>
      <w:r>
        <w:rPr>
          <w:rFonts w:hint="eastAsia" w:ascii="仿宋_GB2312" w:hAnsi="Times New Roman" w:eastAsia="仿宋_GB2312" w:cs="Times New Roman"/>
          <w:kern w:val="2"/>
          <w:sz w:val="30"/>
          <w:szCs w:val="30"/>
        </w:rPr>
        <w:t>到6所成人学校。</w:t>
      </w:r>
      <w:r>
        <w:rPr>
          <w:rFonts w:ascii="仿宋_GB2312" w:hAnsi="Times New Roman" w:eastAsia="仿宋_GB2312" w:cs="Times New Roman"/>
          <w:kern w:val="2"/>
          <w:sz w:val="30"/>
          <w:szCs w:val="30"/>
        </w:rPr>
        <w:t>因为疫情原因，上半年经费未使用完，故2022年下半年按照每人每年1元的标准下拨。</w:t>
      </w:r>
    </w:p>
    <w:p>
      <w:pPr>
        <w:jc w:val="center"/>
        <w:rPr>
          <w:rFonts w:ascii="仿宋_GB2312" w:eastAsia="仿宋_GB2312"/>
          <w:b/>
        </w:rPr>
      </w:pPr>
      <w:r>
        <w:rPr>
          <w:rFonts w:hint="eastAsia" w:ascii="仿宋_GB2312" w:eastAsia="仿宋_GB2312"/>
          <w:b/>
        </w:rPr>
        <w:t>表1-</w:t>
      </w:r>
      <w:r>
        <w:rPr>
          <w:rFonts w:ascii="仿宋_GB2312" w:eastAsia="仿宋_GB2312"/>
          <w:b/>
        </w:rPr>
        <w:t>2</w:t>
      </w:r>
      <w:r>
        <w:rPr>
          <w:rFonts w:hint="eastAsia" w:ascii="仿宋_GB2312" w:eastAsia="仿宋_GB2312"/>
          <w:b/>
        </w:rPr>
        <w:t>-</w:t>
      </w:r>
      <w:r>
        <w:rPr>
          <w:rFonts w:ascii="仿宋_GB2312" w:eastAsia="仿宋_GB2312"/>
          <w:b/>
        </w:rPr>
        <w:t xml:space="preserve">4 </w:t>
      </w:r>
      <w:r>
        <w:rPr>
          <w:rFonts w:hint="eastAsia" w:ascii="仿宋_GB2312" w:eastAsia="仿宋_GB2312"/>
          <w:b/>
        </w:rPr>
        <w:t>2022年崇明区成人教育办学经费（人头经费）下拨情况表</w:t>
      </w:r>
    </w:p>
    <w:tbl>
      <w:tblPr>
        <w:tblStyle w:val="40"/>
        <w:tblW w:w="10984" w:type="dxa"/>
        <w:tblInd w:w="-856" w:type="dxa"/>
        <w:tblLayout w:type="fixed"/>
        <w:tblCellMar>
          <w:top w:w="0" w:type="dxa"/>
          <w:left w:w="108" w:type="dxa"/>
          <w:bottom w:w="0" w:type="dxa"/>
          <w:right w:w="108" w:type="dxa"/>
        </w:tblCellMar>
      </w:tblPr>
      <w:tblGrid>
        <w:gridCol w:w="993"/>
        <w:gridCol w:w="1559"/>
        <w:gridCol w:w="2268"/>
        <w:gridCol w:w="1843"/>
        <w:gridCol w:w="1559"/>
        <w:gridCol w:w="1276"/>
        <w:gridCol w:w="1486"/>
      </w:tblGrid>
      <w:tr>
        <w:tblPrEx>
          <w:tblLayout w:type="fixed"/>
          <w:tblCellMar>
            <w:top w:w="0" w:type="dxa"/>
            <w:left w:w="108" w:type="dxa"/>
            <w:bottom w:w="0" w:type="dxa"/>
            <w:right w:w="108" w:type="dxa"/>
          </w:tblCellMar>
        </w:tblPrEx>
        <w:trPr>
          <w:trHeight w:val="283" w:hRule="atLeast"/>
          <w:tblHeader/>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项目明细</w:t>
            </w:r>
          </w:p>
        </w:tc>
        <w:tc>
          <w:tcPr>
            <w:tcW w:w="1559" w:type="dxa"/>
            <w:tcBorders>
              <w:top w:val="single" w:color="auto" w:sz="4" w:space="0"/>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补贴标准</w:t>
            </w:r>
          </w:p>
        </w:tc>
        <w:tc>
          <w:tcPr>
            <w:tcW w:w="2268" w:type="dxa"/>
            <w:tcBorders>
              <w:top w:val="single" w:color="auto" w:sz="4" w:space="0"/>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b/>
                <w:bCs/>
                <w:sz w:val="21"/>
                <w:szCs w:val="21"/>
              </w:rPr>
            </w:pPr>
            <w:r>
              <w:rPr>
                <w:rFonts w:hint="eastAsia" w:ascii="仿宋_GB2312" w:eastAsia="仿宋_GB2312"/>
                <w:b/>
                <w:bCs/>
                <w:sz w:val="21"/>
                <w:szCs w:val="21"/>
              </w:rPr>
              <w:t>单位名称</w:t>
            </w:r>
          </w:p>
        </w:tc>
        <w:tc>
          <w:tcPr>
            <w:tcW w:w="1843" w:type="dxa"/>
            <w:tcBorders>
              <w:top w:val="single" w:color="auto" w:sz="4" w:space="0"/>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b/>
                <w:bCs/>
                <w:sz w:val="21"/>
                <w:szCs w:val="21"/>
              </w:rPr>
            </w:pPr>
            <w:r>
              <w:rPr>
                <w:rFonts w:hint="eastAsia" w:ascii="仿宋_GB2312" w:eastAsia="仿宋_GB2312"/>
                <w:b/>
                <w:bCs/>
                <w:sz w:val="21"/>
                <w:szCs w:val="21"/>
              </w:rPr>
              <w:t>所属区域实际人口数（人）</w:t>
            </w:r>
          </w:p>
        </w:tc>
        <w:tc>
          <w:tcPr>
            <w:tcW w:w="1559" w:type="dxa"/>
            <w:tcBorders>
              <w:top w:val="single" w:color="auto" w:sz="4" w:space="0"/>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b/>
                <w:bCs/>
                <w:sz w:val="21"/>
                <w:szCs w:val="21"/>
              </w:rPr>
            </w:pPr>
            <w:r>
              <w:rPr>
                <w:rFonts w:hint="eastAsia" w:ascii="仿宋_GB2312" w:eastAsia="仿宋_GB2312"/>
                <w:b/>
                <w:bCs/>
                <w:sz w:val="21"/>
                <w:szCs w:val="21"/>
              </w:rPr>
              <w:t>下拨金额（元）</w:t>
            </w:r>
          </w:p>
        </w:tc>
        <w:tc>
          <w:tcPr>
            <w:tcW w:w="1276" w:type="dxa"/>
            <w:tcBorders>
              <w:top w:val="single" w:color="auto" w:sz="4" w:space="0"/>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b/>
                <w:bCs/>
                <w:sz w:val="21"/>
                <w:szCs w:val="21"/>
              </w:rPr>
            </w:pPr>
            <w:r>
              <w:rPr>
                <w:rFonts w:hint="eastAsia" w:ascii="仿宋_GB2312" w:eastAsia="仿宋_GB2312"/>
                <w:b/>
                <w:bCs/>
                <w:sz w:val="21"/>
                <w:szCs w:val="21"/>
              </w:rPr>
              <w:t>总人数</w:t>
            </w:r>
          </w:p>
        </w:tc>
        <w:tc>
          <w:tcPr>
            <w:tcW w:w="1486" w:type="dxa"/>
            <w:tcBorders>
              <w:top w:val="single" w:color="auto" w:sz="4" w:space="0"/>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b/>
                <w:bCs/>
                <w:sz w:val="21"/>
                <w:szCs w:val="21"/>
              </w:rPr>
            </w:pPr>
            <w:r>
              <w:rPr>
                <w:rFonts w:hint="eastAsia" w:ascii="仿宋_GB2312" w:eastAsia="仿宋_GB2312"/>
                <w:b/>
                <w:bCs/>
                <w:sz w:val="21"/>
                <w:szCs w:val="21"/>
              </w:rPr>
              <w:t>总金额（元）</w:t>
            </w:r>
          </w:p>
        </w:tc>
      </w:tr>
      <w:tr>
        <w:tblPrEx>
          <w:tblLayout w:type="fixed"/>
          <w:tblCellMar>
            <w:top w:w="0" w:type="dxa"/>
            <w:left w:w="108" w:type="dxa"/>
            <w:bottom w:w="0" w:type="dxa"/>
            <w:right w:w="108" w:type="dxa"/>
          </w:tblCellMar>
        </w:tblPrEx>
        <w:trPr>
          <w:trHeight w:val="283" w:hRule="atLeast"/>
        </w:trPr>
        <w:tc>
          <w:tcPr>
            <w:tcW w:w="993" w:type="dxa"/>
            <w:vMerge w:val="restart"/>
            <w:tcBorders>
              <w:top w:val="nil"/>
              <w:left w:val="single" w:color="auto" w:sz="4" w:space="0"/>
              <w:bottom w:val="double" w:color="000000" w:sz="6" w:space="0"/>
              <w:right w:val="single" w:color="auto" w:sz="4" w:space="0"/>
            </w:tcBorders>
            <w:shd w:val="clear" w:color="auto" w:fill="auto"/>
            <w:vAlign w:val="center"/>
          </w:tcPr>
          <w:p>
            <w:pPr>
              <w:snapToGrid w:val="0"/>
              <w:spacing w:line="200" w:lineRule="atLeast"/>
              <w:jc w:val="center"/>
              <w:rPr>
                <w:rFonts w:ascii="仿宋_GB2312" w:eastAsia="仿宋_GB2312"/>
                <w:color w:val="000000"/>
                <w:sz w:val="21"/>
                <w:szCs w:val="21"/>
              </w:rPr>
            </w:pPr>
            <w:r>
              <w:rPr>
                <w:rFonts w:hint="eastAsia" w:ascii="仿宋_GB2312" w:eastAsia="仿宋_GB2312"/>
                <w:color w:val="000000"/>
                <w:sz w:val="21"/>
                <w:szCs w:val="21"/>
              </w:rPr>
              <w:t>2022年上半年</w:t>
            </w:r>
          </w:p>
        </w:tc>
        <w:tc>
          <w:tcPr>
            <w:tcW w:w="1559" w:type="dxa"/>
            <w:vMerge w:val="restart"/>
            <w:tcBorders>
              <w:top w:val="nil"/>
              <w:left w:val="single" w:color="auto" w:sz="4" w:space="0"/>
              <w:bottom w:val="double" w:color="000000" w:sz="6" w:space="0"/>
              <w:right w:val="single" w:color="auto" w:sz="4" w:space="0"/>
            </w:tcBorders>
            <w:shd w:val="clear" w:color="auto" w:fill="auto"/>
            <w:vAlign w:val="center"/>
          </w:tcPr>
          <w:p>
            <w:pPr>
              <w:snapToGrid w:val="0"/>
              <w:spacing w:line="200" w:lineRule="atLeast"/>
              <w:jc w:val="center"/>
              <w:rPr>
                <w:rFonts w:ascii="仿宋_GB2312" w:eastAsia="仿宋_GB2312"/>
                <w:color w:val="000000"/>
                <w:sz w:val="21"/>
                <w:szCs w:val="21"/>
              </w:rPr>
            </w:pPr>
            <w:r>
              <w:rPr>
                <w:rFonts w:hint="eastAsia" w:ascii="仿宋_GB2312" w:eastAsia="仿宋_GB2312"/>
                <w:color w:val="000000"/>
                <w:sz w:val="21"/>
                <w:szCs w:val="21"/>
              </w:rPr>
              <w:t>按照乡镇区域人口数，以3元/人的标准下拨</w:t>
            </w: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堡镇成校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110132</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330,000.00</w:t>
            </w:r>
          </w:p>
        </w:tc>
        <w:tc>
          <w:tcPr>
            <w:tcW w:w="1276" w:type="dxa"/>
            <w:vMerge w:val="restart"/>
            <w:tcBorders>
              <w:top w:val="nil"/>
              <w:left w:val="single" w:color="auto" w:sz="4" w:space="0"/>
              <w:bottom w:val="double" w:color="000000" w:sz="6"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672,908</w:t>
            </w:r>
          </w:p>
        </w:tc>
        <w:tc>
          <w:tcPr>
            <w:tcW w:w="1486" w:type="dxa"/>
            <w:vMerge w:val="restart"/>
            <w:tcBorders>
              <w:top w:val="nil"/>
              <w:left w:val="single" w:color="auto" w:sz="4" w:space="0"/>
              <w:bottom w:val="double" w:color="000000" w:sz="6"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2,019,000</w:t>
            </w: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城桥镇成校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147324</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442,000.00</w:t>
            </w:r>
          </w:p>
        </w:tc>
        <w:tc>
          <w:tcPr>
            <w:tcW w:w="127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陈家镇成校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120420</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361,000.00</w:t>
            </w:r>
          </w:p>
        </w:tc>
        <w:tc>
          <w:tcPr>
            <w:tcW w:w="127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新河镇成校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95893</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288,000.00</w:t>
            </w:r>
          </w:p>
        </w:tc>
        <w:tc>
          <w:tcPr>
            <w:tcW w:w="127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庙镇成校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124255</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373,000.00</w:t>
            </w:r>
          </w:p>
        </w:tc>
        <w:tc>
          <w:tcPr>
            <w:tcW w:w="127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double" w:color="auto" w:sz="6"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长兴镇成校</w:t>
            </w:r>
          </w:p>
        </w:tc>
        <w:tc>
          <w:tcPr>
            <w:tcW w:w="1843" w:type="dxa"/>
            <w:tcBorders>
              <w:top w:val="nil"/>
              <w:left w:val="nil"/>
              <w:bottom w:val="double" w:color="auto" w:sz="6"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74884</w:t>
            </w:r>
          </w:p>
        </w:tc>
        <w:tc>
          <w:tcPr>
            <w:tcW w:w="1559" w:type="dxa"/>
            <w:tcBorders>
              <w:top w:val="nil"/>
              <w:left w:val="nil"/>
              <w:bottom w:val="double" w:color="auto" w:sz="6"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225,000.00</w:t>
            </w:r>
          </w:p>
        </w:tc>
        <w:tc>
          <w:tcPr>
            <w:tcW w:w="127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double" w:color="000000" w:sz="6"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color w:val="000000"/>
                <w:sz w:val="21"/>
                <w:szCs w:val="21"/>
              </w:rPr>
            </w:pPr>
            <w:r>
              <w:rPr>
                <w:rFonts w:hint="eastAsia" w:ascii="仿宋_GB2312" w:eastAsia="仿宋_GB2312"/>
                <w:color w:val="000000"/>
                <w:sz w:val="21"/>
                <w:szCs w:val="21"/>
              </w:rPr>
              <w:t>2022年下半年</w:t>
            </w:r>
          </w:p>
        </w:tc>
        <w:tc>
          <w:tcPr>
            <w:tcW w:w="1559"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color w:val="000000"/>
                <w:sz w:val="21"/>
                <w:szCs w:val="21"/>
              </w:rPr>
            </w:pPr>
            <w:r>
              <w:rPr>
                <w:rFonts w:hint="eastAsia" w:ascii="仿宋_GB2312" w:eastAsia="仿宋_GB2312"/>
                <w:color w:val="000000"/>
                <w:sz w:val="21"/>
                <w:szCs w:val="21"/>
              </w:rPr>
              <w:t>按照乡镇区域人口数，以1元/人的标准下拨</w:t>
            </w: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堡镇成校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110132</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110,000.00</w:t>
            </w:r>
          </w:p>
        </w:tc>
        <w:tc>
          <w:tcPr>
            <w:tcW w:w="1276" w:type="dxa"/>
            <w:vMerge w:val="restart"/>
            <w:tcBorders>
              <w:top w:val="nil"/>
              <w:left w:val="single" w:color="auto" w:sz="4" w:space="0"/>
              <w:bottom w:val="single" w:color="000000"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672,908.00</w:t>
            </w:r>
          </w:p>
        </w:tc>
        <w:tc>
          <w:tcPr>
            <w:tcW w:w="1486"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672,000.00</w:t>
            </w: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城桥镇成校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147324</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147,000.00</w:t>
            </w:r>
          </w:p>
        </w:tc>
        <w:tc>
          <w:tcPr>
            <w:tcW w:w="1276" w:type="dxa"/>
            <w:vMerge w:val="continue"/>
            <w:tcBorders>
              <w:top w:val="nil"/>
              <w:left w:val="single" w:color="auto" w:sz="4" w:space="0"/>
              <w:bottom w:val="single" w:color="000000" w:sz="4"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陈家镇成校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120420</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120,000.00</w:t>
            </w:r>
          </w:p>
        </w:tc>
        <w:tc>
          <w:tcPr>
            <w:tcW w:w="1276" w:type="dxa"/>
            <w:vMerge w:val="continue"/>
            <w:tcBorders>
              <w:top w:val="nil"/>
              <w:left w:val="single" w:color="auto" w:sz="4" w:space="0"/>
              <w:bottom w:val="single" w:color="000000" w:sz="4"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新河镇成校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95893</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96,000.00</w:t>
            </w:r>
          </w:p>
        </w:tc>
        <w:tc>
          <w:tcPr>
            <w:tcW w:w="1276" w:type="dxa"/>
            <w:vMerge w:val="continue"/>
            <w:tcBorders>
              <w:top w:val="nil"/>
              <w:left w:val="single" w:color="auto" w:sz="4" w:space="0"/>
              <w:bottom w:val="single" w:color="000000" w:sz="4"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庙镇成校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124255</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124,000.00</w:t>
            </w:r>
          </w:p>
        </w:tc>
        <w:tc>
          <w:tcPr>
            <w:tcW w:w="1276" w:type="dxa"/>
            <w:vMerge w:val="continue"/>
            <w:tcBorders>
              <w:top w:val="nil"/>
              <w:left w:val="single" w:color="auto" w:sz="4" w:space="0"/>
              <w:bottom w:val="single" w:color="000000" w:sz="4"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993"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1559"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color w:val="000000"/>
                <w:sz w:val="21"/>
                <w:szCs w:val="21"/>
              </w:rPr>
            </w:pPr>
          </w:p>
        </w:tc>
        <w:tc>
          <w:tcPr>
            <w:tcW w:w="2268" w:type="dxa"/>
            <w:tcBorders>
              <w:top w:val="nil"/>
              <w:left w:val="nil"/>
              <w:bottom w:val="single" w:color="auto" w:sz="4" w:space="0"/>
              <w:right w:val="single" w:color="auto" w:sz="4" w:space="0"/>
            </w:tcBorders>
            <w:shd w:val="clear" w:color="auto" w:fill="auto"/>
            <w:vAlign w:val="center"/>
          </w:tcPr>
          <w:p>
            <w:pPr>
              <w:snapToGrid w:val="0"/>
              <w:spacing w:line="200" w:lineRule="atLeast"/>
              <w:rPr>
                <w:rFonts w:ascii="仿宋_GB2312" w:eastAsia="仿宋_GB2312"/>
                <w:sz w:val="21"/>
                <w:szCs w:val="21"/>
              </w:rPr>
            </w:pPr>
            <w:r>
              <w:rPr>
                <w:rFonts w:hint="eastAsia" w:ascii="仿宋_GB2312" w:eastAsia="仿宋_GB2312"/>
                <w:sz w:val="21"/>
                <w:szCs w:val="21"/>
              </w:rPr>
              <w:t>长兴镇成校</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00" w:lineRule="atLeast"/>
              <w:jc w:val="center"/>
              <w:rPr>
                <w:rFonts w:ascii="仿宋_GB2312" w:eastAsia="仿宋_GB2312"/>
                <w:sz w:val="21"/>
                <w:szCs w:val="21"/>
              </w:rPr>
            </w:pPr>
            <w:r>
              <w:rPr>
                <w:rFonts w:hint="eastAsia" w:ascii="仿宋_GB2312" w:eastAsia="仿宋_GB2312"/>
                <w:sz w:val="21"/>
                <w:szCs w:val="21"/>
              </w:rPr>
              <w:t>74884</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00" w:lineRule="atLeast"/>
              <w:jc w:val="right"/>
              <w:rPr>
                <w:rFonts w:ascii="仿宋_GB2312" w:eastAsia="仿宋_GB2312"/>
                <w:sz w:val="21"/>
                <w:szCs w:val="21"/>
              </w:rPr>
            </w:pPr>
            <w:r>
              <w:rPr>
                <w:rFonts w:hint="eastAsia" w:ascii="仿宋_GB2312" w:eastAsia="仿宋_GB2312"/>
                <w:sz w:val="21"/>
                <w:szCs w:val="21"/>
              </w:rPr>
              <w:t>75,000.00</w:t>
            </w:r>
          </w:p>
        </w:tc>
        <w:tc>
          <w:tcPr>
            <w:tcW w:w="1276" w:type="dxa"/>
            <w:vMerge w:val="continue"/>
            <w:tcBorders>
              <w:top w:val="nil"/>
              <w:left w:val="single" w:color="auto" w:sz="4" w:space="0"/>
              <w:bottom w:val="single" w:color="000000" w:sz="4" w:space="0"/>
              <w:right w:val="single" w:color="auto" w:sz="4" w:space="0"/>
            </w:tcBorders>
            <w:vAlign w:val="center"/>
          </w:tcPr>
          <w:p>
            <w:pPr>
              <w:snapToGrid w:val="0"/>
              <w:spacing w:line="200" w:lineRule="atLeast"/>
              <w:rPr>
                <w:rFonts w:ascii="仿宋_GB2312" w:eastAsia="仿宋_GB2312"/>
                <w:sz w:val="21"/>
                <w:szCs w:val="21"/>
              </w:rPr>
            </w:pPr>
          </w:p>
        </w:tc>
        <w:tc>
          <w:tcPr>
            <w:tcW w:w="1486" w:type="dxa"/>
            <w:vMerge w:val="continue"/>
            <w:tcBorders>
              <w:top w:val="nil"/>
              <w:left w:val="single" w:color="auto" w:sz="4" w:space="0"/>
              <w:bottom w:val="single" w:color="auto" w:sz="4" w:space="0"/>
              <w:right w:val="single" w:color="auto" w:sz="4" w:space="0"/>
            </w:tcBorders>
            <w:vAlign w:val="center"/>
          </w:tcPr>
          <w:p>
            <w:pPr>
              <w:snapToGrid w:val="0"/>
              <w:spacing w:line="200" w:lineRule="atLeast"/>
              <w:rPr>
                <w:rFonts w:ascii="仿宋_GB2312" w:eastAsia="仿宋_GB2312"/>
                <w:sz w:val="21"/>
                <w:szCs w:val="21"/>
              </w:rPr>
            </w:pPr>
          </w:p>
        </w:tc>
      </w:tr>
      <w:tr>
        <w:tblPrEx>
          <w:tblLayout w:type="fixed"/>
          <w:tblCellMar>
            <w:top w:w="0" w:type="dxa"/>
            <w:left w:w="108" w:type="dxa"/>
            <w:bottom w:w="0" w:type="dxa"/>
            <w:right w:w="108" w:type="dxa"/>
          </w:tblCellMar>
        </w:tblPrEx>
        <w:trPr>
          <w:trHeight w:val="283" w:hRule="atLeast"/>
        </w:trPr>
        <w:tc>
          <w:tcPr>
            <w:tcW w:w="8222" w:type="dxa"/>
            <w:gridSpan w:val="5"/>
            <w:tcBorders>
              <w:top w:val="single" w:color="auto" w:sz="4" w:space="0"/>
              <w:left w:val="single" w:color="auto" w:sz="4" w:space="0"/>
              <w:bottom w:val="single" w:color="auto" w:sz="4" w:space="0"/>
              <w:right w:val="single" w:color="auto" w:sz="4" w:space="0"/>
            </w:tcBorders>
            <w:shd w:val="clear" w:color="auto" w:fill="auto"/>
            <w:vAlign w:val="bottom"/>
          </w:tcPr>
          <w:p>
            <w:pPr>
              <w:snapToGrid w:val="0"/>
              <w:spacing w:line="20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合计：</w:t>
            </w:r>
          </w:p>
        </w:tc>
        <w:tc>
          <w:tcPr>
            <w:tcW w:w="1276" w:type="dxa"/>
            <w:tcBorders>
              <w:top w:val="nil"/>
              <w:left w:val="nil"/>
              <w:bottom w:val="single" w:color="auto" w:sz="4" w:space="0"/>
              <w:right w:val="single" w:color="auto" w:sz="4" w:space="0"/>
            </w:tcBorders>
            <w:shd w:val="clear" w:color="auto" w:fill="auto"/>
            <w:vAlign w:val="bottom"/>
          </w:tcPr>
          <w:p>
            <w:pPr>
              <w:snapToGrid w:val="0"/>
              <w:spacing w:line="20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w:t>
            </w:r>
          </w:p>
        </w:tc>
        <w:tc>
          <w:tcPr>
            <w:tcW w:w="1486" w:type="dxa"/>
            <w:tcBorders>
              <w:top w:val="nil"/>
              <w:left w:val="nil"/>
              <w:bottom w:val="single" w:color="auto" w:sz="4" w:space="0"/>
              <w:right w:val="single" w:color="auto" w:sz="4" w:space="0"/>
            </w:tcBorders>
            <w:shd w:val="clear" w:color="auto" w:fill="auto"/>
            <w:vAlign w:val="bottom"/>
          </w:tcPr>
          <w:p>
            <w:pPr>
              <w:snapToGrid w:val="0"/>
              <w:spacing w:line="200" w:lineRule="atLeast"/>
              <w:jc w:val="right"/>
              <w:rPr>
                <w:rFonts w:ascii="仿宋_GB2312" w:eastAsia="仿宋_GB2312"/>
                <w:b/>
                <w:bCs/>
                <w:color w:val="000000"/>
                <w:sz w:val="21"/>
                <w:szCs w:val="21"/>
              </w:rPr>
            </w:pPr>
            <w:r>
              <w:rPr>
                <w:rFonts w:hint="eastAsia" w:ascii="仿宋_GB2312" w:eastAsia="仿宋_GB2312"/>
                <w:b/>
                <w:bCs/>
                <w:color w:val="000000"/>
                <w:sz w:val="21"/>
                <w:szCs w:val="21"/>
              </w:rPr>
              <w:t xml:space="preserve">2,691,000.00 </w:t>
            </w:r>
          </w:p>
        </w:tc>
      </w:tr>
    </w:tbl>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②成人学校集团化办学经费</w:t>
      </w:r>
      <w:r>
        <w:rPr>
          <w:rFonts w:hint="eastAsia" w:ascii="仿宋_GB2312" w:hAnsi="Times New Roman" w:eastAsia="仿宋_GB2312" w:cs="Times New Roman"/>
          <w:kern w:val="2"/>
          <w:sz w:val="30"/>
          <w:szCs w:val="30"/>
        </w:rPr>
        <w:t>：2022年计划对6所成人教育学校按校区数进行补贴，经区教育局三重一大会议通过，补贴标准每个校区补贴1万元（标准无明确政策文件依据），6所成校共1</w:t>
      </w:r>
      <w:r>
        <w:rPr>
          <w:rFonts w:ascii="仿宋_GB2312" w:hAnsi="Times New Roman" w:eastAsia="仿宋_GB2312" w:cs="Times New Roman"/>
          <w:kern w:val="2"/>
          <w:sz w:val="30"/>
          <w:szCs w:val="30"/>
        </w:rPr>
        <w:t>8</w:t>
      </w:r>
      <w:r>
        <w:rPr>
          <w:rFonts w:hint="eastAsia" w:ascii="仿宋_GB2312" w:hAnsi="Times New Roman" w:eastAsia="仿宋_GB2312" w:cs="Times New Roman"/>
          <w:kern w:val="2"/>
          <w:sz w:val="30"/>
          <w:szCs w:val="30"/>
        </w:rPr>
        <w:t>个校区，补贴1</w:t>
      </w:r>
      <w:r>
        <w:rPr>
          <w:rFonts w:ascii="仿宋_GB2312" w:hAnsi="Times New Roman" w:eastAsia="仿宋_GB2312" w:cs="Times New Roman"/>
          <w:kern w:val="2"/>
          <w:sz w:val="30"/>
          <w:szCs w:val="30"/>
        </w:rPr>
        <w:t>8</w:t>
      </w:r>
      <w:r>
        <w:rPr>
          <w:rFonts w:hint="eastAsia" w:ascii="仿宋_GB2312" w:hAnsi="Times New Roman" w:eastAsia="仿宋_GB2312" w:cs="Times New Roman"/>
          <w:kern w:val="2"/>
          <w:sz w:val="30"/>
          <w:szCs w:val="30"/>
        </w:rPr>
        <w:t>万元。</w:t>
      </w:r>
    </w:p>
    <w:p>
      <w:pPr>
        <w:jc w:val="center"/>
        <w:rPr>
          <w:rFonts w:ascii="仿宋_GB2312" w:eastAsia="仿宋_GB2312"/>
          <w:b/>
        </w:rPr>
      </w:pPr>
      <w:r>
        <w:rPr>
          <w:rFonts w:hint="eastAsia" w:ascii="仿宋_GB2312" w:eastAsia="仿宋_GB2312"/>
          <w:b/>
        </w:rPr>
        <w:t>表1-</w:t>
      </w:r>
      <w:r>
        <w:rPr>
          <w:rFonts w:ascii="仿宋_GB2312" w:eastAsia="仿宋_GB2312"/>
          <w:b/>
        </w:rPr>
        <w:t>2</w:t>
      </w:r>
      <w:r>
        <w:rPr>
          <w:rFonts w:hint="eastAsia" w:ascii="仿宋_GB2312" w:eastAsia="仿宋_GB2312"/>
          <w:b/>
        </w:rPr>
        <w:t>-</w:t>
      </w:r>
      <w:r>
        <w:rPr>
          <w:rFonts w:ascii="仿宋_GB2312" w:eastAsia="仿宋_GB2312"/>
          <w:b/>
        </w:rPr>
        <w:t>5 2022年崇明区成人学校集团化办</w:t>
      </w:r>
      <w:r>
        <w:rPr>
          <w:rFonts w:hint="eastAsia" w:ascii="仿宋_GB2312" w:eastAsia="仿宋_GB2312"/>
          <w:b/>
        </w:rPr>
        <w:t>学</w:t>
      </w:r>
      <w:r>
        <w:rPr>
          <w:rFonts w:ascii="仿宋_GB2312" w:eastAsia="仿宋_GB2312"/>
          <w:b/>
        </w:rPr>
        <w:t>经费补助情况表</w:t>
      </w:r>
    </w:p>
    <w:tbl>
      <w:tblPr>
        <w:tblStyle w:val="40"/>
        <w:tblW w:w="8828" w:type="dxa"/>
        <w:tblInd w:w="0" w:type="dxa"/>
        <w:tblLayout w:type="fixed"/>
        <w:tblCellMar>
          <w:top w:w="0" w:type="dxa"/>
          <w:left w:w="108" w:type="dxa"/>
          <w:bottom w:w="0" w:type="dxa"/>
          <w:right w:w="108" w:type="dxa"/>
        </w:tblCellMar>
      </w:tblPr>
      <w:tblGrid>
        <w:gridCol w:w="704"/>
        <w:gridCol w:w="4820"/>
        <w:gridCol w:w="1134"/>
        <w:gridCol w:w="2170"/>
      </w:tblGrid>
      <w:tr>
        <w:tblPrEx>
          <w:tblLayout w:type="fixed"/>
          <w:tblCellMar>
            <w:top w:w="0" w:type="dxa"/>
            <w:left w:w="108" w:type="dxa"/>
            <w:bottom w:w="0" w:type="dxa"/>
            <w:right w:w="108" w:type="dxa"/>
          </w:tblCellMar>
        </w:tblPrEx>
        <w:trPr>
          <w:trHeight w:val="284" w:hRule="exact"/>
          <w:tblHead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序号</w:t>
            </w:r>
          </w:p>
        </w:tc>
        <w:tc>
          <w:tcPr>
            <w:tcW w:w="4820"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单位名称</w:t>
            </w:r>
          </w:p>
        </w:tc>
        <w:tc>
          <w:tcPr>
            <w:tcW w:w="1134"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校区数（个）</w:t>
            </w:r>
          </w:p>
        </w:tc>
        <w:tc>
          <w:tcPr>
            <w:tcW w:w="2170"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补助经费（元）</w:t>
            </w:r>
          </w:p>
        </w:tc>
      </w:tr>
      <w:tr>
        <w:tblPrEx>
          <w:tblLayout w:type="fixed"/>
          <w:tblCellMar>
            <w:top w:w="0" w:type="dxa"/>
            <w:left w:w="108" w:type="dxa"/>
            <w:bottom w:w="0" w:type="dxa"/>
            <w:right w:w="108" w:type="dxa"/>
          </w:tblCellMar>
        </w:tblPrEx>
        <w:trPr>
          <w:trHeight w:val="284" w:hRule="exact"/>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w:t>
            </w:r>
          </w:p>
        </w:tc>
        <w:tc>
          <w:tcPr>
            <w:tcW w:w="482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崇明区堡镇成人中等文化技术学校</w:t>
            </w:r>
          </w:p>
        </w:tc>
        <w:tc>
          <w:tcPr>
            <w:tcW w:w="113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w:t>
            </w:r>
          </w:p>
        </w:tc>
        <w:tc>
          <w:tcPr>
            <w:tcW w:w="217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eastAsia="仿宋_GB2312"/>
                <w:sz w:val="21"/>
                <w:szCs w:val="21"/>
              </w:rPr>
            </w:pPr>
            <w:r>
              <w:rPr>
                <w:rFonts w:hint="eastAsia" w:ascii="仿宋_GB2312" w:eastAsia="仿宋_GB2312"/>
                <w:sz w:val="21"/>
                <w:szCs w:val="21"/>
              </w:rPr>
              <w:t>20,000.00</w:t>
            </w:r>
          </w:p>
        </w:tc>
      </w:tr>
      <w:tr>
        <w:tblPrEx>
          <w:tblLayout w:type="fixed"/>
          <w:tblCellMar>
            <w:top w:w="0" w:type="dxa"/>
            <w:left w:w="108" w:type="dxa"/>
            <w:bottom w:w="0" w:type="dxa"/>
            <w:right w:w="108" w:type="dxa"/>
          </w:tblCellMar>
        </w:tblPrEx>
        <w:trPr>
          <w:trHeight w:val="284" w:hRule="exact"/>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w:t>
            </w:r>
          </w:p>
        </w:tc>
        <w:tc>
          <w:tcPr>
            <w:tcW w:w="482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崇明区城桥镇成人中等文化技术学校</w:t>
            </w:r>
          </w:p>
        </w:tc>
        <w:tc>
          <w:tcPr>
            <w:tcW w:w="113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w:t>
            </w:r>
          </w:p>
        </w:tc>
        <w:tc>
          <w:tcPr>
            <w:tcW w:w="217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eastAsia="仿宋_GB2312"/>
                <w:sz w:val="21"/>
                <w:szCs w:val="21"/>
              </w:rPr>
            </w:pPr>
            <w:r>
              <w:rPr>
                <w:rFonts w:hint="eastAsia" w:ascii="仿宋_GB2312" w:eastAsia="仿宋_GB2312"/>
                <w:sz w:val="21"/>
                <w:szCs w:val="21"/>
              </w:rPr>
              <w:t>30,000.00</w:t>
            </w:r>
          </w:p>
        </w:tc>
      </w:tr>
      <w:tr>
        <w:tblPrEx>
          <w:tblLayout w:type="fixed"/>
          <w:tblCellMar>
            <w:top w:w="0" w:type="dxa"/>
            <w:left w:w="108" w:type="dxa"/>
            <w:bottom w:w="0" w:type="dxa"/>
            <w:right w:w="108" w:type="dxa"/>
          </w:tblCellMar>
        </w:tblPrEx>
        <w:trPr>
          <w:trHeight w:val="284" w:hRule="exact"/>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w:t>
            </w:r>
          </w:p>
        </w:tc>
        <w:tc>
          <w:tcPr>
            <w:tcW w:w="482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崇明区陈家镇成人中等文化技术学校</w:t>
            </w:r>
          </w:p>
        </w:tc>
        <w:tc>
          <w:tcPr>
            <w:tcW w:w="113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w:t>
            </w:r>
          </w:p>
        </w:tc>
        <w:tc>
          <w:tcPr>
            <w:tcW w:w="217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eastAsia="仿宋_GB2312"/>
                <w:sz w:val="21"/>
                <w:szCs w:val="21"/>
              </w:rPr>
            </w:pPr>
            <w:r>
              <w:rPr>
                <w:rFonts w:hint="eastAsia" w:ascii="仿宋_GB2312" w:eastAsia="仿宋_GB2312"/>
                <w:sz w:val="21"/>
                <w:szCs w:val="21"/>
              </w:rPr>
              <w:t>30,000.00</w:t>
            </w:r>
          </w:p>
        </w:tc>
      </w:tr>
      <w:tr>
        <w:tblPrEx>
          <w:tblLayout w:type="fixed"/>
          <w:tblCellMar>
            <w:top w:w="0" w:type="dxa"/>
            <w:left w:w="108" w:type="dxa"/>
            <w:bottom w:w="0" w:type="dxa"/>
            <w:right w:w="108" w:type="dxa"/>
          </w:tblCellMar>
        </w:tblPrEx>
        <w:trPr>
          <w:trHeight w:val="284" w:hRule="exact"/>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4</w:t>
            </w:r>
          </w:p>
        </w:tc>
        <w:tc>
          <w:tcPr>
            <w:tcW w:w="482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崇明区新河镇成人中等文化技术学校</w:t>
            </w:r>
          </w:p>
        </w:tc>
        <w:tc>
          <w:tcPr>
            <w:tcW w:w="113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w:t>
            </w:r>
          </w:p>
        </w:tc>
        <w:tc>
          <w:tcPr>
            <w:tcW w:w="217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eastAsia="仿宋_GB2312"/>
                <w:sz w:val="21"/>
                <w:szCs w:val="21"/>
              </w:rPr>
            </w:pPr>
            <w:r>
              <w:rPr>
                <w:rFonts w:hint="eastAsia" w:ascii="仿宋_GB2312" w:eastAsia="仿宋_GB2312"/>
                <w:sz w:val="21"/>
                <w:szCs w:val="21"/>
              </w:rPr>
              <w:t>30,000.00</w:t>
            </w:r>
          </w:p>
        </w:tc>
      </w:tr>
      <w:tr>
        <w:tblPrEx>
          <w:tblLayout w:type="fixed"/>
          <w:tblCellMar>
            <w:top w:w="0" w:type="dxa"/>
            <w:left w:w="108" w:type="dxa"/>
            <w:bottom w:w="0" w:type="dxa"/>
            <w:right w:w="108" w:type="dxa"/>
          </w:tblCellMar>
        </w:tblPrEx>
        <w:trPr>
          <w:trHeight w:val="284" w:hRule="exact"/>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5</w:t>
            </w:r>
          </w:p>
        </w:tc>
        <w:tc>
          <w:tcPr>
            <w:tcW w:w="482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崇明区庙镇成人中等文化技术学校</w:t>
            </w:r>
          </w:p>
        </w:tc>
        <w:tc>
          <w:tcPr>
            <w:tcW w:w="113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5</w:t>
            </w:r>
          </w:p>
        </w:tc>
        <w:tc>
          <w:tcPr>
            <w:tcW w:w="217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eastAsia="仿宋_GB2312"/>
                <w:sz w:val="21"/>
                <w:szCs w:val="21"/>
              </w:rPr>
            </w:pPr>
            <w:r>
              <w:rPr>
                <w:rFonts w:hint="eastAsia" w:ascii="仿宋_GB2312" w:eastAsia="仿宋_GB2312"/>
                <w:sz w:val="21"/>
                <w:szCs w:val="21"/>
              </w:rPr>
              <w:t>50,000.00</w:t>
            </w:r>
          </w:p>
        </w:tc>
      </w:tr>
      <w:tr>
        <w:tblPrEx>
          <w:tblLayout w:type="fixed"/>
          <w:tblCellMar>
            <w:top w:w="0" w:type="dxa"/>
            <w:left w:w="108" w:type="dxa"/>
            <w:bottom w:w="0" w:type="dxa"/>
            <w:right w:w="108" w:type="dxa"/>
          </w:tblCellMar>
        </w:tblPrEx>
        <w:trPr>
          <w:trHeight w:val="284" w:hRule="exact"/>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6</w:t>
            </w:r>
          </w:p>
        </w:tc>
        <w:tc>
          <w:tcPr>
            <w:tcW w:w="482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崇明区长兴镇成人中等文化技术学校</w:t>
            </w:r>
          </w:p>
        </w:tc>
        <w:tc>
          <w:tcPr>
            <w:tcW w:w="113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w:t>
            </w:r>
          </w:p>
        </w:tc>
        <w:tc>
          <w:tcPr>
            <w:tcW w:w="217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eastAsia="仿宋_GB2312"/>
                <w:sz w:val="21"/>
                <w:szCs w:val="21"/>
              </w:rPr>
            </w:pPr>
            <w:r>
              <w:rPr>
                <w:rFonts w:hint="eastAsia" w:ascii="仿宋_GB2312" w:eastAsia="仿宋_GB2312"/>
                <w:sz w:val="21"/>
                <w:szCs w:val="21"/>
              </w:rPr>
              <w:t>20,000.00</w:t>
            </w:r>
          </w:p>
        </w:tc>
      </w:tr>
      <w:tr>
        <w:tblPrEx>
          <w:tblLayout w:type="fixed"/>
          <w:tblCellMar>
            <w:top w:w="0" w:type="dxa"/>
            <w:left w:w="108" w:type="dxa"/>
            <w:bottom w:w="0" w:type="dxa"/>
            <w:right w:w="108" w:type="dxa"/>
          </w:tblCellMar>
        </w:tblPrEx>
        <w:trPr>
          <w:trHeight w:val="284" w:hRule="exact"/>
        </w:trPr>
        <w:tc>
          <w:tcPr>
            <w:tcW w:w="552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合计：</w:t>
            </w:r>
          </w:p>
        </w:tc>
        <w:tc>
          <w:tcPr>
            <w:tcW w:w="1134"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18</w:t>
            </w:r>
          </w:p>
        </w:tc>
        <w:tc>
          <w:tcPr>
            <w:tcW w:w="217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eastAsia="仿宋_GB2312"/>
                <w:b/>
                <w:bCs/>
                <w:sz w:val="21"/>
                <w:szCs w:val="21"/>
              </w:rPr>
            </w:pPr>
            <w:r>
              <w:rPr>
                <w:rFonts w:hint="eastAsia" w:ascii="仿宋_GB2312" w:eastAsia="仿宋_GB2312"/>
                <w:b/>
                <w:bCs/>
                <w:sz w:val="21"/>
                <w:szCs w:val="21"/>
              </w:rPr>
              <w:t>180,000.00</w:t>
            </w:r>
          </w:p>
        </w:tc>
      </w:tr>
    </w:tbl>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③</w:t>
      </w:r>
      <w:bookmarkStart w:id="23" w:name="_Hlk137503819"/>
      <w:r>
        <w:rPr>
          <w:rFonts w:hint="eastAsia" w:ascii="仿宋_GB2312" w:hAnsi="Times New Roman" w:eastAsia="仿宋_GB2312" w:cs="Times New Roman"/>
          <w:b/>
          <w:bCs/>
          <w:kern w:val="2"/>
          <w:sz w:val="30"/>
          <w:szCs w:val="30"/>
        </w:rPr>
        <w:t>成人学校考核奖励经费</w:t>
      </w:r>
      <w:r>
        <w:rPr>
          <w:rFonts w:ascii="仿宋_GB2312" w:hAnsi="Times New Roman" w:eastAsia="仿宋_GB2312" w:cs="Times New Roman"/>
          <w:b/>
          <w:bCs/>
          <w:kern w:val="2"/>
          <w:sz w:val="30"/>
          <w:szCs w:val="30"/>
        </w:rPr>
        <w:t>：</w:t>
      </w:r>
      <w:r>
        <w:rPr>
          <w:rFonts w:hint="eastAsia" w:ascii="仿宋_GB2312" w:hAnsi="Times New Roman" w:eastAsia="仿宋_GB2312" w:cs="Times New Roman"/>
          <w:kern w:val="2"/>
          <w:sz w:val="30"/>
          <w:szCs w:val="30"/>
        </w:rPr>
        <w:t>区教育根据</w:t>
      </w:r>
      <w:r>
        <w:rPr>
          <w:rFonts w:ascii="仿宋_GB2312" w:hAnsi="Times New Roman" w:eastAsia="仿宋_GB2312" w:cs="Times New Roman"/>
          <w:kern w:val="2"/>
          <w:sz w:val="30"/>
          <w:szCs w:val="30"/>
        </w:rPr>
        <w:t>《上海市终身教育促进条例》</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本市对终身教育工作中</w:t>
      </w:r>
      <w:r>
        <w:rPr>
          <w:rFonts w:hint="eastAsia" w:ascii="仿宋_GB2312" w:hAnsi="Times New Roman" w:eastAsia="仿宋_GB2312" w:cs="Times New Roman"/>
          <w:kern w:val="2"/>
          <w:sz w:val="30"/>
          <w:szCs w:val="30"/>
        </w:rPr>
        <w:t>做出</w:t>
      </w:r>
      <w:r>
        <w:rPr>
          <w:rFonts w:ascii="仿宋_GB2312" w:hAnsi="Times New Roman" w:eastAsia="仿宋_GB2312" w:cs="Times New Roman"/>
          <w:kern w:val="2"/>
          <w:sz w:val="30"/>
          <w:szCs w:val="30"/>
        </w:rPr>
        <w:t>突出成绩的单位和个人，按照有关规定给予表彰奖励</w:t>
      </w:r>
      <w:r>
        <w:rPr>
          <w:rFonts w:hint="eastAsia" w:ascii="仿宋_GB2312" w:hAnsi="Times New Roman" w:eastAsia="仿宋_GB2312" w:cs="Times New Roman"/>
          <w:kern w:val="2"/>
          <w:sz w:val="30"/>
          <w:szCs w:val="30"/>
        </w:rPr>
        <w:t>”</w:t>
      </w:r>
      <w:bookmarkEnd w:id="23"/>
      <w:r>
        <w:rPr>
          <w:rFonts w:hint="eastAsia" w:ascii="仿宋_GB2312" w:hAnsi="Times New Roman" w:eastAsia="仿宋_GB2312" w:cs="Times New Roman"/>
          <w:kern w:val="2"/>
          <w:sz w:val="30"/>
          <w:szCs w:val="30"/>
        </w:rPr>
        <w:t>要求，每年对成校工作情况开展考核，并成立考核领导小组和工作小组。领导小组由局党政班子成员组成，工作小组由各科室和业务部门人员组成。考核内容主要围绕依法治校、党的建设、队伍建设、课程教学和培训、信息工作、平台建设、特色成效等七个方面。考核方式为每年</w:t>
      </w:r>
      <w:r>
        <w:rPr>
          <w:rFonts w:ascii="仿宋_GB2312" w:hAnsi="Times New Roman" w:eastAsia="仿宋_GB2312" w:cs="Times New Roman"/>
          <w:kern w:val="2"/>
          <w:sz w:val="30"/>
          <w:szCs w:val="30"/>
        </w:rPr>
        <w:t>第三季度在学校自评基础上，</w:t>
      </w:r>
      <w:r>
        <w:rPr>
          <w:rFonts w:hint="eastAsia" w:ascii="仿宋_GB2312" w:hAnsi="Times New Roman" w:eastAsia="仿宋_GB2312" w:cs="Times New Roman"/>
          <w:kern w:val="2"/>
          <w:sz w:val="30"/>
          <w:szCs w:val="30"/>
        </w:rPr>
        <w:t>在结合</w:t>
      </w:r>
      <w:r>
        <w:rPr>
          <w:rFonts w:ascii="仿宋_GB2312" w:hAnsi="Times New Roman" w:eastAsia="仿宋_GB2312" w:cs="Times New Roman"/>
          <w:kern w:val="2"/>
          <w:sz w:val="30"/>
          <w:szCs w:val="30"/>
        </w:rPr>
        <w:t>实地</w:t>
      </w:r>
      <w:r>
        <w:rPr>
          <w:rFonts w:hint="eastAsia" w:ascii="仿宋_GB2312" w:hAnsi="Times New Roman" w:eastAsia="仿宋_GB2312" w:cs="Times New Roman"/>
          <w:kern w:val="2"/>
          <w:sz w:val="30"/>
          <w:szCs w:val="30"/>
        </w:rPr>
        <w:t>考察情况进行考核。</w:t>
      </w:r>
      <w:r>
        <w:rPr>
          <w:rFonts w:ascii="仿宋_GB2312" w:hAnsi="Times New Roman" w:eastAsia="仿宋_GB2312" w:cs="Times New Roman"/>
          <w:kern w:val="2"/>
          <w:sz w:val="30"/>
          <w:szCs w:val="30"/>
        </w:rPr>
        <w:t>考核结果分优秀、优良、合格、基本合格、不合格。奖励标准</w:t>
      </w:r>
      <w:r>
        <w:rPr>
          <w:rFonts w:hint="eastAsia" w:ascii="仿宋_GB2312" w:hAnsi="Times New Roman" w:eastAsia="仿宋_GB2312" w:cs="Times New Roman"/>
          <w:kern w:val="2"/>
          <w:sz w:val="30"/>
          <w:szCs w:val="30"/>
        </w:rPr>
        <w:t>为</w:t>
      </w:r>
      <w:r>
        <w:rPr>
          <w:rFonts w:ascii="仿宋_GB2312" w:hAnsi="Times New Roman" w:eastAsia="仿宋_GB2312" w:cs="Times New Roman"/>
          <w:kern w:val="2"/>
          <w:sz w:val="30"/>
          <w:szCs w:val="30"/>
        </w:rPr>
        <w:t>优秀7万、优良5万</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合格3万</w:t>
      </w:r>
      <w:r>
        <w:rPr>
          <w:rFonts w:hint="eastAsia" w:ascii="仿宋_GB2312" w:hAnsi="Times New Roman" w:eastAsia="仿宋_GB2312" w:cs="Times New Roman"/>
          <w:kern w:val="2"/>
          <w:sz w:val="30"/>
          <w:szCs w:val="30"/>
        </w:rPr>
        <w:t>。</w:t>
      </w:r>
    </w:p>
    <w:p>
      <w:pPr>
        <w:jc w:val="center"/>
        <w:rPr>
          <w:rFonts w:ascii="仿宋_GB2312" w:eastAsia="仿宋_GB2312"/>
          <w:b/>
        </w:rPr>
      </w:pPr>
      <w:r>
        <w:rPr>
          <w:rFonts w:hint="eastAsia" w:ascii="仿宋_GB2312" w:eastAsia="仿宋_GB2312"/>
          <w:b/>
        </w:rPr>
        <w:t>表1-</w:t>
      </w:r>
      <w:r>
        <w:rPr>
          <w:rFonts w:ascii="仿宋_GB2312" w:eastAsia="仿宋_GB2312"/>
          <w:b/>
        </w:rPr>
        <w:t>2</w:t>
      </w:r>
      <w:r>
        <w:rPr>
          <w:rFonts w:hint="eastAsia" w:ascii="仿宋_GB2312" w:eastAsia="仿宋_GB2312"/>
          <w:b/>
        </w:rPr>
        <w:t>-</w:t>
      </w:r>
      <w:r>
        <w:rPr>
          <w:rFonts w:ascii="仿宋_GB2312" w:eastAsia="仿宋_GB2312"/>
          <w:b/>
        </w:rPr>
        <w:t>6 成人学校考核奖励经费明细表</w:t>
      </w:r>
    </w:p>
    <w:tbl>
      <w:tblPr>
        <w:tblStyle w:val="40"/>
        <w:tblW w:w="8828" w:type="dxa"/>
        <w:tblInd w:w="0" w:type="dxa"/>
        <w:tblLayout w:type="fixed"/>
        <w:tblCellMar>
          <w:top w:w="0" w:type="dxa"/>
          <w:left w:w="108" w:type="dxa"/>
          <w:bottom w:w="0" w:type="dxa"/>
          <w:right w:w="108" w:type="dxa"/>
        </w:tblCellMar>
      </w:tblPr>
      <w:tblGrid>
        <w:gridCol w:w="989"/>
        <w:gridCol w:w="4538"/>
        <w:gridCol w:w="1278"/>
        <w:gridCol w:w="2023"/>
      </w:tblGrid>
      <w:tr>
        <w:tblPrEx>
          <w:tblLayout w:type="fixed"/>
          <w:tblCellMar>
            <w:top w:w="0" w:type="dxa"/>
            <w:left w:w="108" w:type="dxa"/>
            <w:bottom w:w="0" w:type="dxa"/>
            <w:right w:w="108" w:type="dxa"/>
          </w:tblCellMar>
        </w:tblPrEx>
        <w:trPr>
          <w:trHeight w:val="284" w:hRule="atLeast"/>
          <w:tblHead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eastAsia="仿宋_GB2312"/>
                <w:b/>
                <w:bCs/>
                <w:sz w:val="21"/>
                <w:szCs w:val="21"/>
              </w:rPr>
            </w:pPr>
            <w:r>
              <w:rPr>
                <w:rFonts w:hint="eastAsia" w:ascii="仿宋_GB2312" w:eastAsia="仿宋_GB2312"/>
                <w:b/>
                <w:bCs/>
                <w:sz w:val="21"/>
                <w:szCs w:val="21"/>
              </w:rPr>
              <w:t>序号</w:t>
            </w:r>
          </w:p>
        </w:tc>
        <w:tc>
          <w:tcPr>
            <w:tcW w:w="4538" w:type="dxa"/>
            <w:tcBorders>
              <w:top w:val="single" w:color="auto" w:sz="4" w:space="0"/>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b/>
                <w:bCs/>
                <w:sz w:val="21"/>
                <w:szCs w:val="21"/>
              </w:rPr>
            </w:pPr>
            <w:r>
              <w:rPr>
                <w:rFonts w:hint="eastAsia" w:ascii="仿宋_GB2312" w:eastAsia="仿宋_GB2312"/>
                <w:b/>
                <w:bCs/>
                <w:sz w:val="21"/>
                <w:szCs w:val="21"/>
              </w:rPr>
              <w:t>单位名称</w:t>
            </w:r>
          </w:p>
        </w:tc>
        <w:tc>
          <w:tcPr>
            <w:tcW w:w="1278" w:type="dxa"/>
            <w:tcBorders>
              <w:top w:val="single" w:color="auto" w:sz="4" w:space="0"/>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b/>
                <w:bCs/>
                <w:sz w:val="21"/>
                <w:szCs w:val="21"/>
              </w:rPr>
            </w:pPr>
            <w:r>
              <w:rPr>
                <w:rFonts w:hint="eastAsia" w:ascii="仿宋_GB2312" w:eastAsia="仿宋_GB2312"/>
                <w:b/>
                <w:bCs/>
                <w:sz w:val="21"/>
                <w:szCs w:val="21"/>
              </w:rPr>
              <w:t>考核结果</w:t>
            </w:r>
          </w:p>
        </w:tc>
        <w:tc>
          <w:tcPr>
            <w:tcW w:w="2023" w:type="dxa"/>
            <w:tcBorders>
              <w:top w:val="single" w:color="auto" w:sz="4" w:space="0"/>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b/>
                <w:bCs/>
                <w:sz w:val="21"/>
                <w:szCs w:val="21"/>
              </w:rPr>
            </w:pPr>
            <w:r>
              <w:rPr>
                <w:rFonts w:hint="eastAsia" w:ascii="仿宋_GB2312" w:eastAsia="仿宋_GB2312"/>
                <w:b/>
                <w:bCs/>
                <w:sz w:val="21"/>
                <w:szCs w:val="21"/>
              </w:rPr>
              <w:t>奖励金额(万元）</w:t>
            </w:r>
          </w:p>
        </w:tc>
      </w:tr>
      <w:tr>
        <w:tblPrEx>
          <w:tblLayout w:type="fixed"/>
          <w:tblCellMar>
            <w:top w:w="0" w:type="dxa"/>
            <w:left w:w="108" w:type="dxa"/>
            <w:bottom w:w="0" w:type="dxa"/>
            <w:right w:w="108" w:type="dxa"/>
          </w:tblCellMar>
        </w:tblPrEx>
        <w:trPr>
          <w:trHeight w:val="284" w:hRule="atLeast"/>
        </w:trPr>
        <w:tc>
          <w:tcPr>
            <w:tcW w:w="989" w:type="dxa"/>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1</w:t>
            </w:r>
          </w:p>
        </w:tc>
        <w:tc>
          <w:tcPr>
            <w:tcW w:w="4538" w:type="dxa"/>
            <w:tcBorders>
              <w:top w:val="nil"/>
              <w:left w:val="nil"/>
              <w:bottom w:val="single" w:color="auto" w:sz="4" w:space="0"/>
              <w:right w:val="single" w:color="auto" w:sz="4" w:space="0"/>
            </w:tcBorders>
            <w:shd w:val="clear" w:color="auto" w:fill="auto"/>
            <w:vAlign w:val="center"/>
          </w:tcPr>
          <w:p>
            <w:pPr>
              <w:spacing w:line="240" w:lineRule="atLeast"/>
              <w:rPr>
                <w:rFonts w:ascii="仿宋_GB2312" w:eastAsia="仿宋_GB2312"/>
                <w:sz w:val="21"/>
                <w:szCs w:val="21"/>
              </w:rPr>
            </w:pPr>
            <w:r>
              <w:rPr>
                <w:rFonts w:hint="eastAsia" w:ascii="仿宋_GB2312" w:eastAsia="仿宋_GB2312"/>
                <w:sz w:val="21"/>
                <w:szCs w:val="21"/>
              </w:rPr>
              <w:t>崇明区堡镇成人中等文化技术学校</w:t>
            </w:r>
          </w:p>
        </w:tc>
        <w:tc>
          <w:tcPr>
            <w:tcW w:w="1278"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优良</w:t>
            </w:r>
          </w:p>
        </w:tc>
        <w:tc>
          <w:tcPr>
            <w:tcW w:w="2023"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5</w:t>
            </w:r>
          </w:p>
        </w:tc>
      </w:tr>
      <w:tr>
        <w:tblPrEx>
          <w:tblLayout w:type="fixed"/>
          <w:tblCellMar>
            <w:top w:w="0" w:type="dxa"/>
            <w:left w:w="108" w:type="dxa"/>
            <w:bottom w:w="0" w:type="dxa"/>
            <w:right w:w="108" w:type="dxa"/>
          </w:tblCellMar>
        </w:tblPrEx>
        <w:trPr>
          <w:trHeight w:val="284" w:hRule="atLeast"/>
        </w:trPr>
        <w:tc>
          <w:tcPr>
            <w:tcW w:w="989" w:type="dxa"/>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2</w:t>
            </w:r>
          </w:p>
        </w:tc>
        <w:tc>
          <w:tcPr>
            <w:tcW w:w="4538" w:type="dxa"/>
            <w:tcBorders>
              <w:top w:val="nil"/>
              <w:left w:val="nil"/>
              <w:bottom w:val="single" w:color="auto" w:sz="4" w:space="0"/>
              <w:right w:val="single" w:color="auto" w:sz="4" w:space="0"/>
            </w:tcBorders>
            <w:shd w:val="clear" w:color="auto" w:fill="auto"/>
            <w:vAlign w:val="center"/>
          </w:tcPr>
          <w:p>
            <w:pPr>
              <w:spacing w:line="240" w:lineRule="atLeast"/>
              <w:rPr>
                <w:rFonts w:ascii="仿宋_GB2312" w:eastAsia="仿宋_GB2312"/>
                <w:sz w:val="21"/>
                <w:szCs w:val="21"/>
              </w:rPr>
            </w:pPr>
            <w:r>
              <w:rPr>
                <w:rFonts w:hint="eastAsia" w:ascii="仿宋_GB2312" w:eastAsia="仿宋_GB2312"/>
                <w:sz w:val="21"/>
                <w:szCs w:val="21"/>
              </w:rPr>
              <w:t>崇明区城桥镇成人中等文化技术学校</w:t>
            </w:r>
          </w:p>
        </w:tc>
        <w:tc>
          <w:tcPr>
            <w:tcW w:w="1278"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优良</w:t>
            </w:r>
          </w:p>
        </w:tc>
        <w:tc>
          <w:tcPr>
            <w:tcW w:w="2023"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5</w:t>
            </w:r>
          </w:p>
        </w:tc>
      </w:tr>
      <w:tr>
        <w:tblPrEx>
          <w:tblLayout w:type="fixed"/>
          <w:tblCellMar>
            <w:top w:w="0" w:type="dxa"/>
            <w:left w:w="108" w:type="dxa"/>
            <w:bottom w:w="0" w:type="dxa"/>
            <w:right w:w="108" w:type="dxa"/>
          </w:tblCellMar>
        </w:tblPrEx>
        <w:trPr>
          <w:trHeight w:val="284" w:hRule="atLeast"/>
        </w:trPr>
        <w:tc>
          <w:tcPr>
            <w:tcW w:w="989" w:type="dxa"/>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3</w:t>
            </w:r>
          </w:p>
        </w:tc>
        <w:tc>
          <w:tcPr>
            <w:tcW w:w="4538" w:type="dxa"/>
            <w:tcBorders>
              <w:top w:val="nil"/>
              <w:left w:val="nil"/>
              <w:bottom w:val="single" w:color="auto" w:sz="4" w:space="0"/>
              <w:right w:val="single" w:color="auto" w:sz="4" w:space="0"/>
            </w:tcBorders>
            <w:shd w:val="clear" w:color="auto" w:fill="auto"/>
            <w:vAlign w:val="center"/>
          </w:tcPr>
          <w:p>
            <w:pPr>
              <w:spacing w:line="240" w:lineRule="atLeast"/>
              <w:rPr>
                <w:rFonts w:ascii="仿宋_GB2312" w:eastAsia="仿宋_GB2312"/>
                <w:sz w:val="21"/>
                <w:szCs w:val="21"/>
              </w:rPr>
            </w:pPr>
            <w:r>
              <w:rPr>
                <w:rFonts w:hint="eastAsia" w:ascii="仿宋_GB2312" w:eastAsia="仿宋_GB2312"/>
                <w:sz w:val="21"/>
                <w:szCs w:val="21"/>
              </w:rPr>
              <w:t>崇明区陈家镇成人中等文化技术学校</w:t>
            </w:r>
          </w:p>
        </w:tc>
        <w:tc>
          <w:tcPr>
            <w:tcW w:w="1278"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优良</w:t>
            </w:r>
          </w:p>
        </w:tc>
        <w:tc>
          <w:tcPr>
            <w:tcW w:w="2023"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5</w:t>
            </w:r>
          </w:p>
        </w:tc>
      </w:tr>
      <w:tr>
        <w:tblPrEx>
          <w:tblLayout w:type="fixed"/>
          <w:tblCellMar>
            <w:top w:w="0" w:type="dxa"/>
            <w:left w:w="108" w:type="dxa"/>
            <w:bottom w:w="0" w:type="dxa"/>
            <w:right w:w="108" w:type="dxa"/>
          </w:tblCellMar>
        </w:tblPrEx>
        <w:trPr>
          <w:trHeight w:val="284" w:hRule="atLeast"/>
        </w:trPr>
        <w:tc>
          <w:tcPr>
            <w:tcW w:w="989" w:type="dxa"/>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4</w:t>
            </w:r>
          </w:p>
        </w:tc>
        <w:tc>
          <w:tcPr>
            <w:tcW w:w="4538" w:type="dxa"/>
            <w:tcBorders>
              <w:top w:val="nil"/>
              <w:left w:val="nil"/>
              <w:bottom w:val="single" w:color="auto" w:sz="4" w:space="0"/>
              <w:right w:val="single" w:color="auto" w:sz="4" w:space="0"/>
            </w:tcBorders>
            <w:shd w:val="clear" w:color="auto" w:fill="auto"/>
            <w:vAlign w:val="center"/>
          </w:tcPr>
          <w:p>
            <w:pPr>
              <w:spacing w:line="240" w:lineRule="atLeast"/>
              <w:rPr>
                <w:rFonts w:ascii="仿宋_GB2312" w:eastAsia="仿宋_GB2312"/>
                <w:sz w:val="21"/>
                <w:szCs w:val="21"/>
              </w:rPr>
            </w:pPr>
            <w:r>
              <w:rPr>
                <w:rFonts w:hint="eastAsia" w:ascii="仿宋_GB2312" w:eastAsia="仿宋_GB2312"/>
                <w:sz w:val="21"/>
                <w:szCs w:val="21"/>
              </w:rPr>
              <w:t>崇明区新河镇成人中等文化技术学校</w:t>
            </w:r>
          </w:p>
        </w:tc>
        <w:tc>
          <w:tcPr>
            <w:tcW w:w="1278"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优秀</w:t>
            </w:r>
          </w:p>
        </w:tc>
        <w:tc>
          <w:tcPr>
            <w:tcW w:w="2023"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7</w:t>
            </w:r>
          </w:p>
        </w:tc>
      </w:tr>
      <w:tr>
        <w:tblPrEx>
          <w:tblLayout w:type="fixed"/>
          <w:tblCellMar>
            <w:top w:w="0" w:type="dxa"/>
            <w:left w:w="108" w:type="dxa"/>
            <w:bottom w:w="0" w:type="dxa"/>
            <w:right w:w="108" w:type="dxa"/>
          </w:tblCellMar>
        </w:tblPrEx>
        <w:trPr>
          <w:trHeight w:val="284" w:hRule="atLeast"/>
        </w:trPr>
        <w:tc>
          <w:tcPr>
            <w:tcW w:w="989" w:type="dxa"/>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5</w:t>
            </w:r>
          </w:p>
        </w:tc>
        <w:tc>
          <w:tcPr>
            <w:tcW w:w="4538" w:type="dxa"/>
            <w:tcBorders>
              <w:top w:val="nil"/>
              <w:left w:val="nil"/>
              <w:bottom w:val="single" w:color="auto" w:sz="4" w:space="0"/>
              <w:right w:val="single" w:color="auto" w:sz="4" w:space="0"/>
            </w:tcBorders>
            <w:shd w:val="clear" w:color="auto" w:fill="auto"/>
            <w:vAlign w:val="center"/>
          </w:tcPr>
          <w:p>
            <w:pPr>
              <w:spacing w:line="240" w:lineRule="atLeast"/>
              <w:rPr>
                <w:rFonts w:ascii="仿宋_GB2312" w:eastAsia="仿宋_GB2312"/>
                <w:sz w:val="21"/>
                <w:szCs w:val="21"/>
              </w:rPr>
            </w:pPr>
            <w:r>
              <w:rPr>
                <w:rFonts w:hint="eastAsia" w:ascii="仿宋_GB2312" w:eastAsia="仿宋_GB2312"/>
                <w:sz w:val="21"/>
                <w:szCs w:val="21"/>
              </w:rPr>
              <w:t>崇明区庙镇成人中等文化技术学校</w:t>
            </w:r>
          </w:p>
        </w:tc>
        <w:tc>
          <w:tcPr>
            <w:tcW w:w="1278"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优秀</w:t>
            </w:r>
          </w:p>
        </w:tc>
        <w:tc>
          <w:tcPr>
            <w:tcW w:w="2023"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7</w:t>
            </w:r>
          </w:p>
        </w:tc>
      </w:tr>
      <w:tr>
        <w:tblPrEx>
          <w:tblLayout w:type="fixed"/>
          <w:tblCellMar>
            <w:top w:w="0" w:type="dxa"/>
            <w:left w:w="108" w:type="dxa"/>
            <w:bottom w:w="0" w:type="dxa"/>
            <w:right w:w="108" w:type="dxa"/>
          </w:tblCellMar>
        </w:tblPrEx>
        <w:trPr>
          <w:trHeight w:val="284" w:hRule="atLeast"/>
        </w:trPr>
        <w:tc>
          <w:tcPr>
            <w:tcW w:w="989" w:type="dxa"/>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6</w:t>
            </w:r>
          </w:p>
        </w:tc>
        <w:tc>
          <w:tcPr>
            <w:tcW w:w="4538" w:type="dxa"/>
            <w:tcBorders>
              <w:top w:val="nil"/>
              <w:left w:val="nil"/>
              <w:bottom w:val="single" w:color="auto" w:sz="4" w:space="0"/>
              <w:right w:val="single" w:color="auto" w:sz="4" w:space="0"/>
            </w:tcBorders>
            <w:shd w:val="clear" w:color="auto" w:fill="auto"/>
            <w:vAlign w:val="center"/>
          </w:tcPr>
          <w:p>
            <w:pPr>
              <w:spacing w:line="240" w:lineRule="atLeast"/>
              <w:rPr>
                <w:rFonts w:ascii="仿宋_GB2312" w:eastAsia="仿宋_GB2312"/>
                <w:sz w:val="21"/>
                <w:szCs w:val="21"/>
              </w:rPr>
            </w:pPr>
            <w:r>
              <w:rPr>
                <w:rFonts w:hint="eastAsia" w:ascii="仿宋_GB2312" w:eastAsia="仿宋_GB2312"/>
                <w:sz w:val="21"/>
                <w:szCs w:val="21"/>
              </w:rPr>
              <w:t>崇明区长兴镇成人中等文化技术学校</w:t>
            </w:r>
          </w:p>
        </w:tc>
        <w:tc>
          <w:tcPr>
            <w:tcW w:w="1278"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合格</w:t>
            </w:r>
          </w:p>
        </w:tc>
        <w:tc>
          <w:tcPr>
            <w:tcW w:w="2023" w:type="dxa"/>
            <w:tcBorders>
              <w:top w:val="nil"/>
              <w:left w:val="nil"/>
              <w:bottom w:val="single" w:color="auto" w:sz="4" w:space="0"/>
              <w:right w:val="single" w:color="auto" w:sz="4" w:space="0"/>
            </w:tcBorders>
            <w:shd w:val="clear" w:color="auto" w:fill="auto"/>
            <w:vAlign w:val="center"/>
          </w:tcPr>
          <w:p>
            <w:pPr>
              <w:spacing w:line="240" w:lineRule="atLeast"/>
              <w:jc w:val="center"/>
              <w:rPr>
                <w:rFonts w:ascii="仿宋_GB2312" w:eastAsia="仿宋_GB2312"/>
                <w:sz w:val="21"/>
                <w:szCs w:val="21"/>
              </w:rPr>
            </w:pPr>
            <w:r>
              <w:rPr>
                <w:rFonts w:hint="eastAsia" w:ascii="仿宋_GB2312" w:eastAsia="仿宋_GB2312"/>
                <w:sz w:val="21"/>
                <w:szCs w:val="21"/>
              </w:rPr>
              <w:t>3</w:t>
            </w:r>
          </w:p>
        </w:tc>
      </w:tr>
      <w:tr>
        <w:tblPrEx>
          <w:tblLayout w:type="fixed"/>
          <w:tblCellMar>
            <w:top w:w="0" w:type="dxa"/>
            <w:left w:w="108" w:type="dxa"/>
            <w:bottom w:w="0" w:type="dxa"/>
            <w:right w:w="108" w:type="dxa"/>
          </w:tblCellMar>
        </w:tblPrEx>
        <w:trPr>
          <w:trHeight w:val="284" w:hRule="atLeast"/>
        </w:trPr>
        <w:tc>
          <w:tcPr>
            <w:tcW w:w="6805" w:type="dxa"/>
            <w:gridSpan w:val="3"/>
            <w:tcBorders>
              <w:top w:val="single" w:color="auto" w:sz="4" w:space="0"/>
              <w:left w:val="single" w:color="auto" w:sz="4" w:space="0"/>
              <w:bottom w:val="single" w:color="auto" w:sz="4" w:space="0"/>
              <w:right w:val="single" w:color="000000" w:sz="4" w:space="0"/>
            </w:tcBorders>
            <w:shd w:val="clear" w:color="auto" w:fill="auto"/>
            <w:vAlign w:val="bottom"/>
          </w:tcPr>
          <w:p>
            <w:pPr>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合计：</w:t>
            </w:r>
          </w:p>
        </w:tc>
        <w:tc>
          <w:tcPr>
            <w:tcW w:w="2023"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32</w:t>
            </w:r>
          </w:p>
        </w:tc>
      </w:tr>
    </w:tbl>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④老年优质校经费：</w:t>
      </w:r>
      <w:r>
        <w:rPr>
          <w:rFonts w:hint="eastAsia" w:ascii="仿宋_GB2312" w:hAnsi="Times New Roman" w:eastAsia="仿宋_GB2312" w:cs="Times New Roman"/>
          <w:kern w:val="2"/>
          <w:sz w:val="30"/>
          <w:szCs w:val="30"/>
        </w:rPr>
        <w:t>根据上海市教育委员会《关于开展本市街镇社区</w:t>
      </w:r>
      <w:r>
        <w:rPr>
          <w:rFonts w:ascii="仿宋_GB2312" w:hAnsi="Times New Roman" w:eastAsia="仿宋_GB2312" w:cs="Times New Roman"/>
          <w:kern w:val="2"/>
          <w:sz w:val="30"/>
          <w:szCs w:val="30"/>
        </w:rPr>
        <w:t>(老年)学校优质校创建工作的通知》（沪教委终〔2021〕11号）</w:t>
      </w:r>
      <w:r>
        <w:rPr>
          <w:rFonts w:hint="eastAsia" w:ascii="仿宋_GB2312" w:hAnsi="Times New Roman" w:eastAsia="仿宋_GB2312" w:cs="Times New Roman"/>
          <w:kern w:val="2"/>
          <w:sz w:val="30"/>
          <w:szCs w:val="30"/>
        </w:rPr>
        <w:t>和</w:t>
      </w:r>
      <w:r>
        <w:rPr>
          <w:rFonts w:ascii="仿宋_GB2312" w:hAnsi="Times New Roman" w:eastAsia="仿宋_GB2312" w:cs="Times New Roman"/>
          <w:kern w:val="2"/>
          <w:sz w:val="30"/>
          <w:szCs w:val="30"/>
        </w:rPr>
        <w:t>《2022年上海市街镇社区（老年）学校优质校建设评估实施方案》，开展优质校建设评估申报工作，</w:t>
      </w:r>
      <w:r>
        <w:rPr>
          <w:rFonts w:hint="eastAsia" w:ascii="仿宋_GB2312" w:hAnsi="Times New Roman" w:eastAsia="仿宋_GB2312" w:cs="Times New Roman"/>
          <w:kern w:val="2"/>
          <w:sz w:val="30"/>
          <w:szCs w:val="30"/>
        </w:rPr>
        <w:t>对于</w:t>
      </w:r>
      <w:r>
        <w:rPr>
          <w:rFonts w:ascii="仿宋_GB2312" w:hAnsi="Times New Roman" w:eastAsia="仿宋_GB2312" w:cs="Times New Roman"/>
          <w:kern w:val="2"/>
          <w:sz w:val="30"/>
          <w:szCs w:val="30"/>
        </w:rPr>
        <w:t>成功创建市优质校的成人学校给予每个学校5万元奖励，从终身教育经费中列支。2022年</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2所学校被评为市优质校，分别是庙镇成校和新河成校，每个学校给予5万元奖励，共计10万元。</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⑤老年人学习团队活动经费：</w:t>
      </w:r>
      <w:r>
        <w:rPr>
          <w:rFonts w:hint="eastAsia" w:ascii="仿宋_GB2312" w:hAnsi="Times New Roman" w:eastAsia="仿宋_GB2312" w:cs="Times New Roman"/>
          <w:kern w:val="2"/>
          <w:sz w:val="30"/>
          <w:szCs w:val="30"/>
        </w:rPr>
        <w:t>根据《上海市老年教育发展“十四五”规划》</w:t>
      </w:r>
      <w:r>
        <w:rPr>
          <w:rFonts w:ascii="仿宋_GB2312" w:hAnsi="Times New Roman" w:eastAsia="仿宋_GB2312" w:cs="Times New Roman"/>
          <w:kern w:val="2"/>
          <w:sz w:val="30"/>
          <w:szCs w:val="30"/>
        </w:rPr>
        <w:t>(沪教委终〔2022〕3号)及2022年崇明区老年教育工作要点，要求在十四五期间培育五星级老年学习团队。为促进老年学习团队向特色化方向发展，</w:t>
      </w:r>
      <w:r>
        <w:rPr>
          <w:rFonts w:hint="eastAsia" w:ascii="仿宋_GB2312" w:hAnsi="Times New Roman" w:eastAsia="仿宋_GB2312" w:cs="Times New Roman"/>
          <w:kern w:val="2"/>
          <w:sz w:val="30"/>
          <w:szCs w:val="30"/>
        </w:rPr>
        <w:t>安排</w:t>
      </w:r>
      <w:r>
        <w:rPr>
          <w:rFonts w:ascii="仿宋_GB2312" w:hAnsi="Times New Roman" w:eastAsia="仿宋_GB2312" w:cs="Times New Roman"/>
          <w:kern w:val="2"/>
          <w:sz w:val="30"/>
          <w:szCs w:val="30"/>
        </w:rPr>
        <w:t>老年人学习团队经费</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从终身教育经费中列支。</w:t>
      </w:r>
      <w:r>
        <w:rPr>
          <w:rFonts w:hint="eastAsia" w:ascii="仿宋_GB2312" w:hAnsi="Times New Roman" w:eastAsia="仿宋_GB2312" w:cs="Times New Roman"/>
          <w:kern w:val="2"/>
          <w:sz w:val="30"/>
          <w:szCs w:val="30"/>
        </w:rPr>
        <w:t>补贴标准为</w:t>
      </w:r>
      <w:r>
        <w:rPr>
          <w:rFonts w:ascii="仿宋_GB2312" w:hAnsi="Times New Roman" w:eastAsia="仿宋_GB2312" w:cs="Times New Roman"/>
          <w:kern w:val="2"/>
          <w:sz w:val="30"/>
          <w:szCs w:val="30"/>
        </w:rPr>
        <w:t>学习团队工作室活动经费1000元，五星团队每个团队活动经费600元，一至四星团队每个团队活动经费200元。</w:t>
      </w:r>
      <w:r>
        <w:rPr>
          <w:rFonts w:hint="eastAsia" w:ascii="仿宋_GB2312" w:hAnsi="Times New Roman" w:eastAsia="仿宋_GB2312" w:cs="Times New Roman"/>
          <w:kern w:val="2"/>
          <w:sz w:val="30"/>
          <w:szCs w:val="30"/>
        </w:rPr>
        <w:t>主要用于老年学习团队开展各项活动，具体详见下表。</w:t>
      </w:r>
    </w:p>
    <w:p>
      <w:pPr>
        <w:jc w:val="center"/>
        <w:rPr>
          <w:rFonts w:ascii="仿宋_GB2312" w:eastAsia="仿宋_GB2312"/>
          <w:b/>
        </w:rPr>
      </w:pPr>
      <w:r>
        <w:rPr>
          <w:rFonts w:hint="eastAsia" w:ascii="仿宋_GB2312" w:eastAsia="仿宋_GB2312"/>
          <w:b/>
        </w:rPr>
        <w:t>表1-</w:t>
      </w:r>
      <w:r>
        <w:rPr>
          <w:rFonts w:ascii="仿宋_GB2312" w:eastAsia="仿宋_GB2312"/>
          <w:b/>
        </w:rPr>
        <w:t>2</w:t>
      </w:r>
      <w:r>
        <w:rPr>
          <w:rFonts w:hint="eastAsia" w:ascii="仿宋_GB2312" w:eastAsia="仿宋_GB2312"/>
          <w:b/>
        </w:rPr>
        <w:t>-</w:t>
      </w:r>
      <w:r>
        <w:rPr>
          <w:rFonts w:ascii="仿宋_GB2312" w:eastAsia="仿宋_GB2312"/>
          <w:b/>
        </w:rPr>
        <w:t>7 2022年崇明区老年人学习团队活动经费明细（单位：元）</w:t>
      </w:r>
    </w:p>
    <w:tbl>
      <w:tblPr>
        <w:tblStyle w:val="40"/>
        <w:tblW w:w="11625" w:type="dxa"/>
        <w:tblInd w:w="-1423" w:type="dxa"/>
        <w:tblLayout w:type="fixed"/>
        <w:tblCellMar>
          <w:top w:w="0" w:type="dxa"/>
          <w:left w:w="108" w:type="dxa"/>
          <w:bottom w:w="0" w:type="dxa"/>
          <w:right w:w="108" w:type="dxa"/>
        </w:tblCellMar>
      </w:tblPr>
      <w:tblGrid>
        <w:gridCol w:w="568"/>
        <w:gridCol w:w="1562"/>
        <w:gridCol w:w="709"/>
        <w:gridCol w:w="958"/>
        <w:gridCol w:w="742"/>
        <w:gridCol w:w="860"/>
        <w:gridCol w:w="842"/>
        <w:gridCol w:w="1132"/>
        <w:gridCol w:w="1416"/>
        <w:gridCol w:w="1276"/>
        <w:gridCol w:w="1560"/>
      </w:tblGrid>
      <w:tr>
        <w:tblPrEx>
          <w:tblLayout w:type="fixed"/>
          <w:tblCellMar>
            <w:top w:w="0" w:type="dxa"/>
            <w:left w:w="108" w:type="dxa"/>
            <w:bottom w:w="0" w:type="dxa"/>
            <w:right w:w="108" w:type="dxa"/>
          </w:tblCellMar>
        </w:tblPrEx>
        <w:trPr>
          <w:trHeight w:val="283" w:hRule="atLeast"/>
          <w:tblHeader/>
        </w:trPr>
        <w:tc>
          <w:tcPr>
            <w:tcW w:w="568" w:type="dxa"/>
            <w:vMerge w:val="restart"/>
            <w:tcBorders>
              <w:top w:val="single" w:color="auto" w:sz="4" w:space="0"/>
              <w:left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序号</w:t>
            </w:r>
          </w:p>
        </w:tc>
        <w:tc>
          <w:tcPr>
            <w:tcW w:w="1562" w:type="dxa"/>
            <w:vMerge w:val="restart"/>
            <w:tcBorders>
              <w:top w:val="single" w:color="auto" w:sz="4" w:space="0"/>
              <w:left w:val="nil"/>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单位名称</w:t>
            </w:r>
          </w:p>
        </w:tc>
        <w:tc>
          <w:tcPr>
            <w:tcW w:w="1667"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学习团队</w:t>
            </w:r>
          </w:p>
        </w:tc>
        <w:tc>
          <w:tcPr>
            <w:tcW w:w="1602"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五星团队</w:t>
            </w:r>
          </w:p>
        </w:tc>
        <w:tc>
          <w:tcPr>
            <w:tcW w:w="1974"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一至四星团队</w:t>
            </w:r>
          </w:p>
        </w:tc>
        <w:tc>
          <w:tcPr>
            <w:tcW w:w="4252" w:type="dxa"/>
            <w:gridSpan w:val="3"/>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资金使用情况</w:t>
            </w:r>
          </w:p>
        </w:tc>
      </w:tr>
      <w:tr>
        <w:tblPrEx>
          <w:tblLayout w:type="fixed"/>
          <w:tblCellMar>
            <w:top w:w="0" w:type="dxa"/>
            <w:left w:w="108" w:type="dxa"/>
            <w:bottom w:w="0" w:type="dxa"/>
            <w:right w:w="108" w:type="dxa"/>
          </w:tblCellMar>
        </w:tblPrEx>
        <w:trPr>
          <w:trHeight w:val="283" w:hRule="atLeast"/>
          <w:tblHeader/>
        </w:trPr>
        <w:tc>
          <w:tcPr>
            <w:tcW w:w="568" w:type="dxa"/>
            <w:vMerge w:val="continue"/>
            <w:tcBorders>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p>
        </w:tc>
        <w:tc>
          <w:tcPr>
            <w:tcW w:w="1562" w:type="dxa"/>
            <w:vMerge w:val="continue"/>
            <w:tcBorders>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p>
        </w:tc>
        <w:tc>
          <w:tcPr>
            <w:tcW w:w="709"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数量</w:t>
            </w:r>
          </w:p>
        </w:tc>
        <w:tc>
          <w:tcPr>
            <w:tcW w:w="958"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金额</w:t>
            </w:r>
          </w:p>
        </w:tc>
        <w:tc>
          <w:tcPr>
            <w:tcW w:w="742"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数量</w:t>
            </w:r>
          </w:p>
        </w:tc>
        <w:tc>
          <w:tcPr>
            <w:tcW w:w="860"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金额</w:t>
            </w:r>
          </w:p>
        </w:tc>
        <w:tc>
          <w:tcPr>
            <w:tcW w:w="842"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数量</w:t>
            </w:r>
          </w:p>
        </w:tc>
        <w:tc>
          <w:tcPr>
            <w:tcW w:w="1132"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金额</w:t>
            </w:r>
          </w:p>
        </w:tc>
        <w:tc>
          <w:tcPr>
            <w:tcW w:w="1416"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年初预算</w:t>
            </w:r>
          </w:p>
        </w:tc>
        <w:tc>
          <w:tcPr>
            <w:tcW w:w="1276"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预算调整</w:t>
            </w:r>
          </w:p>
        </w:tc>
        <w:tc>
          <w:tcPr>
            <w:tcW w:w="1560"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实际支出</w:t>
            </w:r>
          </w:p>
        </w:tc>
      </w:tr>
      <w:tr>
        <w:tblPrEx>
          <w:tblLayout w:type="fixed"/>
          <w:tblCellMar>
            <w:top w:w="0" w:type="dxa"/>
            <w:left w:w="108" w:type="dxa"/>
            <w:bottom w:w="0" w:type="dxa"/>
            <w:right w:w="108" w:type="dxa"/>
          </w:tblCellMar>
        </w:tblPrEx>
        <w:trPr>
          <w:trHeight w:val="283"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w:t>
            </w:r>
          </w:p>
        </w:tc>
        <w:tc>
          <w:tcPr>
            <w:tcW w:w="1562"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堡镇成校</w:t>
            </w:r>
          </w:p>
        </w:tc>
        <w:tc>
          <w:tcPr>
            <w:tcW w:w="70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958"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7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5</w:t>
            </w:r>
          </w:p>
        </w:tc>
        <w:tc>
          <w:tcPr>
            <w:tcW w:w="8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3000</w:t>
            </w:r>
          </w:p>
        </w:tc>
        <w:tc>
          <w:tcPr>
            <w:tcW w:w="8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81</w:t>
            </w:r>
          </w:p>
        </w:tc>
        <w:tc>
          <w:tcPr>
            <w:tcW w:w="113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16200</w:t>
            </w:r>
          </w:p>
        </w:tc>
        <w:tc>
          <w:tcPr>
            <w:tcW w:w="14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19,200.00</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0.00</w:t>
            </w:r>
          </w:p>
        </w:tc>
        <w:tc>
          <w:tcPr>
            <w:tcW w:w="15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19,200.00</w:t>
            </w:r>
          </w:p>
        </w:tc>
      </w:tr>
      <w:tr>
        <w:tblPrEx>
          <w:tblLayout w:type="fixed"/>
          <w:tblCellMar>
            <w:top w:w="0" w:type="dxa"/>
            <w:left w:w="108" w:type="dxa"/>
            <w:bottom w:w="0" w:type="dxa"/>
            <w:right w:w="108" w:type="dxa"/>
          </w:tblCellMar>
        </w:tblPrEx>
        <w:trPr>
          <w:trHeight w:val="283"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w:t>
            </w:r>
          </w:p>
        </w:tc>
        <w:tc>
          <w:tcPr>
            <w:tcW w:w="1562"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城桥成校</w:t>
            </w:r>
          </w:p>
        </w:tc>
        <w:tc>
          <w:tcPr>
            <w:tcW w:w="70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958"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7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10</w:t>
            </w:r>
          </w:p>
        </w:tc>
        <w:tc>
          <w:tcPr>
            <w:tcW w:w="8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6000</w:t>
            </w:r>
          </w:p>
        </w:tc>
        <w:tc>
          <w:tcPr>
            <w:tcW w:w="8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107</w:t>
            </w:r>
          </w:p>
        </w:tc>
        <w:tc>
          <w:tcPr>
            <w:tcW w:w="113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21400</w:t>
            </w:r>
          </w:p>
        </w:tc>
        <w:tc>
          <w:tcPr>
            <w:tcW w:w="14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27,400.00</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-1,449.43</w:t>
            </w:r>
          </w:p>
        </w:tc>
        <w:tc>
          <w:tcPr>
            <w:tcW w:w="15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25,950.57</w:t>
            </w:r>
          </w:p>
        </w:tc>
      </w:tr>
      <w:tr>
        <w:tblPrEx>
          <w:tblLayout w:type="fixed"/>
          <w:tblCellMar>
            <w:top w:w="0" w:type="dxa"/>
            <w:left w:w="108" w:type="dxa"/>
            <w:bottom w:w="0" w:type="dxa"/>
            <w:right w:w="108" w:type="dxa"/>
          </w:tblCellMar>
        </w:tblPrEx>
        <w:trPr>
          <w:trHeight w:val="283"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w:t>
            </w:r>
          </w:p>
        </w:tc>
        <w:tc>
          <w:tcPr>
            <w:tcW w:w="1562"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社区学院</w:t>
            </w:r>
          </w:p>
        </w:tc>
        <w:tc>
          <w:tcPr>
            <w:tcW w:w="70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w:t>
            </w:r>
          </w:p>
        </w:tc>
        <w:tc>
          <w:tcPr>
            <w:tcW w:w="958"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1000</w:t>
            </w:r>
          </w:p>
        </w:tc>
        <w:tc>
          <w:tcPr>
            <w:tcW w:w="7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6</w:t>
            </w:r>
          </w:p>
        </w:tc>
        <w:tc>
          <w:tcPr>
            <w:tcW w:w="8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3600</w:t>
            </w:r>
          </w:p>
        </w:tc>
        <w:tc>
          <w:tcPr>
            <w:tcW w:w="8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20</w:t>
            </w:r>
          </w:p>
        </w:tc>
        <w:tc>
          <w:tcPr>
            <w:tcW w:w="113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4000</w:t>
            </w:r>
          </w:p>
        </w:tc>
        <w:tc>
          <w:tcPr>
            <w:tcW w:w="14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8,600.00</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-125.00</w:t>
            </w:r>
          </w:p>
        </w:tc>
        <w:tc>
          <w:tcPr>
            <w:tcW w:w="15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8,475.00</w:t>
            </w:r>
          </w:p>
        </w:tc>
      </w:tr>
      <w:tr>
        <w:tblPrEx>
          <w:tblLayout w:type="fixed"/>
          <w:tblCellMar>
            <w:top w:w="0" w:type="dxa"/>
            <w:left w:w="108" w:type="dxa"/>
            <w:bottom w:w="0" w:type="dxa"/>
            <w:right w:w="108" w:type="dxa"/>
          </w:tblCellMar>
        </w:tblPrEx>
        <w:trPr>
          <w:trHeight w:val="283"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4</w:t>
            </w:r>
          </w:p>
        </w:tc>
        <w:tc>
          <w:tcPr>
            <w:tcW w:w="1562"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陈家镇成校</w:t>
            </w:r>
          </w:p>
        </w:tc>
        <w:tc>
          <w:tcPr>
            <w:tcW w:w="70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958"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7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4</w:t>
            </w:r>
          </w:p>
        </w:tc>
        <w:tc>
          <w:tcPr>
            <w:tcW w:w="8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2400</w:t>
            </w:r>
          </w:p>
        </w:tc>
        <w:tc>
          <w:tcPr>
            <w:tcW w:w="8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96</w:t>
            </w:r>
          </w:p>
        </w:tc>
        <w:tc>
          <w:tcPr>
            <w:tcW w:w="113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19200</w:t>
            </w:r>
          </w:p>
        </w:tc>
        <w:tc>
          <w:tcPr>
            <w:tcW w:w="14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21,600.00</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0.00</w:t>
            </w:r>
          </w:p>
        </w:tc>
        <w:tc>
          <w:tcPr>
            <w:tcW w:w="15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21,600.00</w:t>
            </w:r>
          </w:p>
        </w:tc>
      </w:tr>
      <w:tr>
        <w:tblPrEx>
          <w:tblLayout w:type="fixed"/>
          <w:tblCellMar>
            <w:top w:w="0" w:type="dxa"/>
            <w:left w:w="108" w:type="dxa"/>
            <w:bottom w:w="0" w:type="dxa"/>
            <w:right w:w="108" w:type="dxa"/>
          </w:tblCellMar>
        </w:tblPrEx>
        <w:trPr>
          <w:trHeight w:val="283"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5</w:t>
            </w:r>
          </w:p>
        </w:tc>
        <w:tc>
          <w:tcPr>
            <w:tcW w:w="1562"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新河镇成校</w:t>
            </w:r>
          </w:p>
        </w:tc>
        <w:tc>
          <w:tcPr>
            <w:tcW w:w="70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958"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7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5</w:t>
            </w:r>
          </w:p>
        </w:tc>
        <w:tc>
          <w:tcPr>
            <w:tcW w:w="8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3000</w:t>
            </w:r>
          </w:p>
        </w:tc>
        <w:tc>
          <w:tcPr>
            <w:tcW w:w="8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73</w:t>
            </w:r>
          </w:p>
        </w:tc>
        <w:tc>
          <w:tcPr>
            <w:tcW w:w="113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14600</w:t>
            </w:r>
          </w:p>
        </w:tc>
        <w:tc>
          <w:tcPr>
            <w:tcW w:w="14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17,600.00</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0.00</w:t>
            </w:r>
          </w:p>
        </w:tc>
        <w:tc>
          <w:tcPr>
            <w:tcW w:w="15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17,600.00</w:t>
            </w:r>
          </w:p>
        </w:tc>
      </w:tr>
      <w:tr>
        <w:tblPrEx>
          <w:tblLayout w:type="fixed"/>
          <w:tblCellMar>
            <w:top w:w="0" w:type="dxa"/>
            <w:left w:w="108" w:type="dxa"/>
            <w:bottom w:w="0" w:type="dxa"/>
            <w:right w:w="108" w:type="dxa"/>
          </w:tblCellMar>
        </w:tblPrEx>
        <w:trPr>
          <w:trHeight w:val="283"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6</w:t>
            </w:r>
          </w:p>
        </w:tc>
        <w:tc>
          <w:tcPr>
            <w:tcW w:w="1562"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庙镇成人学校</w:t>
            </w:r>
          </w:p>
        </w:tc>
        <w:tc>
          <w:tcPr>
            <w:tcW w:w="70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w:t>
            </w:r>
          </w:p>
        </w:tc>
        <w:tc>
          <w:tcPr>
            <w:tcW w:w="958"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1000</w:t>
            </w:r>
          </w:p>
        </w:tc>
        <w:tc>
          <w:tcPr>
            <w:tcW w:w="7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4</w:t>
            </w:r>
          </w:p>
        </w:tc>
        <w:tc>
          <w:tcPr>
            <w:tcW w:w="8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2400</w:t>
            </w:r>
          </w:p>
        </w:tc>
        <w:tc>
          <w:tcPr>
            <w:tcW w:w="8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97</w:t>
            </w:r>
          </w:p>
        </w:tc>
        <w:tc>
          <w:tcPr>
            <w:tcW w:w="113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19400</w:t>
            </w:r>
          </w:p>
        </w:tc>
        <w:tc>
          <w:tcPr>
            <w:tcW w:w="14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22,800.00</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0.00</w:t>
            </w:r>
          </w:p>
        </w:tc>
        <w:tc>
          <w:tcPr>
            <w:tcW w:w="15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22,800.00</w:t>
            </w:r>
          </w:p>
        </w:tc>
      </w:tr>
      <w:tr>
        <w:tblPrEx>
          <w:tblLayout w:type="fixed"/>
          <w:tblCellMar>
            <w:top w:w="0" w:type="dxa"/>
            <w:left w:w="108" w:type="dxa"/>
            <w:bottom w:w="0" w:type="dxa"/>
            <w:right w:w="108" w:type="dxa"/>
          </w:tblCellMar>
        </w:tblPrEx>
        <w:trPr>
          <w:trHeight w:val="283"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7</w:t>
            </w:r>
          </w:p>
        </w:tc>
        <w:tc>
          <w:tcPr>
            <w:tcW w:w="1562"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eastAsia="仿宋_GB2312"/>
                <w:sz w:val="21"/>
                <w:szCs w:val="21"/>
              </w:rPr>
            </w:pPr>
            <w:r>
              <w:rPr>
                <w:rFonts w:hint="eastAsia" w:ascii="仿宋_GB2312" w:eastAsia="仿宋_GB2312"/>
                <w:sz w:val="21"/>
                <w:szCs w:val="21"/>
              </w:rPr>
              <w:t>长兴镇成校</w:t>
            </w:r>
          </w:p>
        </w:tc>
        <w:tc>
          <w:tcPr>
            <w:tcW w:w="70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958"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w:t>
            </w:r>
          </w:p>
        </w:tc>
        <w:tc>
          <w:tcPr>
            <w:tcW w:w="7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2</w:t>
            </w:r>
          </w:p>
        </w:tc>
        <w:tc>
          <w:tcPr>
            <w:tcW w:w="8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1200</w:t>
            </w:r>
          </w:p>
        </w:tc>
        <w:tc>
          <w:tcPr>
            <w:tcW w:w="84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63</w:t>
            </w:r>
          </w:p>
        </w:tc>
        <w:tc>
          <w:tcPr>
            <w:tcW w:w="113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12600</w:t>
            </w:r>
          </w:p>
        </w:tc>
        <w:tc>
          <w:tcPr>
            <w:tcW w:w="14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13,800.00</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0.00</w:t>
            </w:r>
          </w:p>
        </w:tc>
        <w:tc>
          <w:tcPr>
            <w:tcW w:w="156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eastAsia="仿宋_GB2312"/>
                <w:sz w:val="21"/>
                <w:szCs w:val="21"/>
              </w:rPr>
            </w:pPr>
            <w:r>
              <w:rPr>
                <w:rFonts w:hint="eastAsia" w:ascii="仿宋_GB2312" w:eastAsia="仿宋_GB2312"/>
                <w:sz w:val="21"/>
                <w:szCs w:val="21"/>
              </w:rPr>
              <w:t>13,800.00</w:t>
            </w:r>
          </w:p>
        </w:tc>
      </w:tr>
      <w:tr>
        <w:tblPrEx>
          <w:tblLayout w:type="fixed"/>
          <w:tblCellMar>
            <w:top w:w="0" w:type="dxa"/>
            <w:left w:w="108" w:type="dxa"/>
            <w:bottom w:w="0" w:type="dxa"/>
            <w:right w:w="108" w:type="dxa"/>
          </w:tblCellMar>
        </w:tblPrEx>
        <w:trPr>
          <w:trHeight w:val="283" w:hRule="atLeast"/>
        </w:trPr>
        <w:tc>
          <w:tcPr>
            <w:tcW w:w="2130"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合计：</w:t>
            </w:r>
          </w:p>
        </w:tc>
        <w:tc>
          <w:tcPr>
            <w:tcW w:w="709"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2</w:t>
            </w:r>
          </w:p>
        </w:tc>
        <w:tc>
          <w:tcPr>
            <w:tcW w:w="958"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ascii="仿宋_GB2312" w:eastAsia="仿宋_GB2312"/>
                <w:b/>
                <w:bCs/>
                <w:color w:val="000000"/>
                <w:sz w:val="21"/>
                <w:szCs w:val="21"/>
              </w:rPr>
              <w:t>2</w:t>
            </w:r>
            <w:r>
              <w:rPr>
                <w:rFonts w:hint="eastAsia" w:ascii="仿宋_GB2312" w:eastAsia="仿宋_GB2312"/>
                <w:b/>
                <w:bCs/>
                <w:color w:val="000000"/>
                <w:sz w:val="21"/>
                <w:szCs w:val="21"/>
              </w:rPr>
              <w:t>000</w:t>
            </w:r>
          </w:p>
        </w:tc>
        <w:tc>
          <w:tcPr>
            <w:tcW w:w="742"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36</w:t>
            </w:r>
          </w:p>
        </w:tc>
        <w:tc>
          <w:tcPr>
            <w:tcW w:w="860"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21600</w:t>
            </w:r>
          </w:p>
        </w:tc>
        <w:tc>
          <w:tcPr>
            <w:tcW w:w="842"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537</w:t>
            </w:r>
          </w:p>
        </w:tc>
        <w:tc>
          <w:tcPr>
            <w:tcW w:w="1132"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107400</w:t>
            </w:r>
          </w:p>
        </w:tc>
        <w:tc>
          <w:tcPr>
            <w:tcW w:w="1416"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131000</w:t>
            </w:r>
          </w:p>
        </w:tc>
        <w:tc>
          <w:tcPr>
            <w:tcW w:w="1276"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color w:val="000000"/>
                <w:sz w:val="21"/>
                <w:szCs w:val="21"/>
              </w:rPr>
            </w:pPr>
            <w:r>
              <w:rPr>
                <w:rFonts w:hint="eastAsia" w:ascii="仿宋_GB2312" w:eastAsia="仿宋_GB2312"/>
                <w:b/>
                <w:bCs/>
                <w:color w:val="000000"/>
                <w:sz w:val="21"/>
                <w:szCs w:val="21"/>
              </w:rPr>
              <w:t>-1574.43</w:t>
            </w:r>
          </w:p>
        </w:tc>
        <w:tc>
          <w:tcPr>
            <w:tcW w:w="1560"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eastAsia="仿宋_GB2312"/>
                <w:b/>
                <w:bCs/>
                <w:sz w:val="21"/>
                <w:szCs w:val="21"/>
              </w:rPr>
            </w:pPr>
            <w:r>
              <w:rPr>
                <w:rFonts w:hint="eastAsia" w:ascii="仿宋_GB2312" w:eastAsia="仿宋_GB2312"/>
                <w:b/>
                <w:bCs/>
                <w:sz w:val="21"/>
                <w:szCs w:val="21"/>
              </w:rPr>
              <w:t>129425.</w:t>
            </w:r>
            <w:r>
              <w:rPr>
                <w:rFonts w:ascii="仿宋_GB2312" w:eastAsia="仿宋_GB2312"/>
                <w:b/>
                <w:bCs/>
                <w:sz w:val="21"/>
                <w:szCs w:val="21"/>
              </w:rPr>
              <w:t>57</w:t>
            </w:r>
          </w:p>
        </w:tc>
      </w:tr>
    </w:tbl>
    <w:p>
      <w:pPr>
        <w:widowControl w:val="0"/>
        <w:snapToGrid w:val="0"/>
        <w:spacing w:line="240" w:lineRule="atLeast"/>
        <w:ind w:firstLine="480" w:firstLineChars="200"/>
        <w:jc w:val="both"/>
        <w:rPr>
          <w:rFonts w:ascii="Times New Roman" w:hAnsi="Times New Roman" w:eastAsia="仿宋_GB2312" w:cs="Times New Roman"/>
          <w:kern w:val="2"/>
        </w:rPr>
      </w:pPr>
      <w:r>
        <w:rPr>
          <w:rFonts w:hint="eastAsia" w:ascii="Times New Roman" w:hAnsi="Times New Roman" w:eastAsia="仿宋_GB2312" w:cs="Times New Roman"/>
          <w:kern w:val="2"/>
        </w:rPr>
        <w:t>注：2</w:t>
      </w:r>
      <w:r>
        <w:rPr>
          <w:rFonts w:ascii="Times New Roman" w:hAnsi="Times New Roman" w:eastAsia="仿宋_GB2312" w:cs="Times New Roman"/>
          <w:kern w:val="2"/>
        </w:rPr>
        <w:t>022</w:t>
      </w:r>
      <w:r>
        <w:rPr>
          <w:rFonts w:hint="eastAsia" w:ascii="Times New Roman" w:hAnsi="Times New Roman" w:eastAsia="仿宋_GB2312" w:cs="Times New Roman"/>
          <w:kern w:val="2"/>
        </w:rPr>
        <w:t>年城桥成校和社区学院金额调减原因是因为老年学习团队开展活动时经费未使用完。</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⑥涉农课程培训经费：</w:t>
      </w:r>
      <w:r>
        <w:rPr>
          <w:rFonts w:hint="eastAsia" w:ascii="仿宋_GB2312" w:hAnsi="Times New Roman" w:eastAsia="仿宋_GB2312" w:cs="Times New Roman"/>
          <w:kern w:val="2"/>
          <w:sz w:val="30"/>
          <w:szCs w:val="30"/>
        </w:rPr>
        <w:t>按照《</w:t>
      </w:r>
      <w:r>
        <w:rPr>
          <w:rFonts w:ascii="仿宋_GB2312" w:hAnsi="Times New Roman" w:eastAsia="仿宋_GB2312" w:cs="Times New Roman"/>
          <w:kern w:val="2"/>
          <w:sz w:val="30"/>
          <w:szCs w:val="30"/>
        </w:rPr>
        <w:t>2022年上海市终身教育工作要点》中关于深入开展农村成人教育工作，要求“丰富面向三农的各类培训课程，提升服务乡村振兴的能力水平”，为推进农民技能提升，</w:t>
      </w:r>
      <w:r>
        <w:rPr>
          <w:rFonts w:hint="eastAsia" w:ascii="仿宋_GB2312" w:hAnsi="Times New Roman" w:eastAsia="仿宋_GB2312" w:cs="Times New Roman"/>
          <w:kern w:val="2"/>
          <w:sz w:val="30"/>
          <w:szCs w:val="30"/>
        </w:rPr>
        <w:t>安排</w:t>
      </w:r>
      <w:r>
        <w:rPr>
          <w:rFonts w:ascii="仿宋_GB2312" w:hAnsi="Times New Roman" w:eastAsia="仿宋_GB2312" w:cs="Times New Roman"/>
          <w:kern w:val="2"/>
          <w:sz w:val="30"/>
          <w:szCs w:val="30"/>
        </w:rPr>
        <w:t>涉农课程培训经费</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从终身教育经费中列支，该项目为2022年新增项目。</w:t>
      </w:r>
      <w:r>
        <w:rPr>
          <w:rFonts w:hint="eastAsia" w:ascii="仿宋_GB2312" w:hAnsi="Times New Roman" w:eastAsia="仿宋_GB2312" w:cs="Times New Roman"/>
          <w:kern w:val="2"/>
          <w:sz w:val="30"/>
          <w:szCs w:val="30"/>
        </w:rPr>
        <w:t>2</w:t>
      </w:r>
      <w:r>
        <w:rPr>
          <w:rFonts w:ascii="仿宋_GB2312" w:hAnsi="Times New Roman" w:eastAsia="仿宋_GB2312" w:cs="Times New Roman"/>
          <w:kern w:val="2"/>
          <w:sz w:val="30"/>
          <w:szCs w:val="30"/>
        </w:rPr>
        <w:t>022</w:t>
      </w:r>
      <w:r>
        <w:rPr>
          <w:rFonts w:hint="eastAsia" w:ascii="仿宋_GB2312" w:hAnsi="Times New Roman" w:eastAsia="仿宋_GB2312" w:cs="Times New Roman"/>
          <w:kern w:val="2"/>
          <w:sz w:val="30"/>
          <w:szCs w:val="30"/>
        </w:rPr>
        <w:t>年实际给予城桥成校港西校区（该校林木栽培实训面积</w:t>
      </w:r>
      <w:r>
        <w:rPr>
          <w:rFonts w:ascii="仿宋_GB2312" w:hAnsi="Times New Roman" w:eastAsia="仿宋_GB2312" w:cs="Times New Roman"/>
          <w:kern w:val="2"/>
          <w:sz w:val="30"/>
          <w:szCs w:val="30"/>
        </w:rPr>
        <w:t>12亩，在市燎原项目比赛，获两次金奖，一次银奖</w:t>
      </w:r>
      <w:r>
        <w:rPr>
          <w:rFonts w:hint="eastAsia" w:ascii="仿宋_GB2312" w:hAnsi="Times New Roman" w:eastAsia="仿宋_GB2312" w:cs="Times New Roman"/>
          <w:kern w:val="2"/>
          <w:sz w:val="30"/>
          <w:szCs w:val="30"/>
        </w:rPr>
        <w:t>）培训经费8万元，</w:t>
      </w:r>
      <w:r>
        <w:rPr>
          <w:rFonts w:ascii="仿宋_GB2312" w:hAnsi="Times New Roman" w:eastAsia="仿宋_GB2312" w:cs="Times New Roman"/>
          <w:kern w:val="2"/>
          <w:sz w:val="30"/>
          <w:szCs w:val="30"/>
        </w:rPr>
        <w:t>与光明集团联合开展小番茄种植、培训与课程开发。</w:t>
      </w:r>
    </w:p>
    <w:p>
      <w:pPr>
        <w:jc w:val="center"/>
        <w:rPr>
          <w:rFonts w:ascii="Times New Roman" w:hAnsi="Times New Roman" w:eastAsia="仿宋_GB2312" w:cs="Times New Roman"/>
          <w:b/>
        </w:rPr>
      </w:pPr>
      <w:r>
        <w:rPr>
          <w:rFonts w:hint="eastAsia" w:ascii="Times New Roman" w:hAnsi="Times New Roman" w:eastAsia="仿宋_GB2312" w:cs="Times New Roman"/>
          <w:b/>
        </w:rPr>
        <w:t>表1-</w:t>
      </w:r>
      <w:r>
        <w:rPr>
          <w:rFonts w:ascii="Times New Roman" w:hAnsi="Times New Roman" w:eastAsia="仿宋_GB2312" w:cs="Times New Roman"/>
          <w:b/>
        </w:rPr>
        <w:t>2</w:t>
      </w:r>
      <w:r>
        <w:rPr>
          <w:rFonts w:hint="eastAsia" w:ascii="Times New Roman" w:hAnsi="Times New Roman" w:eastAsia="仿宋_GB2312" w:cs="Times New Roman"/>
          <w:b/>
        </w:rPr>
        <w:t>-</w:t>
      </w:r>
      <w:r>
        <w:rPr>
          <w:rFonts w:ascii="Times New Roman" w:hAnsi="Times New Roman" w:eastAsia="仿宋_GB2312" w:cs="Times New Roman"/>
          <w:b/>
        </w:rPr>
        <w:t xml:space="preserve">8 </w:t>
      </w:r>
      <w:r>
        <w:rPr>
          <w:rFonts w:hint="eastAsia" w:ascii="Times New Roman" w:hAnsi="Times New Roman" w:eastAsia="仿宋_GB2312" w:cs="Times New Roman"/>
          <w:b/>
        </w:rPr>
        <w:t>2</w:t>
      </w:r>
      <w:r>
        <w:rPr>
          <w:rFonts w:ascii="Times New Roman" w:hAnsi="Times New Roman" w:eastAsia="仿宋_GB2312" w:cs="Times New Roman"/>
          <w:b/>
        </w:rPr>
        <w:t>022</w:t>
      </w:r>
      <w:r>
        <w:rPr>
          <w:rFonts w:hint="eastAsia" w:ascii="Times New Roman" w:hAnsi="Times New Roman" w:eastAsia="仿宋_GB2312" w:cs="Times New Roman"/>
          <w:b/>
        </w:rPr>
        <w:t>年</w:t>
      </w:r>
      <w:r>
        <w:rPr>
          <w:rFonts w:ascii="Times New Roman" w:hAnsi="Times New Roman" w:eastAsia="仿宋_GB2312" w:cs="Times New Roman"/>
          <w:b/>
        </w:rPr>
        <w:t>城桥成校涉农课程培训经费一览表</w:t>
      </w:r>
    </w:p>
    <w:tbl>
      <w:tblPr>
        <w:tblStyle w:val="40"/>
        <w:tblW w:w="8828" w:type="dxa"/>
        <w:tblInd w:w="0" w:type="dxa"/>
        <w:tblLayout w:type="fixed"/>
        <w:tblCellMar>
          <w:top w:w="0" w:type="dxa"/>
          <w:left w:w="108" w:type="dxa"/>
          <w:bottom w:w="0" w:type="dxa"/>
          <w:right w:w="108" w:type="dxa"/>
        </w:tblCellMar>
      </w:tblPr>
      <w:tblGrid>
        <w:gridCol w:w="756"/>
        <w:gridCol w:w="6301"/>
        <w:gridCol w:w="1771"/>
      </w:tblGrid>
      <w:tr>
        <w:tblPrEx>
          <w:tblLayout w:type="fixed"/>
          <w:tblCellMar>
            <w:top w:w="0" w:type="dxa"/>
            <w:left w:w="108" w:type="dxa"/>
            <w:bottom w:w="0" w:type="dxa"/>
            <w:right w:w="108" w:type="dxa"/>
          </w:tblCellMar>
        </w:tblPrEx>
        <w:trPr>
          <w:trHeight w:val="284" w:hRule="atLeast"/>
          <w:tblHeader/>
        </w:trPr>
        <w:tc>
          <w:tcPr>
            <w:tcW w:w="756"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序号</w:t>
            </w:r>
          </w:p>
        </w:tc>
        <w:tc>
          <w:tcPr>
            <w:tcW w:w="6301" w:type="dxa"/>
            <w:tcBorders>
              <w:top w:val="single" w:color="auto" w:sz="4" w:space="0"/>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资金使用明细</w:t>
            </w:r>
          </w:p>
        </w:tc>
        <w:tc>
          <w:tcPr>
            <w:tcW w:w="1771" w:type="dxa"/>
            <w:tcBorders>
              <w:top w:val="single" w:color="auto" w:sz="4" w:space="0"/>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金额（万元）</w:t>
            </w:r>
          </w:p>
        </w:tc>
      </w:tr>
      <w:tr>
        <w:tblPrEx>
          <w:tblLayout w:type="fixed"/>
          <w:tblCellMar>
            <w:top w:w="0" w:type="dxa"/>
            <w:left w:w="108" w:type="dxa"/>
            <w:bottom w:w="0" w:type="dxa"/>
            <w:right w:w="108" w:type="dxa"/>
          </w:tblCellMar>
        </w:tblPrEx>
        <w:trPr>
          <w:trHeight w:val="284" w:hRule="atLeast"/>
        </w:trPr>
        <w:tc>
          <w:tcPr>
            <w:tcW w:w="756" w:type="dxa"/>
            <w:tcBorders>
              <w:top w:val="nil"/>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p>
        </w:tc>
        <w:tc>
          <w:tcPr>
            <w:tcW w:w="6301" w:type="dxa"/>
            <w:tcBorders>
              <w:top w:val="nil"/>
              <w:left w:val="nil"/>
              <w:bottom w:val="single" w:color="auto" w:sz="4" w:space="0"/>
              <w:right w:val="single" w:color="auto" w:sz="4" w:space="0"/>
            </w:tcBorders>
            <w:shd w:val="clear" w:color="auto" w:fill="auto"/>
            <w:vAlign w:val="bottom"/>
          </w:tcPr>
          <w:p>
            <w:pP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地载番茄实训基地大棚改造</w:t>
            </w:r>
          </w:p>
        </w:tc>
        <w:tc>
          <w:tcPr>
            <w:tcW w:w="1771"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 xml:space="preserve">2.50 </w:t>
            </w:r>
          </w:p>
        </w:tc>
      </w:tr>
      <w:tr>
        <w:tblPrEx>
          <w:tblLayout w:type="fixed"/>
          <w:tblCellMar>
            <w:top w:w="0" w:type="dxa"/>
            <w:left w:w="108" w:type="dxa"/>
            <w:bottom w:w="0" w:type="dxa"/>
            <w:right w:w="108" w:type="dxa"/>
          </w:tblCellMar>
        </w:tblPrEx>
        <w:trPr>
          <w:trHeight w:val="284" w:hRule="atLeast"/>
        </w:trPr>
        <w:tc>
          <w:tcPr>
            <w:tcW w:w="756" w:type="dxa"/>
            <w:tcBorders>
              <w:top w:val="nil"/>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w:t>
            </w:r>
          </w:p>
        </w:tc>
        <w:tc>
          <w:tcPr>
            <w:tcW w:w="6301" w:type="dxa"/>
            <w:tcBorders>
              <w:top w:val="nil"/>
              <w:left w:val="nil"/>
              <w:bottom w:val="single" w:color="auto" w:sz="4" w:space="0"/>
              <w:right w:val="single" w:color="auto" w:sz="4" w:space="0"/>
            </w:tcBorders>
            <w:shd w:val="clear" w:color="auto" w:fill="auto"/>
            <w:vAlign w:val="bottom"/>
          </w:tcPr>
          <w:p>
            <w:pP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《地载番茄技术》实用课程开发与印制，课程开发</w:t>
            </w:r>
          </w:p>
        </w:tc>
        <w:tc>
          <w:tcPr>
            <w:tcW w:w="1771"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 xml:space="preserve">2.00 </w:t>
            </w:r>
          </w:p>
        </w:tc>
      </w:tr>
      <w:tr>
        <w:tblPrEx>
          <w:tblLayout w:type="fixed"/>
          <w:tblCellMar>
            <w:top w:w="0" w:type="dxa"/>
            <w:left w:w="108" w:type="dxa"/>
            <w:bottom w:w="0" w:type="dxa"/>
            <w:right w:w="108" w:type="dxa"/>
          </w:tblCellMar>
        </w:tblPrEx>
        <w:trPr>
          <w:trHeight w:val="284" w:hRule="atLeast"/>
        </w:trPr>
        <w:tc>
          <w:tcPr>
            <w:tcW w:w="756" w:type="dxa"/>
            <w:tcBorders>
              <w:top w:val="nil"/>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w:t>
            </w:r>
          </w:p>
        </w:tc>
        <w:tc>
          <w:tcPr>
            <w:tcW w:w="6301" w:type="dxa"/>
            <w:tcBorders>
              <w:top w:val="nil"/>
              <w:left w:val="nil"/>
              <w:bottom w:val="single" w:color="auto" w:sz="4" w:space="0"/>
              <w:right w:val="single" w:color="auto" w:sz="4" w:space="0"/>
            </w:tcBorders>
            <w:shd w:val="clear" w:color="auto" w:fill="auto"/>
            <w:vAlign w:val="bottom"/>
          </w:tcPr>
          <w:p>
            <w:pP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《地载番茄技术》实用课程开发与印制，教材印制</w:t>
            </w:r>
          </w:p>
        </w:tc>
        <w:tc>
          <w:tcPr>
            <w:tcW w:w="1771"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 xml:space="preserve">1.50 </w:t>
            </w:r>
          </w:p>
        </w:tc>
      </w:tr>
      <w:tr>
        <w:tblPrEx>
          <w:tblLayout w:type="fixed"/>
          <w:tblCellMar>
            <w:top w:w="0" w:type="dxa"/>
            <w:left w:w="108" w:type="dxa"/>
            <w:bottom w:w="0" w:type="dxa"/>
            <w:right w:w="108" w:type="dxa"/>
          </w:tblCellMar>
        </w:tblPrEx>
        <w:trPr>
          <w:trHeight w:val="284" w:hRule="atLeast"/>
        </w:trPr>
        <w:tc>
          <w:tcPr>
            <w:tcW w:w="756" w:type="dxa"/>
            <w:tcBorders>
              <w:top w:val="nil"/>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4</w:t>
            </w:r>
          </w:p>
        </w:tc>
        <w:tc>
          <w:tcPr>
            <w:tcW w:w="6301" w:type="dxa"/>
            <w:tcBorders>
              <w:top w:val="nil"/>
              <w:left w:val="nil"/>
              <w:bottom w:val="single" w:color="auto" w:sz="4" w:space="0"/>
              <w:right w:val="single" w:color="auto" w:sz="4" w:space="0"/>
            </w:tcBorders>
            <w:shd w:val="clear" w:color="auto" w:fill="auto"/>
            <w:vAlign w:val="bottom"/>
          </w:tcPr>
          <w:p>
            <w:pP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地栽番茄大棚技术指导</w:t>
            </w:r>
          </w:p>
        </w:tc>
        <w:tc>
          <w:tcPr>
            <w:tcW w:w="1771"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 xml:space="preserve">0.80 </w:t>
            </w:r>
          </w:p>
        </w:tc>
      </w:tr>
      <w:tr>
        <w:tblPrEx>
          <w:tblLayout w:type="fixed"/>
          <w:tblCellMar>
            <w:top w:w="0" w:type="dxa"/>
            <w:left w:w="108" w:type="dxa"/>
            <w:bottom w:w="0" w:type="dxa"/>
            <w:right w:w="108" w:type="dxa"/>
          </w:tblCellMar>
        </w:tblPrEx>
        <w:trPr>
          <w:trHeight w:val="284" w:hRule="atLeast"/>
        </w:trPr>
        <w:tc>
          <w:tcPr>
            <w:tcW w:w="756" w:type="dxa"/>
            <w:tcBorders>
              <w:top w:val="nil"/>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w:t>
            </w:r>
          </w:p>
        </w:tc>
        <w:tc>
          <w:tcPr>
            <w:tcW w:w="6301" w:type="dxa"/>
            <w:tcBorders>
              <w:top w:val="nil"/>
              <w:left w:val="nil"/>
              <w:bottom w:val="single" w:color="auto" w:sz="4" w:space="0"/>
              <w:right w:val="single" w:color="auto" w:sz="4" w:space="0"/>
            </w:tcBorders>
            <w:shd w:val="clear" w:color="auto" w:fill="auto"/>
            <w:vAlign w:val="bottom"/>
          </w:tcPr>
          <w:p>
            <w:pP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培训班专家讲座及组班费用</w:t>
            </w:r>
          </w:p>
        </w:tc>
        <w:tc>
          <w:tcPr>
            <w:tcW w:w="1771"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 xml:space="preserve">1.20 </w:t>
            </w:r>
          </w:p>
        </w:tc>
      </w:tr>
      <w:tr>
        <w:tblPrEx>
          <w:tblLayout w:type="fixed"/>
          <w:tblCellMar>
            <w:top w:w="0" w:type="dxa"/>
            <w:left w:w="108" w:type="dxa"/>
            <w:bottom w:w="0" w:type="dxa"/>
            <w:right w:w="108" w:type="dxa"/>
          </w:tblCellMar>
        </w:tblPrEx>
        <w:trPr>
          <w:trHeight w:val="284" w:hRule="atLeast"/>
        </w:trPr>
        <w:tc>
          <w:tcPr>
            <w:tcW w:w="7057" w:type="dxa"/>
            <w:gridSpan w:val="2"/>
            <w:tcBorders>
              <w:top w:val="nil"/>
              <w:left w:val="single" w:color="auto" w:sz="4" w:space="0"/>
              <w:bottom w:val="single" w:color="auto" w:sz="4" w:space="0"/>
              <w:right w:val="single" w:color="auto" w:sz="4" w:space="0"/>
            </w:tcBorders>
            <w:shd w:val="clear" w:color="auto" w:fill="auto"/>
            <w:vAlign w:val="bottom"/>
          </w:tcPr>
          <w:p>
            <w:pP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合计：</w:t>
            </w:r>
          </w:p>
        </w:tc>
        <w:tc>
          <w:tcPr>
            <w:tcW w:w="1771"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 xml:space="preserve">8.00 </w:t>
            </w:r>
          </w:p>
        </w:tc>
      </w:tr>
    </w:tbl>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cs="Times New Roman"/>
          <w:b/>
          <w:bCs/>
          <w:kern w:val="2"/>
          <w:sz w:val="30"/>
          <w:szCs w:val="30"/>
        </w:rPr>
        <w:t>⑦</w:t>
      </w:r>
      <w:r>
        <w:rPr>
          <w:rFonts w:hint="eastAsia" w:ascii="仿宋_GB2312" w:hAnsi="Times New Roman" w:eastAsia="仿宋_GB2312" w:cs="Times New Roman"/>
          <w:b/>
          <w:bCs/>
          <w:kern w:val="2"/>
          <w:sz w:val="30"/>
          <w:szCs w:val="30"/>
        </w:rPr>
        <w:t>区社区学院《创意海派插花》课程建设经费：</w:t>
      </w:r>
      <w:r>
        <w:rPr>
          <w:rFonts w:ascii="仿宋_GB2312" w:hAnsi="Times New Roman" w:eastAsia="仿宋_GB2312" w:cs="Times New Roman"/>
          <w:kern w:val="2"/>
          <w:sz w:val="30"/>
          <w:szCs w:val="30"/>
        </w:rPr>
        <w:t>根据上海市学习型社会建设服务指导中心办公室、上海开放大学社区教育部《关于开展2022年度上海社区教育“名师名课”特色主题课程资源建设项目申报工作的通知》，崇明区社区学院</w:t>
      </w:r>
      <w:r>
        <w:rPr>
          <w:rFonts w:hint="eastAsia" w:ascii="仿宋_GB2312" w:hAnsi="Times New Roman" w:eastAsia="仿宋_GB2312" w:cs="Times New Roman"/>
          <w:kern w:val="2"/>
          <w:sz w:val="30"/>
          <w:szCs w:val="30"/>
        </w:rPr>
        <w:t>申报的《瀛洲乡愁——创意海派插花》课程</w:t>
      </w:r>
      <w:r>
        <w:rPr>
          <w:rFonts w:ascii="仿宋_GB2312" w:hAnsi="Times New Roman" w:eastAsia="仿宋_GB2312" w:cs="Times New Roman"/>
          <w:kern w:val="2"/>
          <w:sz w:val="30"/>
          <w:szCs w:val="30"/>
        </w:rPr>
        <w:t>成为</w:t>
      </w:r>
      <w:r>
        <w:rPr>
          <w:rFonts w:hint="eastAsia" w:ascii="仿宋_GB2312" w:hAnsi="Times New Roman" w:eastAsia="仿宋_GB2312" w:cs="Times New Roman"/>
          <w:kern w:val="2"/>
          <w:sz w:val="30"/>
          <w:szCs w:val="30"/>
        </w:rPr>
        <w:t>全市</w:t>
      </w:r>
      <w:r>
        <w:rPr>
          <w:rFonts w:ascii="仿宋_GB2312" w:hAnsi="Times New Roman" w:eastAsia="仿宋_GB2312" w:cs="Times New Roman"/>
          <w:kern w:val="2"/>
          <w:sz w:val="30"/>
          <w:szCs w:val="30"/>
        </w:rPr>
        <w:t>7个入选项目之一。该课程以崇明知名民宿为背景，利用村落田间随处可见的花草果蔬为花材，来进行创意海派插花作品的创作，通过海派插花课程的建设玩转崇明民宿和土特产。</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ascii="仿宋_GB2312" w:hAnsi="Times New Roman" w:eastAsia="仿宋_GB2312" w:cs="Times New Roman"/>
          <w:kern w:val="2"/>
          <w:sz w:val="30"/>
          <w:szCs w:val="30"/>
        </w:rPr>
        <w:t>崇明区</w:t>
      </w:r>
      <w:r>
        <w:rPr>
          <w:rFonts w:hint="eastAsia" w:ascii="仿宋_GB2312" w:hAnsi="Times New Roman" w:eastAsia="仿宋_GB2312" w:cs="Times New Roman"/>
          <w:kern w:val="2"/>
          <w:sz w:val="30"/>
          <w:szCs w:val="30"/>
        </w:rPr>
        <w:t>社区学院计划建设</w:t>
      </w:r>
      <w:r>
        <w:rPr>
          <w:rFonts w:ascii="仿宋_GB2312" w:hAnsi="Times New Roman" w:eastAsia="仿宋_GB2312" w:cs="Times New Roman"/>
          <w:kern w:val="2"/>
          <w:sz w:val="30"/>
          <w:szCs w:val="30"/>
        </w:rPr>
        <w:t>创意海派插花社区教育课程，从终身教育经费中列支3万元，该项目为2022年新增项目。</w:t>
      </w:r>
      <w:r>
        <w:rPr>
          <w:rFonts w:hint="eastAsia" w:ascii="仿宋_GB2312" w:hAnsi="Times New Roman" w:eastAsia="仿宋_GB2312" w:cs="Times New Roman"/>
          <w:kern w:val="2"/>
          <w:sz w:val="30"/>
          <w:szCs w:val="30"/>
        </w:rPr>
        <w:t>上海插花协会为整个课程的技术顾问团队，紧密围绕插花名师童奇炎，优选社区教育骨干教师等优质师资，共同建设“名师名课”特色主题课程资源。具体包括课程内容设计和开发，思路整理及文字梳理以及视屏录制。</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ascii="仿宋_GB2312" w:hAnsi="Times New Roman" w:eastAsia="仿宋_GB2312" w:cs="Times New Roman"/>
          <w:kern w:val="2"/>
          <w:sz w:val="30"/>
          <w:szCs w:val="30"/>
        </w:rPr>
        <w:t>2022年</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完成《瀛洲乡愁——创意海派插花》5个课程15个微课前期拍摄</w:t>
      </w:r>
      <w:r>
        <w:rPr>
          <w:rFonts w:hint="eastAsia" w:ascii="仿宋_GB2312" w:hAnsi="Times New Roman" w:eastAsia="仿宋_GB2312" w:cs="Times New Roman"/>
          <w:kern w:val="2"/>
          <w:sz w:val="30"/>
          <w:szCs w:val="30"/>
        </w:rPr>
        <w:t>工作,具体是以中国传统的</w:t>
      </w:r>
      <w:r>
        <w:rPr>
          <w:rFonts w:ascii="仿宋_GB2312" w:hAnsi="Times New Roman" w:eastAsia="仿宋_GB2312" w:cs="Times New Roman"/>
          <w:kern w:val="2"/>
          <w:sz w:val="30"/>
          <w:szCs w:val="30"/>
        </w:rPr>
        <w:t>24节气作为课程系列，让学员在季节和节气的更迭中感受农作物的成长过程；选用学员熟悉的、生活中常见的、极具本土特色的乡村田间农作物作为花材进行创作，并将西方花艺与本地理念融合。制作团队分别在香朵2期、知谷1984民宿、东平草堂、“拾花”民宿、圭野藏红花主题民宿开展课程拍摄工作，共创立了“立春”“立夏”“立秋”“立冬”“小寒”五大主题15节微课。费用包括咨询费、交通费、餐费、场地费、服装费等。</w:t>
      </w:r>
    </w:p>
    <w:p>
      <w:pPr>
        <w:jc w:val="center"/>
        <w:rPr>
          <w:rFonts w:ascii="Times New Roman" w:hAnsi="Times New Roman" w:eastAsia="仿宋_GB2312" w:cs="Times New Roman"/>
          <w:b/>
        </w:rPr>
      </w:pPr>
      <w:r>
        <w:rPr>
          <w:rFonts w:hint="eastAsia" w:ascii="Times New Roman" w:hAnsi="Times New Roman" w:eastAsia="仿宋_GB2312" w:cs="Times New Roman"/>
          <w:b/>
        </w:rPr>
        <w:t>表1-</w:t>
      </w:r>
      <w:r>
        <w:rPr>
          <w:rFonts w:ascii="Times New Roman" w:hAnsi="Times New Roman" w:eastAsia="仿宋_GB2312" w:cs="Times New Roman"/>
          <w:b/>
        </w:rPr>
        <w:t>2</w:t>
      </w:r>
      <w:r>
        <w:rPr>
          <w:rFonts w:hint="eastAsia" w:ascii="Times New Roman" w:hAnsi="Times New Roman" w:eastAsia="仿宋_GB2312" w:cs="Times New Roman"/>
          <w:b/>
        </w:rPr>
        <w:t>-</w:t>
      </w:r>
      <w:r>
        <w:rPr>
          <w:rFonts w:ascii="Times New Roman" w:hAnsi="Times New Roman" w:eastAsia="仿宋_GB2312" w:cs="Times New Roman"/>
          <w:b/>
        </w:rPr>
        <w:t xml:space="preserve">9 </w:t>
      </w:r>
      <w:r>
        <w:rPr>
          <w:rFonts w:hint="eastAsia" w:ascii="Times New Roman" w:hAnsi="Times New Roman" w:eastAsia="仿宋_GB2312" w:cs="Times New Roman"/>
          <w:b/>
        </w:rPr>
        <w:t>2</w:t>
      </w:r>
      <w:r>
        <w:rPr>
          <w:rFonts w:ascii="Times New Roman" w:hAnsi="Times New Roman" w:eastAsia="仿宋_GB2312" w:cs="Times New Roman"/>
          <w:b/>
        </w:rPr>
        <w:t>022</w:t>
      </w:r>
      <w:r>
        <w:rPr>
          <w:rFonts w:hint="eastAsia" w:ascii="Times New Roman" w:hAnsi="Times New Roman" w:eastAsia="仿宋_GB2312" w:cs="Times New Roman"/>
          <w:b/>
        </w:rPr>
        <w:t>年</w:t>
      </w:r>
      <w:r>
        <w:rPr>
          <w:rFonts w:ascii="Times New Roman" w:hAnsi="Times New Roman" w:eastAsia="仿宋_GB2312" w:cs="Times New Roman"/>
          <w:b/>
        </w:rPr>
        <w:t>区社区学院《创意海派插花》课程建设经费一览表</w:t>
      </w:r>
    </w:p>
    <w:tbl>
      <w:tblPr>
        <w:tblStyle w:val="40"/>
        <w:tblW w:w="8828" w:type="dxa"/>
        <w:tblInd w:w="0" w:type="dxa"/>
        <w:tblLayout w:type="fixed"/>
        <w:tblCellMar>
          <w:top w:w="0" w:type="dxa"/>
          <w:left w:w="108" w:type="dxa"/>
          <w:bottom w:w="0" w:type="dxa"/>
          <w:right w:w="108" w:type="dxa"/>
        </w:tblCellMar>
      </w:tblPr>
      <w:tblGrid>
        <w:gridCol w:w="894"/>
        <w:gridCol w:w="1194"/>
        <w:gridCol w:w="2663"/>
        <w:gridCol w:w="1469"/>
        <w:gridCol w:w="936"/>
        <w:gridCol w:w="1672"/>
      </w:tblGrid>
      <w:tr>
        <w:tblPrEx>
          <w:tblLayout w:type="fixed"/>
          <w:tblCellMar>
            <w:top w:w="0" w:type="dxa"/>
            <w:left w:w="108" w:type="dxa"/>
            <w:bottom w:w="0" w:type="dxa"/>
            <w:right w:w="108" w:type="dxa"/>
          </w:tblCellMar>
        </w:tblPrEx>
        <w:trPr>
          <w:trHeight w:val="280" w:hRule="atLeast"/>
          <w:tblHeader/>
        </w:trPr>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序号</w:t>
            </w:r>
          </w:p>
        </w:tc>
        <w:tc>
          <w:tcPr>
            <w:tcW w:w="1194"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类别</w:t>
            </w:r>
          </w:p>
        </w:tc>
        <w:tc>
          <w:tcPr>
            <w:tcW w:w="2663"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内容</w:t>
            </w:r>
          </w:p>
        </w:tc>
        <w:tc>
          <w:tcPr>
            <w:tcW w:w="1469"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单价（元）</w:t>
            </w:r>
          </w:p>
        </w:tc>
        <w:tc>
          <w:tcPr>
            <w:tcW w:w="936"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数量</w:t>
            </w:r>
          </w:p>
        </w:tc>
        <w:tc>
          <w:tcPr>
            <w:tcW w:w="1672"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总金额</w:t>
            </w:r>
          </w:p>
        </w:tc>
      </w:tr>
      <w:tr>
        <w:tblPrEx>
          <w:tblLayout w:type="fixed"/>
          <w:tblCellMar>
            <w:top w:w="0" w:type="dxa"/>
            <w:left w:w="108" w:type="dxa"/>
            <w:bottom w:w="0" w:type="dxa"/>
            <w:right w:w="108" w:type="dxa"/>
          </w:tblCellMar>
        </w:tblPrEx>
        <w:trPr>
          <w:trHeight w:val="280" w:hRule="atLeast"/>
        </w:trPr>
        <w:tc>
          <w:tcPr>
            <w:tcW w:w="894"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p>
        </w:tc>
        <w:tc>
          <w:tcPr>
            <w:tcW w:w="119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咨询费</w:t>
            </w:r>
          </w:p>
        </w:tc>
        <w:tc>
          <w:tcPr>
            <w:tcW w:w="266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研讨专家</w:t>
            </w:r>
          </w:p>
        </w:tc>
        <w:tc>
          <w:tcPr>
            <w:tcW w:w="146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600</w:t>
            </w:r>
          </w:p>
        </w:tc>
        <w:tc>
          <w:tcPr>
            <w:tcW w:w="936"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6</w:t>
            </w:r>
          </w:p>
        </w:tc>
        <w:tc>
          <w:tcPr>
            <w:tcW w:w="167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3600</w:t>
            </w:r>
          </w:p>
        </w:tc>
      </w:tr>
      <w:tr>
        <w:tblPrEx>
          <w:tblLayout w:type="fixed"/>
          <w:tblCellMar>
            <w:top w:w="0" w:type="dxa"/>
            <w:left w:w="108" w:type="dxa"/>
            <w:bottom w:w="0" w:type="dxa"/>
            <w:right w:w="108" w:type="dxa"/>
          </w:tblCellMar>
        </w:tblPrEx>
        <w:trPr>
          <w:trHeight w:val="280" w:hRule="atLeast"/>
        </w:trPr>
        <w:tc>
          <w:tcPr>
            <w:tcW w:w="894"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w:t>
            </w:r>
          </w:p>
        </w:tc>
        <w:tc>
          <w:tcPr>
            <w:tcW w:w="119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交通费</w:t>
            </w:r>
          </w:p>
        </w:tc>
        <w:tc>
          <w:tcPr>
            <w:tcW w:w="266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租赁大巴车</w:t>
            </w:r>
          </w:p>
        </w:tc>
        <w:tc>
          <w:tcPr>
            <w:tcW w:w="146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700</w:t>
            </w:r>
          </w:p>
        </w:tc>
        <w:tc>
          <w:tcPr>
            <w:tcW w:w="936"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w:t>
            </w:r>
          </w:p>
        </w:tc>
        <w:tc>
          <w:tcPr>
            <w:tcW w:w="167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3500</w:t>
            </w:r>
          </w:p>
        </w:tc>
      </w:tr>
      <w:tr>
        <w:tblPrEx>
          <w:tblLayout w:type="fixed"/>
          <w:tblCellMar>
            <w:top w:w="0" w:type="dxa"/>
            <w:left w:w="108" w:type="dxa"/>
            <w:bottom w:w="0" w:type="dxa"/>
            <w:right w:w="108" w:type="dxa"/>
          </w:tblCellMar>
        </w:tblPrEx>
        <w:trPr>
          <w:trHeight w:val="280" w:hRule="atLeast"/>
        </w:trPr>
        <w:tc>
          <w:tcPr>
            <w:tcW w:w="894"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w:t>
            </w:r>
          </w:p>
        </w:tc>
        <w:tc>
          <w:tcPr>
            <w:tcW w:w="119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餐费</w:t>
            </w:r>
          </w:p>
        </w:tc>
        <w:tc>
          <w:tcPr>
            <w:tcW w:w="266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人员用餐、矿水等</w:t>
            </w:r>
          </w:p>
        </w:tc>
        <w:tc>
          <w:tcPr>
            <w:tcW w:w="146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250</w:t>
            </w:r>
          </w:p>
        </w:tc>
        <w:tc>
          <w:tcPr>
            <w:tcW w:w="936"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10</w:t>
            </w:r>
          </w:p>
        </w:tc>
        <w:tc>
          <w:tcPr>
            <w:tcW w:w="167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2500</w:t>
            </w:r>
          </w:p>
        </w:tc>
      </w:tr>
      <w:tr>
        <w:tblPrEx>
          <w:tblLayout w:type="fixed"/>
          <w:tblCellMar>
            <w:top w:w="0" w:type="dxa"/>
            <w:left w:w="108" w:type="dxa"/>
            <w:bottom w:w="0" w:type="dxa"/>
            <w:right w:w="108" w:type="dxa"/>
          </w:tblCellMar>
        </w:tblPrEx>
        <w:trPr>
          <w:trHeight w:val="280" w:hRule="atLeast"/>
        </w:trPr>
        <w:tc>
          <w:tcPr>
            <w:tcW w:w="894"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4</w:t>
            </w:r>
          </w:p>
        </w:tc>
        <w:tc>
          <w:tcPr>
            <w:tcW w:w="119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场地费</w:t>
            </w:r>
          </w:p>
        </w:tc>
        <w:tc>
          <w:tcPr>
            <w:tcW w:w="266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民宿场地租赁</w:t>
            </w:r>
          </w:p>
        </w:tc>
        <w:tc>
          <w:tcPr>
            <w:tcW w:w="146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1500</w:t>
            </w:r>
          </w:p>
        </w:tc>
        <w:tc>
          <w:tcPr>
            <w:tcW w:w="936"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w:t>
            </w:r>
          </w:p>
        </w:tc>
        <w:tc>
          <w:tcPr>
            <w:tcW w:w="167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7500</w:t>
            </w:r>
          </w:p>
        </w:tc>
      </w:tr>
      <w:tr>
        <w:tblPrEx>
          <w:tblLayout w:type="fixed"/>
          <w:tblCellMar>
            <w:top w:w="0" w:type="dxa"/>
            <w:left w:w="108" w:type="dxa"/>
            <w:bottom w:w="0" w:type="dxa"/>
            <w:right w:w="108" w:type="dxa"/>
          </w:tblCellMar>
        </w:tblPrEx>
        <w:trPr>
          <w:trHeight w:val="280" w:hRule="atLeast"/>
        </w:trPr>
        <w:tc>
          <w:tcPr>
            <w:tcW w:w="894"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w:t>
            </w:r>
          </w:p>
        </w:tc>
        <w:tc>
          <w:tcPr>
            <w:tcW w:w="119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材料费</w:t>
            </w:r>
          </w:p>
        </w:tc>
        <w:tc>
          <w:tcPr>
            <w:tcW w:w="266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花材、花器费用</w:t>
            </w:r>
          </w:p>
        </w:tc>
        <w:tc>
          <w:tcPr>
            <w:tcW w:w="146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2000</w:t>
            </w:r>
          </w:p>
        </w:tc>
        <w:tc>
          <w:tcPr>
            <w:tcW w:w="936"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w:t>
            </w:r>
          </w:p>
        </w:tc>
        <w:tc>
          <w:tcPr>
            <w:tcW w:w="167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10000</w:t>
            </w:r>
          </w:p>
        </w:tc>
      </w:tr>
      <w:tr>
        <w:tblPrEx>
          <w:tblLayout w:type="fixed"/>
          <w:tblCellMar>
            <w:top w:w="0" w:type="dxa"/>
            <w:left w:w="108" w:type="dxa"/>
            <w:bottom w:w="0" w:type="dxa"/>
            <w:right w:w="108" w:type="dxa"/>
          </w:tblCellMar>
        </w:tblPrEx>
        <w:trPr>
          <w:trHeight w:val="280" w:hRule="atLeast"/>
        </w:trPr>
        <w:tc>
          <w:tcPr>
            <w:tcW w:w="894"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6</w:t>
            </w:r>
          </w:p>
        </w:tc>
        <w:tc>
          <w:tcPr>
            <w:tcW w:w="119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服装费</w:t>
            </w:r>
          </w:p>
        </w:tc>
        <w:tc>
          <w:tcPr>
            <w:tcW w:w="266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着装费用</w:t>
            </w:r>
          </w:p>
        </w:tc>
        <w:tc>
          <w:tcPr>
            <w:tcW w:w="146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900</w:t>
            </w:r>
          </w:p>
        </w:tc>
        <w:tc>
          <w:tcPr>
            <w:tcW w:w="936"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p>
        </w:tc>
        <w:tc>
          <w:tcPr>
            <w:tcW w:w="167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900</w:t>
            </w:r>
          </w:p>
        </w:tc>
      </w:tr>
      <w:tr>
        <w:tblPrEx>
          <w:tblLayout w:type="fixed"/>
          <w:tblCellMar>
            <w:top w:w="0" w:type="dxa"/>
            <w:left w:w="108" w:type="dxa"/>
            <w:bottom w:w="0" w:type="dxa"/>
            <w:right w:w="108" w:type="dxa"/>
          </w:tblCellMar>
        </w:tblPrEx>
        <w:trPr>
          <w:trHeight w:val="280" w:hRule="atLeast"/>
        </w:trPr>
        <w:tc>
          <w:tcPr>
            <w:tcW w:w="894" w:type="dxa"/>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7</w:t>
            </w:r>
          </w:p>
        </w:tc>
        <w:tc>
          <w:tcPr>
            <w:tcW w:w="119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管理费</w:t>
            </w:r>
          </w:p>
        </w:tc>
        <w:tc>
          <w:tcPr>
            <w:tcW w:w="2663"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服务费及税费</w:t>
            </w:r>
          </w:p>
        </w:tc>
        <w:tc>
          <w:tcPr>
            <w:tcW w:w="1469"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2000</w:t>
            </w:r>
          </w:p>
        </w:tc>
        <w:tc>
          <w:tcPr>
            <w:tcW w:w="936"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p>
        </w:tc>
        <w:tc>
          <w:tcPr>
            <w:tcW w:w="1672"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2000</w:t>
            </w:r>
          </w:p>
        </w:tc>
      </w:tr>
      <w:tr>
        <w:tblPrEx>
          <w:tblLayout w:type="fixed"/>
          <w:tblCellMar>
            <w:top w:w="0" w:type="dxa"/>
            <w:left w:w="108" w:type="dxa"/>
            <w:bottom w:w="0" w:type="dxa"/>
            <w:right w:w="108" w:type="dxa"/>
          </w:tblCellMar>
        </w:tblPrEx>
        <w:trPr>
          <w:trHeight w:val="280" w:hRule="atLeast"/>
        </w:trPr>
        <w:tc>
          <w:tcPr>
            <w:tcW w:w="715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合计：</w:t>
            </w:r>
          </w:p>
        </w:tc>
        <w:tc>
          <w:tcPr>
            <w:tcW w:w="1672"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30000</w:t>
            </w:r>
          </w:p>
        </w:tc>
      </w:tr>
    </w:tbl>
    <w:p>
      <w:pPr>
        <w:widowControl w:val="0"/>
        <w:snapToGrid w:val="0"/>
        <w:spacing w:line="240" w:lineRule="atLeast"/>
        <w:ind w:firstLine="480" w:firstLineChars="200"/>
        <w:jc w:val="both"/>
        <w:rPr>
          <w:rFonts w:ascii="Times New Roman" w:hAnsi="Times New Roman" w:eastAsia="仿宋_GB2312" w:cs="Times New Roman"/>
          <w:kern w:val="2"/>
        </w:rPr>
      </w:pPr>
      <w:r>
        <w:rPr>
          <w:rFonts w:hint="eastAsia" w:ascii="Times New Roman" w:hAnsi="Times New Roman" w:eastAsia="仿宋_GB2312" w:cs="Times New Roman"/>
          <w:kern w:val="2"/>
        </w:rPr>
        <w:t>注</w:t>
      </w:r>
      <w:r>
        <w:rPr>
          <w:rFonts w:ascii="Times New Roman" w:hAnsi="Times New Roman" w:eastAsia="仿宋_GB2312" w:cs="Times New Roman"/>
          <w:kern w:val="2"/>
        </w:rPr>
        <w:t>:</w:t>
      </w:r>
      <w:r>
        <w:rPr>
          <w:rFonts w:hint="eastAsia" w:ascii="Times New Roman" w:hAnsi="Times New Roman" w:eastAsia="仿宋_GB2312" w:cs="Times New Roman"/>
          <w:kern w:val="2"/>
        </w:rPr>
        <w:t>经评价，本项目没有委托第三方实施，以外聘专家，组织研讨的形式实施，因此，经费安排中列支管理费，不够合理。</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⑧社区教育名师孵化室经费：</w:t>
      </w:r>
      <w:r>
        <w:rPr>
          <w:rFonts w:hint="eastAsia" w:ascii="仿宋_GB2312" w:hAnsi="Times New Roman" w:eastAsia="仿宋_GB2312" w:cs="Times New Roman"/>
          <w:kern w:val="2"/>
          <w:sz w:val="30"/>
          <w:szCs w:val="30"/>
        </w:rPr>
        <w:t>根据区学促办《关于开展第一届崇明区社区教育名师孵化室创建工作的通知》，创建名师孵化室，建立专业培养和科研实践的基地，建设任务为培育高端领军人才、培养优秀骨干教师、开展业务工作实验研究和开展教育教学实践活动。建设周期为四年（</w:t>
      </w:r>
      <w:r>
        <w:rPr>
          <w:rFonts w:hint="eastAsia" w:ascii="仿宋_GB2312" w:hAnsi="仿宋_GB2312" w:eastAsia="仿宋_GB2312" w:cs="仿宋_GB2312"/>
          <w:sz w:val="30"/>
          <w:szCs w:val="30"/>
        </w:rPr>
        <w:t>2022年-2025年），孵化室活动经费主要用于专家津贴支出、日常办公支出、专题研究支出、成果出版、展示、外聘专家的授课指导支出、与培训有关的观摩考察等，以及其它与孵化室活动开展有关的费用支出。</w:t>
      </w:r>
      <w:r>
        <w:rPr>
          <w:rFonts w:ascii="仿宋_GB2312" w:hAnsi="Times New Roman" w:eastAsia="仿宋_GB2312" w:cs="Times New Roman"/>
          <w:kern w:val="2"/>
          <w:sz w:val="30"/>
          <w:szCs w:val="30"/>
        </w:rPr>
        <w:t>从终身教育经费中</w:t>
      </w:r>
      <w:r>
        <w:rPr>
          <w:rFonts w:hint="eastAsia" w:ascii="仿宋_GB2312" w:hAnsi="Times New Roman" w:eastAsia="仿宋_GB2312" w:cs="Times New Roman"/>
          <w:kern w:val="2"/>
          <w:sz w:val="30"/>
          <w:szCs w:val="30"/>
        </w:rPr>
        <w:t>安排</w:t>
      </w:r>
      <w:r>
        <w:rPr>
          <w:rFonts w:ascii="仿宋_GB2312" w:hAnsi="Times New Roman" w:eastAsia="仿宋_GB2312" w:cs="Times New Roman"/>
          <w:kern w:val="2"/>
          <w:sz w:val="30"/>
          <w:szCs w:val="30"/>
        </w:rPr>
        <w:t>5万元，该项目为2022年新增项目。</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2</w:t>
      </w:r>
      <w:r>
        <w:rPr>
          <w:rFonts w:ascii="仿宋_GB2312" w:hAnsi="Times New Roman" w:eastAsia="仿宋_GB2312" w:cs="Times New Roman"/>
          <w:kern w:val="2"/>
          <w:sz w:val="30"/>
          <w:szCs w:val="30"/>
        </w:rPr>
        <w:t>022</w:t>
      </w:r>
      <w:r>
        <w:rPr>
          <w:rFonts w:hint="eastAsia" w:ascii="仿宋_GB2312" w:hAnsi="Times New Roman" w:eastAsia="仿宋_GB2312" w:cs="Times New Roman"/>
          <w:kern w:val="2"/>
          <w:sz w:val="30"/>
          <w:szCs w:val="30"/>
        </w:rPr>
        <w:t>年，区社区学院建立了崇明区社区教育名师孵化室，围绕理论学习、教育教学、科学研究和交流活动开展相关工作，取得了一定的成效，如名师徐佰乐</w:t>
      </w:r>
      <w:r>
        <w:rPr>
          <w:rFonts w:ascii="仿宋_GB2312" w:hAnsi="Times New Roman" w:eastAsia="仿宋_GB2312" w:cs="Times New Roman"/>
          <w:kern w:val="2"/>
          <w:sz w:val="30"/>
          <w:szCs w:val="30"/>
        </w:rPr>
        <w:t>编写并录制的《创玩棋》课程入选国家“能者为师”首批系列特色课程</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《老年人智能手机使用培训》课件获区级课件评比一等奖</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参与并完成了市级一般实验项目《生态实践资源的梳理与应用》的结项工作</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撰写的《“四型分组”赋能社区教育教师科研素养提升研究</w:t>
      </w:r>
      <w:r>
        <w:rPr>
          <w:rFonts w:hint="eastAsia" w:ascii="仿宋_GB2312" w:hAnsi="Times New Roman" w:eastAsia="仿宋_GB2312" w:cs="Times New Roman"/>
          <w:kern w:val="2"/>
          <w:sz w:val="30"/>
          <w:szCs w:val="30"/>
        </w:rPr>
        <w:t>——以终身学习品牌项目“来克球”的研发为例》论文，荣获“上海社区教育赋能城市软实力提升”主题征文一等奖。名师岳琳鑫</w:t>
      </w:r>
      <w:r>
        <w:rPr>
          <w:rFonts w:ascii="仿宋_GB2312" w:hAnsi="Times New Roman" w:eastAsia="仿宋_GB2312" w:cs="Times New Roman"/>
          <w:kern w:val="2"/>
          <w:sz w:val="30"/>
          <w:szCs w:val="30"/>
        </w:rPr>
        <w:t>参与市级重点实验项目《以花博会为契机，提升市民生态文明素养的实验》并获得优秀实验项目；参与市级重点实验项目《学习型乡村建设中创新乡风文明学习内容的实验》并获得优秀实验项目</w:t>
      </w:r>
      <w:r>
        <w:rPr>
          <w:rFonts w:ascii="仿宋_GB2312" w:hAnsi="Times New Roman" w:eastAsia="仿宋_GB2312" w:cs="Times New Roman"/>
          <w:kern w:val="2"/>
          <w:sz w:val="30"/>
          <w:szCs w:val="30"/>
        </w:rPr>
        <w:tab/>
      </w:r>
      <w:r>
        <w:rPr>
          <w:rFonts w:hint="eastAsia" w:ascii="仿宋_GB2312" w:hAnsi="Times New Roman" w:eastAsia="仿宋_GB2312" w:cs="Times New Roman"/>
          <w:kern w:val="2"/>
          <w:sz w:val="30"/>
          <w:szCs w:val="30"/>
        </w:rPr>
        <w:t>；撰写的</w:t>
      </w:r>
      <w:r>
        <w:rPr>
          <w:rFonts w:ascii="仿宋_GB2312" w:hAnsi="Times New Roman" w:eastAsia="仿宋_GB2312" w:cs="Times New Roman"/>
          <w:kern w:val="2"/>
          <w:sz w:val="30"/>
          <w:szCs w:val="30"/>
        </w:rPr>
        <w:t>《乡村振兴视域下终身教育助推生态农业升级的实践探究》获2022年上海社区教育主题征文活动二等奖；《学习型乡村建设中关于学习内容的研究》获2022年上海社区教育主题征文活动优秀奖；《社区教育实验项目构建与运行研究》发表于《中国社区教育</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2022年第5期</w:t>
      </w:r>
      <w:r>
        <w:rPr>
          <w:rFonts w:hint="eastAsia" w:ascii="仿宋_GB2312" w:hAnsi="Times New Roman" w:eastAsia="仿宋_GB2312" w:cs="Times New Roman"/>
          <w:kern w:val="2"/>
          <w:sz w:val="30"/>
          <w:szCs w:val="30"/>
        </w:rPr>
        <w:t>。</w:t>
      </w:r>
    </w:p>
    <w:p>
      <w:pPr>
        <w:jc w:val="center"/>
        <w:rPr>
          <w:rFonts w:ascii="Times New Roman" w:hAnsi="Times New Roman" w:eastAsia="仿宋_GB2312" w:cs="Times New Roman"/>
          <w:b/>
        </w:rPr>
      </w:pPr>
      <w:r>
        <w:rPr>
          <w:rFonts w:hint="eastAsia" w:ascii="Times New Roman" w:hAnsi="Times New Roman" w:eastAsia="仿宋_GB2312" w:cs="Times New Roman"/>
          <w:b/>
        </w:rPr>
        <w:t>表1-</w:t>
      </w:r>
      <w:r>
        <w:rPr>
          <w:rFonts w:ascii="Times New Roman" w:hAnsi="Times New Roman" w:eastAsia="仿宋_GB2312" w:cs="Times New Roman"/>
          <w:b/>
        </w:rPr>
        <w:t>2</w:t>
      </w:r>
      <w:r>
        <w:rPr>
          <w:rFonts w:hint="eastAsia" w:ascii="Times New Roman" w:hAnsi="Times New Roman" w:eastAsia="仿宋_GB2312" w:cs="Times New Roman"/>
          <w:b/>
        </w:rPr>
        <w:t>-</w:t>
      </w:r>
      <w:r>
        <w:rPr>
          <w:rFonts w:ascii="Times New Roman" w:hAnsi="Times New Roman" w:eastAsia="仿宋_GB2312" w:cs="Times New Roman"/>
          <w:b/>
        </w:rPr>
        <w:t>10 2022</w:t>
      </w:r>
      <w:r>
        <w:rPr>
          <w:rFonts w:hint="eastAsia" w:ascii="Times New Roman" w:hAnsi="Times New Roman" w:eastAsia="仿宋_GB2312" w:cs="Times New Roman"/>
          <w:b/>
        </w:rPr>
        <w:t xml:space="preserve">年 </w:t>
      </w:r>
      <w:r>
        <w:rPr>
          <w:rFonts w:ascii="Times New Roman" w:hAnsi="Times New Roman" w:eastAsia="仿宋_GB2312" w:cs="Times New Roman"/>
          <w:b/>
        </w:rPr>
        <w:t>社区教育名师孵化室经费一览表</w:t>
      </w:r>
    </w:p>
    <w:tbl>
      <w:tblPr>
        <w:tblStyle w:val="40"/>
        <w:tblW w:w="8828" w:type="dxa"/>
        <w:tblInd w:w="0" w:type="dxa"/>
        <w:tblLayout w:type="fixed"/>
        <w:tblCellMar>
          <w:top w:w="0" w:type="dxa"/>
          <w:left w:w="108" w:type="dxa"/>
          <w:bottom w:w="0" w:type="dxa"/>
          <w:right w:w="108" w:type="dxa"/>
        </w:tblCellMar>
      </w:tblPr>
      <w:tblGrid>
        <w:gridCol w:w="832"/>
        <w:gridCol w:w="1060"/>
        <w:gridCol w:w="1986"/>
        <w:gridCol w:w="1342"/>
        <w:gridCol w:w="1126"/>
        <w:gridCol w:w="1271"/>
        <w:gridCol w:w="1211"/>
      </w:tblGrid>
      <w:tr>
        <w:tblPrEx>
          <w:tblLayout w:type="fixed"/>
          <w:tblCellMar>
            <w:top w:w="0" w:type="dxa"/>
            <w:left w:w="108" w:type="dxa"/>
            <w:bottom w:w="0" w:type="dxa"/>
            <w:right w:w="108" w:type="dxa"/>
          </w:tblCellMar>
        </w:tblPrEx>
        <w:trPr>
          <w:trHeight w:val="284" w:hRule="atLeast"/>
        </w:trPr>
        <w:tc>
          <w:tcPr>
            <w:tcW w:w="832" w:type="dxa"/>
            <w:tcBorders>
              <w:top w:val="single" w:color="auto" w:sz="4" w:space="0"/>
              <w:left w:val="single" w:color="auto" w:sz="4" w:space="0"/>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序号</w:t>
            </w:r>
          </w:p>
        </w:tc>
        <w:tc>
          <w:tcPr>
            <w:tcW w:w="1060" w:type="dxa"/>
            <w:tcBorders>
              <w:top w:val="single" w:color="auto" w:sz="4" w:space="0"/>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费用分类</w:t>
            </w:r>
          </w:p>
        </w:tc>
        <w:tc>
          <w:tcPr>
            <w:tcW w:w="1986" w:type="dxa"/>
            <w:tcBorders>
              <w:top w:val="single" w:color="auto" w:sz="4" w:space="0"/>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具体费用明细</w:t>
            </w:r>
          </w:p>
        </w:tc>
        <w:tc>
          <w:tcPr>
            <w:tcW w:w="1342" w:type="dxa"/>
            <w:tcBorders>
              <w:top w:val="single" w:color="auto" w:sz="4" w:space="0"/>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单价</w:t>
            </w:r>
          </w:p>
        </w:tc>
        <w:tc>
          <w:tcPr>
            <w:tcW w:w="1126" w:type="dxa"/>
            <w:tcBorders>
              <w:top w:val="single" w:color="auto" w:sz="4" w:space="0"/>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数量</w:t>
            </w:r>
          </w:p>
        </w:tc>
        <w:tc>
          <w:tcPr>
            <w:tcW w:w="1271" w:type="dxa"/>
            <w:tcBorders>
              <w:top w:val="single" w:color="auto" w:sz="4" w:space="0"/>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金额（元）</w:t>
            </w:r>
          </w:p>
        </w:tc>
        <w:tc>
          <w:tcPr>
            <w:tcW w:w="1211" w:type="dxa"/>
            <w:tcBorders>
              <w:top w:val="single" w:color="auto" w:sz="4" w:space="0"/>
              <w:left w:val="nil"/>
              <w:bottom w:val="single" w:color="auto" w:sz="4" w:space="0"/>
              <w:right w:val="single" w:color="auto" w:sz="4" w:space="0"/>
            </w:tcBorders>
          </w:tcPr>
          <w:p>
            <w:pPr>
              <w:spacing w:line="240" w:lineRule="atLeast"/>
              <w:jc w:val="center"/>
              <w:rPr>
                <w:rFonts w:ascii="Times New Roman" w:hAnsi="Times New Roman" w:eastAsia="仿宋_GB2312" w:cs="Times New Roman"/>
                <w:b/>
                <w:bCs/>
                <w:color w:val="000000"/>
                <w:sz w:val="21"/>
                <w:szCs w:val="21"/>
              </w:rPr>
            </w:pPr>
            <w:r>
              <w:rPr>
                <w:rFonts w:hint="eastAsia" w:ascii="Times New Roman" w:hAnsi="Times New Roman" w:eastAsia="仿宋_GB2312" w:cs="Times New Roman"/>
                <w:b/>
                <w:bCs/>
                <w:color w:val="000000"/>
                <w:sz w:val="21"/>
                <w:szCs w:val="21"/>
              </w:rPr>
              <w:t>实际支出</w:t>
            </w:r>
          </w:p>
        </w:tc>
      </w:tr>
      <w:tr>
        <w:tblPrEx>
          <w:tblLayout w:type="fixed"/>
          <w:tblCellMar>
            <w:top w:w="0" w:type="dxa"/>
            <w:left w:w="108" w:type="dxa"/>
            <w:bottom w:w="0" w:type="dxa"/>
            <w:right w:w="108" w:type="dxa"/>
          </w:tblCellMar>
        </w:tblPrEx>
        <w:trPr>
          <w:trHeight w:val="284" w:hRule="atLeast"/>
        </w:trPr>
        <w:tc>
          <w:tcPr>
            <w:tcW w:w="832" w:type="dxa"/>
            <w:vMerge w:val="restart"/>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主持人</w:t>
            </w:r>
          </w:p>
        </w:tc>
        <w:tc>
          <w:tcPr>
            <w:tcW w:w="1986" w:type="dxa"/>
            <w:tcBorders>
              <w:top w:val="nil"/>
              <w:left w:val="nil"/>
              <w:bottom w:val="single" w:color="auto" w:sz="4" w:space="0"/>
              <w:right w:val="single" w:color="auto" w:sz="4" w:space="0"/>
            </w:tcBorders>
            <w:shd w:val="clear" w:color="auto" w:fill="auto"/>
            <w:vAlign w:val="bottom"/>
          </w:tcPr>
          <w:p>
            <w:pPr>
              <w:spacing w:line="240" w:lineRule="atLeast"/>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市级主持人</w:t>
            </w:r>
          </w:p>
        </w:tc>
        <w:tc>
          <w:tcPr>
            <w:tcW w:w="1342"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2000元/次</w:t>
            </w:r>
          </w:p>
        </w:tc>
        <w:tc>
          <w:tcPr>
            <w:tcW w:w="1126"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12次</w:t>
            </w:r>
          </w:p>
        </w:tc>
        <w:tc>
          <w:tcPr>
            <w:tcW w:w="1271"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25000</w:t>
            </w:r>
          </w:p>
        </w:tc>
        <w:tc>
          <w:tcPr>
            <w:tcW w:w="1211" w:type="dxa"/>
            <w:vMerge w:val="restart"/>
            <w:tcBorders>
              <w:top w:val="nil"/>
              <w:left w:val="nil"/>
              <w:right w:val="single" w:color="auto" w:sz="4" w:space="0"/>
            </w:tcBorders>
            <w:vAlign w:val="center"/>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45525</w:t>
            </w:r>
          </w:p>
        </w:tc>
      </w:tr>
      <w:tr>
        <w:tblPrEx>
          <w:tblLayout w:type="fixed"/>
          <w:tblCellMar>
            <w:top w:w="0" w:type="dxa"/>
            <w:left w:w="108" w:type="dxa"/>
            <w:bottom w:w="0" w:type="dxa"/>
            <w:right w:w="108" w:type="dxa"/>
          </w:tblCellMar>
        </w:tblPrEx>
        <w:trPr>
          <w:trHeight w:val="284" w:hRule="atLeast"/>
        </w:trPr>
        <w:tc>
          <w:tcPr>
            <w:tcW w:w="832"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060"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986" w:type="dxa"/>
            <w:tcBorders>
              <w:top w:val="nil"/>
              <w:left w:val="nil"/>
              <w:bottom w:val="single" w:color="auto" w:sz="4" w:space="0"/>
              <w:right w:val="single" w:color="auto" w:sz="4" w:space="0"/>
            </w:tcBorders>
            <w:shd w:val="clear" w:color="auto" w:fill="auto"/>
            <w:vAlign w:val="bottom"/>
          </w:tcPr>
          <w:p>
            <w:pPr>
              <w:spacing w:line="240" w:lineRule="atLeast"/>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区级主持人</w:t>
            </w:r>
          </w:p>
        </w:tc>
        <w:tc>
          <w:tcPr>
            <w:tcW w:w="1342"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5000元/</w:t>
            </w:r>
            <w:r>
              <w:rPr>
                <w:rFonts w:hint="eastAsia" w:ascii="Times New Roman" w:hAnsi="Times New Roman" w:eastAsia="仿宋_GB2312" w:cs="Times New Roman"/>
                <w:color w:val="000000"/>
                <w:sz w:val="21"/>
                <w:szCs w:val="21"/>
              </w:rPr>
              <w:t>人</w:t>
            </w:r>
          </w:p>
        </w:tc>
        <w:tc>
          <w:tcPr>
            <w:tcW w:w="1126"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w:t>
            </w:r>
            <w:r>
              <w:rPr>
                <w:rFonts w:hint="eastAsia" w:ascii="Times New Roman" w:hAnsi="Times New Roman" w:eastAsia="仿宋_GB2312" w:cs="Times New Roman"/>
                <w:color w:val="000000"/>
                <w:sz w:val="21"/>
                <w:szCs w:val="21"/>
              </w:rPr>
              <w:t>人</w:t>
            </w:r>
          </w:p>
        </w:tc>
        <w:tc>
          <w:tcPr>
            <w:tcW w:w="1271"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5000</w:t>
            </w:r>
          </w:p>
        </w:tc>
        <w:tc>
          <w:tcPr>
            <w:tcW w:w="1211" w:type="dxa"/>
            <w:vMerge w:val="continue"/>
            <w:tcBorders>
              <w:left w:val="nil"/>
              <w:right w:val="single" w:color="auto" w:sz="4" w:space="0"/>
            </w:tcBorders>
          </w:tcPr>
          <w:p>
            <w:pPr>
              <w:spacing w:line="240" w:lineRule="atLeast"/>
              <w:jc w:val="center"/>
              <w:rPr>
                <w:rFonts w:ascii="Times New Roman" w:hAnsi="Times New Roman" w:eastAsia="仿宋_GB2312" w:cs="Times New Roman"/>
                <w:color w:val="000000"/>
                <w:sz w:val="21"/>
                <w:szCs w:val="21"/>
              </w:rPr>
            </w:pPr>
          </w:p>
        </w:tc>
      </w:tr>
      <w:tr>
        <w:tblPrEx>
          <w:tblLayout w:type="fixed"/>
          <w:tblCellMar>
            <w:top w:w="0" w:type="dxa"/>
            <w:left w:w="108" w:type="dxa"/>
            <w:bottom w:w="0" w:type="dxa"/>
            <w:right w:w="108" w:type="dxa"/>
          </w:tblCellMar>
        </w:tblPrEx>
        <w:trPr>
          <w:trHeight w:val="284" w:hRule="atLeast"/>
        </w:trPr>
        <w:tc>
          <w:tcPr>
            <w:tcW w:w="832" w:type="dxa"/>
            <w:vMerge w:val="restart"/>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培训活动</w:t>
            </w:r>
          </w:p>
        </w:tc>
        <w:tc>
          <w:tcPr>
            <w:tcW w:w="1986" w:type="dxa"/>
            <w:tcBorders>
              <w:top w:val="nil"/>
              <w:left w:val="nil"/>
              <w:bottom w:val="single" w:color="auto" w:sz="4" w:space="0"/>
              <w:right w:val="single" w:color="auto" w:sz="4" w:space="0"/>
            </w:tcBorders>
            <w:shd w:val="clear" w:color="auto" w:fill="auto"/>
            <w:vAlign w:val="bottom"/>
          </w:tcPr>
          <w:p>
            <w:pPr>
              <w:spacing w:line="240" w:lineRule="atLeast"/>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教学能力提升学习——跨区活动交流费</w:t>
            </w:r>
          </w:p>
        </w:tc>
        <w:tc>
          <w:tcPr>
            <w:tcW w:w="1342"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8000元/次</w:t>
            </w:r>
          </w:p>
        </w:tc>
        <w:tc>
          <w:tcPr>
            <w:tcW w:w="1126"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1次</w:t>
            </w:r>
          </w:p>
        </w:tc>
        <w:tc>
          <w:tcPr>
            <w:tcW w:w="1271"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8000</w:t>
            </w:r>
          </w:p>
        </w:tc>
        <w:tc>
          <w:tcPr>
            <w:tcW w:w="1211" w:type="dxa"/>
            <w:vMerge w:val="continue"/>
            <w:tcBorders>
              <w:left w:val="nil"/>
              <w:right w:val="single" w:color="auto" w:sz="4" w:space="0"/>
            </w:tcBorders>
          </w:tcPr>
          <w:p>
            <w:pPr>
              <w:spacing w:line="240" w:lineRule="atLeast"/>
              <w:jc w:val="center"/>
              <w:rPr>
                <w:rFonts w:ascii="Times New Roman" w:hAnsi="Times New Roman" w:eastAsia="仿宋_GB2312" w:cs="Times New Roman"/>
                <w:color w:val="000000"/>
                <w:sz w:val="21"/>
                <w:szCs w:val="21"/>
              </w:rPr>
            </w:pPr>
          </w:p>
        </w:tc>
      </w:tr>
      <w:tr>
        <w:tblPrEx>
          <w:tblLayout w:type="fixed"/>
          <w:tblCellMar>
            <w:top w:w="0" w:type="dxa"/>
            <w:left w:w="108" w:type="dxa"/>
            <w:bottom w:w="0" w:type="dxa"/>
            <w:right w:w="108" w:type="dxa"/>
          </w:tblCellMar>
        </w:tblPrEx>
        <w:trPr>
          <w:trHeight w:val="284" w:hRule="atLeast"/>
        </w:trPr>
        <w:tc>
          <w:tcPr>
            <w:tcW w:w="832"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060"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986" w:type="dxa"/>
            <w:tcBorders>
              <w:top w:val="nil"/>
              <w:left w:val="nil"/>
              <w:bottom w:val="single" w:color="auto" w:sz="4" w:space="0"/>
              <w:right w:val="single" w:color="auto" w:sz="4" w:space="0"/>
            </w:tcBorders>
            <w:shd w:val="clear" w:color="auto" w:fill="auto"/>
            <w:vAlign w:val="bottom"/>
          </w:tcPr>
          <w:p>
            <w:pPr>
              <w:spacing w:line="240" w:lineRule="atLeast"/>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教学能力提升学习——论文撰写指导</w:t>
            </w:r>
          </w:p>
        </w:tc>
        <w:tc>
          <w:tcPr>
            <w:tcW w:w="1342"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1500元/次</w:t>
            </w:r>
          </w:p>
        </w:tc>
        <w:tc>
          <w:tcPr>
            <w:tcW w:w="1126"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2次</w:t>
            </w:r>
          </w:p>
        </w:tc>
        <w:tc>
          <w:tcPr>
            <w:tcW w:w="1271"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3000</w:t>
            </w:r>
          </w:p>
        </w:tc>
        <w:tc>
          <w:tcPr>
            <w:tcW w:w="1211" w:type="dxa"/>
            <w:vMerge w:val="continue"/>
            <w:tcBorders>
              <w:left w:val="nil"/>
              <w:right w:val="single" w:color="auto" w:sz="4" w:space="0"/>
            </w:tcBorders>
          </w:tcPr>
          <w:p>
            <w:pPr>
              <w:spacing w:line="240" w:lineRule="atLeast"/>
              <w:jc w:val="center"/>
              <w:rPr>
                <w:rFonts w:ascii="Times New Roman" w:hAnsi="Times New Roman" w:eastAsia="仿宋_GB2312" w:cs="Times New Roman"/>
                <w:color w:val="000000"/>
                <w:sz w:val="21"/>
                <w:szCs w:val="21"/>
              </w:rPr>
            </w:pPr>
          </w:p>
        </w:tc>
      </w:tr>
      <w:tr>
        <w:tblPrEx>
          <w:tblLayout w:type="fixed"/>
          <w:tblCellMar>
            <w:top w:w="0" w:type="dxa"/>
            <w:left w:w="108" w:type="dxa"/>
            <w:bottom w:w="0" w:type="dxa"/>
            <w:right w:w="108" w:type="dxa"/>
          </w:tblCellMar>
        </w:tblPrEx>
        <w:trPr>
          <w:trHeight w:val="284" w:hRule="atLeast"/>
        </w:trPr>
        <w:tc>
          <w:tcPr>
            <w:tcW w:w="832"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060"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986" w:type="dxa"/>
            <w:tcBorders>
              <w:top w:val="nil"/>
              <w:left w:val="nil"/>
              <w:bottom w:val="single" w:color="auto" w:sz="4" w:space="0"/>
              <w:right w:val="single" w:color="auto" w:sz="4" w:space="0"/>
            </w:tcBorders>
            <w:shd w:val="clear" w:color="auto" w:fill="auto"/>
            <w:vAlign w:val="bottom"/>
          </w:tcPr>
          <w:p>
            <w:pPr>
              <w:spacing w:line="240" w:lineRule="atLeast"/>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教学专家指导费</w:t>
            </w:r>
          </w:p>
        </w:tc>
        <w:tc>
          <w:tcPr>
            <w:tcW w:w="1342"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1500元/次</w:t>
            </w:r>
          </w:p>
        </w:tc>
        <w:tc>
          <w:tcPr>
            <w:tcW w:w="1126"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2次</w:t>
            </w:r>
          </w:p>
        </w:tc>
        <w:tc>
          <w:tcPr>
            <w:tcW w:w="1271"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3000</w:t>
            </w:r>
          </w:p>
        </w:tc>
        <w:tc>
          <w:tcPr>
            <w:tcW w:w="1211" w:type="dxa"/>
            <w:vMerge w:val="continue"/>
            <w:tcBorders>
              <w:left w:val="nil"/>
              <w:right w:val="single" w:color="auto" w:sz="4" w:space="0"/>
            </w:tcBorders>
          </w:tcPr>
          <w:p>
            <w:pPr>
              <w:spacing w:line="240" w:lineRule="atLeast"/>
              <w:jc w:val="center"/>
              <w:rPr>
                <w:rFonts w:ascii="Times New Roman" w:hAnsi="Times New Roman" w:eastAsia="仿宋_GB2312" w:cs="Times New Roman"/>
                <w:color w:val="000000"/>
                <w:sz w:val="21"/>
                <w:szCs w:val="21"/>
              </w:rPr>
            </w:pPr>
          </w:p>
        </w:tc>
      </w:tr>
      <w:tr>
        <w:tblPrEx>
          <w:tblLayout w:type="fixed"/>
          <w:tblCellMar>
            <w:top w:w="0" w:type="dxa"/>
            <w:left w:w="108" w:type="dxa"/>
            <w:bottom w:w="0" w:type="dxa"/>
            <w:right w:w="108" w:type="dxa"/>
          </w:tblCellMar>
        </w:tblPrEx>
        <w:trPr>
          <w:trHeight w:val="284" w:hRule="atLeast"/>
        </w:trPr>
        <w:tc>
          <w:tcPr>
            <w:tcW w:w="832"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060" w:type="dxa"/>
            <w:vMerge w:val="continue"/>
            <w:tcBorders>
              <w:top w:val="nil"/>
              <w:left w:val="single" w:color="auto" w:sz="4" w:space="0"/>
              <w:bottom w:val="single" w:color="auto" w:sz="4" w:space="0"/>
              <w:right w:val="single" w:color="auto" w:sz="4" w:space="0"/>
            </w:tcBorders>
            <w:vAlign w:val="center"/>
          </w:tcPr>
          <w:p>
            <w:pPr>
              <w:spacing w:line="240" w:lineRule="atLeast"/>
              <w:rPr>
                <w:rFonts w:ascii="Times New Roman" w:hAnsi="Times New Roman" w:eastAsia="仿宋_GB2312" w:cs="Times New Roman"/>
                <w:color w:val="000000"/>
                <w:sz w:val="21"/>
                <w:szCs w:val="21"/>
              </w:rPr>
            </w:pPr>
          </w:p>
        </w:tc>
        <w:tc>
          <w:tcPr>
            <w:tcW w:w="1986" w:type="dxa"/>
            <w:tcBorders>
              <w:top w:val="nil"/>
              <w:left w:val="nil"/>
              <w:bottom w:val="single" w:color="auto" w:sz="4" w:space="0"/>
              <w:right w:val="single" w:color="auto" w:sz="4" w:space="0"/>
            </w:tcBorders>
            <w:shd w:val="clear" w:color="auto" w:fill="auto"/>
            <w:vAlign w:val="bottom"/>
          </w:tcPr>
          <w:p>
            <w:pPr>
              <w:spacing w:line="240" w:lineRule="atLeast"/>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学员学习资料费</w:t>
            </w:r>
          </w:p>
        </w:tc>
        <w:tc>
          <w:tcPr>
            <w:tcW w:w="1342"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500元/人</w:t>
            </w:r>
          </w:p>
        </w:tc>
        <w:tc>
          <w:tcPr>
            <w:tcW w:w="1126"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12人</w:t>
            </w:r>
          </w:p>
        </w:tc>
        <w:tc>
          <w:tcPr>
            <w:tcW w:w="1271"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6000</w:t>
            </w:r>
          </w:p>
        </w:tc>
        <w:tc>
          <w:tcPr>
            <w:tcW w:w="1211" w:type="dxa"/>
            <w:vMerge w:val="continue"/>
            <w:tcBorders>
              <w:left w:val="nil"/>
              <w:bottom w:val="single" w:color="auto" w:sz="4" w:space="0"/>
              <w:right w:val="single" w:color="auto" w:sz="4" w:space="0"/>
            </w:tcBorders>
          </w:tcPr>
          <w:p>
            <w:pPr>
              <w:spacing w:line="240" w:lineRule="atLeast"/>
              <w:jc w:val="center"/>
              <w:rPr>
                <w:rFonts w:ascii="Times New Roman" w:hAnsi="Times New Roman" w:eastAsia="仿宋_GB2312" w:cs="Times New Roman"/>
                <w:color w:val="000000"/>
                <w:sz w:val="21"/>
                <w:szCs w:val="21"/>
              </w:rPr>
            </w:pPr>
          </w:p>
        </w:tc>
      </w:tr>
      <w:tr>
        <w:tblPrEx>
          <w:tblLayout w:type="fixed"/>
          <w:tblCellMar>
            <w:top w:w="0" w:type="dxa"/>
            <w:left w:w="108" w:type="dxa"/>
            <w:bottom w:w="0" w:type="dxa"/>
            <w:right w:w="108" w:type="dxa"/>
          </w:tblCellMar>
        </w:tblPrEx>
        <w:trPr>
          <w:trHeight w:val="284" w:hRule="atLeast"/>
        </w:trPr>
        <w:tc>
          <w:tcPr>
            <w:tcW w:w="6346" w:type="dxa"/>
            <w:gridSpan w:val="5"/>
            <w:tcBorders>
              <w:top w:val="nil"/>
              <w:left w:val="single" w:color="auto" w:sz="4" w:space="0"/>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合计：</w:t>
            </w:r>
          </w:p>
        </w:tc>
        <w:tc>
          <w:tcPr>
            <w:tcW w:w="1271" w:type="dxa"/>
            <w:tcBorders>
              <w:top w:val="nil"/>
              <w:left w:val="nil"/>
              <w:bottom w:val="single" w:color="auto" w:sz="4" w:space="0"/>
              <w:right w:val="single" w:color="auto" w:sz="4" w:space="0"/>
            </w:tcBorders>
            <w:shd w:val="clear" w:color="auto" w:fill="auto"/>
            <w:vAlign w:val="bottom"/>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50000</w:t>
            </w:r>
          </w:p>
        </w:tc>
        <w:tc>
          <w:tcPr>
            <w:tcW w:w="1211" w:type="dxa"/>
            <w:tcBorders>
              <w:top w:val="nil"/>
              <w:left w:val="nil"/>
              <w:bottom w:val="single" w:color="auto" w:sz="4" w:space="0"/>
              <w:right w:val="single" w:color="auto" w:sz="4" w:space="0"/>
            </w:tcBorders>
          </w:tcPr>
          <w:p>
            <w:pPr>
              <w:spacing w:line="240" w:lineRule="atLeast"/>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45525</w:t>
            </w:r>
          </w:p>
        </w:tc>
      </w:tr>
    </w:tbl>
    <w:p>
      <w:pPr>
        <w:widowControl w:val="0"/>
        <w:snapToGrid w:val="0"/>
        <w:spacing w:line="240" w:lineRule="atLeast"/>
        <w:ind w:firstLine="482" w:firstLineChars="200"/>
        <w:jc w:val="both"/>
        <w:rPr>
          <w:rFonts w:ascii="Times New Roman" w:hAnsi="Times New Roman" w:eastAsia="仿宋_GB2312" w:cs="Times New Roman"/>
          <w:b/>
          <w:bCs/>
          <w:kern w:val="2"/>
        </w:rPr>
      </w:pPr>
      <w:r>
        <w:rPr>
          <w:rFonts w:hint="eastAsia" w:ascii="Times New Roman" w:hAnsi="Times New Roman" w:eastAsia="仿宋_GB2312" w:cs="Times New Roman"/>
          <w:b/>
          <w:bCs/>
          <w:kern w:val="2"/>
        </w:rPr>
        <w:t>注：市级主持人和区级主持人费用没有明确的标准依据，且市级主持人按照次数而区级主持人按照人数，两者口径不一致。</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⑨“我心目中的最美老年学员”主题征文讲述活动经费：</w:t>
      </w:r>
      <w:r>
        <w:rPr>
          <w:rFonts w:hint="eastAsia" w:ascii="仿宋_GB2312" w:hAnsi="Times New Roman" w:eastAsia="仿宋_GB2312" w:cs="Times New Roman"/>
          <w:kern w:val="2"/>
          <w:sz w:val="30"/>
          <w:szCs w:val="30"/>
        </w:rPr>
        <w:t>根据崇明区老年教育工作小组办公室《关于组织开展第二届“我心目中的最美老年学员”主题征文讲述活动的通知》（区老教办〔</w:t>
      </w:r>
      <w:r>
        <w:rPr>
          <w:rFonts w:ascii="仿宋_GB2312" w:hAnsi="Times New Roman" w:eastAsia="仿宋_GB2312" w:cs="Times New Roman"/>
          <w:kern w:val="2"/>
          <w:sz w:val="30"/>
          <w:szCs w:val="30"/>
        </w:rPr>
        <w:t>2022〕2号），组织老年学员参加主题征文讲述评选活动，</w:t>
      </w:r>
      <w:r>
        <w:rPr>
          <w:rFonts w:hint="eastAsia" w:ascii="仿宋_GB2312" w:hAnsi="Times New Roman" w:eastAsia="仿宋_GB2312" w:cs="Times New Roman"/>
          <w:kern w:val="2"/>
          <w:sz w:val="30"/>
          <w:szCs w:val="30"/>
        </w:rPr>
        <w:t>设置了</w:t>
      </w:r>
      <w:r>
        <w:rPr>
          <w:rFonts w:ascii="仿宋_GB2312" w:hAnsi="Times New Roman" w:eastAsia="仿宋_GB2312" w:cs="Times New Roman"/>
          <w:kern w:val="2"/>
          <w:sz w:val="30"/>
          <w:szCs w:val="30"/>
        </w:rPr>
        <w:t>优秀个人奖</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对“我心目中的最美老年学员”优秀征文、优秀讲述作品分设等第奖和优秀奖若干</w:t>
      </w:r>
      <w:r>
        <w:rPr>
          <w:rFonts w:hint="eastAsia" w:ascii="仿宋_GB2312" w:hAnsi="Times New Roman" w:eastAsia="仿宋_GB2312" w:cs="Times New Roman"/>
          <w:kern w:val="2"/>
          <w:sz w:val="30"/>
          <w:szCs w:val="30"/>
        </w:rPr>
        <w:t>）和</w:t>
      </w:r>
      <w:r>
        <w:rPr>
          <w:rFonts w:ascii="仿宋_GB2312" w:hAnsi="Times New Roman" w:eastAsia="仿宋_GB2312" w:cs="Times New Roman"/>
          <w:kern w:val="2"/>
          <w:sz w:val="30"/>
          <w:szCs w:val="30"/>
        </w:rPr>
        <w:t>优秀组织奖</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对积极组织“我心目中的最美老年学员”主题征文、讲述活动且成绩突出的单位颁发“优秀组织奖”</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。该项目为2022年新增项目。2022年共向社区学院下拨经费18000元，主要用于征文讲述活动的专家评委费、征文奖励经费及视频拍摄费用。</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ascii="仿宋_GB2312" w:hAnsi="Times New Roman" w:eastAsia="仿宋_GB2312" w:cs="Times New Roman"/>
          <w:kern w:val="2"/>
          <w:sz w:val="30"/>
          <w:szCs w:val="30"/>
        </w:rPr>
        <w:t>2022</w:t>
      </w:r>
      <w:r>
        <w:rPr>
          <w:rFonts w:hint="eastAsia" w:ascii="仿宋_GB2312" w:hAnsi="Times New Roman" w:eastAsia="仿宋_GB2312" w:cs="Times New Roman"/>
          <w:kern w:val="2"/>
          <w:sz w:val="30"/>
          <w:szCs w:val="30"/>
        </w:rPr>
        <w:t>年9月，</w:t>
      </w:r>
      <w:r>
        <w:rPr>
          <w:rFonts w:ascii="仿宋_GB2312" w:hAnsi="Times New Roman" w:eastAsia="仿宋_GB2312" w:cs="Times New Roman"/>
          <w:kern w:val="2"/>
          <w:sz w:val="30"/>
          <w:szCs w:val="30"/>
        </w:rPr>
        <w:t>各</w:t>
      </w:r>
      <w:r>
        <w:rPr>
          <w:rFonts w:hint="eastAsia" w:ascii="仿宋_GB2312" w:hAnsi="Times New Roman" w:eastAsia="仿宋_GB2312" w:cs="Times New Roman"/>
          <w:kern w:val="2"/>
          <w:sz w:val="30"/>
          <w:szCs w:val="30"/>
        </w:rPr>
        <w:t>成校</w:t>
      </w:r>
      <w:r>
        <w:rPr>
          <w:rFonts w:ascii="仿宋_GB2312" w:hAnsi="Times New Roman" w:eastAsia="仿宋_GB2312" w:cs="Times New Roman"/>
          <w:kern w:val="2"/>
          <w:sz w:val="30"/>
          <w:szCs w:val="30"/>
        </w:rPr>
        <w:t>组织自主发动、广泛开展主题征文与评选活动，发现身边“最美”老年学员的故事。10月各单位甄选佳作，于 11月</w:t>
      </w:r>
      <w:r>
        <w:rPr>
          <w:rFonts w:hint="eastAsia" w:ascii="仿宋_GB2312" w:hAnsi="Times New Roman" w:eastAsia="仿宋_GB2312" w:cs="Times New Roman"/>
          <w:kern w:val="2"/>
          <w:sz w:val="30"/>
          <w:szCs w:val="30"/>
        </w:rPr>
        <w:t>1日</w:t>
      </w:r>
      <w:r>
        <w:rPr>
          <w:rFonts w:ascii="仿宋_GB2312" w:hAnsi="Times New Roman" w:eastAsia="仿宋_GB2312" w:cs="Times New Roman"/>
          <w:kern w:val="2"/>
          <w:sz w:val="30"/>
          <w:szCs w:val="30"/>
        </w:rPr>
        <w:t>择优推荐优秀征文汇总至</w:t>
      </w:r>
      <w:r>
        <w:rPr>
          <w:rFonts w:hint="eastAsia" w:ascii="仿宋_GB2312" w:hAnsi="Times New Roman" w:eastAsia="仿宋_GB2312" w:cs="Times New Roman"/>
          <w:kern w:val="2"/>
          <w:sz w:val="30"/>
          <w:szCs w:val="30"/>
        </w:rPr>
        <w:t>社区学院，</w:t>
      </w:r>
      <w:r>
        <w:rPr>
          <w:rFonts w:ascii="仿宋_GB2312" w:hAnsi="Times New Roman" w:eastAsia="仿宋_GB2312" w:cs="Times New Roman"/>
          <w:kern w:val="2"/>
          <w:sz w:val="30"/>
          <w:szCs w:val="30"/>
        </w:rPr>
        <w:t>11月15日组织专家甄选“最美”学员征文，制作优秀征文讲述视频，推荐参加市级评选。</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本次活动共收到各成校上交的征文</w:t>
      </w:r>
      <w:r>
        <w:rPr>
          <w:rFonts w:ascii="仿宋_GB2312" w:hAnsi="Times New Roman" w:eastAsia="仿宋_GB2312" w:cs="Times New Roman"/>
          <w:kern w:val="2"/>
          <w:sz w:val="30"/>
          <w:szCs w:val="30"/>
        </w:rPr>
        <w:t>20篇，经过专家评审，评选出一等奖2名，二等奖3名，三等奖3名，优秀奖12名</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发放奖品共计4993元</w:t>
      </w:r>
      <w:r>
        <w:rPr>
          <w:rFonts w:hint="eastAsia" w:ascii="仿宋_GB2312" w:hAnsi="Times New Roman" w:eastAsia="仿宋_GB2312" w:cs="Times New Roman"/>
          <w:kern w:val="2"/>
          <w:sz w:val="30"/>
          <w:szCs w:val="30"/>
        </w:rPr>
        <w:t>；组建了市区层面的专家团队对征文进行评审，邀请了五位专家，发放劳务费共计</w:t>
      </w:r>
      <w:r>
        <w:rPr>
          <w:rFonts w:ascii="仿宋_GB2312" w:hAnsi="Times New Roman" w:eastAsia="仿宋_GB2312" w:cs="Times New Roman"/>
          <w:kern w:val="2"/>
          <w:sz w:val="30"/>
          <w:szCs w:val="30"/>
        </w:rPr>
        <w:t>6000</w:t>
      </w:r>
      <w:r>
        <w:rPr>
          <w:rFonts w:hint="eastAsia" w:ascii="仿宋_GB2312" w:hAnsi="Times New Roman" w:eastAsia="仿宋_GB2312" w:cs="Times New Roman"/>
          <w:kern w:val="2"/>
          <w:sz w:val="30"/>
          <w:szCs w:val="30"/>
        </w:rPr>
        <w:t>元；择优选出</w:t>
      </w:r>
      <w:r>
        <w:rPr>
          <w:rFonts w:ascii="仿宋_GB2312" w:hAnsi="Times New Roman" w:eastAsia="仿宋_GB2312" w:cs="Times New Roman"/>
          <w:kern w:val="2"/>
          <w:sz w:val="30"/>
          <w:szCs w:val="30"/>
        </w:rPr>
        <w:t>3篇征文</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制作参加讲述活动的视频，每个视频2</w:t>
      </w:r>
      <w:r>
        <w:rPr>
          <w:rFonts w:hint="eastAsia" w:ascii="仿宋_GB2312" w:hAnsi="Times New Roman" w:eastAsia="仿宋_GB2312" w:cs="Times New Roman"/>
          <w:kern w:val="2"/>
          <w:sz w:val="30"/>
          <w:szCs w:val="30"/>
        </w:rPr>
        <w:t>0</w:t>
      </w:r>
      <w:r>
        <w:rPr>
          <w:rFonts w:ascii="仿宋_GB2312" w:hAnsi="Times New Roman" w:eastAsia="仿宋_GB2312" w:cs="Times New Roman"/>
          <w:kern w:val="2"/>
          <w:sz w:val="30"/>
          <w:szCs w:val="30"/>
        </w:rPr>
        <w:t>00</w:t>
      </w:r>
      <w:r>
        <w:rPr>
          <w:rFonts w:hint="eastAsia" w:ascii="仿宋_GB2312" w:hAnsi="Times New Roman" w:eastAsia="仿宋_GB2312" w:cs="Times New Roman"/>
          <w:kern w:val="2"/>
          <w:sz w:val="30"/>
          <w:szCs w:val="30"/>
        </w:rPr>
        <w:t>元</w:t>
      </w:r>
      <w:r>
        <w:rPr>
          <w:rFonts w:ascii="仿宋_GB2312" w:hAnsi="Times New Roman" w:eastAsia="仿宋_GB2312" w:cs="Times New Roman"/>
          <w:kern w:val="2"/>
          <w:sz w:val="30"/>
          <w:szCs w:val="30"/>
        </w:rPr>
        <w:t>，共计6000元</w:t>
      </w:r>
      <w:r>
        <w:rPr>
          <w:rFonts w:hint="eastAsia" w:ascii="仿宋_GB2312" w:hAnsi="Times New Roman" w:eastAsia="仿宋_GB2312" w:cs="Times New Roman"/>
          <w:kern w:val="2"/>
          <w:sz w:val="30"/>
          <w:szCs w:val="30"/>
        </w:rPr>
        <w:t>；以上三部分经费使用，实际支出</w:t>
      </w:r>
      <w:r>
        <w:rPr>
          <w:rFonts w:ascii="仿宋_GB2312" w:hAnsi="Times New Roman" w:eastAsia="仿宋_GB2312" w:cs="Times New Roman"/>
          <w:kern w:val="2"/>
          <w:sz w:val="30"/>
          <w:szCs w:val="30"/>
        </w:rPr>
        <w:t>17993</w:t>
      </w:r>
      <w:r>
        <w:rPr>
          <w:rFonts w:hint="eastAsia" w:ascii="仿宋_GB2312" w:hAnsi="Times New Roman" w:eastAsia="仿宋_GB2312" w:cs="Times New Roman"/>
          <w:kern w:val="2"/>
          <w:sz w:val="30"/>
          <w:szCs w:val="30"/>
        </w:rPr>
        <w:t>元</w:t>
      </w:r>
      <w:r>
        <w:rPr>
          <w:rFonts w:ascii="仿宋_GB2312" w:hAnsi="Times New Roman" w:eastAsia="仿宋_GB2312" w:cs="Times New Roman"/>
          <w:kern w:val="2"/>
          <w:sz w:val="30"/>
          <w:szCs w:val="30"/>
        </w:rPr>
        <w:t>。</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⑩崇明区教育局本级乡镇成人（社区）学校办学经费：主要用于与终身教育相关的工作经费，包括老年教育数字化专家评审费和老年数字教育进社区活动教学资源采购经费</w:t>
      </w:r>
      <w:r>
        <w:rPr>
          <w:rStyle w:val="39"/>
          <w:rFonts w:ascii="仿宋_GB2312" w:hAnsi="Times New Roman" w:eastAsia="仿宋_GB2312"/>
          <w:kern w:val="2"/>
          <w:sz w:val="30"/>
          <w:szCs w:val="30"/>
        </w:rPr>
        <w:footnoteReference w:id="4"/>
      </w:r>
      <w:r>
        <w:rPr>
          <w:rFonts w:hint="eastAsia" w:ascii="仿宋_GB2312" w:hAnsi="Times New Roman" w:eastAsia="仿宋_GB2312" w:cs="Times New Roman"/>
          <w:kern w:val="2"/>
          <w:sz w:val="30"/>
          <w:szCs w:val="30"/>
        </w:rPr>
        <w:t>、社区老年学校优质校建设自评报告专家指导费、崇明区学习型社会建设各学促委成员单位学习书籍费、智慧助老、乐享生活课程开发服务费、市五星团队评审会用餐费、租车费等。</w:t>
      </w:r>
      <w:r>
        <w:rPr>
          <w:rFonts w:ascii="仿宋_GB2312" w:hAnsi="Times New Roman" w:eastAsia="仿宋_GB2312" w:cs="Times New Roman"/>
          <w:kern w:val="2"/>
          <w:sz w:val="30"/>
          <w:szCs w:val="30"/>
        </w:rPr>
        <w:t>老年数字教育进社区活动教学资</w:t>
      </w:r>
      <w:r>
        <w:rPr>
          <w:rFonts w:hint="eastAsia" w:ascii="仿宋_GB2312" w:hAnsi="Times New Roman" w:eastAsia="仿宋_GB2312" w:cs="Times New Roman"/>
          <w:kern w:val="2"/>
          <w:sz w:val="30"/>
          <w:szCs w:val="30"/>
        </w:rPr>
        <w:t>源，包括学习视频</w:t>
      </w:r>
      <w:r>
        <w:rPr>
          <w:rFonts w:ascii="仿宋_GB2312" w:hAnsi="Times New Roman" w:eastAsia="仿宋_GB2312" w:cs="Times New Roman"/>
          <w:kern w:val="2"/>
          <w:sz w:val="30"/>
          <w:szCs w:val="30"/>
        </w:rPr>
        <w:t>82个，教学视频6个，配套手册1.2万份</w:t>
      </w:r>
      <w:r>
        <w:rPr>
          <w:rFonts w:hint="eastAsia" w:ascii="仿宋_GB2312" w:hAnsi="Times New Roman" w:eastAsia="仿宋_GB2312" w:cs="Times New Roman"/>
          <w:kern w:val="2"/>
          <w:sz w:val="30"/>
          <w:szCs w:val="30"/>
        </w:rPr>
        <w:t>。</w:t>
      </w:r>
    </w:p>
    <w:p>
      <w:pPr>
        <w:widowControl w:val="0"/>
        <w:spacing w:line="520" w:lineRule="exact"/>
        <w:ind w:firstLine="602"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b/>
          <w:bCs/>
          <w:kern w:val="2"/>
          <w:sz w:val="30"/>
          <w:szCs w:val="30"/>
        </w:rPr>
        <w:t>（</w:t>
      </w:r>
      <w:r>
        <w:rPr>
          <w:rFonts w:ascii="Times New Roman" w:hAnsi="Times New Roman" w:eastAsia="仿宋_GB2312" w:cs="Times New Roman"/>
          <w:b/>
          <w:bCs/>
          <w:kern w:val="2"/>
          <w:sz w:val="30"/>
          <w:szCs w:val="30"/>
        </w:rPr>
        <w:t>3</w:t>
      </w:r>
      <w:r>
        <w:rPr>
          <w:rFonts w:hint="eastAsia" w:ascii="Times New Roman" w:hAnsi="Times New Roman" w:eastAsia="仿宋_GB2312" w:cs="Times New Roman"/>
          <w:b/>
          <w:bCs/>
          <w:kern w:val="2"/>
          <w:sz w:val="30"/>
          <w:szCs w:val="30"/>
        </w:rPr>
        <w:t>）学促办工作经费</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根据</w:t>
      </w:r>
      <w:r>
        <w:rPr>
          <w:rFonts w:ascii="仿宋_GB2312" w:hAnsi="Times New Roman" w:eastAsia="仿宋_GB2312" w:cs="Times New Roman"/>
          <w:kern w:val="2"/>
          <w:sz w:val="30"/>
          <w:szCs w:val="30"/>
        </w:rPr>
        <w:t>《关于开展上海市学习型城市监测工作的通知》，</w:t>
      </w:r>
      <w:r>
        <w:rPr>
          <w:rFonts w:hint="eastAsia" w:ascii="仿宋_GB2312" w:hAnsi="Times New Roman" w:eastAsia="仿宋_GB2312" w:cs="Times New Roman"/>
          <w:kern w:val="2"/>
          <w:sz w:val="30"/>
          <w:szCs w:val="30"/>
        </w:rPr>
        <w:t>成立了崇明区学习型社会建设与终身教育促进委员会办公室，即区学促办，设在崇明区教育局，负责学习型城区监测的具体实施，并设置了“学促办工作经费”子项目，主要用于推动学习型城区监测工作，完成1</w:t>
      </w:r>
      <w:r>
        <w:rPr>
          <w:rFonts w:ascii="仿宋_GB2312" w:hAnsi="Times New Roman" w:eastAsia="仿宋_GB2312" w:cs="Times New Roman"/>
          <w:kern w:val="2"/>
          <w:sz w:val="30"/>
          <w:szCs w:val="30"/>
        </w:rPr>
        <w:t>8</w:t>
      </w:r>
      <w:r>
        <w:rPr>
          <w:rFonts w:hint="eastAsia" w:ascii="仿宋_GB2312" w:hAnsi="Times New Roman" w:eastAsia="仿宋_GB2312" w:cs="Times New Roman"/>
          <w:kern w:val="2"/>
          <w:sz w:val="30"/>
          <w:szCs w:val="30"/>
        </w:rPr>
        <w:t>个乡镇的监测工作。</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ascii="仿宋_GB2312" w:hAnsi="Times New Roman" w:eastAsia="仿宋_GB2312" w:cs="Times New Roman"/>
          <w:kern w:val="2"/>
          <w:sz w:val="30"/>
          <w:szCs w:val="30"/>
        </w:rPr>
        <w:t>2022年学习型城区监测工作</w:t>
      </w:r>
      <w:r>
        <w:rPr>
          <w:rFonts w:hint="eastAsia" w:ascii="仿宋_GB2312" w:hAnsi="Times New Roman" w:eastAsia="仿宋_GB2312" w:cs="Times New Roman"/>
          <w:kern w:val="2"/>
          <w:sz w:val="30"/>
          <w:szCs w:val="30"/>
        </w:rPr>
        <w:t>包括梳理、采集、分析和整理</w:t>
      </w:r>
      <w:r>
        <w:rPr>
          <w:rFonts w:ascii="仿宋_GB2312" w:hAnsi="Times New Roman" w:eastAsia="仿宋_GB2312" w:cs="Times New Roman"/>
          <w:kern w:val="2"/>
          <w:sz w:val="30"/>
          <w:szCs w:val="30"/>
        </w:rPr>
        <w:t>学习型社会建设相关的工作文件、会议纪要、宣传报道、成果发表、大事记等内容</w:t>
      </w:r>
      <w:r>
        <w:rPr>
          <w:rFonts w:hint="eastAsia" w:ascii="仿宋_GB2312" w:hAnsi="Times New Roman" w:eastAsia="仿宋_GB2312" w:cs="Times New Roman"/>
          <w:kern w:val="2"/>
          <w:sz w:val="30"/>
          <w:szCs w:val="30"/>
        </w:rPr>
        <w:t>，并在</w:t>
      </w:r>
      <w:r>
        <w:rPr>
          <w:rFonts w:ascii="仿宋_GB2312" w:hAnsi="Times New Roman" w:eastAsia="仿宋_GB2312" w:cs="Times New Roman"/>
          <w:kern w:val="2"/>
          <w:sz w:val="30"/>
          <w:szCs w:val="30"/>
        </w:rPr>
        <w:t>“学习型城区数据采集平台”</w:t>
      </w:r>
      <w:r>
        <w:rPr>
          <w:rFonts w:hint="eastAsia" w:ascii="仿宋_GB2312" w:hAnsi="Times New Roman" w:eastAsia="仿宋_GB2312" w:cs="Times New Roman"/>
          <w:kern w:val="2"/>
          <w:sz w:val="30"/>
          <w:szCs w:val="30"/>
        </w:rPr>
        <w:t>进行</w:t>
      </w:r>
      <w:r>
        <w:rPr>
          <w:rFonts w:ascii="仿宋_GB2312" w:hAnsi="Times New Roman" w:eastAsia="仿宋_GB2312" w:cs="Times New Roman"/>
          <w:kern w:val="2"/>
          <w:sz w:val="30"/>
          <w:szCs w:val="30"/>
        </w:rPr>
        <w:t>填报</w:t>
      </w:r>
      <w:r>
        <w:rPr>
          <w:rFonts w:hint="eastAsia" w:ascii="仿宋_GB2312" w:hAnsi="Times New Roman" w:eastAsia="仿宋_GB2312" w:cs="Times New Roman"/>
          <w:kern w:val="2"/>
          <w:sz w:val="30"/>
          <w:szCs w:val="30"/>
        </w:rPr>
        <w:t>。2</w:t>
      </w:r>
      <w:r>
        <w:rPr>
          <w:rFonts w:ascii="仿宋_GB2312" w:hAnsi="Times New Roman" w:eastAsia="仿宋_GB2312" w:cs="Times New Roman"/>
          <w:kern w:val="2"/>
          <w:sz w:val="30"/>
          <w:szCs w:val="30"/>
        </w:rPr>
        <w:t>022</w:t>
      </w:r>
      <w:r>
        <w:rPr>
          <w:rFonts w:hint="eastAsia" w:ascii="仿宋_GB2312" w:hAnsi="Times New Roman" w:eastAsia="仿宋_GB2312" w:cs="Times New Roman"/>
          <w:kern w:val="2"/>
          <w:sz w:val="30"/>
          <w:szCs w:val="30"/>
        </w:rPr>
        <w:t>年年初安排4万元，实际用于记录册</w:t>
      </w:r>
      <w:r>
        <w:rPr>
          <w:rFonts w:ascii="仿宋_GB2312" w:hAnsi="Times New Roman" w:eastAsia="仿宋_GB2312" w:cs="Times New Roman"/>
          <w:kern w:val="2"/>
          <w:sz w:val="30"/>
          <w:szCs w:val="30"/>
        </w:rPr>
        <w:t>1250本的印刷</w:t>
      </w:r>
      <w:r>
        <w:rPr>
          <w:rFonts w:hint="eastAsia" w:ascii="仿宋_GB2312" w:hAnsi="Times New Roman" w:eastAsia="仿宋_GB2312" w:cs="Times New Roman"/>
          <w:kern w:val="2"/>
          <w:sz w:val="30"/>
          <w:szCs w:val="30"/>
        </w:rPr>
        <w:t>1万元。</w:t>
      </w:r>
    </w:p>
    <w:p>
      <w:pPr>
        <w:pStyle w:val="195"/>
        <w:spacing w:line="560" w:lineRule="exact"/>
        <w:outlineLvl w:val="2"/>
      </w:pPr>
      <w:r>
        <w:t>2.</w:t>
      </w:r>
      <w:r>
        <w:rPr>
          <w:rFonts w:hint="eastAsia"/>
        </w:rPr>
        <w:t>民办教育</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根据中央、上海市和崇明区相关要求，崇明教育局负责推进民办教育各项工作，并承担对民办中小幼和非学历教育的审批许可、监督检查管理的职能，故</w:t>
      </w:r>
      <w:r>
        <w:rPr>
          <w:rFonts w:ascii="仿宋_GB2312" w:hAnsi="Times New Roman" w:eastAsia="仿宋_GB2312" w:cs="Times New Roman"/>
          <w:kern w:val="2"/>
          <w:sz w:val="30"/>
          <w:szCs w:val="30"/>
        </w:rPr>
        <w:t>设置了民办学校学生公用经费补助项目、民办教育发展专项资金、民办非学历教育机构管理经费等子项目</w:t>
      </w:r>
      <w:r>
        <w:rPr>
          <w:rFonts w:hint="eastAsia" w:ascii="仿宋_GB2312" w:hAnsi="Times New Roman" w:eastAsia="仿宋_GB2312" w:cs="Times New Roman"/>
          <w:kern w:val="2"/>
          <w:sz w:val="30"/>
          <w:szCs w:val="30"/>
        </w:rPr>
        <w:t>。崇明区现有各类培训机构4</w:t>
      </w:r>
      <w:r>
        <w:rPr>
          <w:rFonts w:ascii="仿宋_GB2312" w:hAnsi="Times New Roman" w:eastAsia="仿宋_GB2312" w:cs="Times New Roman"/>
          <w:kern w:val="2"/>
          <w:sz w:val="30"/>
          <w:szCs w:val="30"/>
        </w:rPr>
        <w:t>8</w:t>
      </w:r>
      <w:r>
        <w:rPr>
          <w:rFonts w:hint="eastAsia" w:ascii="仿宋_GB2312" w:hAnsi="Times New Roman" w:eastAsia="仿宋_GB2312" w:cs="Times New Roman"/>
          <w:kern w:val="2"/>
          <w:sz w:val="30"/>
          <w:szCs w:val="30"/>
        </w:rPr>
        <w:t>家，民办中小幼4所。</w:t>
      </w:r>
    </w:p>
    <w:p>
      <w:pPr>
        <w:widowControl w:val="0"/>
        <w:spacing w:line="520" w:lineRule="exact"/>
        <w:jc w:val="center"/>
        <w:rPr>
          <w:rFonts w:ascii="仿宋_GB2312" w:hAnsi="Times New Roman" w:eastAsia="仿宋_GB2312" w:cs="Times New Roman"/>
          <w:b/>
          <w:bCs/>
          <w:kern w:val="2"/>
        </w:rPr>
      </w:pPr>
      <w:r>
        <w:rPr>
          <w:rFonts w:hint="eastAsia" w:ascii="仿宋_GB2312" w:hAnsi="Times New Roman" w:eastAsia="仿宋_GB2312" w:cs="Times New Roman"/>
          <w:b/>
          <w:bCs/>
          <w:kern w:val="2"/>
        </w:rPr>
        <w:t>表1-</w:t>
      </w:r>
      <w:r>
        <w:rPr>
          <w:rFonts w:ascii="仿宋_GB2312" w:hAnsi="Times New Roman" w:eastAsia="仿宋_GB2312" w:cs="Times New Roman"/>
          <w:b/>
          <w:bCs/>
          <w:kern w:val="2"/>
        </w:rPr>
        <w:t>2</w:t>
      </w:r>
      <w:r>
        <w:rPr>
          <w:rFonts w:hint="eastAsia" w:ascii="仿宋_GB2312" w:hAnsi="Times New Roman" w:eastAsia="仿宋_GB2312" w:cs="Times New Roman"/>
          <w:b/>
          <w:bCs/>
          <w:kern w:val="2"/>
        </w:rPr>
        <w:t>-</w:t>
      </w:r>
      <w:r>
        <w:rPr>
          <w:rFonts w:ascii="仿宋_GB2312" w:hAnsi="Times New Roman" w:eastAsia="仿宋_GB2312" w:cs="Times New Roman"/>
          <w:b/>
          <w:bCs/>
          <w:kern w:val="2"/>
        </w:rPr>
        <w:t xml:space="preserve">11 </w:t>
      </w:r>
      <w:r>
        <w:rPr>
          <w:rFonts w:hint="eastAsia" w:ascii="仿宋_GB2312" w:hAnsi="Times New Roman" w:eastAsia="仿宋_GB2312" w:cs="Times New Roman"/>
          <w:b/>
          <w:bCs/>
          <w:kern w:val="2"/>
        </w:rPr>
        <w:t>崇明区各类培训机构情况表</w:t>
      </w:r>
    </w:p>
    <w:tbl>
      <w:tblPr>
        <w:tblStyle w:val="40"/>
        <w:tblW w:w="8828" w:type="dxa"/>
        <w:tblInd w:w="0" w:type="dxa"/>
        <w:tblLayout w:type="fixed"/>
        <w:tblCellMar>
          <w:top w:w="0" w:type="dxa"/>
          <w:left w:w="108" w:type="dxa"/>
          <w:bottom w:w="0" w:type="dxa"/>
          <w:right w:w="108" w:type="dxa"/>
        </w:tblCellMar>
      </w:tblPr>
      <w:tblGrid>
        <w:gridCol w:w="734"/>
        <w:gridCol w:w="3837"/>
        <w:gridCol w:w="756"/>
        <w:gridCol w:w="3501"/>
      </w:tblGrid>
      <w:tr>
        <w:tblPrEx>
          <w:tblLayout w:type="fixed"/>
          <w:tblCellMar>
            <w:top w:w="0" w:type="dxa"/>
            <w:left w:w="108" w:type="dxa"/>
            <w:bottom w:w="0" w:type="dxa"/>
            <w:right w:w="108" w:type="dxa"/>
          </w:tblCellMar>
        </w:tblPrEx>
        <w:trPr>
          <w:trHeight w:val="227" w:hRule="atLeast"/>
        </w:trPr>
        <w:tc>
          <w:tcPr>
            <w:tcW w:w="73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b/>
                <w:bCs/>
                <w:sz w:val="21"/>
                <w:szCs w:val="21"/>
              </w:rPr>
            </w:pPr>
            <w:r>
              <w:rPr>
                <w:rFonts w:hint="eastAsia" w:ascii="仿宋" w:hAnsi="仿宋" w:eastAsia="仿宋"/>
                <w:b/>
                <w:bCs/>
                <w:sz w:val="21"/>
                <w:szCs w:val="21"/>
              </w:rPr>
              <w:t>序号</w:t>
            </w:r>
          </w:p>
        </w:tc>
        <w:tc>
          <w:tcPr>
            <w:tcW w:w="383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b/>
                <w:bCs/>
                <w:sz w:val="21"/>
                <w:szCs w:val="21"/>
              </w:rPr>
            </w:pPr>
            <w:r>
              <w:rPr>
                <w:rFonts w:hint="eastAsia" w:ascii="仿宋" w:hAnsi="仿宋" w:eastAsia="仿宋"/>
                <w:b/>
                <w:bCs/>
                <w:sz w:val="21"/>
                <w:szCs w:val="21"/>
              </w:rPr>
              <w:t>机构名称</w:t>
            </w:r>
          </w:p>
        </w:tc>
        <w:tc>
          <w:tcPr>
            <w:tcW w:w="756"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b/>
                <w:bCs/>
                <w:sz w:val="21"/>
                <w:szCs w:val="21"/>
              </w:rPr>
            </w:pPr>
            <w:r>
              <w:rPr>
                <w:rFonts w:hint="eastAsia" w:ascii="仿宋" w:hAnsi="仿宋" w:eastAsia="仿宋"/>
                <w:b/>
                <w:bCs/>
                <w:sz w:val="21"/>
                <w:szCs w:val="21"/>
              </w:rPr>
              <w:t>序号</w:t>
            </w:r>
          </w:p>
        </w:tc>
        <w:tc>
          <w:tcPr>
            <w:tcW w:w="350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b/>
                <w:bCs/>
                <w:sz w:val="21"/>
                <w:szCs w:val="21"/>
              </w:rPr>
            </w:pPr>
            <w:r>
              <w:rPr>
                <w:rFonts w:hint="eastAsia" w:ascii="仿宋" w:hAnsi="仿宋" w:eastAsia="仿宋"/>
                <w:b/>
                <w:bCs/>
                <w:sz w:val="21"/>
                <w:szCs w:val="21"/>
              </w:rPr>
              <w:t>机构名称</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上海崇明学聚培训学校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25</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上海民一进修学院</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上海逢清培训学校有限公司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26</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上海崇明全智培训学校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上海崇明宇程教育培训学校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27</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上海聿拓教育培训有限公司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w:t>
            </w:r>
            <w:r>
              <w:rPr>
                <w:rFonts w:hint="eastAsia" w:ascii="仿宋" w:hAnsi="仿宋" w:eastAsia="仿宋" w:cs="微软雅黑"/>
                <w:sz w:val="21"/>
                <w:szCs w:val="21"/>
              </w:rPr>
              <w:t>烜烜</w:t>
            </w:r>
            <w:r>
              <w:rPr>
                <w:rFonts w:hint="eastAsia" w:ascii="仿宋" w:hAnsi="仿宋" w:eastAsia="仿宋"/>
                <w:sz w:val="21"/>
                <w:szCs w:val="21"/>
              </w:rPr>
              <w:t>教育培训有限公司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28</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上海崇明爱德堡进修学校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5</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上海市崇明光辉进修学校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29</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上海易凡培训中心有限公司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6</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上海金晟培训学校有限公司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30</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上海市崇明基点进修学校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7</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上海全申教育培训有限公司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31</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上海瀛泽培训学校有限公司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8</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上海崇明菁时进修学校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32</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上海芦谣教育培训有限公司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9</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上海鸿文培训学校有限公司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33</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上海崇爱英语培训学校有限公司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10</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上海市崇明东方英才进修学校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34</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上海珉羽艺术培训中心有限公司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11</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上海崇明新纪元进修学校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35</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上海弘博培训学校有限公司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12</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上海唯望培训学校有限公司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36</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上海创馨培训学校有限公司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13</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上海市崇明瀛智进修学校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37</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上海崇潇教育培训有限公司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14</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上海晨方培训学校有限公司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38</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上海安瑞德进修学校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15</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上海启明星进修学校</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39</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上海崇明商业职业进修学校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16</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上海市崇明民乐进修学院</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40</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上海绿岛职业技能培训学校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17</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上海华夏艺术专修学院（教学点）</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41</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上海现代企业经济法律培训中心</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18</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上海市崇明启明星进修学校（新开河路教学点）</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42</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上海市崇明华艺进修学校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19</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上海马尼教育培训中心</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43</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上海市崇明博乐进修学校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20</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上海前卫科教培训中心</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44</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上海海际进修学院</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21</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上海前进远卓教育培训中心</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45</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上海普青培训学校有限公司</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22</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上海引陆稔教育培训有限公司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46</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上海崇明中华职业学校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23</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上海上实剑桥培训学校有限公司</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47</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上海市崇明锦绣艺能进修学校</w:t>
            </w:r>
          </w:p>
        </w:tc>
      </w:tr>
      <w:tr>
        <w:tblPrEx>
          <w:tblLayout w:type="fixed"/>
          <w:tblCellMar>
            <w:top w:w="0" w:type="dxa"/>
            <w:left w:w="108" w:type="dxa"/>
            <w:bottom w:w="0" w:type="dxa"/>
            <w:right w:w="108" w:type="dxa"/>
          </w:tblCellMar>
        </w:tblPrEx>
        <w:trPr>
          <w:trHeight w:val="227" w:hRule="atLeast"/>
        </w:trPr>
        <w:tc>
          <w:tcPr>
            <w:tcW w:w="734"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24</w:t>
            </w:r>
          </w:p>
        </w:tc>
        <w:tc>
          <w:tcPr>
            <w:tcW w:w="3837"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上海市崇明旅游服务培训中心</w:t>
            </w:r>
          </w:p>
        </w:tc>
        <w:tc>
          <w:tcPr>
            <w:tcW w:w="756"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21"/>
                <w:szCs w:val="21"/>
              </w:rPr>
            </w:pPr>
            <w:r>
              <w:rPr>
                <w:rFonts w:hint="eastAsia" w:ascii="仿宋" w:hAnsi="仿宋" w:eastAsia="仿宋"/>
                <w:sz w:val="21"/>
                <w:szCs w:val="21"/>
              </w:rPr>
              <w:t>48</w:t>
            </w:r>
          </w:p>
        </w:tc>
        <w:tc>
          <w:tcPr>
            <w:tcW w:w="3501" w:type="dxa"/>
            <w:tcBorders>
              <w:top w:val="nil"/>
              <w:left w:val="nil"/>
              <w:bottom w:val="single" w:color="auto" w:sz="4" w:space="0"/>
              <w:right w:val="single" w:color="auto" w:sz="4" w:space="0"/>
            </w:tcBorders>
            <w:shd w:val="clear" w:color="auto" w:fill="auto"/>
            <w:vAlign w:val="center"/>
          </w:tcPr>
          <w:p>
            <w:pPr>
              <w:rPr>
                <w:rFonts w:ascii="仿宋" w:hAnsi="仿宋" w:eastAsia="仿宋"/>
                <w:sz w:val="21"/>
                <w:szCs w:val="21"/>
              </w:rPr>
            </w:pPr>
            <w:r>
              <w:rPr>
                <w:rFonts w:hint="eastAsia" w:ascii="仿宋" w:hAnsi="仿宋" w:eastAsia="仿宋"/>
                <w:sz w:val="21"/>
                <w:szCs w:val="21"/>
              </w:rPr>
              <w:t>上海崇明鹿驰培训学校</w:t>
            </w:r>
          </w:p>
        </w:tc>
      </w:tr>
    </w:tbl>
    <w:p>
      <w:pPr>
        <w:widowControl w:val="0"/>
        <w:spacing w:line="520" w:lineRule="exact"/>
        <w:ind w:firstLine="600" w:firstLineChars="200"/>
        <w:jc w:val="both"/>
        <w:rPr>
          <w:rFonts w:ascii="仿宋_GB2312" w:hAnsi="Times New Roman" w:eastAsia="仿宋_GB2312" w:cs="Times New Roman"/>
          <w:kern w:val="2"/>
          <w:sz w:val="30"/>
          <w:szCs w:val="30"/>
        </w:rPr>
      </w:pPr>
      <w:r>
        <w:rPr>
          <w:rFonts w:ascii="仿宋_GB2312" w:hAnsi="Times New Roman" w:eastAsia="仿宋_GB2312" w:cs="Times New Roman"/>
          <w:kern w:val="2"/>
          <w:sz w:val="30"/>
          <w:szCs w:val="30"/>
        </w:rPr>
        <w:t>露凝幼儿园位于崇明区城桥镇西引路101号，占地面积7560平方米，建筑面积5086平方米，</w:t>
      </w:r>
      <w:r>
        <w:rPr>
          <w:rFonts w:hint="eastAsia" w:ascii="仿宋_GB2312" w:hAnsi="Times New Roman" w:eastAsia="仿宋_GB2312" w:cs="Times New Roman"/>
          <w:kern w:val="2"/>
          <w:sz w:val="30"/>
          <w:szCs w:val="30"/>
        </w:rPr>
        <w:t>创办于</w:t>
      </w:r>
      <w:r>
        <w:rPr>
          <w:rFonts w:ascii="仿宋_GB2312" w:hAnsi="Times New Roman" w:eastAsia="仿宋_GB2312" w:cs="Times New Roman"/>
          <w:kern w:val="2"/>
          <w:sz w:val="30"/>
          <w:szCs w:val="30"/>
        </w:rPr>
        <w:t>2020年</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盛源幼儿园</w:t>
      </w:r>
      <w:r>
        <w:rPr>
          <w:rFonts w:hint="eastAsia" w:ascii="仿宋_GB2312" w:hAnsi="Times New Roman" w:eastAsia="仿宋_GB2312" w:cs="Times New Roman"/>
          <w:kern w:val="2"/>
          <w:sz w:val="30"/>
          <w:szCs w:val="30"/>
        </w:rPr>
        <w:t>位于崇明区城桥镇湄洲路</w:t>
      </w:r>
      <w:r>
        <w:rPr>
          <w:rFonts w:ascii="仿宋_GB2312" w:hAnsi="Times New Roman" w:eastAsia="仿宋_GB2312" w:cs="Times New Roman"/>
          <w:kern w:val="2"/>
          <w:sz w:val="30"/>
          <w:szCs w:val="30"/>
        </w:rPr>
        <w:t>280号</w:t>
      </w:r>
      <w:r>
        <w:rPr>
          <w:rFonts w:hint="eastAsia" w:ascii="仿宋_GB2312" w:hAnsi="Times New Roman" w:eastAsia="仿宋_GB2312" w:cs="Times New Roman"/>
          <w:kern w:val="2"/>
          <w:sz w:val="30"/>
          <w:szCs w:val="30"/>
        </w:rPr>
        <w:t>，占地面积5</w:t>
      </w:r>
      <w:r>
        <w:rPr>
          <w:rFonts w:ascii="仿宋_GB2312" w:hAnsi="Times New Roman" w:eastAsia="仿宋_GB2312" w:cs="Times New Roman"/>
          <w:kern w:val="2"/>
          <w:sz w:val="30"/>
          <w:szCs w:val="30"/>
        </w:rPr>
        <w:t>338</w:t>
      </w:r>
      <w:r>
        <w:rPr>
          <w:rFonts w:hint="eastAsia" w:ascii="仿宋_GB2312" w:hAnsi="Times New Roman" w:eastAsia="仿宋_GB2312" w:cs="Times New Roman"/>
          <w:kern w:val="2"/>
          <w:sz w:val="30"/>
          <w:szCs w:val="30"/>
        </w:rPr>
        <w:t>平方米，创办于</w:t>
      </w:r>
      <w:r>
        <w:rPr>
          <w:rFonts w:ascii="仿宋_GB2312" w:hAnsi="Times New Roman" w:eastAsia="仿宋_GB2312" w:cs="Times New Roman"/>
          <w:kern w:val="2"/>
          <w:sz w:val="30"/>
          <w:szCs w:val="30"/>
        </w:rPr>
        <w:t>2005年</w:t>
      </w:r>
      <w:r>
        <w:rPr>
          <w:rFonts w:hint="eastAsia" w:ascii="仿宋_GB2312" w:hAnsi="Times New Roman" w:eastAsia="仿宋_GB2312" w:cs="Times New Roman"/>
          <w:kern w:val="2"/>
          <w:sz w:val="30"/>
          <w:szCs w:val="30"/>
        </w:rPr>
        <w:t>。民一中学</w:t>
      </w:r>
      <w:r>
        <w:rPr>
          <w:rFonts w:ascii="仿宋_GB2312" w:hAnsi="Times New Roman" w:eastAsia="仿宋_GB2312" w:cs="Times New Roman"/>
          <w:kern w:val="2"/>
          <w:sz w:val="30"/>
          <w:szCs w:val="30"/>
        </w:rPr>
        <w:t>是一所公立转制学校，位于崇明县北堡镇解放街230号，占地近27亩。上海新纪元双语学校</w:t>
      </w:r>
      <w:r>
        <w:rPr>
          <w:rFonts w:hint="eastAsia" w:ascii="仿宋_GB2312" w:hAnsi="Times New Roman" w:eastAsia="仿宋_GB2312" w:cs="Times New Roman"/>
          <w:kern w:val="2"/>
          <w:sz w:val="30"/>
          <w:szCs w:val="30"/>
        </w:rPr>
        <w:t>是九年一贯制学校，位于崇明岛陈家镇</w:t>
      </w:r>
      <w:r>
        <w:rPr>
          <w:rFonts w:ascii="仿宋_GB2312" w:hAnsi="Times New Roman" w:eastAsia="仿宋_GB2312" w:cs="Times New Roman"/>
          <w:kern w:val="2"/>
          <w:sz w:val="30"/>
          <w:szCs w:val="30"/>
        </w:rPr>
        <w:t>1518号</w:t>
      </w:r>
      <w:r>
        <w:rPr>
          <w:rFonts w:hint="eastAsia" w:ascii="仿宋_GB2312" w:hAnsi="Times New Roman" w:eastAsia="仿宋_GB2312" w:cs="Times New Roman"/>
          <w:kern w:val="2"/>
          <w:sz w:val="30"/>
          <w:szCs w:val="30"/>
        </w:rPr>
        <w:t>，占地面积</w:t>
      </w:r>
      <w:r>
        <w:rPr>
          <w:rFonts w:ascii="仿宋_GB2312" w:hAnsi="Times New Roman" w:eastAsia="仿宋_GB2312" w:cs="Times New Roman"/>
          <w:kern w:val="2"/>
          <w:sz w:val="30"/>
          <w:szCs w:val="30"/>
        </w:rPr>
        <w:t>30657</w:t>
      </w:r>
      <w:r>
        <w:rPr>
          <w:rFonts w:hint="eastAsia" w:ascii="仿宋_GB2312" w:hAnsi="Times New Roman" w:eastAsia="仿宋_GB2312" w:cs="Times New Roman"/>
          <w:kern w:val="2"/>
          <w:sz w:val="30"/>
          <w:szCs w:val="30"/>
        </w:rPr>
        <w:t>平方米，创办于2</w:t>
      </w:r>
      <w:r>
        <w:rPr>
          <w:rFonts w:ascii="仿宋_GB2312" w:hAnsi="Times New Roman" w:eastAsia="仿宋_GB2312" w:cs="Times New Roman"/>
          <w:kern w:val="2"/>
          <w:sz w:val="30"/>
          <w:szCs w:val="30"/>
        </w:rPr>
        <w:t>000</w:t>
      </w:r>
      <w:r>
        <w:rPr>
          <w:rFonts w:hint="eastAsia" w:ascii="仿宋_GB2312" w:hAnsi="Times New Roman" w:eastAsia="仿宋_GB2312" w:cs="Times New Roman"/>
          <w:kern w:val="2"/>
          <w:sz w:val="30"/>
          <w:szCs w:val="30"/>
        </w:rPr>
        <w:t>年</w:t>
      </w:r>
      <w:r>
        <w:rPr>
          <w:rFonts w:ascii="仿宋_GB2312" w:hAnsi="Times New Roman" w:eastAsia="仿宋_GB2312" w:cs="Times New Roman"/>
          <w:kern w:val="2"/>
          <w:sz w:val="30"/>
          <w:szCs w:val="30"/>
        </w:rPr>
        <w:t>。</w:t>
      </w:r>
    </w:p>
    <w:p>
      <w:pPr>
        <w:widowControl w:val="0"/>
        <w:spacing w:line="520" w:lineRule="exact"/>
        <w:jc w:val="center"/>
        <w:rPr>
          <w:rFonts w:ascii="仿宋_GB2312" w:hAnsi="Times New Roman" w:eastAsia="仿宋_GB2312" w:cs="Times New Roman"/>
          <w:b/>
          <w:bCs/>
          <w:kern w:val="2"/>
        </w:rPr>
      </w:pPr>
      <w:r>
        <w:rPr>
          <w:rFonts w:hint="eastAsia" w:ascii="仿宋_GB2312" w:hAnsi="Times New Roman" w:eastAsia="仿宋_GB2312" w:cs="Times New Roman"/>
          <w:b/>
          <w:bCs/>
          <w:kern w:val="2"/>
        </w:rPr>
        <w:t>表1-</w:t>
      </w:r>
      <w:r>
        <w:rPr>
          <w:rFonts w:ascii="仿宋_GB2312" w:hAnsi="Times New Roman" w:eastAsia="仿宋_GB2312" w:cs="Times New Roman"/>
          <w:b/>
          <w:bCs/>
          <w:kern w:val="2"/>
        </w:rPr>
        <w:t>2</w:t>
      </w:r>
      <w:r>
        <w:rPr>
          <w:rFonts w:hint="eastAsia" w:ascii="仿宋_GB2312" w:hAnsi="Times New Roman" w:eastAsia="仿宋_GB2312" w:cs="Times New Roman"/>
          <w:b/>
          <w:bCs/>
          <w:kern w:val="2"/>
        </w:rPr>
        <w:t>-</w:t>
      </w:r>
      <w:r>
        <w:rPr>
          <w:rFonts w:ascii="仿宋_GB2312" w:hAnsi="Times New Roman" w:eastAsia="仿宋_GB2312" w:cs="Times New Roman"/>
          <w:b/>
          <w:bCs/>
          <w:kern w:val="2"/>
        </w:rPr>
        <w:t>12 2022</w:t>
      </w:r>
      <w:r>
        <w:rPr>
          <w:rFonts w:hint="eastAsia" w:ascii="仿宋_GB2312" w:hAnsi="Times New Roman" w:eastAsia="仿宋_GB2312" w:cs="Times New Roman"/>
          <w:b/>
          <w:bCs/>
          <w:kern w:val="2"/>
        </w:rPr>
        <w:t>年</w:t>
      </w:r>
      <w:r>
        <w:rPr>
          <w:rFonts w:ascii="仿宋_GB2312" w:hAnsi="Times New Roman" w:eastAsia="仿宋_GB2312" w:cs="Times New Roman"/>
          <w:b/>
          <w:bCs/>
          <w:kern w:val="2"/>
        </w:rPr>
        <w:t>4</w:t>
      </w:r>
      <w:r>
        <w:rPr>
          <w:rFonts w:hint="eastAsia" w:ascii="仿宋_GB2312" w:hAnsi="Times New Roman" w:eastAsia="仿宋_GB2312" w:cs="Times New Roman"/>
          <w:b/>
          <w:bCs/>
          <w:kern w:val="2"/>
        </w:rPr>
        <w:t>所民办学校基本情况</w:t>
      </w:r>
    </w:p>
    <w:tbl>
      <w:tblPr>
        <w:tblStyle w:val="40"/>
        <w:tblW w:w="11787" w:type="dxa"/>
        <w:jc w:val="center"/>
        <w:tblInd w:w="0" w:type="dxa"/>
        <w:tblLayout w:type="fixed"/>
        <w:tblCellMar>
          <w:top w:w="0" w:type="dxa"/>
          <w:left w:w="108" w:type="dxa"/>
          <w:bottom w:w="0" w:type="dxa"/>
          <w:right w:w="108" w:type="dxa"/>
        </w:tblCellMar>
      </w:tblPr>
      <w:tblGrid>
        <w:gridCol w:w="1965"/>
        <w:gridCol w:w="612"/>
        <w:gridCol w:w="614"/>
        <w:gridCol w:w="612"/>
        <w:gridCol w:w="614"/>
        <w:gridCol w:w="612"/>
        <w:gridCol w:w="614"/>
        <w:gridCol w:w="612"/>
        <w:gridCol w:w="614"/>
        <w:gridCol w:w="612"/>
        <w:gridCol w:w="614"/>
        <w:gridCol w:w="612"/>
        <w:gridCol w:w="612"/>
        <w:gridCol w:w="6"/>
        <w:gridCol w:w="610"/>
        <w:gridCol w:w="612"/>
        <w:gridCol w:w="7"/>
        <w:gridCol w:w="605"/>
        <w:gridCol w:w="612"/>
        <w:gridCol w:w="16"/>
      </w:tblGrid>
      <w:tr>
        <w:tblPrEx>
          <w:tblLayout w:type="fixed"/>
          <w:tblCellMar>
            <w:top w:w="0" w:type="dxa"/>
            <w:left w:w="108" w:type="dxa"/>
            <w:bottom w:w="0" w:type="dxa"/>
            <w:right w:w="108" w:type="dxa"/>
          </w:tblCellMar>
        </w:tblPrEx>
        <w:trPr>
          <w:trHeight w:val="289" w:hRule="atLeast"/>
          <w:tblHeader/>
          <w:jc w:val="center"/>
        </w:trPr>
        <w:tc>
          <w:tcPr>
            <w:tcW w:w="19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内容</w:t>
            </w:r>
          </w:p>
        </w:tc>
        <w:tc>
          <w:tcPr>
            <w:tcW w:w="2452"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露凝幼儿园</w:t>
            </w:r>
          </w:p>
        </w:tc>
        <w:tc>
          <w:tcPr>
            <w:tcW w:w="2452"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盛源幼儿园</w:t>
            </w:r>
          </w:p>
        </w:tc>
        <w:tc>
          <w:tcPr>
            <w:tcW w:w="2456" w:type="dxa"/>
            <w:gridSpan w:val="5"/>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民一中学</w:t>
            </w:r>
          </w:p>
        </w:tc>
        <w:tc>
          <w:tcPr>
            <w:tcW w:w="2462" w:type="dxa"/>
            <w:gridSpan w:val="6"/>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新纪元双语</w:t>
            </w:r>
          </w:p>
        </w:tc>
      </w:tr>
      <w:tr>
        <w:tblPrEx>
          <w:tblLayout w:type="fixed"/>
          <w:tblCellMar>
            <w:top w:w="0" w:type="dxa"/>
            <w:left w:w="108" w:type="dxa"/>
            <w:bottom w:w="0" w:type="dxa"/>
            <w:right w:w="108" w:type="dxa"/>
          </w:tblCellMar>
        </w:tblPrEx>
        <w:trPr>
          <w:trHeight w:val="289" w:hRule="atLeast"/>
          <w:tblHeader/>
          <w:jc w:val="center"/>
        </w:trPr>
        <w:tc>
          <w:tcPr>
            <w:tcW w:w="1965"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 w:hAnsi="仿宋" w:eastAsia="仿宋"/>
                <w:b/>
                <w:bCs/>
                <w:color w:val="000000"/>
                <w:sz w:val="18"/>
                <w:szCs w:val="18"/>
              </w:rPr>
            </w:pPr>
          </w:p>
        </w:tc>
        <w:tc>
          <w:tcPr>
            <w:tcW w:w="1226"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2021年</w:t>
            </w:r>
          </w:p>
        </w:tc>
        <w:tc>
          <w:tcPr>
            <w:tcW w:w="1226"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2022年</w:t>
            </w:r>
          </w:p>
        </w:tc>
        <w:tc>
          <w:tcPr>
            <w:tcW w:w="1226"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2021年</w:t>
            </w:r>
          </w:p>
        </w:tc>
        <w:tc>
          <w:tcPr>
            <w:tcW w:w="1226"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2022年</w:t>
            </w:r>
          </w:p>
        </w:tc>
        <w:tc>
          <w:tcPr>
            <w:tcW w:w="1226" w:type="dxa"/>
            <w:gridSpan w:val="2"/>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2021年</w:t>
            </w:r>
          </w:p>
        </w:tc>
        <w:tc>
          <w:tcPr>
            <w:tcW w:w="1230" w:type="dxa"/>
            <w:gridSpan w:val="3"/>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2022年</w:t>
            </w:r>
          </w:p>
        </w:tc>
        <w:tc>
          <w:tcPr>
            <w:tcW w:w="1229" w:type="dxa"/>
            <w:gridSpan w:val="3"/>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2021年</w:t>
            </w:r>
          </w:p>
        </w:tc>
        <w:tc>
          <w:tcPr>
            <w:tcW w:w="1233" w:type="dxa"/>
            <w:gridSpan w:val="3"/>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2022年</w:t>
            </w:r>
          </w:p>
        </w:tc>
      </w:tr>
      <w:tr>
        <w:tblPrEx>
          <w:tblLayout w:type="fixed"/>
          <w:tblCellMar>
            <w:top w:w="0" w:type="dxa"/>
            <w:left w:w="108" w:type="dxa"/>
            <w:bottom w:w="0" w:type="dxa"/>
            <w:right w:w="108" w:type="dxa"/>
          </w:tblCellMar>
        </w:tblPrEx>
        <w:trPr>
          <w:gridAfter w:val="1"/>
          <w:wAfter w:w="16" w:type="dxa"/>
          <w:trHeight w:val="289" w:hRule="atLeast"/>
          <w:tblHeader/>
          <w:jc w:val="center"/>
        </w:trPr>
        <w:tc>
          <w:tcPr>
            <w:tcW w:w="1965"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 w:hAnsi="仿宋" w:eastAsia="仿宋"/>
                <w:b/>
                <w:bCs/>
                <w:color w:val="000000"/>
                <w:sz w:val="18"/>
                <w:szCs w:val="18"/>
              </w:rPr>
            </w:pP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上学期</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sz w:val="18"/>
                <w:szCs w:val="18"/>
              </w:rPr>
            </w:pPr>
            <w:r>
              <w:rPr>
                <w:rFonts w:hint="eastAsia" w:ascii="仿宋" w:hAnsi="仿宋" w:eastAsia="仿宋"/>
                <w:b/>
                <w:bCs/>
                <w:sz w:val="18"/>
                <w:szCs w:val="18"/>
              </w:rPr>
              <w:t>下学期</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b/>
                <w:bCs/>
                <w:sz w:val="18"/>
                <w:szCs w:val="18"/>
              </w:rPr>
            </w:pPr>
            <w:r>
              <w:rPr>
                <w:rFonts w:hint="eastAsia" w:ascii="仿宋" w:hAnsi="仿宋" w:eastAsia="仿宋"/>
                <w:b/>
                <w:bCs/>
                <w:sz w:val="18"/>
                <w:szCs w:val="18"/>
              </w:rPr>
              <w:t>1.学生总数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79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92</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96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305</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317</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264</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286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627</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627</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636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635</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658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658</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648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640</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其中：住宿学生人数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658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658</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648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640</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贫困学生人数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3</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3</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小学生人数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287</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287</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269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291</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中学生人数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627</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627</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636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635</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371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371</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379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349</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b/>
                <w:bCs/>
                <w:sz w:val="18"/>
                <w:szCs w:val="18"/>
              </w:rPr>
            </w:pPr>
            <w:r>
              <w:rPr>
                <w:rFonts w:hint="eastAsia" w:ascii="仿宋" w:hAnsi="仿宋" w:eastAsia="仿宋"/>
                <w:b/>
                <w:bCs/>
                <w:sz w:val="18"/>
                <w:szCs w:val="18"/>
              </w:rPr>
              <w:t>2.教职工总数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21</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26</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28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45</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45</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44</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44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65</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65</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67</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67</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196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196</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198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b/>
                <w:bCs/>
                <w:color w:val="000000"/>
                <w:sz w:val="18"/>
                <w:szCs w:val="18"/>
              </w:rPr>
            </w:pPr>
            <w:r>
              <w:rPr>
                <w:rFonts w:hint="eastAsia" w:ascii="仿宋" w:hAnsi="仿宋" w:eastAsia="仿宋"/>
                <w:b/>
                <w:bCs/>
                <w:color w:val="000000"/>
                <w:sz w:val="18"/>
                <w:szCs w:val="18"/>
              </w:rPr>
              <w:t>198</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3.教师总数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13</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24</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23</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23</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51</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51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53</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53</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其中：高级职称教师数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15</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15</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专职教师数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13</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24</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23</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23</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47</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47</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49</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81</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兼职教师数</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4</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0</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4.职工数量</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13</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21</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21</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14</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14</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14</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115</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115</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117</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117</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其中：管理人员</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2</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6</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18</w:t>
            </w:r>
          </w:p>
        </w:tc>
      </w:tr>
      <w:tr>
        <w:tblPrEx>
          <w:tblLayout w:type="fixed"/>
          <w:tblCellMar>
            <w:top w:w="0" w:type="dxa"/>
            <w:left w:w="108" w:type="dxa"/>
            <w:bottom w:w="0" w:type="dxa"/>
            <w:right w:w="108" w:type="dxa"/>
          </w:tblCellMar>
        </w:tblPrEx>
        <w:trPr>
          <w:gridAfter w:val="1"/>
          <w:wAfter w:w="16" w:type="dxa"/>
          <w:trHeight w:val="289" w:hRule="atLeast"/>
          <w:jc w:val="center"/>
        </w:trPr>
        <w:tc>
          <w:tcPr>
            <w:tcW w:w="196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 w:hAnsi="仿宋" w:eastAsia="仿宋"/>
                <w:sz w:val="18"/>
                <w:szCs w:val="18"/>
              </w:rPr>
            </w:pPr>
            <w:r>
              <w:rPr>
                <w:rFonts w:hint="eastAsia" w:ascii="仿宋" w:hAnsi="仿宋" w:eastAsia="仿宋"/>
                <w:sz w:val="18"/>
                <w:szCs w:val="18"/>
              </w:rPr>
              <w:t xml:space="preserve">        其他职工</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10</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10</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12</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13</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19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w:t>
            </w:r>
          </w:p>
        </w:tc>
        <w:tc>
          <w:tcPr>
            <w:tcW w:w="614"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8</w:t>
            </w:r>
          </w:p>
        </w:tc>
        <w:tc>
          <w:tcPr>
            <w:tcW w:w="616"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96</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96</w:t>
            </w:r>
          </w:p>
        </w:tc>
        <w:tc>
          <w:tcPr>
            <w:tcW w:w="612" w:type="dxa"/>
            <w:gridSpan w:val="2"/>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99</w:t>
            </w:r>
          </w:p>
        </w:tc>
        <w:tc>
          <w:tcPr>
            <w:tcW w:w="61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 w:hAnsi="仿宋" w:eastAsia="仿宋"/>
                <w:color w:val="000000"/>
                <w:sz w:val="18"/>
                <w:szCs w:val="18"/>
              </w:rPr>
            </w:pPr>
            <w:r>
              <w:rPr>
                <w:rFonts w:hint="eastAsia" w:ascii="仿宋" w:hAnsi="仿宋" w:eastAsia="仿宋"/>
                <w:color w:val="000000"/>
                <w:sz w:val="18"/>
                <w:szCs w:val="18"/>
              </w:rPr>
              <w:t>99</w:t>
            </w:r>
          </w:p>
        </w:tc>
      </w:tr>
    </w:tbl>
    <w:p>
      <w:pPr>
        <w:widowControl w:val="0"/>
        <w:spacing w:line="520" w:lineRule="exact"/>
        <w:ind w:firstLine="602" w:firstLineChars="200"/>
        <w:jc w:val="both"/>
        <w:rPr>
          <w:rFonts w:ascii="仿宋_GB2312" w:hAnsi="Times New Roman" w:eastAsia="仿宋_GB2312" w:cs="Times New Roman"/>
          <w:b/>
          <w:bCs/>
          <w:kern w:val="2"/>
          <w:sz w:val="30"/>
          <w:szCs w:val="30"/>
        </w:rPr>
      </w:pPr>
      <w:r>
        <w:rPr>
          <w:rFonts w:hint="eastAsia" w:ascii="仿宋_GB2312" w:hAnsi="Times New Roman" w:eastAsia="仿宋_GB2312" w:cs="Times New Roman"/>
          <w:b/>
          <w:bCs/>
          <w:kern w:val="2"/>
          <w:sz w:val="30"/>
          <w:szCs w:val="30"/>
        </w:rPr>
        <w:t>（1）民办学校学生公用经费补助</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①“两免一补”经费（免除学杂费）</w:t>
      </w:r>
      <w:r>
        <w:rPr>
          <w:rFonts w:hint="eastAsia" w:ascii="仿宋_GB2312" w:hAnsi="Times New Roman" w:eastAsia="仿宋_GB2312" w:cs="Times New Roman"/>
          <w:kern w:val="2"/>
          <w:sz w:val="30"/>
          <w:szCs w:val="30"/>
        </w:rPr>
        <w:t>：根据《上海市政府关于进一步完善本市城乡义务教育经费保障机制的通知》（沪府发〔</w:t>
      </w:r>
      <w:r>
        <w:rPr>
          <w:rFonts w:ascii="仿宋_GB2312" w:hAnsi="Times New Roman" w:eastAsia="仿宋_GB2312" w:cs="Times New Roman"/>
          <w:kern w:val="2"/>
          <w:sz w:val="30"/>
          <w:szCs w:val="30"/>
        </w:rPr>
        <w:t>2016〕35号）</w:t>
      </w:r>
      <w:r>
        <w:rPr>
          <w:rFonts w:hint="eastAsia" w:ascii="仿宋_GB2312" w:hAnsi="Times New Roman" w:eastAsia="仿宋_GB2312" w:cs="Times New Roman"/>
          <w:kern w:val="2"/>
          <w:sz w:val="30"/>
          <w:szCs w:val="30"/>
        </w:rPr>
        <w:t>“统一城乡义务教育学生两免一补政策，</w:t>
      </w:r>
      <w:r>
        <w:rPr>
          <w:rFonts w:ascii="仿宋_GB2312" w:hAnsi="Times New Roman" w:eastAsia="仿宋_GB2312" w:cs="Times New Roman"/>
          <w:kern w:val="2"/>
          <w:sz w:val="30"/>
          <w:szCs w:val="30"/>
        </w:rPr>
        <w:t>对本市城乡义务教育学生免除学杂费</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对本市城乡义务教育学生免费提供教科书（含作业本）</w:t>
      </w:r>
      <w:r>
        <w:rPr>
          <w:rFonts w:hint="eastAsia" w:ascii="仿宋_GB2312" w:hAnsi="Times New Roman" w:eastAsia="仿宋_GB2312" w:cs="Times New Roman"/>
          <w:kern w:val="2"/>
          <w:sz w:val="30"/>
          <w:szCs w:val="30"/>
        </w:rPr>
        <w:t>和</w:t>
      </w:r>
      <w:r>
        <w:rPr>
          <w:rFonts w:ascii="仿宋_GB2312" w:hAnsi="Times New Roman" w:eastAsia="仿宋_GB2312" w:cs="Times New Roman"/>
          <w:kern w:val="2"/>
          <w:sz w:val="30"/>
          <w:szCs w:val="30"/>
        </w:rPr>
        <w:t>对本市城乡义务教育学校家庭经济困难寄宿生补助生活费</w:t>
      </w:r>
      <w:r>
        <w:rPr>
          <w:rFonts w:hint="eastAsia" w:ascii="仿宋_GB2312" w:hAnsi="Times New Roman" w:eastAsia="仿宋_GB2312" w:cs="Times New Roman"/>
          <w:kern w:val="2"/>
          <w:sz w:val="30"/>
          <w:szCs w:val="30"/>
        </w:rPr>
        <w:t>”，其中，“</w:t>
      </w:r>
      <w:r>
        <w:rPr>
          <w:rFonts w:ascii="仿宋_GB2312" w:hAnsi="Times New Roman" w:eastAsia="仿宋_GB2312" w:cs="Times New Roman"/>
          <w:kern w:val="2"/>
          <w:sz w:val="30"/>
          <w:szCs w:val="30"/>
        </w:rPr>
        <w:t>民办学校在籍学生免除学杂费标准按照中央确定的生均公用经费基准定额执行。2016年中央确定的生均公用经费基准定额为：普通小学每生每年650元、普通初中每生每年850元</w:t>
      </w:r>
      <w:r>
        <w:rPr>
          <w:rFonts w:hint="eastAsia" w:ascii="仿宋_GB2312" w:hAnsi="Times New Roman" w:eastAsia="仿宋_GB2312" w:cs="Times New Roman"/>
          <w:kern w:val="2"/>
          <w:sz w:val="30"/>
          <w:szCs w:val="30"/>
        </w:rPr>
        <w:t>”，因此，</w:t>
      </w:r>
      <w:r>
        <w:rPr>
          <w:rFonts w:ascii="仿宋_GB2312" w:hAnsi="Times New Roman" w:eastAsia="仿宋_GB2312" w:cs="Times New Roman"/>
          <w:kern w:val="2"/>
          <w:sz w:val="30"/>
          <w:szCs w:val="30"/>
        </w:rPr>
        <w:t>2022年计划对</w:t>
      </w:r>
      <w:r>
        <w:rPr>
          <w:rFonts w:hint="eastAsia" w:ascii="仿宋_GB2312" w:hAnsi="Times New Roman" w:eastAsia="仿宋_GB2312" w:cs="Times New Roman"/>
          <w:kern w:val="2"/>
          <w:sz w:val="30"/>
          <w:szCs w:val="30"/>
        </w:rPr>
        <w:t>2所中小学民办学校（</w:t>
      </w:r>
      <w:r>
        <w:rPr>
          <w:rFonts w:ascii="仿宋_GB2312" w:hAnsi="Times New Roman" w:eastAsia="仿宋_GB2312" w:cs="Times New Roman"/>
          <w:kern w:val="2"/>
          <w:sz w:val="30"/>
          <w:szCs w:val="30"/>
        </w:rPr>
        <w:t>上海新纪元双语学校和上海民办民一中学</w:t>
      </w:r>
      <w:r>
        <w:rPr>
          <w:rFonts w:hint="eastAsia" w:ascii="仿宋_GB2312" w:hAnsi="Times New Roman" w:eastAsia="仿宋_GB2312" w:cs="Times New Roman"/>
          <w:kern w:val="2"/>
          <w:sz w:val="30"/>
          <w:szCs w:val="30"/>
        </w:rPr>
        <w:t>）免除学杂费补贴，补贴</w:t>
      </w:r>
      <w:r>
        <w:rPr>
          <w:rFonts w:ascii="仿宋_GB2312" w:hAnsi="Times New Roman" w:eastAsia="仿宋_GB2312" w:cs="Times New Roman"/>
          <w:kern w:val="2"/>
          <w:sz w:val="30"/>
          <w:szCs w:val="30"/>
        </w:rPr>
        <w:t>标准</w:t>
      </w:r>
      <w:r>
        <w:rPr>
          <w:rFonts w:hint="eastAsia" w:ascii="仿宋_GB2312" w:hAnsi="Times New Roman" w:eastAsia="仿宋_GB2312" w:cs="Times New Roman"/>
          <w:kern w:val="2"/>
          <w:sz w:val="30"/>
          <w:szCs w:val="30"/>
        </w:rPr>
        <w:t>按照沪府发〔</w:t>
      </w:r>
      <w:r>
        <w:rPr>
          <w:rFonts w:ascii="仿宋_GB2312" w:hAnsi="Times New Roman" w:eastAsia="仿宋_GB2312" w:cs="Times New Roman"/>
          <w:kern w:val="2"/>
          <w:sz w:val="30"/>
          <w:szCs w:val="30"/>
        </w:rPr>
        <w:t>2016〕35号</w:t>
      </w:r>
      <w:r>
        <w:rPr>
          <w:rFonts w:hint="eastAsia" w:ascii="仿宋_GB2312" w:hAnsi="Times New Roman" w:eastAsia="仿宋_GB2312" w:cs="Times New Roman"/>
          <w:kern w:val="2"/>
          <w:sz w:val="30"/>
          <w:szCs w:val="30"/>
        </w:rPr>
        <w:t>执行</w:t>
      </w:r>
      <w:r>
        <w:rPr>
          <w:rFonts w:ascii="仿宋_GB2312" w:hAnsi="Times New Roman" w:eastAsia="仿宋_GB2312" w:cs="Times New Roman"/>
          <w:kern w:val="2"/>
          <w:sz w:val="30"/>
          <w:szCs w:val="30"/>
        </w:rPr>
        <w:t>，经费每半年发放一次。</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2</w:t>
      </w:r>
      <w:r>
        <w:rPr>
          <w:rFonts w:ascii="仿宋_GB2312" w:hAnsi="Times New Roman" w:eastAsia="仿宋_GB2312" w:cs="Times New Roman"/>
          <w:kern w:val="2"/>
          <w:sz w:val="30"/>
          <w:szCs w:val="30"/>
        </w:rPr>
        <w:t>022</w:t>
      </w:r>
      <w:r>
        <w:rPr>
          <w:rFonts w:hint="eastAsia" w:ascii="仿宋_GB2312" w:hAnsi="Times New Roman" w:eastAsia="仿宋_GB2312" w:cs="Times New Roman"/>
          <w:kern w:val="2"/>
          <w:sz w:val="30"/>
          <w:szCs w:val="30"/>
        </w:rPr>
        <w:t>年上半年，按照2</w:t>
      </w:r>
      <w:r>
        <w:rPr>
          <w:rFonts w:ascii="仿宋_GB2312" w:hAnsi="Times New Roman" w:eastAsia="仿宋_GB2312" w:cs="Times New Roman"/>
          <w:kern w:val="2"/>
          <w:sz w:val="30"/>
          <w:szCs w:val="30"/>
        </w:rPr>
        <w:t>021</w:t>
      </w:r>
      <w:r>
        <w:rPr>
          <w:rFonts w:hint="eastAsia" w:ascii="仿宋_GB2312" w:hAnsi="Times New Roman" w:eastAsia="仿宋_GB2312" w:cs="Times New Roman"/>
          <w:kern w:val="2"/>
          <w:sz w:val="30"/>
          <w:szCs w:val="30"/>
        </w:rPr>
        <w:t>年下学期学生人数计算补贴并发放， 2</w:t>
      </w:r>
      <w:r>
        <w:rPr>
          <w:rFonts w:ascii="仿宋_GB2312" w:hAnsi="Times New Roman" w:eastAsia="仿宋_GB2312" w:cs="Times New Roman"/>
          <w:kern w:val="2"/>
          <w:sz w:val="30"/>
          <w:szCs w:val="30"/>
        </w:rPr>
        <w:t>022</w:t>
      </w:r>
      <w:r>
        <w:rPr>
          <w:rFonts w:hint="eastAsia" w:ascii="仿宋_GB2312" w:hAnsi="Times New Roman" w:eastAsia="仿宋_GB2312" w:cs="Times New Roman"/>
          <w:kern w:val="2"/>
          <w:sz w:val="30"/>
          <w:szCs w:val="30"/>
        </w:rPr>
        <w:t>年下半年，按照2</w:t>
      </w:r>
      <w:r>
        <w:rPr>
          <w:rFonts w:ascii="仿宋_GB2312" w:hAnsi="Times New Roman" w:eastAsia="仿宋_GB2312" w:cs="Times New Roman"/>
          <w:kern w:val="2"/>
          <w:sz w:val="30"/>
          <w:szCs w:val="30"/>
        </w:rPr>
        <w:t>022</w:t>
      </w:r>
      <w:r>
        <w:rPr>
          <w:rFonts w:hint="eastAsia" w:ascii="仿宋_GB2312" w:hAnsi="Times New Roman" w:eastAsia="仿宋_GB2312" w:cs="Times New Roman"/>
          <w:kern w:val="2"/>
          <w:sz w:val="30"/>
          <w:szCs w:val="30"/>
        </w:rPr>
        <w:t>年上学期学生人数计算补贴并发放。半年发放标准为</w:t>
      </w:r>
      <w:r>
        <w:rPr>
          <w:rFonts w:ascii="仿宋_GB2312" w:hAnsi="Times New Roman" w:eastAsia="仿宋_GB2312" w:cs="Times New Roman"/>
          <w:kern w:val="2"/>
          <w:sz w:val="30"/>
          <w:szCs w:val="30"/>
        </w:rPr>
        <w:t>普通小学每生</w:t>
      </w:r>
      <w:r>
        <w:rPr>
          <w:rFonts w:hint="eastAsia" w:ascii="仿宋_GB2312" w:hAnsi="Times New Roman" w:eastAsia="仿宋_GB2312" w:cs="Times New Roman"/>
          <w:kern w:val="2"/>
          <w:sz w:val="30"/>
          <w:szCs w:val="30"/>
        </w:rPr>
        <w:t>3</w:t>
      </w:r>
      <w:r>
        <w:rPr>
          <w:rFonts w:ascii="仿宋_GB2312" w:hAnsi="Times New Roman" w:eastAsia="仿宋_GB2312" w:cs="Times New Roman"/>
          <w:kern w:val="2"/>
          <w:sz w:val="30"/>
          <w:szCs w:val="30"/>
        </w:rPr>
        <w:t>25</w:t>
      </w:r>
      <w:r>
        <w:rPr>
          <w:rFonts w:hint="eastAsia" w:ascii="仿宋_GB2312" w:hAnsi="Times New Roman" w:eastAsia="仿宋_GB2312" w:cs="Times New Roman"/>
          <w:kern w:val="2"/>
          <w:sz w:val="30"/>
          <w:szCs w:val="30"/>
        </w:rPr>
        <w:t>元/学期（</w:t>
      </w:r>
      <w:r>
        <w:rPr>
          <w:rFonts w:ascii="仿宋_GB2312" w:hAnsi="Times New Roman" w:eastAsia="仿宋_GB2312" w:cs="Times New Roman"/>
          <w:kern w:val="2"/>
          <w:sz w:val="30"/>
          <w:szCs w:val="30"/>
        </w:rPr>
        <w:t>650元</w:t>
      </w:r>
      <w:r>
        <w:rPr>
          <w:rFonts w:hint="eastAsia" w:ascii="仿宋_GB2312" w:hAnsi="Times New Roman" w:eastAsia="仿宋_GB2312" w:cs="Times New Roman"/>
          <w:kern w:val="2"/>
          <w:sz w:val="30"/>
          <w:szCs w:val="30"/>
        </w:rPr>
        <w:t>/年/</w:t>
      </w:r>
      <w:r>
        <w:rPr>
          <w:rFonts w:ascii="仿宋_GB2312" w:hAnsi="Times New Roman" w:eastAsia="仿宋_GB2312" w:cs="Times New Roman"/>
          <w:kern w:val="2"/>
          <w:sz w:val="30"/>
          <w:szCs w:val="30"/>
        </w:rPr>
        <w:t>2</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普通初中每生</w:t>
      </w:r>
      <w:r>
        <w:rPr>
          <w:rFonts w:hint="eastAsia" w:ascii="仿宋_GB2312" w:hAnsi="Times New Roman" w:eastAsia="仿宋_GB2312" w:cs="Times New Roman"/>
          <w:kern w:val="2"/>
          <w:sz w:val="30"/>
          <w:szCs w:val="30"/>
        </w:rPr>
        <w:t>4</w:t>
      </w:r>
      <w:r>
        <w:rPr>
          <w:rFonts w:ascii="仿宋_GB2312" w:hAnsi="Times New Roman" w:eastAsia="仿宋_GB2312" w:cs="Times New Roman"/>
          <w:kern w:val="2"/>
          <w:sz w:val="30"/>
          <w:szCs w:val="30"/>
        </w:rPr>
        <w:t>25</w:t>
      </w:r>
      <w:r>
        <w:rPr>
          <w:rFonts w:hint="eastAsia" w:ascii="仿宋_GB2312" w:hAnsi="Times New Roman" w:eastAsia="仿宋_GB2312" w:cs="Times New Roman"/>
          <w:kern w:val="2"/>
          <w:sz w:val="30"/>
          <w:szCs w:val="30"/>
        </w:rPr>
        <w:t>元/学期（</w:t>
      </w:r>
      <w:r>
        <w:rPr>
          <w:rFonts w:ascii="仿宋_GB2312" w:hAnsi="Times New Roman" w:eastAsia="仿宋_GB2312" w:cs="Times New Roman"/>
          <w:kern w:val="2"/>
          <w:sz w:val="30"/>
          <w:szCs w:val="30"/>
        </w:rPr>
        <w:t>850元</w:t>
      </w:r>
      <w:r>
        <w:rPr>
          <w:rFonts w:hint="eastAsia" w:ascii="仿宋_GB2312" w:hAnsi="Times New Roman" w:eastAsia="仿宋_GB2312" w:cs="Times New Roman"/>
          <w:kern w:val="2"/>
          <w:sz w:val="30"/>
          <w:szCs w:val="30"/>
        </w:rPr>
        <w:t>/年/</w:t>
      </w:r>
      <w:r>
        <w:rPr>
          <w:rFonts w:ascii="仿宋_GB2312" w:hAnsi="Times New Roman" w:eastAsia="仿宋_GB2312" w:cs="Times New Roman"/>
          <w:kern w:val="2"/>
          <w:sz w:val="30"/>
          <w:szCs w:val="30"/>
        </w:rPr>
        <w:t>2</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w:t>
      </w:r>
      <w:r>
        <w:rPr>
          <w:rFonts w:hint="eastAsia" w:ascii="仿宋_GB2312" w:hAnsi="Times New Roman" w:eastAsia="仿宋_GB2312" w:cs="Times New Roman"/>
          <w:kern w:val="2"/>
          <w:sz w:val="30"/>
          <w:szCs w:val="30"/>
        </w:rPr>
        <w:t>全年共发放1</w:t>
      </w:r>
      <w:r>
        <w:rPr>
          <w:rFonts w:ascii="仿宋_GB2312" w:hAnsi="Times New Roman" w:eastAsia="仿宋_GB2312" w:cs="Times New Roman"/>
          <w:kern w:val="2"/>
          <w:sz w:val="30"/>
          <w:szCs w:val="30"/>
        </w:rPr>
        <w:t>036225</w:t>
      </w:r>
      <w:r>
        <w:rPr>
          <w:rFonts w:hint="eastAsia" w:ascii="仿宋_GB2312" w:hAnsi="Times New Roman" w:eastAsia="仿宋_GB2312" w:cs="Times New Roman"/>
          <w:kern w:val="2"/>
          <w:sz w:val="30"/>
          <w:szCs w:val="30"/>
        </w:rPr>
        <w:t>元。</w:t>
      </w:r>
    </w:p>
    <w:p>
      <w:pPr>
        <w:jc w:val="center"/>
        <w:rPr>
          <w:rFonts w:ascii="Times New Roman" w:hAnsi="Times New Roman" w:eastAsia="仿宋_GB2312" w:cs="Times New Roman"/>
          <w:b/>
        </w:rPr>
      </w:pPr>
      <w:r>
        <w:rPr>
          <w:rFonts w:hint="eastAsia" w:ascii="Times New Roman" w:hAnsi="Times New Roman" w:eastAsia="仿宋_GB2312" w:cs="Times New Roman"/>
          <w:b/>
        </w:rPr>
        <w:t>表1-</w:t>
      </w:r>
      <w:r>
        <w:rPr>
          <w:rFonts w:ascii="Times New Roman" w:hAnsi="Times New Roman" w:eastAsia="仿宋_GB2312" w:cs="Times New Roman"/>
          <w:b/>
        </w:rPr>
        <w:t>2</w:t>
      </w:r>
      <w:r>
        <w:rPr>
          <w:rFonts w:hint="eastAsia" w:ascii="Times New Roman" w:hAnsi="Times New Roman" w:eastAsia="仿宋_GB2312" w:cs="Times New Roman"/>
          <w:b/>
        </w:rPr>
        <w:t>-</w:t>
      </w:r>
      <w:r>
        <w:rPr>
          <w:rFonts w:ascii="Times New Roman" w:hAnsi="Times New Roman" w:eastAsia="仿宋_GB2312" w:cs="Times New Roman"/>
          <w:b/>
        </w:rPr>
        <w:t>13 2022年崇明区民办教育“两免一补”经费</w:t>
      </w:r>
      <w:r>
        <w:rPr>
          <w:rFonts w:hint="eastAsia" w:ascii="Times New Roman" w:hAnsi="Times New Roman" w:eastAsia="仿宋_GB2312" w:cs="Times New Roman"/>
          <w:b/>
        </w:rPr>
        <w:t>补贴发放</w:t>
      </w:r>
      <w:r>
        <w:rPr>
          <w:rFonts w:ascii="Times New Roman" w:hAnsi="Times New Roman" w:eastAsia="仿宋_GB2312" w:cs="Times New Roman"/>
          <w:b/>
        </w:rPr>
        <w:t>表</w:t>
      </w:r>
    </w:p>
    <w:tbl>
      <w:tblPr>
        <w:tblStyle w:val="40"/>
        <w:tblW w:w="8828" w:type="dxa"/>
        <w:tblInd w:w="0" w:type="dxa"/>
        <w:tblLayout w:type="fixed"/>
        <w:tblCellMar>
          <w:top w:w="0" w:type="dxa"/>
          <w:left w:w="108" w:type="dxa"/>
          <w:bottom w:w="0" w:type="dxa"/>
          <w:right w:w="108" w:type="dxa"/>
        </w:tblCellMar>
      </w:tblPr>
      <w:tblGrid>
        <w:gridCol w:w="1128"/>
        <w:gridCol w:w="2267"/>
        <w:gridCol w:w="1277"/>
        <w:gridCol w:w="1418"/>
        <w:gridCol w:w="1135"/>
        <w:gridCol w:w="1603"/>
      </w:tblGrid>
      <w:tr>
        <w:tblPrEx>
          <w:tblLayout w:type="fixed"/>
          <w:tblCellMar>
            <w:top w:w="0" w:type="dxa"/>
            <w:left w:w="108" w:type="dxa"/>
            <w:bottom w:w="0" w:type="dxa"/>
            <w:right w:w="108" w:type="dxa"/>
          </w:tblCellMar>
        </w:tblPrEx>
        <w:trPr>
          <w:trHeight w:val="284" w:hRule="atLeast"/>
        </w:trPr>
        <w:tc>
          <w:tcPr>
            <w:tcW w:w="112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Times New Roman"/>
                <w:b/>
                <w:bCs/>
                <w:sz w:val="21"/>
                <w:szCs w:val="21"/>
              </w:rPr>
            </w:pPr>
            <w:r>
              <w:rPr>
                <w:rFonts w:ascii="仿宋" w:hAnsi="仿宋" w:eastAsia="仿宋" w:cs="Times New Roman"/>
                <w:b/>
                <w:bCs/>
                <w:sz w:val="21"/>
                <w:szCs w:val="21"/>
              </w:rPr>
              <w:t>年份</w:t>
            </w:r>
          </w:p>
        </w:tc>
        <w:tc>
          <w:tcPr>
            <w:tcW w:w="226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Times New Roman"/>
                <w:b/>
                <w:bCs/>
                <w:sz w:val="21"/>
                <w:szCs w:val="21"/>
              </w:rPr>
            </w:pPr>
            <w:r>
              <w:rPr>
                <w:rFonts w:hint="eastAsia" w:ascii="仿宋" w:hAnsi="仿宋" w:eastAsia="仿宋" w:cs="Times New Roman"/>
                <w:b/>
                <w:bCs/>
                <w:sz w:val="21"/>
                <w:szCs w:val="21"/>
              </w:rPr>
              <w:t>学校</w:t>
            </w:r>
          </w:p>
        </w:tc>
        <w:tc>
          <w:tcPr>
            <w:tcW w:w="1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Times New Roman"/>
                <w:b/>
                <w:bCs/>
                <w:sz w:val="21"/>
                <w:szCs w:val="21"/>
              </w:rPr>
            </w:pPr>
            <w:r>
              <w:rPr>
                <w:rFonts w:ascii="仿宋" w:hAnsi="仿宋" w:eastAsia="仿宋" w:cs="Times New Roman"/>
                <w:b/>
                <w:bCs/>
                <w:sz w:val="21"/>
                <w:szCs w:val="21"/>
              </w:rPr>
              <w:t>小学生</w:t>
            </w:r>
          </w:p>
        </w:tc>
        <w:tc>
          <w:tcPr>
            <w:tcW w:w="141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Times New Roman"/>
                <w:b/>
                <w:bCs/>
                <w:sz w:val="21"/>
                <w:szCs w:val="21"/>
              </w:rPr>
            </w:pPr>
            <w:r>
              <w:rPr>
                <w:rFonts w:ascii="仿宋" w:hAnsi="仿宋" w:eastAsia="仿宋" w:cs="Times New Roman"/>
                <w:b/>
                <w:bCs/>
                <w:sz w:val="21"/>
                <w:szCs w:val="21"/>
              </w:rPr>
              <w:t>初中生</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Times New Roman"/>
                <w:b/>
                <w:bCs/>
                <w:sz w:val="21"/>
                <w:szCs w:val="21"/>
              </w:rPr>
            </w:pPr>
            <w:r>
              <w:rPr>
                <w:rFonts w:ascii="仿宋" w:hAnsi="仿宋" w:eastAsia="仿宋" w:cs="Times New Roman"/>
                <w:b/>
                <w:bCs/>
                <w:sz w:val="21"/>
                <w:szCs w:val="21"/>
              </w:rPr>
              <w:t>总人数</w:t>
            </w:r>
          </w:p>
        </w:tc>
        <w:tc>
          <w:tcPr>
            <w:tcW w:w="1603"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Times New Roman"/>
                <w:b/>
                <w:bCs/>
                <w:sz w:val="21"/>
                <w:szCs w:val="21"/>
              </w:rPr>
            </w:pPr>
            <w:r>
              <w:rPr>
                <w:rFonts w:ascii="仿宋" w:hAnsi="仿宋" w:eastAsia="仿宋" w:cs="Times New Roman"/>
                <w:b/>
                <w:bCs/>
                <w:sz w:val="21"/>
                <w:szCs w:val="21"/>
              </w:rPr>
              <w:t>总金额</w:t>
            </w:r>
            <w:r>
              <w:rPr>
                <w:rFonts w:hint="eastAsia" w:ascii="仿宋" w:hAnsi="仿宋" w:eastAsia="仿宋" w:cs="Times New Roman"/>
                <w:b/>
                <w:bCs/>
                <w:sz w:val="21"/>
                <w:szCs w:val="21"/>
              </w:rPr>
              <w:t>（元）</w:t>
            </w:r>
          </w:p>
        </w:tc>
      </w:tr>
      <w:tr>
        <w:tblPrEx>
          <w:tblLayout w:type="fixed"/>
          <w:tblCellMar>
            <w:top w:w="0" w:type="dxa"/>
            <w:left w:w="108" w:type="dxa"/>
            <w:bottom w:w="0" w:type="dxa"/>
            <w:right w:w="108" w:type="dxa"/>
          </w:tblCellMar>
        </w:tblPrEx>
        <w:trPr>
          <w:trHeight w:val="284" w:hRule="atLeast"/>
        </w:trPr>
        <w:tc>
          <w:tcPr>
            <w:tcW w:w="1128" w:type="dxa"/>
            <w:vMerge w:val="restart"/>
            <w:tcBorders>
              <w:top w:val="nil"/>
              <w:left w:val="single" w:color="auto" w:sz="4" w:space="0"/>
              <w:bottom w:val="nil"/>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2022年上半年</w:t>
            </w:r>
          </w:p>
        </w:tc>
        <w:tc>
          <w:tcPr>
            <w:tcW w:w="2267" w:type="dxa"/>
            <w:tcBorders>
              <w:top w:val="nil"/>
              <w:left w:val="nil"/>
              <w:bottom w:val="single" w:color="auto" w:sz="4" w:space="0"/>
              <w:right w:val="single" w:color="auto" w:sz="4" w:space="0"/>
            </w:tcBorders>
            <w:shd w:val="clear" w:color="auto" w:fill="auto"/>
            <w:vAlign w:val="center"/>
          </w:tcPr>
          <w:p>
            <w:pPr>
              <w:rPr>
                <w:rFonts w:ascii="仿宋" w:hAnsi="仿宋" w:eastAsia="仿宋" w:cs="Times New Roman"/>
                <w:sz w:val="21"/>
                <w:szCs w:val="21"/>
              </w:rPr>
            </w:pPr>
            <w:r>
              <w:rPr>
                <w:rFonts w:ascii="仿宋" w:hAnsi="仿宋" w:eastAsia="仿宋" w:cs="Times New Roman"/>
                <w:sz w:val="21"/>
                <w:szCs w:val="21"/>
              </w:rPr>
              <w:t>上海新纪元双语学校</w:t>
            </w:r>
          </w:p>
        </w:tc>
        <w:tc>
          <w:tcPr>
            <w:tcW w:w="12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287</w:t>
            </w:r>
          </w:p>
        </w:tc>
        <w:tc>
          <w:tcPr>
            <w:tcW w:w="1418"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371</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658</w:t>
            </w:r>
          </w:p>
        </w:tc>
        <w:tc>
          <w:tcPr>
            <w:tcW w:w="1603"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250,950.00</w:t>
            </w:r>
          </w:p>
        </w:tc>
      </w:tr>
      <w:tr>
        <w:tblPrEx>
          <w:tblLayout w:type="fixed"/>
          <w:tblCellMar>
            <w:top w:w="0" w:type="dxa"/>
            <w:left w:w="108" w:type="dxa"/>
            <w:bottom w:w="0" w:type="dxa"/>
            <w:right w:w="108" w:type="dxa"/>
          </w:tblCellMar>
        </w:tblPrEx>
        <w:trPr>
          <w:trHeight w:val="284" w:hRule="atLeast"/>
        </w:trPr>
        <w:tc>
          <w:tcPr>
            <w:tcW w:w="1128" w:type="dxa"/>
            <w:vMerge w:val="continue"/>
            <w:tcBorders>
              <w:top w:val="nil"/>
              <w:left w:val="single" w:color="auto" w:sz="4" w:space="0"/>
              <w:bottom w:val="nil"/>
              <w:right w:val="single" w:color="auto" w:sz="4" w:space="0"/>
            </w:tcBorders>
            <w:vAlign w:val="center"/>
          </w:tcPr>
          <w:p>
            <w:pPr>
              <w:rPr>
                <w:rFonts w:ascii="仿宋" w:hAnsi="仿宋" w:eastAsia="仿宋" w:cs="Times New Roman"/>
                <w:sz w:val="21"/>
                <w:szCs w:val="21"/>
              </w:rPr>
            </w:pPr>
          </w:p>
        </w:tc>
        <w:tc>
          <w:tcPr>
            <w:tcW w:w="2267" w:type="dxa"/>
            <w:tcBorders>
              <w:top w:val="nil"/>
              <w:left w:val="nil"/>
              <w:bottom w:val="single" w:color="auto" w:sz="4" w:space="0"/>
              <w:right w:val="single" w:color="auto" w:sz="4" w:space="0"/>
            </w:tcBorders>
            <w:shd w:val="clear" w:color="auto" w:fill="auto"/>
            <w:vAlign w:val="center"/>
          </w:tcPr>
          <w:p>
            <w:pPr>
              <w:rPr>
                <w:rFonts w:ascii="仿宋" w:hAnsi="仿宋" w:eastAsia="仿宋" w:cs="Times New Roman"/>
                <w:sz w:val="21"/>
                <w:szCs w:val="21"/>
              </w:rPr>
            </w:pPr>
            <w:r>
              <w:rPr>
                <w:rFonts w:ascii="仿宋" w:hAnsi="仿宋" w:eastAsia="仿宋" w:cs="Times New Roman"/>
                <w:sz w:val="21"/>
                <w:szCs w:val="21"/>
              </w:rPr>
              <w:t>上海民办民一中学</w:t>
            </w:r>
          </w:p>
        </w:tc>
        <w:tc>
          <w:tcPr>
            <w:tcW w:w="12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0</w:t>
            </w:r>
          </w:p>
        </w:tc>
        <w:tc>
          <w:tcPr>
            <w:tcW w:w="1418"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627</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627</w:t>
            </w:r>
          </w:p>
        </w:tc>
        <w:tc>
          <w:tcPr>
            <w:tcW w:w="1603"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266,475.00</w:t>
            </w:r>
          </w:p>
        </w:tc>
      </w:tr>
      <w:tr>
        <w:tblPrEx>
          <w:tblLayout w:type="fixed"/>
          <w:tblCellMar>
            <w:top w:w="0" w:type="dxa"/>
            <w:left w:w="108" w:type="dxa"/>
            <w:bottom w:w="0" w:type="dxa"/>
            <w:right w:w="108" w:type="dxa"/>
          </w:tblCellMar>
        </w:tblPrEx>
        <w:trPr>
          <w:trHeight w:val="284" w:hRule="atLeast"/>
        </w:trPr>
        <w:tc>
          <w:tcPr>
            <w:tcW w:w="112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2022年下半年</w:t>
            </w:r>
          </w:p>
        </w:tc>
        <w:tc>
          <w:tcPr>
            <w:tcW w:w="2267" w:type="dxa"/>
            <w:tcBorders>
              <w:top w:val="nil"/>
              <w:left w:val="nil"/>
              <w:bottom w:val="single" w:color="auto" w:sz="4" w:space="0"/>
              <w:right w:val="single" w:color="auto" w:sz="4" w:space="0"/>
            </w:tcBorders>
            <w:shd w:val="clear" w:color="auto" w:fill="auto"/>
            <w:vAlign w:val="center"/>
          </w:tcPr>
          <w:p>
            <w:pPr>
              <w:rPr>
                <w:rFonts w:ascii="仿宋" w:hAnsi="仿宋" w:eastAsia="仿宋" w:cs="Times New Roman"/>
                <w:sz w:val="21"/>
                <w:szCs w:val="21"/>
              </w:rPr>
            </w:pPr>
            <w:r>
              <w:rPr>
                <w:rFonts w:ascii="仿宋" w:hAnsi="仿宋" w:eastAsia="仿宋" w:cs="Times New Roman"/>
                <w:sz w:val="21"/>
                <w:szCs w:val="21"/>
              </w:rPr>
              <w:t>上海新纪元双语学校</w:t>
            </w:r>
          </w:p>
        </w:tc>
        <w:tc>
          <w:tcPr>
            <w:tcW w:w="12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269</w:t>
            </w:r>
          </w:p>
        </w:tc>
        <w:tc>
          <w:tcPr>
            <w:tcW w:w="1418"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379</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648</w:t>
            </w:r>
          </w:p>
        </w:tc>
        <w:tc>
          <w:tcPr>
            <w:tcW w:w="1603"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248,500.00</w:t>
            </w:r>
          </w:p>
        </w:tc>
      </w:tr>
      <w:tr>
        <w:tblPrEx>
          <w:tblLayout w:type="fixed"/>
          <w:tblCellMar>
            <w:top w:w="0" w:type="dxa"/>
            <w:left w:w="108" w:type="dxa"/>
            <w:bottom w:w="0" w:type="dxa"/>
            <w:right w:w="108" w:type="dxa"/>
          </w:tblCellMar>
        </w:tblPrEx>
        <w:trPr>
          <w:trHeight w:val="284" w:hRule="atLeast"/>
        </w:trPr>
        <w:tc>
          <w:tcPr>
            <w:tcW w:w="1128"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Times New Roman"/>
                <w:sz w:val="21"/>
                <w:szCs w:val="21"/>
              </w:rPr>
            </w:pPr>
          </w:p>
        </w:tc>
        <w:tc>
          <w:tcPr>
            <w:tcW w:w="2267" w:type="dxa"/>
            <w:tcBorders>
              <w:top w:val="nil"/>
              <w:left w:val="nil"/>
              <w:bottom w:val="single" w:color="auto" w:sz="4" w:space="0"/>
              <w:right w:val="single" w:color="auto" w:sz="4" w:space="0"/>
            </w:tcBorders>
            <w:shd w:val="clear" w:color="auto" w:fill="auto"/>
            <w:vAlign w:val="center"/>
          </w:tcPr>
          <w:p>
            <w:pPr>
              <w:rPr>
                <w:rFonts w:ascii="仿宋" w:hAnsi="仿宋" w:eastAsia="仿宋" w:cs="Times New Roman"/>
                <w:sz w:val="21"/>
                <w:szCs w:val="21"/>
              </w:rPr>
            </w:pPr>
            <w:r>
              <w:rPr>
                <w:rFonts w:ascii="仿宋" w:hAnsi="仿宋" w:eastAsia="仿宋" w:cs="Times New Roman"/>
                <w:sz w:val="21"/>
                <w:szCs w:val="21"/>
              </w:rPr>
              <w:t>上海民办民一中学</w:t>
            </w:r>
          </w:p>
        </w:tc>
        <w:tc>
          <w:tcPr>
            <w:tcW w:w="1277"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0</w:t>
            </w:r>
          </w:p>
        </w:tc>
        <w:tc>
          <w:tcPr>
            <w:tcW w:w="1418"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636</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636</w:t>
            </w:r>
          </w:p>
        </w:tc>
        <w:tc>
          <w:tcPr>
            <w:tcW w:w="1603"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sz w:val="21"/>
                <w:szCs w:val="21"/>
              </w:rPr>
            </w:pPr>
            <w:r>
              <w:rPr>
                <w:rFonts w:ascii="仿宋" w:hAnsi="仿宋" w:eastAsia="仿宋" w:cs="Times New Roman"/>
                <w:sz w:val="21"/>
                <w:szCs w:val="21"/>
              </w:rPr>
              <w:t>270,300.00</w:t>
            </w:r>
          </w:p>
        </w:tc>
      </w:tr>
      <w:tr>
        <w:tblPrEx>
          <w:tblLayout w:type="fixed"/>
          <w:tblCellMar>
            <w:top w:w="0" w:type="dxa"/>
            <w:left w:w="108" w:type="dxa"/>
            <w:bottom w:w="0" w:type="dxa"/>
            <w:right w:w="108" w:type="dxa"/>
          </w:tblCellMar>
        </w:tblPrEx>
        <w:trPr>
          <w:trHeight w:val="284" w:hRule="atLeast"/>
        </w:trPr>
        <w:tc>
          <w:tcPr>
            <w:tcW w:w="7225" w:type="dxa"/>
            <w:gridSpan w:val="5"/>
            <w:tcBorders>
              <w:top w:val="single" w:color="auto" w:sz="4" w:space="0"/>
              <w:left w:val="single" w:color="auto" w:sz="4" w:space="0"/>
              <w:bottom w:val="single" w:color="auto" w:sz="4" w:space="0"/>
              <w:right w:val="single" w:color="000000" w:sz="4" w:space="0"/>
            </w:tcBorders>
            <w:shd w:val="clear" w:color="auto" w:fill="auto"/>
            <w:vAlign w:val="bottom"/>
          </w:tcPr>
          <w:p>
            <w:pPr>
              <w:jc w:val="center"/>
              <w:rPr>
                <w:rFonts w:ascii="仿宋" w:hAnsi="仿宋" w:eastAsia="仿宋" w:cs="Times New Roman"/>
                <w:b/>
                <w:bCs/>
                <w:color w:val="000000"/>
                <w:sz w:val="21"/>
                <w:szCs w:val="21"/>
              </w:rPr>
            </w:pPr>
            <w:r>
              <w:rPr>
                <w:rFonts w:ascii="仿宋" w:hAnsi="仿宋" w:eastAsia="仿宋" w:cs="Times New Roman"/>
                <w:b/>
                <w:bCs/>
                <w:color w:val="000000"/>
                <w:sz w:val="21"/>
                <w:szCs w:val="21"/>
              </w:rPr>
              <w:t>合计：</w:t>
            </w:r>
          </w:p>
        </w:tc>
        <w:tc>
          <w:tcPr>
            <w:tcW w:w="1603"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cs="Times New Roman"/>
                <w:b/>
                <w:bCs/>
                <w:sz w:val="21"/>
                <w:szCs w:val="21"/>
              </w:rPr>
            </w:pPr>
            <w:r>
              <w:rPr>
                <w:rFonts w:ascii="仿宋" w:hAnsi="仿宋" w:eastAsia="仿宋" w:cs="Times New Roman"/>
                <w:b/>
                <w:bCs/>
                <w:sz w:val="21"/>
                <w:szCs w:val="21"/>
              </w:rPr>
              <w:t>1,036,225.00</w:t>
            </w:r>
          </w:p>
        </w:tc>
      </w:tr>
    </w:tbl>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②寄宿生生活补助：</w:t>
      </w:r>
      <w:r>
        <w:rPr>
          <w:rFonts w:ascii="仿宋_GB2312" w:hAnsi="Times New Roman" w:eastAsia="仿宋_GB2312" w:cs="Times New Roman"/>
          <w:kern w:val="2"/>
          <w:sz w:val="30"/>
          <w:szCs w:val="30"/>
        </w:rPr>
        <w:t>根据《上海市政府关于进一步完善本市城乡义务教育经费保障机制的通知》（沪府发〔2016〕35号）“对寄宿制学校寄宿生每生每年增加200元”。2022年计划对上海新纪元双语学校全体寄宿生实施寄宿生生活补助政策。崇明区补助标准100元/生/学期（200/生/年），经费为每半年发放一次。</w:t>
      </w:r>
    </w:p>
    <w:p>
      <w:pPr>
        <w:jc w:val="center"/>
        <w:rPr>
          <w:rFonts w:ascii="Times New Roman" w:hAnsi="Times New Roman" w:eastAsia="仿宋_GB2312" w:cs="Times New Roman"/>
          <w:b/>
        </w:rPr>
      </w:pPr>
      <w:r>
        <w:rPr>
          <w:rFonts w:hint="eastAsia" w:ascii="Times New Roman" w:hAnsi="Times New Roman" w:eastAsia="仿宋_GB2312" w:cs="Times New Roman"/>
          <w:b/>
        </w:rPr>
        <w:t>表1-</w:t>
      </w:r>
      <w:r>
        <w:rPr>
          <w:rFonts w:ascii="Times New Roman" w:hAnsi="Times New Roman" w:eastAsia="仿宋_GB2312" w:cs="Times New Roman"/>
          <w:b/>
        </w:rPr>
        <w:t>2</w:t>
      </w:r>
      <w:r>
        <w:rPr>
          <w:rFonts w:hint="eastAsia" w:ascii="Times New Roman" w:hAnsi="Times New Roman" w:eastAsia="仿宋_GB2312" w:cs="Times New Roman"/>
          <w:b/>
        </w:rPr>
        <w:t>-</w:t>
      </w:r>
      <w:r>
        <w:rPr>
          <w:rFonts w:ascii="Times New Roman" w:hAnsi="Times New Roman" w:eastAsia="仿宋_GB2312" w:cs="Times New Roman"/>
          <w:b/>
        </w:rPr>
        <w:t>14 2022年崇明区民办教育寄宿生生活补助一览表</w:t>
      </w:r>
    </w:p>
    <w:tbl>
      <w:tblPr>
        <w:tblStyle w:val="40"/>
        <w:tblW w:w="8828" w:type="dxa"/>
        <w:jc w:val="center"/>
        <w:tblInd w:w="0" w:type="dxa"/>
        <w:tblLayout w:type="fixed"/>
        <w:tblCellMar>
          <w:top w:w="0" w:type="dxa"/>
          <w:left w:w="108" w:type="dxa"/>
          <w:bottom w:w="0" w:type="dxa"/>
          <w:right w:w="108" w:type="dxa"/>
        </w:tblCellMar>
      </w:tblPr>
      <w:tblGrid>
        <w:gridCol w:w="1553"/>
        <w:gridCol w:w="2128"/>
        <w:gridCol w:w="1135"/>
        <w:gridCol w:w="2248"/>
        <w:gridCol w:w="1764"/>
      </w:tblGrid>
      <w:tr>
        <w:tblPrEx>
          <w:tblLayout w:type="fixed"/>
          <w:tblCellMar>
            <w:top w:w="0" w:type="dxa"/>
            <w:left w:w="108" w:type="dxa"/>
            <w:bottom w:w="0" w:type="dxa"/>
            <w:right w:w="108" w:type="dxa"/>
          </w:tblCellMar>
        </w:tblPrEx>
        <w:trPr>
          <w:trHeight w:val="284" w:hRule="atLeast"/>
          <w:tblHeader/>
          <w:jc w:val="center"/>
        </w:trPr>
        <w:tc>
          <w:tcPr>
            <w:tcW w:w="155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年份</w:t>
            </w:r>
          </w:p>
        </w:tc>
        <w:tc>
          <w:tcPr>
            <w:tcW w:w="2128"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单位名称</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sz w:val="21"/>
                <w:szCs w:val="21"/>
              </w:rPr>
            </w:pPr>
            <w:r>
              <w:rPr>
                <w:rFonts w:hint="eastAsia" w:ascii="Times New Roman" w:hAnsi="Times New Roman" w:eastAsia="仿宋_GB2312" w:cs="Times New Roman"/>
                <w:b/>
                <w:bCs/>
                <w:sz w:val="21"/>
                <w:szCs w:val="21"/>
              </w:rPr>
              <w:t>住宿生</w:t>
            </w:r>
          </w:p>
        </w:tc>
        <w:tc>
          <w:tcPr>
            <w:tcW w:w="2248"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补助标准</w:t>
            </w:r>
            <w:r>
              <w:rPr>
                <w:rFonts w:hint="eastAsia" w:ascii="Times New Roman" w:hAnsi="Times New Roman" w:eastAsia="仿宋_GB2312" w:cs="Times New Roman"/>
                <w:b/>
                <w:bCs/>
                <w:sz w:val="21"/>
                <w:szCs w:val="21"/>
              </w:rPr>
              <w:t>（元/学期）</w:t>
            </w:r>
          </w:p>
        </w:tc>
        <w:tc>
          <w:tcPr>
            <w:tcW w:w="1764" w:type="dxa"/>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补助金额（元）</w:t>
            </w:r>
          </w:p>
        </w:tc>
      </w:tr>
      <w:tr>
        <w:tblPrEx>
          <w:tblLayout w:type="fixed"/>
          <w:tblCellMar>
            <w:top w:w="0" w:type="dxa"/>
            <w:left w:w="108" w:type="dxa"/>
            <w:bottom w:w="0" w:type="dxa"/>
            <w:right w:w="108" w:type="dxa"/>
          </w:tblCellMar>
        </w:tblPrEx>
        <w:trPr>
          <w:trHeight w:val="284" w:hRule="atLeast"/>
          <w:jc w:val="center"/>
        </w:trPr>
        <w:tc>
          <w:tcPr>
            <w:tcW w:w="1553" w:type="dxa"/>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eastAsia="仿宋_GB2312" w:cs="Times New Roman"/>
                <w:sz w:val="21"/>
                <w:szCs w:val="21"/>
              </w:rPr>
            </w:pPr>
            <w:r>
              <w:rPr>
                <w:rFonts w:ascii="Times New Roman" w:hAnsi="Times New Roman" w:eastAsia="仿宋_GB2312" w:cs="Times New Roman"/>
                <w:sz w:val="21"/>
                <w:szCs w:val="21"/>
              </w:rPr>
              <w:t>2022年上半年</w:t>
            </w:r>
          </w:p>
        </w:tc>
        <w:tc>
          <w:tcPr>
            <w:tcW w:w="2128"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sz w:val="21"/>
                <w:szCs w:val="21"/>
              </w:rPr>
            </w:pPr>
            <w:r>
              <w:rPr>
                <w:rFonts w:ascii="Times New Roman" w:hAnsi="Times New Roman" w:eastAsia="仿宋_GB2312" w:cs="Times New Roman"/>
                <w:sz w:val="21"/>
                <w:szCs w:val="21"/>
              </w:rPr>
              <w:t>上海新纪元双语学校</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658</w:t>
            </w:r>
          </w:p>
        </w:tc>
        <w:tc>
          <w:tcPr>
            <w:tcW w:w="224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100</w:t>
            </w:r>
          </w:p>
        </w:tc>
        <w:tc>
          <w:tcPr>
            <w:tcW w:w="1764" w:type="dxa"/>
            <w:tcBorders>
              <w:top w:val="nil"/>
              <w:left w:val="nil"/>
              <w:bottom w:val="single" w:color="auto" w:sz="4" w:space="0"/>
              <w:right w:val="single" w:color="auto" w:sz="4" w:space="0"/>
            </w:tcBorders>
            <w:shd w:val="clear" w:color="auto" w:fill="auto"/>
            <w:vAlign w:val="center"/>
          </w:tcPr>
          <w:p>
            <w:pPr>
              <w:jc w:val="right"/>
              <w:rPr>
                <w:rFonts w:ascii="Times New Roman" w:hAnsi="Times New Roman" w:eastAsia="仿宋_GB2312" w:cs="Times New Roman"/>
                <w:sz w:val="21"/>
                <w:szCs w:val="21"/>
              </w:rPr>
            </w:pPr>
            <w:r>
              <w:rPr>
                <w:rFonts w:ascii="Times New Roman" w:hAnsi="Times New Roman" w:eastAsia="仿宋_GB2312" w:cs="Times New Roman"/>
                <w:sz w:val="21"/>
                <w:szCs w:val="21"/>
              </w:rPr>
              <w:t>65,800.00</w:t>
            </w:r>
          </w:p>
        </w:tc>
      </w:tr>
      <w:tr>
        <w:tblPrEx>
          <w:tblLayout w:type="fixed"/>
          <w:tblCellMar>
            <w:top w:w="0" w:type="dxa"/>
            <w:left w:w="108" w:type="dxa"/>
            <w:bottom w:w="0" w:type="dxa"/>
            <w:right w:w="108" w:type="dxa"/>
          </w:tblCellMar>
        </w:tblPrEx>
        <w:trPr>
          <w:trHeight w:val="284" w:hRule="atLeast"/>
          <w:jc w:val="center"/>
        </w:trPr>
        <w:tc>
          <w:tcPr>
            <w:tcW w:w="1553" w:type="dxa"/>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eastAsia="仿宋_GB2312" w:cs="Times New Roman"/>
                <w:sz w:val="21"/>
                <w:szCs w:val="21"/>
              </w:rPr>
            </w:pPr>
            <w:r>
              <w:rPr>
                <w:rFonts w:ascii="Times New Roman" w:hAnsi="Times New Roman" w:eastAsia="仿宋_GB2312" w:cs="Times New Roman"/>
                <w:sz w:val="21"/>
                <w:szCs w:val="21"/>
              </w:rPr>
              <w:t>2022年下半年</w:t>
            </w:r>
          </w:p>
        </w:tc>
        <w:tc>
          <w:tcPr>
            <w:tcW w:w="2128"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sz w:val="21"/>
                <w:szCs w:val="21"/>
              </w:rPr>
            </w:pPr>
            <w:r>
              <w:rPr>
                <w:rFonts w:ascii="Times New Roman" w:hAnsi="Times New Roman" w:eastAsia="仿宋_GB2312" w:cs="Times New Roman"/>
                <w:sz w:val="21"/>
                <w:szCs w:val="21"/>
              </w:rPr>
              <w:t>上海新纪元双语学校</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648</w:t>
            </w:r>
          </w:p>
        </w:tc>
        <w:tc>
          <w:tcPr>
            <w:tcW w:w="224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100</w:t>
            </w:r>
          </w:p>
        </w:tc>
        <w:tc>
          <w:tcPr>
            <w:tcW w:w="1764" w:type="dxa"/>
            <w:tcBorders>
              <w:top w:val="nil"/>
              <w:left w:val="nil"/>
              <w:bottom w:val="single" w:color="auto" w:sz="4" w:space="0"/>
              <w:right w:val="single" w:color="auto" w:sz="4" w:space="0"/>
            </w:tcBorders>
            <w:shd w:val="clear" w:color="auto" w:fill="auto"/>
            <w:vAlign w:val="center"/>
          </w:tcPr>
          <w:p>
            <w:pPr>
              <w:jc w:val="right"/>
              <w:rPr>
                <w:rFonts w:ascii="Times New Roman" w:hAnsi="Times New Roman" w:eastAsia="仿宋_GB2312" w:cs="Times New Roman"/>
                <w:sz w:val="21"/>
                <w:szCs w:val="21"/>
              </w:rPr>
            </w:pPr>
            <w:r>
              <w:rPr>
                <w:rFonts w:ascii="Times New Roman" w:hAnsi="Times New Roman" w:eastAsia="仿宋_GB2312" w:cs="Times New Roman"/>
                <w:sz w:val="21"/>
                <w:szCs w:val="21"/>
              </w:rPr>
              <w:t>64,800.00</w:t>
            </w:r>
          </w:p>
        </w:tc>
      </w:tr>
      <w:tr>
        <w:tblPrEx>
          <w:tblLayout w:type="fixed"/>
          <w:tblCellMar>
            <w:top w:w="0" w:type="dxa"/>
            <w:left w:w="108" w:type="dxa"/>
            <w:bottom w:w="0" w:type="dxa"/>
            <w:right w:w="108" w:type="dxa"/>
          </w:tblCellMar>
        </w:tblPrEx>
        <w:trPr>
          <w:trHeight w:val="284" w:hRule="atLeast"/>
          <w:jc w:val="center"/>
        </w:trPr>
        <w:tc>
          <w:tcPr>
            <w:tcW w:w="7064" w:type="dxa"/>
            <w:gridSpan w:val="4"/>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合计：</w:t>
            </w:r>
          </w:p>
        </w:tc>
        <w:tc>
          <w:tcPr>
            <w:tcW w:w="1764" w:type="dxa"/>
            <w:tcBorders>
              <w:top w:val="nil"/>
              <w:left w:val="nil"/>
              <w:bottom w:val="single" w:color="auto" w:sz="4" w:space="0"/>
              <w:right w:val="single" w:color="auto" w:sz="4" w:space="0"/>
            </w:tcBorders>
            <w:shd w:val="clear" w:color="auto" w:fill="auto"/>
            <w:vAlign w:val="bottom"/>
          </w:tcPr>
          <w:p>
            <w:pPr>
              <w:jc w:val="right"/>
              <w:rPr>
                <w:rFonts w:ascii="Times New Roman" w:hAnsi="Times New Roman" w:eastAsia="仿宋_GB2312" w:cs="Times New Roman"/>
                <w:b/>
                <w:bCs/>
                <w:color w:val="000000"/>
                <w:sz w:val="21"/>
                <w:szCs w:val="21"/>
              </w:rPr>
            </w:pPr>
            <w:r>
              <w:rPr>
                <w:rFonts w:ascii="Times New Roman" w:hAnsi="Times New Roman" w:eastAsia="仿宋_GB2312" w:cs="Times New Roman"/>
                <w:b/>
                <w:bCs/>
                <w:color w:val="000000"/>
                <w:sz w:val="21"/>
                <w:szCs w:val="21"/>
              </w:rPr>
              <w:t>130,600.00</w:t>
            </w:r>
          </w:p>
        </w:tc>
      </w:tr>
    </w:tbl>
    <w:p>
      <w:pPr>
        <w:widowControl w:val="0"/>
        <w:spacing w:line="520" w:lineRule="exact"/>
        <w:ind w:firstLine="602" w:firstLineChars="200"/>
        <w:jc w:val="both"/>
        <w:rPr>
          <w:rFonts w:ascii="仿宋_GB2312" w:hAnsi="Times New Roman" w:eastAsia="仿宋_GB2312" w:cs="Times New Roman"/>
          <w:b/>
          <w:bCs/>
          <w:kern w:val="2"/>
          <w:sz w:val="30"/>
          <w:szCs w:val="30"/>
        </w:rPr>
      </w:pPr>
      <w:r>
        <w:rPr>
          <w:rFonts w:hint="eastAsia" w:ascii="仿宋_GB2312" w:hAnsi="Times New Roman" w:eastAsia="仿宋_GB2312" w:cs="Times New Roman"/>
          <w:b/>
          <w:bCs/>
          <w:kern w:val="2"/>
          <w:sz w:val="30"/>
          <w:szCs w:val="30"/>
        </w:rPr>
        <w:t>③生均公用经费补助：</w:t>
      </w:r>
      <w:r>
        <w:rPr>
          <w:rFonts w:ascii="仿宋_GB2312" w:hAnsi="Times New Roman" w:eastAsia="仿宋_GB2312" w:cs="Times New Roman"/>
          <w:kern w:val="2"/>
          <w:sz w:val="30"/>
          <w:szCs w:val="30"/>
        </w:rPr>
        <w:t>根据《上海市政府关于进一步完善本市城乡义务教育经费保障机制的通知》（沪府发〔2016〕35号）</w:t>
      </w:r>
      <w:r>
        <w:rPr>
          <w:rFonts w:hint="eastAsia" w:ascii="仿宋_GB2312" w:hAnsi="Times New Roman" w:eastAsia="仿宋_GB2312" w:cs="Times New Roman"/>
          <w:kern w:val="2"/>
          <w:sz w:val="30"/>
          <w:szCs w:val="30"/>
        </w:rPr>
        <w:t>“对本市城乡义务教育学校（含民办学校）按照不低于上海市义务教育公办学校生均公用经费基本标准，补助公用经费”。崇明区教育局按照《</w:t>
      </w:r>
      <w:r>
        <w:rPr>
          <w:rFonts w:ascii="仿宋_GB2312" w:hAnsi="Times New Roman" w:eastAsia="仿宋_GB2312" w:cs="Times New Roman"/>
          <w:kern w:val="2"/>
          <w:sz w:val="30"/>
          <w:szCs w:val="30"/>
        </w:rPr>
        <w:t>关于编制2022年区级部门预算和2022-2024年中期财政规划的通知》（沪崇财预〔2021〕4号）</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小学教育:生均年2000元。学生人数500人</w:t>
      </w:r>
      <w:r>
        <w:rPr>
          <w:rFonts w:hint="eastAsia" w:ascii="仿宋_GB2312" w:hAnsi="Times New Roman" w:eastAsia="仿宋_GB2312" w:cs="Times New Roman"/>
          <w:kern w:val="2"/>
          <w:sz w:val="30"/>
          <w:szCs w:val="30"/>
        </w:rPr>
        <w:t>以下，按定额标准</w:t>
      </w:r>
      <w:r>
        <w:rPr>
          <w:rFonts w:ascii="仿宋_GB2312" w:hAnsi="Times New Roman" w:eastAsia="仿宋_GB2312" w:cs="Times New Roman"/>
          <w:kern w:val="2"/>
          <w:sz w:val="30"/>
          <w:szCs w:val="30"/>
        </w:rPr>
        <w:t>;750人以下的，其中500人按前项，其余按1900元;750人以上的，其中750人按前项，其余按1800元安排。(学生不足300人的，按300人计算)。初中教育:生均年2200元。学生人数500人以下，按定额标准:750人以下的，其中500人按前项，其余按2100元;750人以上的，其中750人按前项，其余按2000元安排。(学生不足300人的，按300人计算）。九年一贯制学校按初中生均年2200元安排经费，分段计算方式同初中教育</w:t>
      </w:r>
      <w:r>
        <w:rPr>
          <w:rFonts w:hint="eastAsia" w:ascii="仿宋_GB2312" w:hAnsi="Times New Roman" w:eastAsia="仿宋_GB2312" w:cs="Times New Roman"/>
          <w:kern w:val="2"/>
          <w:sz w:val="30"/>
          <w:szCs w:val="30"/>
        </w:rPr>
        <w:t>”，对民办学校公用经费进行补助</w:t>
      </w:r>
      <w:r>
        <w:rPr>
          <w:rFonts w:ascii="仿宋_GB2312" w:hAnsi="Times New Roman" w:eastAsia="仿宋_GB2312" w:cs="Times New Roman"/>
          <w:kern w:val="2"/>
          <w:sz w:val="30"/>
          <w:szCs w:val="30"/>
        </w:rPr>
        <w:t>。</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ascii="仿宋_GB2312" w:hAnsi="Times New Roman" w:eastAsia="仿宋_GB2312" w:cs="Times New Roman"/>
          <w:kern w:val="2"/>
          <w:sz w:val="30"/>
          <w:szCs w:val="30"/>
        </w:rPr>
        <w:t>2022年计划对上海新纪元双语学校和上海民办民一中学全体学生实施生均</w:t>
      </w:r>
      <w:r>
        <w:rPr>
          <w:rFonts w:hint="eastAsia" w:ascii="仿宋_GB2312" w:hAnsi="Times New Roman" w:eastAsia="仿宋_GB2312" w:cs="Times New Roman"/>
          <w:kern w:val="2"/>
          <w:sz w:val="30"/>
          <w:szCs w:val="30"/>
        </w:rPr>
        <w:t>公用</w:t>
      </w:r>
      <w:r>
        <w:rPr>
          <w:rFonts w:ascii="仿宋_GB2312" w:hAnsi="Times New Roman" w:eastAsia="仿宋_GB2312" w:cs="Times New Roman"/>
          <w:kern w:val="2"/>
          <w:sz w:val="30"/>
          <w:szCs w:val="30"/>
        </w:rPr>
        <w:t>经费补助（</w:t>
      </w:r>
      <w:r>
        <w:rPr>
          <w:rFonts w:hint="eastAsia" w:ascii="仿宋_GB2312" w:hAnsi="Times New Roman" w:eastAsia="仿宋_GB2312" w:cs="Times New Roman"/>
          <w:kern w:val="2"/>
          <w:sz w:val="30"/>
          <w:szCs w:val="30"/>
        </w:rPr>
        <w:t>两</w:t>
      </w:r>
      <w:r>
        <w:rPr>
          <w:rFonts w:ascii="仿宋_GB2312" w:hAnsi="Times New Roman" w:eastAsia="仿宋_GB2312" w:cs="Times New Roman"/>
          <w:kern w:val="2"/>
          <w:sz w:val="30"/>
          <w:szCs w:val="30"/>
        </w:rPr>
        <w:t>所民办幼儿园不属于本市城乡义务教育学校，所以不对其进行补助）。</w:t>
      </w:r>
      <w:r>
        <w:rPr>
          <w:rFonts w:hint="eastAsia" w:ascii="仿宋_GB2312" w:hAnsi="Times New Roman" w:eastAsia="仿宋_GB2312" w:cs="Times New Roman"/>
          <w:kern w:val="2"/>
          <w:sz w:val="30"/>
          <w:szCs w:val="30"/>
        </w:rPr>
        <w:t>上海新纪元双语学校为九年一贯制学校，按初中生均年</w:t>
      </w:r>
      <w:r>
        <w:rPr>
          <w:rFonts w:ascii="仿宋_GB2312" w:hAnsi="Times New Roman" w:eastAsia="仿宋_GB2312" w:cs="Times New Roman"/>
          <w:kern w:val="2"/>
          <w:sz w:val="30"/>
          <w:szCs w:val="30"/>
        </w:rPr>
        <w:t>2200元安排经费，且为寄宿制学校，故按照寄宿生年生均200元标准，增加公用经费补助。2022年上半年共658人，故补助经费为</w:t>
      </w:r>
      <w:r>
        <w:rPr>
          <w:rFonts w:hint="eastAsia" w:ascii="仿宋_GB2312" w:eastAsia="仿宋_GB2312"/>
          <w:sz w:val="30"/>
          <w:szCs w:val="30"/>
        </w:rPr>
        <w:t>500*1100</w:t>
      </w:r>
      <w:r>
        <w:rPr>
          <w:rStyle w:val="39"/>
          <w:rFonts w:hint="eastAsia" w:ascii="仿宋_GB2312" w:eastAsia="仿宋_GB2312"/>
          <w:sz w:val="30"/>
          <w:szCs w:val="30"/>
        </w:rPr>
        <w:footnoteReference w:id="5"/>
      </w:r>
      <w:r>
        <w:rPr>
          <w:rFonts w:hint="eastAsia" w:ascii="仿宋_GB2312" w:eastAsia="仿宋_GB2312"/>
          <w:sz w:val="30"/>
          <w:szCs w:val="30"/>
        </w:rPr>
        <w:t>+158*1050</w:t>
      </w:r>
      <w:r>
        <w:rPr>
          <w:rStyle w:val="39"/>
          <w:rFonts w:hint="eastAsia" w:ascii="仿宋_GB2312" w:eastAsia="仿宋_GB2312"/>
          <w:sz w:val="30"/>
          <w:szCs w:val="30"/>
        </w:rPr>
        <w:footnoteReference w:id="6"/>
      </w:r>
      <w:r>
        <w:rPr>
          <w:rFonts w:hint="eastAsia" w:ascii="仿宋_GB2312" w:eastAsia="仿宋_GB2312"/>
          <w:sz w:val="30"/>
          <w:szCs w:val="30"/>
        </w:rPr>
        <w:t>+658*100</w:t>
      </w:r>
      <w:r>
        <w:rPr>
          <w:rStyle w:val="39"/>
          <w:rFonts w:hint="eastAsia" w:ascii="仿宋_GB2312" w:eastAsia="仿宋_GB2312"/>
          <w:sz w:val="30"/>
          <w:szCs w:val="30"/>
        </w:rPr>
        <w:footnoteReference w:id="7"/>
      </w:r>
      <w:r>
        <w:rPr>
          <w:rFonts w:hint="eastAsia" w:ascii="仿宋_GB2312" w:eastAsia="仿宋_GB2312"/>
          <w:sz w:val="30"/>
          <w:szCs w:val="30"/>
        </w:rPr>
        <w:t>=781700元</w:t>
      </w:r>
      <w:r>
        <w:rPr>
          <w:rFonts w:ascii="仿宋_GB2312" w:hAnsi="Times New Roman" w:eastAsia="仿宋_GB2312" w:cs="Times New Roman"/>
          <w:kern w:val="2"/>
          <w:sz w:val="30"/>
          <w:szCs w:val="30"/>
        </w:rPr>
        <w:t>；2022年下半年共648人，故补助经费500*1100+148*1050+648*100=770200元。</w:t>
      </w:r>
      <w:r>
        <w:rPr>
          <w:rFonts w:hint="eastAsia" w:ascii="仿宋_GB2312" w:hAnsi="Times New Roman" w:eastAsia="仿宋_GB2312" w:cs="Times New Roman"/>
          <w:kern w:val="2"/>
          <w:sz w:val="30"/>
          <w:szCs w:val="30"/>
        </w:rPr>
        <w:t>上海民办民一中学按照按初中生均年</w:t>
      </w:r>
      <w:r>
        <w:rPr>
          <w:rFonts w:ascii="仿宋_GB2312" w:hAnsi="Times New Roman" w:eastAsia="仿宋_GB2312" w:cs="Times New Roman"/>
          <w:kern w:val="2"/>
          <w:sz w:val="30"/>
          <w:szCs w:val="30"/>
        </w:rPr>
        <w:t>2200元安排经费，分段计算。2022年上半年共627人，故补助经费为500*1100+127*1050=683350元；2022年下半年共636人，故补助经费为500*1100+136*1050=692800元。</w:t>
      </w:r>
    </w:p>
    <w:p>
      <w:pPr>
        <w:jc w:val="center"/>
        <w:rPr>
          <w:rFonts w:ascii="Times New Roman" w:hAnsi="Times New Roman" w:eastAsia="仿宋_GB2312" w:cs="Times New Roman"/>
          <w:b/>
        </w:rPr>
      </w:pPr>
      <w:r>
        <w:rPr>
          <w:rFonts w:hint="eastAsia" w:ascii="Times New Roman" w:hAnsi="Times New Roman" w:eastAsia="仿宋_GB2312" w:cs="Times New Roman"/>
          <w:b/>
        </w:rPr>
        <w:t>表1-</w:t>
      </w:r>
      <w:r>
        <w:rPr>
          <w:rFonts w:ascii="Times New Roman" w:hAnsi="Times New Roman" w:eastAsia="仿宋_GB2312" w:cs="Times New Roman"/>
          <w:b/>
        </w:rPr>
        <w:t>2</w:t>
      </w:r>
      <w:r>
        <w:rPr>
          <w:rFonts w:hint="eastAsia" w:ascii="Times New Roman" w:hAnsi="Times New Roman" w:eastAsia="仿宋_GB2312" w:cs="Times New Roman"/>
          <w:b/>
        </w:rPr>
        <w:t>-</w:t>
      </w:r>
      <w:r>
        <w:rPr>
          <w:rFonts w:ascii="Times New Roman" w:hAnsi="Times New Roman" w:eastAsia="仿宋_GB2312" w:cs="Times New Roman"/>
          <w:b/>
        </w:rPr>
        <w:t>15 2022年崇明区民办教育生均</w:t>
      </w:r>
      <w:r>
        <w:rPr>
          <w:rFonts w:hint="eastAsia" w:ascii="Times New Roman" w:hAnsi="Times New Roman" w:eastAsia="仿宋_GB2312" w:cs="Times New Roman"/>
          <w:b/>
        </w:rPr>
        <w:t>公用</w:t>
      </w:r>
      <w:r>
        <w:rPr>
          <w:rFonts w:ascii="Times New Roman" w:hAnsi="Times New Roman" w:eastAsia="仿宋_GB2312" w:cs="Times New Roman"/>
          <w:b/>
        </w:rPr>
        <w:t>经费补助一览表</w:t>
      </w:r>
    </w:p>
    <w:tbl>
      <w:tblPr>
        <w:tblStyle w:val="40"/>
        <w:tblW w:w="8828" w:type="dxa"/>
        <w:tblInd w:w="0" w:type="dxa"/>
        <w:tblLayout w:type="fixed"/>
        <w:tblCellMar>
          <w:top w:w="0" w:type="dxa"/>
          <w:left w:w="108" w:type="dxa"/>
          <w:bottom w:w="0" w:type="dxa"/>
          <w:right w:w="108" w:type="dxa"/>
        </w:tblCellMar>
      </w:tblPr>
      <w:tblGrid>
        <w:gridCol w:w="1838"/>
        <w:gridCol w:w="2283"/>
        <w:gridCol w:w="1953"/>
        <w:gridCol w:w="2754"/>
      </w:tblGrid>
      <w:tr>
        <w:tblPrEx>
          <w:tblLayout w:type="fixed"/>
          <w:tblCellMar>
            <w:top w:w="0" w:type="dxa"/>
            <w:left w:w="108" w:type="dxa"/>
            <w:bottom w:w="0" w:type="dxa"/>
            <w:right w:w="108" w:type="dxa"/>
          </w:tblCellMar>
        </w:tblPrEx>
        <w:trPr>
          <w:trHeight w:val="284" w:hRule="atLeast"/>
        </w:trPr>
        <w:tc>
          <w:tcPr>
            <w:tcW w:w="1838" w:type="dxa"/>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年份</w:t>
            </w:r>
          </w:p>
        </w:tc>
        <w:tc>
          <w:tcPr>
            <w:tcW w:w="2283" w:type="dxa"/>
            <w:tcBorders>
              <w:top w:val="single" w:color="auto" w:sz="4" w:space="0"/>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单位名称</w:t>
            </w:r>
          </w:p>
        </w:tc>
        <w:tc>
          <w:tcPr>
            <w:tcW w:w="1953" w:type="dxa"/>
            <w:tcBorders>
              <w:top w:val="single" w:color="auto" w:sz="4" w:space="0"/>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学生人数</w:t>
            </w:r>
          </w:p>
        </w:tc>
        <w:tc>
          <w:tcPr>
            <w:tcW w:w="2754" w:type="dxa"/>
            <w:tcBorders>
              <w:top w:val="single" w:color="auto" w:sz="4" w:space="0"/>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补助金额</w:t>
            </w:r>
          </w:p>
        </w:tc>
      </w:tr>
      <w:tr>
        <w:tblPrEx>
          <w:tblLayout w:type="fixed"/>
          <w:tblCellMar>
            <w:top w:w="0" w:type="dxa"/>
            <w:left w:w="108" w:type="dxa"/>
            <w:bottom w:w="0" w:type="dxa"/>
            <w:right w:w="108" w:type="dxa"/>
          </w:tblCellMar>
        </w:tblPrEx>
        <w:trPr>
          <w:trHeight w:val="284" w:hRule="atLeast"/>
        </w:trPr>
        <w:tc>
          <w:tcPr>
            <w:tcW w:w="1838"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2022年上半年</w:t>
            </w:r>
          </w:p>
        </w:tc>
        <w:tc>
          <w:tcPr>
            <w:tcW w:w="2283"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sz w:val="20"/>
                <w:szCs w:val="20"/>
              </w:rPr>
            </w:pPr>
            <w:r>
              <w:rPr>
                <w:rFonts w:ascii="Times New Roman" w:hAnsi="Times New Roman" w:eastAsia="仿宋_GB2312" w:cs="Times New Roman"/>
                <w:sz w:val="20"/>
                <w:szCs w:val="20"/>
              </w:rPr>
              <w:t>上海新纪元双语学校</w:t>
            </w:r>
          </w:p>
        </w:tc>
        <w:tc>
          <w:tcPr>
            <w:tcW w:w="1953"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658</w:t>
            </w:r>
          </w:p>
        </w:tc>
        <w:tc>
          <w:tcPr>
            <w:tcW w:w="275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0"/>
                <w:szCs w:val="20"/>
              </w:rPr>
            </w:pPr>
            <w:r>
              <w:rPr>
                <w:rFonts w:ascii="Times New Roman" w:hAnsi="Times New Roman" w:eastAsia="仿宋_GB2312" w:cs="Times New Roman"/>
                <w:sz w:val="20"/>
                <w:szCs w:val="20"/>
              </w:rPr>
              <w:t xml:space="preserve">781700.00 </w:t>
            </w:r>
          </w:p>
        </w:tc>
      </w:tr>
      <w:tr>
        <w:tblPrEx>
          <w:tblLayout w:type="fixed"/>
          <w:tblCellMar>
            <w:top w:w="0" w:type="dxa"/>
            <w:left w:w="108" w:type="dxa"/>
            <w:bottom w:w="0" w:type="dxa"/>
            <w:right w:w="108" w:type="dxa"/>
          </w:tblCellMar>
        </w:tblPrEx>
        <w:trPr>
          <w:trHeight w:val="284" w:hRule="atLeast"/>
        </w:trPr>
        <w:tc>
          <w:tcPr>
            <w:tcW w:w="1838" w:type="dxa"/>
            <w:vMerge w:val="continue"/>
            <w:tcBorders>
              <w:top w:val="nil"/>
              <w:left w:val="single" w:color="auto" w:sz="4" w:space="0"/>
              <w:bottom w:val="single" w:color="000000" w:sz="4" w:space="0"/>
              <w:right w:val="single" w:color="auto" w:sz="4" w:space="0"/>
            </w:tcBorders>
            <w:vAlign w:val="center"/>
          </w:tcPr>
          <w:p>
            <w:pPr>
              <w:rPr>
                <w:rFonts w:ascii="Times New Roman" w:hAnsi="Times New Roman" w:eastAsia="仿宋_GB2312" w:cs="Times New Roman"/>
                <w:color w:val="000000"/>
                <w:sz w:val="20"/>
                <w:szCs w:val="20"/>
              </w:rPr>
            </w:pPr>
          </w:p>
        </w:tc>
        <w:tc>
          <w:tcPr>
            <w:tcW w:w="2283"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sz w:val="20"/>
                <w:szCs w:val="20"/>
              </w:rPr>
            </w:pPr>
            <w:r>
              <w:rPr>
                <w:rFonts w:ascii="Times New Roman" w:hAnsi="Times New Roman" w:eastAsia="仿宋_GB2312" w:cs="Times New Roman"/>
                <w:sz w:val="20"/>
                <w:szCs w:val="20"/>
              </w:rPr>
              <w:t>上海民办民一中学</w:t>
            </w:r>
          </w:p>
        </w:tc>
        <w:tc>
          <w:tcPr>
            <w:tcW w:w="1953"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627</w:t>
            </w:r>
          </w:p>
        </w:tc>
        <w:tc>
          <w:tcPr>
            <w:tcW w:w="275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0"/>
                <w:szCs w:val="20"/>
              </w:rPr>
            </w:pPr>
            <w:r>
              <w:rPr>
                <w:rFonts w:ascii="Times New Roman" w:hAnsi="Times New Roman" w:eastAsia="仿宋_GB2312" w:cs="Times New Roman"/>
                <w:sz w:val="20"/>
                <w:szCs w:val="20"/>
              </w:rPr>
              <w:t xml:space="preserve">683350.00 </w:t>
            </w:r>
          </w:p>
        </w:tc>
      </w:tr>
      <w:tr>
        <w:tblPrEx>
          <w:tblLayout w:type="fixed"/>
          <w:tblCellMar>
            <w:top w:w="0" w:type="dxa"/>
            <w:left w:w="108" w:type="dxa"/>
            <w:bottom w:w="0" w:type="dxa"/>
            <w:right w:w="108" w:type="dxa"/>
          </w:tblCellMar>
        </w:tblPrEx>
        <w:trPr>
          <w:trHeight w:val="284" w:hRule="atLeast"/>
        </w:trPr>
        <w:tc>
          <w:tcPr>
            <w:tcW w:w="1838"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2022年下半年</w:t>
            </w:r>
          </w:p>
        </w:tc>
        <w:tc>
          <w:tcPr>
            <w:tcW w:w="2283"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sz w:val="20"/>
                <w:szCs w:val="20"/>
              </w:rPr>
            </w:pPr>
            <w:r>
              <w:rPr>
                <w:rFonts w:ascii="Times New Roman" w:hAnsi="Times New Roman" w:eastAsia="仿宋_GB2312" w:cs="Times New Roman"/>
                <w:sz w:val="20"/>
                <w:szCs w:val="20"/>
              </w:rPr>
              <w:t>上海新纪元双语学校</w:t>
            </w:r>
          </w:p>
        </w:tc>
        <w:tc>
          <w:tcPr>
            <w:tcW w:w="1953"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648</w:t>
            </w:r>
          </w:p>
        </w:tc>
        <w:tc>
          <w:tcPr>
            <w:tcW w:w="275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0"/>
                <w:szCs w:val="20"/>
              </w:rPr>
            </w:pPr>
            <w:r>
              <w:rPr>
                <w:rFonts w:ascii="Times New Roman" w:hAnsi="Times New Roman" w:eastAsia="仿宋_GB2312" w:cs="Times New Roman"/>
                <w:sz w:val="20"/>
                <w:szCs w:val="20"/>
              </w:rPr>
              <w:t xml:space="preserve">770200.00 </w:t>
            </w:r>
          </w:p>
        </w:tc>
      </w:tr>
      <w:tr>
        <w:tblPrEx>
          <w:tblLayout w:type="fixed"/>
          <w:tblCellMar>
            <w:top w:w="0" w:type="dxa"/>
            <w:left w:w="108" w:type="dxa"/>
            <w:bottom w:w="0" w:type="dxa"/>
            <w:right w:w="108" w:type="dxa"/>
          </w:tblCellMar>
        </w:tblPrEx>
        <w:trPr>
          <w:trHeight w:val="284" w:hRule="atLeast"/>
        </w:trPr>
        <w:tc>
          <w:tcPr>
            <w:tcW w:w="1838" w:type="dxa"/>
            <w:vMerge w:val="continue"/>
            <w:tcBorders>
              <w:top w:val="nil"/>
              <w:left w:val="single" w:color="auto" w:sz="4" w:space="0"/>
              <w:bottom w:val="single" w:color="000000" w:sz="4" w:space="0"/>
              <w:right w:val="single" w:color="auto" w:sz="4" w:space="0"/>
            </w:tcBorders>
            <w:vAlign w:val="center"/>
          </w:tcPr>
          <w:p>
            <w:pPr>
              <w:rPr>
                <w:rFonts w:ascii="Times New Roman" w:hAnsi="Times New Roman" w:eastAsia="仿宋_GB2312" w:cs="Times New Roman"/>
                <w:color w:val="000000"/>
                <w:sz w:val="20"/>
                <w:szCs w:val="20"/>
              </w:rPr>
            </w:pPr>
          </w:p>
        </w:tc>
        <w:tc>
          <w:tcPr>
            <w:tcW w:w="2283" w:type="dxa"/>
            <w:tcBorders>
              <w:top w:val="nil"/>
              <w:left w:val="nil"/>
              <w:bottom w:val="single" w:color="auto" w:sz="4" w:space="0"/>
              <w:right w:val="single" w:color="auto" w:sz="4" w:space="0"/>
            </w:tcBorders>
            <w:shd w:val="clear" w:color="auto" w:fill="auto"/>
            <w:vAlign w:val="center"/>
          </w:tcPr>
          <w:p>
            <w:pPr>
              <w:rPr>
                <w:rFonts w:ascii="Times New Roman" w:hAnsi="Times New Roman" w:eastAsia="仿宋_GB2312" w:cs="Times New Roman"/>
                <w:sz w:val="20"/>
                <w:szCs w:val="20"/>
              </w:rPr>
            </w:pPr>
            <w:r>
              <w:rPr>
                <w:rFonts w:ascii="Times New Roman" w:hAnsi="Times New Roman" w:eastAsia="仿宋_GB2312" w:cs="Times New Roman"/>
                <w:sz w:val="20"/>
                <w:szCs w:val="20"/>
              </w:rPr>
              <w:t>上海民办民一中学</w:t>
            </w:r>
          </w:p>
        </w:tc>
        <w:tc>
          <w:tcPr>
            <w:tcW w:w="1953"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636</w:t>
            </w:r>
          </w:p>
        </w:tc>
        <w:tc>
          <w:tcPr>
            <w:tcW w:w="2754"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sz w:val="20"/>
                <w:szCs w:val="20"/>
              </w:rPr>
            </w:pPr>
            <w:r>
              <w:rPr>
                <w:rFonts w:ascii="Times New Roman" w:hAnsi="Times New Roman" w:eastAsia="仿宋_GB2312" w:cs="Times New Roman"/>
                <w:sz w:val="20"/>
                <w:szCs w:val="20"/>
              </w:rPr>
              <w:t xml:space="preserve">692800.00 </w:t>
            </w:r>
          </w:p>
        </w:tc>
      </w:tr>
      <w:tr>
        <w:tblPrEx>
          <w:tblLayout w:type="fixed"/>
          <w:tblCellMar>
            <w:top w:w="0" w:type="dxa"/>
            <w:left w:w="108" w:type="dxa"/>
            <w:bottom w:w="0" w:type="dxa"/>
            <w:right w:w="108" w:type="dxa"/>
          </w:tblCellMar>
        </w:tblPrEx>
        <w:trPr>
          <w:trHeight w:val="284" w:hRule="atLeast"/>
        </w:trPr>
        <w:tc>
          <w:tcPr>
            <w:tcW w:w="6074" w:type="dxa"/>
            <w:gridSpan w:val="3"/>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合计：</w:t>
            </w:r>
          </w:p>
        </w:tc>
        <w:tc>
          <w:tcPr>
            <w:tcW w:w="2754" w:type="dxa"/>
            <w:tcBorders>
              <w:top w:val="nil"/>
              <w:left w:val="nil"/>
              <w:bottom w:val="single" w:color="auto" w:sz="4" w:space="0"/>
              <w:right w:val="single" w:color="auto" w:sz="4" w:space="0"/>
            </w:tcBorders>
            <w:shd w:val="clear" w:color="auto" w:fill="auto"/>
            <w:vAlign w:val="bottom"/>
          </w:tcPr>
          <w:p>
            <w:pPr>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 xml:space="preserve">2928050.00 </w:t>
            </w:r>
          </w:p>
        </w:tc>
      </w:tr>
    </w:tbl>
    <w:p>
      <w:pPr>
        <w:widowControl w:val="0"/>
        <w:spacing w:line="520" w:lineRule="exact"/>
        <w:ind w:firstLine="602" w:firstLineChars="200"/>
        <w:jc w:val="both"/>
        <w:rPr>
          <w:rFonts w:ascii="仿宋_GB2312" w:hAnsi="Times New Roman" w:eastAsia="仿宋_GB2312" w:cs="Times New Roman"/>
          <w:b/>
          <w:bCs/>
          <w:kern w:val="2"/>
          <w:sz w:val="30"/>
          <w:szCs w:val="30"/>
        </w:rPr>
      </w:pPr>
      <w:r>
        <w:rPr>
          <w:rFonts w:hint="eastAsia" w:ascii="仿宋_GB2312" w:hAnsi="Times New Roman" w:eastAsia="仿宋_GB2312" w:cs="Times New Roman"/>
          <w:b/>
          <w:bCs/>
          <w:kern w:val="2"/>
          <w:sz w:val="30"/>
          <w:szCs w:val="30"/>
        </w:rPr>
        <w:t>（2）民办教育发展专项资金</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根据《上海市人民政府关于促进民办教育健康发展的实施意见》（沪府发〔</w:t>
      </w:r>
      <w:r>
        <w:rPr>
          <w:rFonts w:ascii="仿宋_GB2312" w:hAnsi="Times New Roman" w:eastAsia="仿宋_GB2312" w:cs="Times New Roman"/>
          <w:kern w:val="2"/>
          <w:sz w:val="30"/>
          <w:szCs w:val="30"/>
        </w:rPr>
        <w:t>2017〕94号）中关于“各区可设立促进民办教育发展专项资金，将支持民办教育发展资金列入年度同级教育财政预算”，</w:t>
      </w:r>
      <w:r>
        <w:rPr>
          <w:rFonts w:hint="eastAsia" w:ascii="仿宋_GB2312" w:hAnsi="Times New Roman" w:eastAsia="仿宋_GB2312" w:cs="Times New Roman"/>
          <w:kern w:val="2"/>
          <w:sz w:val="30"/>
          <w:szCs w:val="30"/>
        </w:rPr>
        <w:t>崇明区教育局设立了</w:t>
      </w:r>
      <w:r>
        <w:rPr>
          <w:rFonts w:ascii="仿宋_GB2312" w:hAnsi="Times New Roman" w:eastAsia="仿宋_GB2312" w:cs="Times New Roman"/>
          <w:kern w:val="2"/>
          <w:sz w:val="30"/>
          <w:szCs w:val="30"/>
        </w:rPr>
        <w:t>民办教育专项资金</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主要</w:t>
      </w:r>
      <w:r>
        <w:rPr>
          <w:rFonts w:hint="eastAsia" w:ascii="仿宋_GB2312" w:hAnsi="Times New Roman" w:eastAsia="仿宋_GB2312" w:cs="Times New Roman"/>
          <w:kern w:val="2"/>
          <w:sz w:val="30"/>
          <w:szCs w:val="30"/>
        </w:rPr>
        <w:t>包括</w:t>
      </w:r>
      <w:r>
        <w:rPr>
          <w:rFonts w:ascii="仿宋_GB2312" w:hAnsi="Times New Roman" w:eastAsia="仿宋_GB2312" w:cs="Times New Roman"/>
          <w:kern w:val="2"/>
          <w:sz w:val="30"/>
          <w:szCs w:val="30"/>
        </w:rPr>
        <w:t>内涵发展和特色创建两类</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内涵发展类主要支持民办教育教学条件改善、成职科内涵发展经费和学科专业建设。特色创</w:t>
      </w:r>
      <w:r>
        <w:rPr>
          <w:rFonts w:hint="eastAsia" w:ascii="仿宋_GB2312" w:hAnsi="Times New Roman" w:eastAsia="仿宋_GB2312" w:cs="Times New Roman"/>
          <w:kern w:val="2"/>
          <w:sz w:val="30"/>
          <w:szCs w:val="30"/>
        </w:rPr>
        <w:t>建类主要支持民办教育改革及其他促进民办教育改革发展的市级重大试验项目，包括用于竞争性较强的民办基础教育课程改革、学科基地和成职科内涵发展经费、综合改革项目及委托实施的公共服务平台项目等。</w:t>
      </w:r>
      <w:r>
        <w:rPr>
          <w:rFonts w:ascii="仿宋_GB2312" w:hAnsi="Times New Roman" w:eastAsia="仿宋_GB2312" w:cs="Times New Roman"/>
          <w:kern w:val="2"/>
          <w:sz w:val="30"/>
          <w:szCs w:val="30"/>
        </w:rPr>
        <w:t>2022年崇明区教育局安排民办教育发展专项资金共300万元，其中上海新纪元双语学校45万元、上海民办民一中学200万元、上海盛源幼儿园45万元、上海露凝幼儿园有限公司10万元。</w:t>
      </w:r>
      <w:r>
        <w:rPr>
          <w:rFonts w:hint="eastAsia" w:ascii="仿宋_GB2312" w:hAnsi="Times New Roman" w:eastAsia="仿宋_GB2312" w:cs="Times New Roman"/>
          <w:kern w:val="2"/>
          <w:sz w:val="30"/>
          <w:szCs w:val="30"/>
        </w:rPr>
        <w:t>经调研，本项目是由各学校根据发展需求向区教育局提出项目申请，经区教育局审批后下拨资金，但</w:t>
      </w:r>
      <w:r>
        <w:rPr>
          <w:rFonts w:ascii="仿宋_GB2312" w:hAnsi="Times New Roman" w:eastAsia="仿宋_GB2312" w:cs="Times New Roman"/>
          <w:kern w:val="2"/>
          <w:sz w:val="30"/>
          <w:szCs w:val="30"/>
        </w:rPr>
        <w:t>民办教育发展专项资金</w:t>
      </w:r>
      <w:r>
        <w:rPr>
          <w:rFonts w:hint="eastAsia" w:ascii="仿宋_GB2312" w:hAnsi="Times New Roman" w:eastAsia="仿宋_GB2312" w:cs="Times New Roman"/>
          <w:kern w:val="2"/>
          <w:sz w:val="30"/>
          <w:szCs w:val="30"/>
        </w:rPr>
        <w:t>没有相关的管理办法，并缺少扶持标准。</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①</w:t>
      </w:r>
      <w:r>
        <w:rPr>
          <w:rFonts w:ascii="仿宋_GB2312" w:hAnsi="Times New Roman" w:eastAsia="仿宋_GB2312" w:cs="Times New Roman"/>
          <w:b/>
          <w:bCs/>
          <w:kern w:val="2"/>
          <w:sz w:val="30"/>
          <w:szCs w:val="30"/>
        </w:rPr>
        <w:t>上海新纪元双语学校：</w:t>
      </w:r>
      <w:r>
        <w:rPr>
          <w:rFonts w:ascii="仿宋_GB2312" w:hAnsi="Times New Roman" w:eastAsia="仿宋_GB2312" w:cs="Times New Roman"/>
          <w:kern w:val="2"/>
          <w:sz w:val="30"/>
          <w:szCs w:val="30"/>
        </w:rPr>
        <w:t>2022年</w:t>
      </w:r>
      <w:r>
        <w:rPr>
          <w:rFonts w:hint="eastAsia" w:ascii="仿宋_GB2312" w:hAnsi="Times New Roman" w:eastAsia="仿宋_GB2312" w:cs="Times New Roman"/>
          <w:kern w:val="2"/>
          <w:sz w:val="30"/>
          <w:szCs w:val="30"/>
        </w:rPr>
        <w:t>下拨</w:t>
      </w:r>
      <w:r>
        <w:rPr>
          <w:rFonts w:ascii="仿宋_GB2312" w:hAnsi="Times New Roman" w:eastAsia="仿宋_GB2312" w:cs="Times New Roman"/>
          <w:kern w:val="2"/>
          <w:sz w:val="30"/>
          <w:szCs w:val="30"/>
        </w:rPr>
        <w:t>上海新纪元双语学校民办教育发展专项资金45万，主要包含三个支出内容，一是师资培训（“十四五”教育发展规划背景下教师素养提升）18万元；二是特色项目（基于劳动教育、生命教育、美育基础上的森林课程建设）5万元；三是设施设备（关注学生健康与幸福的货物与设备改善项目）22万元。</w:t>
      </w:r>
      <w:r>
        <w:rPr>
          <w:rFonts w:hint="eastAsia" w:ascii="仿宋_GB2312" w:hAnsi="Times New Roman" w:eastAsia="仿宋_GB2312" w:cs="Times New Roman"/>
          <w:b/>
          <w:bCs/>
          <w:kern w:val="2"/>
          <w:sz w:val="30"/>
          <w:szCs w:val="30"/>
        </w:rPr>
        <w:t>经现场核查，学校实际支出4</w:t>
      </w:r>
      <w:r>
        <w:rPr>
          <w:rFonts w:ascii="仿宋_GB2312" w:hAnsi="Times New Roman" w:eastAsia="仿宋_GB2312" w:cs="Times New Roman"/>
          <w:b/>
          <w:bCs/>
          <w:kern w:val="2"/>
          <w:sz w:val="30"/>
          <w:szCs w:val="30"/>
        </w:rPr>
        <w:t>0.6</w:t>
      </w:r>
      <w:r>
        <w:rPr>
          <w:rFonts w:hint="eastAsia" w:ascii="仿宋_GB2312" w:hAnsi="Times New Roman" w:eastAsia="仿宋_GB2312" w:cs="Times New Roman"/>
          <w:b/>
          <w:bCs/>
          <w:kern w:val="2"/>
          <w:sz w:val="30"/>
          <w:szCs w:val="30"/>
        </w:rPr>
        <w:t>万元，结余4</w:t>
      </w:r>
      <w:r>
        <w:rPr>
          <w:rFonts w:ascii="仿宋_GB2312" w:hAnsi="Times New Roman" w:eastAsia="仿宋_GB2312" w:cs="Times New Roman"/>
          <w:b/>
          <w:bCs/>
          <w:kern w:val="2"/>
          <w:sz w:val="30"/>
          <w:szCs w:val="30"/>
        </w:rPr>
        <w:t>.4</w:t>
      </w:r>
      <w:r>
        <w:rPr>
          <w:rFonts w:hint="eastAsia" w:ascii="仿宋_GB2312" w:hAnsi="Times New Roman" w:eastAsia="仿宋_GB2312" w:cs="Times New Roman"/>
          <w:b/>
          <w:bCs/>
          <w:kern w:val="2"/>
          <w:sz w:val="30"/>
          <w:szCs w:val="30"/>
        </w:rPr>
        <w:t>万元</w:t>
      </w:r>
      <w:r>
        <w:rPr>
          <w:rFonts w:hint="eastAsia" w:ascii="仿宋_GB2312" w:hAnsi="Times New Roman" w:eastAsia="仿宋_GB2312" w:cs="Times New Roman"/>
          <w:kern w:val="2"/>
          <w:sz w:val="30"/>
          <w:szCs w:val="30"/>
        </w:rPr>
        <w:t>。</w:t>
      </w:r>
    </w:p>
    <w:p>
      <w:pPr>
        <w:pStyle w:val="55"/>
        <w:ind w:firstLine="0" w:firstLineChars="0"/>
        <w:jc w:val="center"/>
        <w:rPr>
          <w:rFonts w:ascii="仿宋_GB2312"/>
          <w:b/>
          <w:sz w:val="24"/>
          <w:szCs w:val="24"/>
          <w:lang w:eastAsia="zh-CN"/>
        </w:rPr>
      </w:pPr>
      <w:r>
        <w:rPr>
          <w:rFonts w:hint="eastAsia" w:ascii="仿宋_GB2312"/>
          <w:b/>
          <w:sz w:val="24"/>
          <w:szCs w:val="24"/>
          <w:lang w:eastAsia="zh-CN"/>
        </w:rPr>
        <w:t>表1-</w:t>
      </w:r>
      <w:r>
        <w:rPr>
          <w:rFonts w:ascii="仿宋_GB2312"/>
          <w:b/>
          <w:sz w:val="24"/>
          <w:szCs w:val="24"/>
          <w:lang w:eastAsia="zh-CN"/>
        </w:rPr>
        <w:t>2</w:t>
      </w:r>
      <w:r>
        <w:rPr>
          <w:rFonts w:hint="eastAsia" w:ascii="仿宋_GB2312"/>
          <w:b/>
          <w:sz w:val="24"/>
          <w:szCs w:val="24"/>
          <w:lang w:eastAsia="zh-CN"/>
        </w:rPr>
        <w:t>-16 2022年上海新纪元双语学校民办教育发展专项资金使用情况表</w:t>
      </w:r>
    </w:p>
    <w:tbl>
      <w:tblPr>
        <w:tblStyle w:val="40"/>
        <w:tblW w:w="8828" w:type="dxa"/>
        <w:tblInd w:w="0" w:type="dxa"/>
        <w:tblLayout w:type="fixed"/>
        <w:tblCellMar>
          <w:top w:w="0" w:type="dxa"/>
          <w:left w:w="108" w:type="dxa"/>
          <w:bottom w:w="0" w:type="dxa"/>
          <w:right w:w="108" w:type="dxa"/>
        </w:tblCellMar>
      </w:tblPr>
      <w:tblGrid>
        <w:gridCol w:w="5948"/>
        <w:gridCol w:w="1328"/>
        <w:gridCol w:w="1552"/>
      </w:tblGrid>
      <w:tr>
        <w:tblPrEx>
          <w:tblLayout w:type="fixed"/>
          <w:tblCellMar>
            <w:top w:w="0" w:type="dxa"/>
            <w:left w:w="108" w:type="dxa"/>
            <w:bottom w:w="0" w:type="dxa"/>
            <w:right w:w="108" w:type="dxa"/>
          </w:tblCellMar>
        </w:tblPrEx>
        <w:trPr>
          <w:trHeight w:val="283" w:hRule="atLeast"/>
        </w:trPr>
        <w:tc>
          <w:tcPr>
            <w:tcW w:w="594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项目内容</w:t>
            </w:r>
          </w:p>
        </w:tc>
        <w:tc>
          <w:tcPr>
            <w:tcW w:w="132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下拨金额</w:t>
            </w:r>
          </w:p>
        </w:tc>
        <w:tc>
          <w:tcPr>
            <w:tcW w:w="155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学校实际支出</w:t>
            </w:r>
          </w:p>
        </w:tc>
      </w:tr>
      <w:tr>
        <w:tblPrEx>
          <w:tblLayout w:type="fixed"/>
          <w:tblCellMar>
            <w:top w:w="0" w:type="dxa"/>
            <w:left w:w="108" w:type="dxa"/>
            <w:bottom w:w="0" w:type="dxa"/>
            <w:right w:w="108" w:type="dxa"/>
          </w:tblCellMar>
        </w:tblPrEx>
        <w:trPr>
          <w:trHeight w:val="283" w:hRule="atLeast"/>
        </w:trPr>
        <w:tc>
          <w:tcPr>
            <w:tcW w:w="5948"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color w:val="000000"/>
                <w:sz w:val="21"/>
                <w:szCs w:val="21"/>
              </w:rPr>
            </w:pPr>
            <w:r>
              <w:rPr>
                <w:rFonts w:hint="eastAsia" w:ascii="仿宋_GB2312" w:hAnsi="等线" w:eastAsia="仿宋_GB2312"/>
                <w:color w:val="000000"/>
                <w:sz w:val="21"/>
                <w:szCs w:val="21"/>
              </w:rPr>
              <w:t>1.师资培训（“十四五”教育发展规划背景下教师素养提升）</w:t>
            </w:r>
          </w:p>
        </w:tc>
        <w:tc>
          <w:tcPr>
            <w:tcW w:w="1328"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1"/>
                <w:szCs w:val="21"/>
              </w:rPr>
            </w:pPr>
            <w:r>
              <w:rPr>
                <w:rFonts w:hint="eastAsia" w:ascii="仿宋_GB2312" w:hAnsi="等线" w:eastAsia="仿宋_GB2312"/>
                <w:color w:val="000000"/>
                <w:sz w:val="21"/>
                <w:szCs w:val="21"/>
              </w:rPr>
              <w:t>180000</w:t>
            </w:r>
          </w:p>
        </w:tc>
        <w:tc>
          <w:tcPr>
            <w:tcW w:w="155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1"/>
                <w:szCs w:val="21"/>
              </w:rPr>
            </w:pPr>
            <w:r>
              <w:rPr>
                <w:rFonts w:hint="eastAsia" w:ascii="仿宋_GB2312" w:hAnsi="等线" w:eastAsia="仿宋_GB2312"/>
                <w:color w:val="000000"/>
                <w:sz w:val="21"/>
                <w:szCs w:val="21"/>
              </w:rPr>
              <w:t>136000</w:t>
            </w:r>
          </w:p>
        </w:tc>
      </w:tr>
      <w:tr>
        <w:tblPrEx>
          <w:tblLayout w:type="fixed"/>
          <w:tblCellMar>
            <w:top w:w="0" w:type="dxa"/>
            <w:left w:w="108" w:type="dxa"/>
            <w:bottom w:w="0" w:type="dxa"/>
            <w:right w:w="108" w:type="dxa"/>
          </w:tblCellMar>
        </w:tblPrEx>
        <w:trPr>
          <w:trHeight w:val="283" w:hRule="atLeast"/>
        </w:trPr>
        <w:tc>
          <w:tcPr>
            <w:tcW w:w="5948"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color w:val="000000"/>
                <w:sz w:val="21"/>
                <w:szCs w:val="21"/>
              </w:rPr>
            </w:pPr>
            <w:r>
              <w:rPr>
                <w:rFonts w:hint="eastAsia" w:ascii="仿宋_GB2312" w:hAnsi="等线" w:eastAsia="仿宋_GB2312"/>
                <w:color w:val="000000"/>
                <w:sz w:val="21"/>
                <w:szCs w:val="21"/>
              </w:rPr>
              <w:t>2.特色项目（基于劳动教育、生命教育、美育基础上的森林课程建设）</w:t>
            </w:r>
          </w:p>
        </w:tc>
        <w:tc>
          <w:tcPr>
            <w:tcW w:w="1328"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1"/>
                <w:szCs w:val="21"/>
              </w:rPr>
            </w:pPr>
            <w:r>
              <w:rPr>
                <w:rFonts w:hint="eastAsia" w:ascii="仿宋_GB2312" w:hAnsi="等线" w:eastAsia="仿宋_GB2312"/>
                <w:color w:val="000000"/>
                <w:sz w:val="21"/>
                <w:szCs w:val="21"/>
              </w:rPr>
              <w:t>50000</w:t>
            </w:r>
          </w:p>
        </w:tc>
        <w:tc>
          <w:tcPr>
            <w:tcW w:w="155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1"/>
                <w:szCs w:val="21"/>
              </w:rPr>
            </w:pPr>
            <w:r>
              <w:rPr>
                <w:rFonts w:hint="eastAsia" w:ascii="仿宋_GB2312" w:hAnsi="等线" w:eastAsia="仿宋_GB2312"/>
                <w:color w:val="000000"/>
                <w:sz w:val="21"/>
                <w:szCs w:val="21"/>
              </w:rPr>
              <w:t>50000</w:t>
            </w:r>
          </w:p>
        </w:tc>
      </w:tr>
      <w:tr>
        <w:tblPrEx>
          <w:tblLayout w:type="fixed"/>
          <w:tblCellMar>
            <w:top w:w="0" w:type="dxa"/>
            <w:left w:w="108" w:type="dxa"/>
            <w:bottom w:w="0" w:type="dxa"/>
            <w:right w:w="108" w:type="dxa"/>
          </w:tblCellMar>
        </w:tblPrEx>
        <w:trPr>
          <w:trHeight w:val="283" w:hRule="atLeast"/>
        </w:trPr>
        <w:tc>
          <w:tcPr>
            <w:tcW w:w="5948" w:type="dxa"/>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color w:val="000000"/>
                <w:sz w:val="21"/>
                <w:szCs w:val="21"/>
              </w:rPr>
            </w:pPr>
            <w:r>
              <w:rPr>
                <w:rFonts w:hint="eastAsia" w:ascii="仿宋_GB2312" w:hAnsi="等线" w:eastAsia="仿宋_GB2312"/>
                <w:color w:val="000000"/>
                <w:sz w:val="21"/>
                <w:szCs w:val="21"/>
              </w:rPr>
              <w:t>3.设施设备（关注学生健康与幸福的货物与设备改善项目）</w:t>
            </w:r>
          </w:p>
        </w:tc>
        <w:tc>
          <w:tcPr>
            <w:tcW w:w="1328"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1"/>
                <w:szCs w:val="21"/>
              </w:rPr>
            </w:pPr>
            <w:r>
              <w:rPr>
                <w:rFonts w:hint="eastAsia" w:ascii="仿宋_GB2312" w:hAnsi="等线" w:eastAsia="仿宋_GB2312"/>
                <w:color w:val="000000"/>
                <w:sz w:val="21"/>
                <w:szCs w:val="21"/>
              </w:rPr>
              <w:t>220000</w:t>
            </w:r>
          </w:p>
        </w:tc>
        <w:tc>
          <w:tcPr>
            <w:tcW w:w="155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1"/>
                <w:szCs w:val="21"/>
              </w:rPr>
            </w:pPr>
            <w:r>
              <w:rPr>
                <w:rFonts w:hint="eastAsia" w:ascii="仿宋_GB2312" w:hAnsi="等线" w:eastAsia="仿宋_GB2312"/>
                <w:color w:val="000000"/>
                <w:sz w:val="21"/>
                <w:szCs w:val="21"/>
              </w:rPr>
              <w:t>220000</w:t>
            </w:r>
          </w:p>
        </w:tc>
      </w:tr>
      <w:tr>
        <w:tblPrEx>
          <w:tblLayout w:type="fixed"/>
          <w:tblCellMar>
            <w:top w:w="0" w:type="dxa"/>
            <w:left w:w="108" w:type="dxa"/>
            <w:bottom w:w="0" w:type="dxa"/>
            <w:right w:w="108" w:type="dxa"/>
          </w:tblCellMar>
        </w:tblPrEx>
        <w:trPr>
          <w:trHeight w:val="283" w:hRule="atLeast"/>
        </w:trPr>
        <w:tc>
          <w:tcPr>
            <w:tcW w:w="5948"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合计</w:t>
            </w:r>
          </w:p>
        </w:tc>
        <w:tc>
          <w:tcPr>
            <w:tcW w:w="1328"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450000</w:t>
            </w:r>
          </w:p>
        </w:tc>
        <w:tc>
          <w:tcPr>
            <w:tcW w:w="155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406000</w:t>
            </w:r>
          </w:p>
        </w:tc>
      </w:tr>
    </w:tbl>
    <w:p>
      <w:pPr>
        <w:widowControl w:val="0"/>
        <w:spacing w:line="520" w:lineRule="exact"/>
        <w:ind w:firstLine="602" w:firstLineChars="200"/>
        <w:jc w:val="both"/>
        <w:rPr>
          <w:rFonts w:ascii="仿宋_GB2312" w:hAnsi="Times New Roman" w:eastAsia="仿宋_GB2312" w:cs="Times New Roman"/>
          <w:b/>
          <w:bCs/>
          <w:kern w:val="2"/>
          <w:sz w:val="30"/>
          <w:szCs w:val="30"/>
        </w:rPr>
      </w:pPr>
      <w:r>
        <w:rPr>
          <w:rFonts w:hint="eastAsia" w:ascii="仿宋_GB2312" w:hAnsi="Times New Roman" w:eastAsia="仿宋_GB2312" w:cs="Times New Roman"/>
          <w:b/>
          <w:bCs/>
          <w:kern w:val="2"/>
          <w:sz w:val="30"/>
          <w:szCs w:val="30"/>
        </w:rPr>
        <w:t>②</w:t>
      </w:r>
      <w:r>
        <w:rPr>
          <w:rFonts w:ascii="仿宋_GB2312" w:hAnsi="Times New Roman" w:eastAsia="仿宋_GB2312" w:cs="Times New Roman"/>
          <w:b/>
          <w:bCs/>
          <w:kern w:val="2"/>
          <w:sz w:val="30"/>
          <w:szCs w:val="30"/>
        </w:rPr>
        <w:t>上海民办民一中学</w:t>
      </w:r>
      <w:r>
        <w:rPr>
          <w:rFonts w:hint="eastAsia" w:ascii="仿宋_GB2312" w:hAnsi="Times New Roman" w:eastAsia="仿宋_GB2312" w:cs="Times New Roman"/>
          <w:b/>
          <w:bCs/>
          <w:kern w:val="2"/>
          <w:sz w:val="30"/>
          <w:szCs w:val="30"/>
        </w:rPr>
        <w:t>：</w:t>
      </w:r>
      <w:r>
        <w:rPr>
          <w:rFonts w:ascii="仿宋_GB2312" w:hAnsi="Times New Roman" w:eastAsia="仿宋_GB2312" w:cs="Times New Roman"/>
          <w:kern w:val="2"/>
          <w:sz w:val="30"/>
          <w:szCs w:val="30"/>
        </w:rPr>
        <w:t>2022年</w:t>
      </w:r>
      <w:r>
        <w:rPr>
          <w:rFonts w:hint="eastAsia" w:ascii="仿宋_GB2312" w:hAnsi="Times New Roman" w:eastAsia="仿宋_GB2312" w:cs="Times New Roman"/>
          <w:kern w:val="2"/>
          <w:sz w:val="30"/>
          <w:szCs w:val="30"/>
        </w:rPr>
        <w:t>下拨</w:t>
      </w:r>
      <w:r>
        <w:rPr>
          <w:rFonts w:ascii="仿宋_GB2312" w:hAnsi="Times New Roman" w:eastAsia="仿宋_GB2312" w:cs="Times New Roman"/>
          <w:kern w:val="2"/>
          <w:sz w:val="30"/>
          <w:szCs w:val="30"/>
        </w:rPr>
        <w:t>上海民办民一中学民办教育发展专项资金200万，主要包含四个方面内容，一是师资培训经费25万元；二是教学质量管理系统建设费33万元；三是教学设施设备费131万元；四是校园安全保障经费11万元</w:t>
      </w:r>
      <w:r>
        <w:rPr>
          <w:rFonts w:hint="eastAsia" w:ascii="仿宋_GB2312" w:hAnsi="Times New Roman" w:eastAsia="仿宋_GB2312" w:cs="Times New Roman"/>
          <w:kern w:val="2"/>
          <w:sz w:val="30"/>
          <w:szCs w:val="30"/>
        </w:rPr>
        <w:t>。</w:t>
      </w:r>
      <w:r>
        <w:rPr>
          <w:rFonts w:hint="eastAsia" w:ascii="仿宋_GB2312" w:hAnsi="Times New Roman" w:eastAsia="仿宋_GB2312" w:cs="Times New Roman"/>
          <w:b/>
          <w:bCs/>
          <w:kern w:val="2"/>
          <w:sz w:val="30"/>
          <w:szCs w:val="30"/>
        </w:rPr>
        <w:t>经现场核实，项目</w:t>
      </w:r>
      <w:r>
        <w:rPr>
          <w:rFonts w:ascii="仿宋_GB2312" w:hAnsi="Times New Roman" w:eastAsia="仿宋_GB2312" w:cs="Times New Roman"/>
          <w:b/>
          <w:bCs/>
          <w:kern w:val="2"/>
          <w:sz w:val="30"/>
          <w:szCs w:val="30"/>
        </w:rPr>
        <w:t>资金</w:t>
      </w:r>
      <w:r>
        <w:rPr>
          <w:rFonts w:hint="eastAsia" w:ascii="仿宋_GB2312" w:hAnsi="Times New Roman" w:eastAsia="仿宋_GB2312" w:cs="Times New Roman"/>
          <w:b/>
          <w:bCs/>
          <w:kern w:val="2"/>
          <w:sz w:val="30"/>
          <w:szCs w:val="30"/>
        </w:rPr>
        <w:t>没有</w:t>
      </w:r>
      <w:r>
        <w:rPr>
          <w:rFonts w:ascii="仿宋_GB2312" w:hAnsi="Times New Roman" w:eastAsia="仿宋_GB2312" w:cs="Times New Roman"/>
          <w:b/>
          <w:bCs/>
          <w:kern w:val="2"/>
          <w:sz w:val="30"/>
          <w:szCs w:val="30"/>
        </w:rPr>
        <w:t>按照计划全部使用，截至2022年，结转历年资金480万</w:t>
      </w:r>
      <w:r>
        <w:rPr>
          <w:rFonts w:hint="eastAsia" w:ascii="仿宋_GB2312" w:hAnsi="Times New Roman" w:eastAsia="仿宋_GB2312" w:cs="Times New Roman"/>
          <w:b/>
          <w:bCs/>
          <w:kern w:val="2"/>
          <w:sz w:val="30"/>
          <w:szCs w:val="30"/>
        </w:rPr>
        <w:t>，且</w:t>
      </w:r>
      <w:r>
        <w:rPr>
          <w:rFonts w:ascii="仿宋_GB2312" w:hAnsi="Times New Roman" w:eastAsia="仿宋_GB2312" w:cs="Times New Roman"/>
          <w:b/>
          <w:bCs/>
          <w:kern w:val="2"/>
          <w:sz w:val="30"/>
          <w:szCs w:val="30"/>
        </w:rPr>
        <w:t>2022年200万教育专项未使用</w:t>
      </w:r>
      <w:r>
        <w:rPr>
          <w:rFonts w:hint="eastAsia" w:ascii="仿宋_GB2312" w:hAnsi="Times New Roman" w:eastAsia="仿宋_GB2312" w:cs="Times New Roman"/>
          <w:b/>
          <w:bCs/>
          <w:kern w:val="2"/>
          <w:sz w:val="30"/>
          <w:szCs w:val="30"/>
        </w:rPr>
        <w:t>。</w:t>
      </w:r>
    </w:p>
    <w:p>
      <w:pPr>
        <w:jc w:val="center"/>
        <w:rPr>
          <w:rFonts w:ascii="Times New Roman" w:hAnsi="Times New Roman" w:eastAsia="仿宋_GB2312" w:cs="Times New Roman"/>
          <w:b/>
        </w:rPr>
      </w:pPr>
      <w:r>
        <w:rPr>
          <w:rFonts w:ascii="Times New Roman" w:hAnsi="Times New Roman" w:eastAsia="仿宋_GB2312" w:cs="Times New Roman"/>
          <w:b/>
        </w:rPr>
        <w:t>表1-2</w:t>
      </w:r>
      <w:r>
        <w:rPr>
          <w:rFonts w:hint="eastAsia" w:ascii="Times New Roman" w:hAnsi="Times New Roman" w:eastAsia="仿宋_GB2312" w:cs="Times New Roman"/>
          <w:b/>
        </w:rPr>
        <w:t>-</w:t>
      </w:r>
      <w:r>
        <w:rPr>
          <w:rFonts w:ascii="Times New Roman" w:hAnsi="Times New Roman" w:eastAsia="仿宋_GB2312" w:cs="Times New Roman"/>
          <w:b/>
        </w:rPr>
        <w:t>17 2022年上海民办民一中学民办教育发展专项资金使用情况表</w:t>
      </w:r>
    </w:p>
    <w:tbl>
      <w:tblPr>
        <w:tblStyle w:val="40"/>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568"/>
        <w:gridCol w:w="2207"/>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trPr>
        <w:tc>
          <w:tcPr>
            <w:tcW w:w="846"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序号</w:t>
            </w:r>
          </w:p>
        </w:tc>
        <w:tc>
          <w:tcPr>
            <w:tcW w:w="3568"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支出项目</w:t>
            </w:r>
          </w:p>
        </w:tc>
        <w:tc>
          <w:tcPr>
            <w:tcW w:w="2207"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下拨金额</w:t>
            </w:r>
          </w:p>
        </w:tc>
        <w:tc>
          <w:tcPr>
            <w:tcW w:w="2207" w:type="dxa"/>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学校实际支出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一</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师资培训经费</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25</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外聘专家、顾问劳务费</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18</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2</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教研费、教师全员培训费</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7</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二</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教学质量管理系统建设费</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33</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配置学科网以及阅卷系统</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15</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2</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配建尚学趣及智慧平台</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18</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三</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教学设施设备费</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131</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更新教师办公电脑</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36</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2</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增配多媒体设备</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21</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3</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更新分校操场广播音响系统</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3</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4</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高中部教室视频监控系统</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3</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5</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分校教学楼设施建设</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12</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6</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分校教学楼内灯光改造</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7</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7</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美术室添置仪器设备</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5</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8</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实验室添置仪器设备及配套材料</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8</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9</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教室内增配空调</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36</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四</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校园安全保障经费</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11</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1</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总校消防设施改造等</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8</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846"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2</w:t>
            </w:r>
          </w:p>
        </w:tc>
        <w:tc>
          <w:tcPr>
            <w:tcW w:w="3568" w:type="dxa"/>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增配疫情防控设备及用品</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3</w:t>
            </w:r>
          </w:p>
        </w:tc>
        <w:tc>
          <w:tcPr>
            <w:tcW w:w="2207" w:type="dxa"/>
            <w:shd w:val="clear" w:color="auto" w:fill="auto"/>
            <w:vAlign w:val="center"/>
          </w:tcPr>
          <w:p>
            <w:pPr>
              <w:snapToGrid w:val="0"/>
              <w:spacing w:line="240" w:lineRule="atLeast"/>
              <w:jc w:val="center"/>
              <w:rPr>
                <w:rFonts w:ascii="仿宋_GB2312" w:hAnsi="Times New Roman" w:eastAsia="仿宋_GB2312" w:cs="Times New Roman"/>
                <w:color w:val="000000"/>
                <w:sz w:val="21"/>
                <w:szCs w:val="21"/>
              </w:rPr>
            </w:pPr>
            <w:r>
              <w:rPr>
                <w:rFonts w:hint="eastAsia" w:ascii="仿宋_GB2312" w:hAnsi="Times New Roman" w:eastAsia="仿宋_GB2312" w:cs="Times New Roman"/>
                <w:color w:val="00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414" w:type="dxa"/>
            <w:gridSpan w:val="2"/>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合计：</w:t>
            </w:r>
          </w:p>
        </w:tc>
        <w:tc>
          <w:tcPr>
            <w:tcW w:w="2207" w:type="dxa"/>
            <w:shd w:val="clear" w:color="auto" w:fill="auto"/>
            <w:vAlign w:val="center"/>
          </w:tcPr>
          <w:p>
            <w:pPr>
              <w:snapToGrid w:val="0"/>
              <w:spacing w:line="240" w:lineRule="atLeast"/>
              <w:jc w:val="center"/>
              <w:rPr>
                <w:rFonts w:ascii="仿宋_GB2312" w:hAnsi="Times New Roman" w:eastAsia="仿宋_GB2312" w:cs="Times New Roman"/>
                <w:b/>
                <w:bCs/>
                <w:color w:val="000000"/>
                <w:sz w:val="21"/>
                <w:szCs w:val="21"/>
              </w:rPr>
            </w:pPr>
            <w:r>
              <w:rPr>
                <w:rFonts w:hint="eastAsia" w:ascii="仿宋_GB2312" w:hAnsi="Times New Roman" w:eastAsia="仿宋_GB2312" w:cs="Times New Roman"/>
                <w:b/>
                <w:bCs/>
                <w:color w:val="000000"/>
                <w:sz w:val="21"/>
                <w:szCs w:val="21"/>
              </w:rPr>
              <w:t>200</w:t>
            </w:r>
          </w:p>
        </w:tc>
        <w:tc>
          <w:tcPr>
            <w:tcW w:w="2207" w:type="dxa"/>
            <w:shd w:val="clear" w:color="auto" w:fill="auto"/>
            <w:vAlign w:val="center"/>
          </w:tcPr>
          <w:p>
            <w:pPr>
              <w:snapToGrid w:val="0"/>
              <w:spacing w:line="240" w:lineRule="atLeast"/>
              <w:jc w:val="center"/>
              <w:rPr>
                <w:rFonts w:ascii="仿宋_GB2312" w:hAnsi="Times New Roman" w:eastAsia="仿宋_GB2312" w:cs="Times New Roman"/>
                <w:b/>
                <w:bCs/>
                <w:color w:val="000000"/>
                <w:sz w:val="21"/>
                <w:szCs w:val="21"/>
              </w:rPr>
            </w:pPr>
            <w:r>
              <w:rPr>
                <w:rFonts w:hint="eastAsia" w:ascii="仿宋_GB2312" w:hAnsi="Times New Roman" w:eastAsia="仿宋_GB2312" w:cs="Times New Roman"/>
                <w:b/>
                <w:bCs/>
                <w:color w:val="000000"/>
                <w:sz w:val="21"/>
                <w:szCs w:val="21"/>
              </w:rPr>
              <w:t>0</w:t>
            </w:r>
          </w:p>
        </w:tc>
      </w:tr>
    </w:tbl>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③</w:t>
      </w:r>
      <w:r>
        <w:rPr>
          <w:rFonts w:ascii="仿宋_GB2312" w:hAnsi="Times New Roman" w:eastAsia="仿宋_GB2312" w:cs="Times New Roman"/>
          <w:b/>
          <w:bCs/>
          <w:kern w:val="2"/>
          <w:sz w:val="30"/>
          <w:szCs w:val="30"/>
        </w:rPr>
        <w:t>上海盛源幼儿园</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2022年</w:t>
      </w:r>
      <w:r>
        <w:rPr>
          <w:rFonts w:hint="eastAsia" w:ascii="仿宋_GB2312" w:hAnsi="Times New Roman" w:eastAsia="仿宋_GB2312" w:cs="Times New Roman"/>
          <w:kern w:val="2"/>
          <w:sz w:val="30"/>
          <w:szCs w:val="30"/>
        </w:rPr>
        <w:t>下拨</w:t>
      </w:r>
      <w:r>
        <w:rPr>
          <w:rFonts w:ascii="仿宋_GB2312" w:hAnsi="Times New Roman" w:eastAsia="仿宋_GB2312" w:cs="Times New Roman"/>
          <w:kern w:val="2"/>
          <w:sz w:val="30"/>
          <w:szCs w:val="30"/>
        </w:rPr>
        <w:t>上海盛源幼儿园民办教育发展专项资金45万元，主要用于三个方面内容，一是师资培训共使用10万元，包括上海市优质民办园项目培训、与市区幼儿园开展特色课程联合教研活动、崇明区学前教育培训与跨校联合体活动、早教教师参加市级相关培训等，以提升教师专业化水平，为创建优质园奠定基础；二是特色创建项目共使用15万元 ，包括“萌芽计划”课题研究项目和“幼儿户外生态探究基地"的创建；三是货物与设备经费共20万元，包括雨污水管道分流改造、体育器械设施设备的更换、厨房设备添置、增添图书等。</w:t>
      </w:r>
      <w:r>
        <w:rPr>
          <w:rFonts w:hint="eastAsia" w:ascii="仿宋_GB2312" w:hAnsi="Times New Roman" w:eastAsia="仿宋_GB2312" w:cs="Times New Roman"/>
          <w:kern w:val="2"/>
          <w:sz w:val="30"/>
          <w:szCs w:val="30"/>
        </w:rPr>
        <w:t>经现场核查，实际支出2</w:t>
      </w:r>
      <w:r>
        <w:rPr>
          <w:rFonts w:ascii="仿宋_GB2312" w:hAnsi="Times New Roman" w:eastAsia="仿宋_GB2312" w:cs="Times New Roman"/>
          <w:kern w:val="2"/>
          <w:sz w:val="30"/>
          <w:szCs w:val="30"/>
        </w:rPr>
        <w:t>0.9069</w:t>
      </w:r>
      <w:r>
        <w:rPr>
          <w:rFonts w:hint="eastAsia" w:ascii="仿宋_GB2312" w:hAnsi="Times New Roman" w:eastAsia="仿宋_GB2312" w:cs="Times New Roman"/>
          <w:kern w:val="2"/>
          <w:sz w:val="30"/>
          <w:szCs w:val="30"/>
        </w:rPr>
        <w:t>万元，结余2</w:t>
      </w:r>
      <w:r>
        <w:rPr>
          <w:rFonts w:ascii="仿宋_GB2312" w:hAnsi="Times New Roman" w:eastAsia="仿宋_GB2312" w:cs="Times New Roman"/>
          <w:kern w:val="2"/>
          <w:sz w:val="30"/>
          <w:szCs w:val="30"/>
        </w:rPr>
        <w:t>4.0931</w:t>
      </w:r>
      <w:r>
        <w:rPr>
          <w:rFonts w:hint="eastAsia" w:ascii="仿宋_GB2312" w:hAnsi="Times New Roman" w:eastAsia="仿宋_GB2312" w:cs="Times New Roman"/>
          <w:kern w:val="2"/>
          <w:sz w:val="30"/>
          <w:szCs w:val="30"/>
        </w:rPr>
        <w:t>万元。</w:t>
      </w:r>
    </w:p>
    <w:p>
      <w:pPr>
        <w:pStyle w:val="55"/>
        <w:ind w:left="1000" w:firstLine="0" w:firstLineChars="0"/>
        <w:rPr>
          <w:b/>
          <w:sz w:val="24"/>
          <w:szCs w:val="24"/>
          <w:lang w:eastAsia="zh-CN"/>
        </w:rPr>
      </w:pPr>
      <w:r>
        <w:rPr>
          <w:b/>
          <w:sz w:val="24"/>
          <w:szCs w:val="24"/>
          <w:lang w:eastAsia="zh-CN"/>
        </w:rPr>
        <w:t>表1-2</w:t>
      </w:r>
      <w:r>
        <w:rPr>
          <w:rFonts w:hint="eastAsia"/>
          <w:b/>
          <w:sz w:val="24"/>
          <w:szCs w:val="24"/>
          <w:lang w:eastAsia="zh-CN"/>
        </w:rPr>
        <w:t>-</w:t>
      </w:r>
      <w:r>
        <w:rPr>
          <w:b/>
          <w:sz w:val="24"/>
          <w:szCs w:val="24"/>
          <w:lang w:eastAsia="zh-CN"/>
        </w:rPr>
        <w:t>18 2022年上海盛源幼儿园民办教育发展专项资金使用情况表</w:t>
      </w:r>
    </w:p>
    <w:tbl>
      <w:tblPr>
        <w:tblStyle w:val="40"/>
        <w:tblW w:w="11209" w:type="dxa"/>
        <w:jc w:val="center"/>
        <w:tblInd w:w="0" w:type="dxa"/>
        <w:tblLayout w:type="fixed"/>
        <w:tblCellMar>
          <w:top w:w="0" w:type="dxa"/>
          <w:left w:w="108" w:type="dxa"/>
          <w:bottom w:w="0" w:type="dxa"/>
          <w:right w:w="108" w:type="dxa"/>
        </w:tblCellMar>
      </w:tblPr>
      <w:tblGrid>
        <w:gridCol w:w="846"/>
        <w:gridCol w:w="1559"/>
        <w:gridCol w:w="3827"/>
        <w:gridCol w:w="851"/>
        <w:gridCol w:w="992"/>
        <w:gridCol w:w="1021"/>
        <w:gridCol w:w="922"/>
        <w:gridCol w:w="1191"/>
      </w:tblGrid>
      <w:tr>
        <w:tblPrEx>
          <w:tblLayout w:type="fixed"/>
          <w:tblCellMar>
            <w:top w:w="0" w:type="dxa"/>
            <w:left w:w="108" w:type="dxa"/>
            <w:bottom w:w="0" w:type="dxa"/>
            <w:right w:w="108" w:type="dxa"/>
          </w:tblCellMar>
        </w:tblPrEx>
        <w:trPr>
          <w:trHeight w:val="283" w:hRule="atLeast"/>
          <w:tblHeader/>
          <w:jc w:val="center"/>
        </w:trPr>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实施内容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项目类别</w:t>
            </w:r>
          </w:p>
        </w:tc>
        <w:tc>
          <w:tcPr>
            <w:tcW w:w="382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具体内容</w:t>
            </w:r>
          </w:p>
        </w:tc>
        <w:tc>
          <w:tcPr>
            <w:tcW w:w="2864" w:type="dxa"/>
            <w:gridSpan w:val="3"/>
            <w:tcBorders>
              <w:top w:val="single" w:color="auto" w:sz="4" w:space="0"/>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下拨资金</w:t>
            </w:r>
          </w:p>
        </w:tc>
        <w:tc>
          <w:tcPr>
            <w:tcW w:w="9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学校实际支出</w:t>
            </w:r>
          </w:p>
        </w:tc>
        <w:tc>
          <w:tcPr>
            <w:tcW w:w="11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备注</w:t>
            </w: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20"/>
                <w:szCs w:val="20"/>
              </w:rP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20"/>
                <w:szCs w:val="20"/>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20"/>
                <w:szCs w:val="20"/>
              </w:rPr>
            </w:pP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数量</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单价（元）</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合计 （万元）</w:t>
            </w:r>
          </w:p>
        </w:tc>
        <w:tc>
          <w:tcPr>
            <w:tcW w:w="922"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20"/>
                <w:szCs w:val="20"/>
              </w:rPr>
            </w:pPr>
          </w:p>
        </w:tc>
        <w:tc>
          <w:tcPr>
            <w:tcW w:w="1191"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1.师资培训</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师资培训1</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参加上海市优质民办园项目培训。</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25人</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1000</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因为疫情线下培训暂停</w:t>
            </w: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师资培训2</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与市区幼儿园开展特色课程联合教研活动。</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25人</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1000</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师资培训3</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参加崇明区学前教育培训与跨校联合体活动。</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25人</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500</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1.25</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师资培训4</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上师大教授每月来园组织课例研讨活动。</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10次</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1000/次</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师资培训4</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 xml:space="preserve">新课程和特色课程培训费 </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20次</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500/次</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师资培训5</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组织教师及三大员外出参观学习</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40人</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300</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1.2</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师资培训6</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03早教教师参加市级相关培训。</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25人</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220</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0.55</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7229"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合计：</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10</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2.特色创建项目</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“萌芽计划”课题研究项目</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课题申报、课程开发、成果展示等</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4.88</w:t>
            </w:r>
          </w:p>
        </w:tc>
        <w:tc>
          <w:tcPr>
            <w:tcW w:w="1191"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种植基地进程因疫情放慢，还有10万元费用未付</w:t>
            </w: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 xml:space="preserve">“幼儿户外生态探究基地"的创建 </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整修幼儿园种植园，铺设草坪与部分软垫。</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10</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10</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w:t>
            </w: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7229"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合计：</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15</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4.88</w:t>
            </w:r>
          </w:p>
        </w:tc>
        <w:tc>
          <w:tcPr>
            <w:tcW w:w="1191"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　</w:t>
            </w:r>
          </w:p>
        </w:tc>
      </w:tr>
      <w:tr>
        <w:tblPrEx>
          <w:tblLayout w:type="fixed"/>
          <w:tblCellMar>
            <w:top w:w="0" w:type="dxa"/>
            <w:left w:w="108" w:type="dxa"/>
            <w:bottom w:w="0" w:type="dxa"/>
            <w:right w:w="108" w:type="dxa"/>
          </w:tblCellMar>
        </w:tblPrEx>
        <w:trPr>
          <w:trHeight w:val="283" w:hRule="atLeast"/>
          <w:jc w:val="center"/>
        </w:trPr>
        <w:tc>
          <w:tcPr>
            <w:tcW w:w="846"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3.货物与设备经费</w:t>
            </w: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雨污水管道分流改造</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0"/>
                <w:szCs w:val="20"/>
              </w:rPr>
            </w:pPr>
            <w:r>
              <w:rPr>
                <w:rFonts w:hint="eastAsia" w:ascii="仿宋_GB2312" w:hAnsi="等线" w:eastAsia="仿宋_GB2312"/>
                <w:color w:val="000000"/>
                <w:sz w:val="20"/>
                <w:szCs w:val="20"/>
              </w:rPr>
              <w:t>将原来的雨污 管道挖开，重新铺设雨污水分流管道。</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92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16.0269</w:t>
            </w:r>
          </w:p>
        </w:tc>
        <w:tc>
          <w:tcPr>
            <w:tcW w:w="1191"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因疫情操场改造未能进行，费用约15万；水务局要求的雨污水分流工程也拖到今年，约30万费用；幼儿园电力扩容约5万元尚未支付；电子围栏更新约15万元。</w:t>
            </w: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 xml:space="preserve"> 地下消防管道改造</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0"/>
                <w:szCs w:val="20"/>
              </w:rPr>
            </w:pPr>
            <w:r>
              <w:rPr>
                <w:rFonts w:hint="eastAsia" w:ascii="仿宋_GB2312" w:hAnsi="等线" w:eastAsia="仿宋_GB2312"/>
                <w:color w:val="000000"/>
                <w:sz w:val="20"/>
                <w:szCs w:val="20"/>
              </w:rPr>
              <w:t>对老旧、渗水、腐蚀的地下消防管道改造。</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w:t>
            </w:r>
          </w:p>
        </w:tc>
        <w:tc>
          <w:tcPr>
            <w:tcW w:w="9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 xml:space="preserve">体育器械设施设备的更换 </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0"/>
                <w:szCs w:val="20"/>
              </w:rPr>
            </w:pPr>
            <w:r>
              <w:rPr>
                <w:rFonts w:hint="eastAsia" w:ascii="仿宋_GB2312" w:hAnsi="等线" w:eastAsia="仿宋_GB2312"/>
                <w:color w:val="000000"/>
                <w:sz w:val="20"/>
                <w:szCs w:val="20"/>
              </w:rPr>
              <w:t>购买大型滑滑梯、组合器械、投掷玩具、平衡和球类玩具等。</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9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改善幼儿户外自主游戏条件</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0"/>
                <w:szCs w:val="20"/>
              </w:rPr>
            </w:pPr>
            <w:r>
              <w:rPr>
                <w:rFonts w:hint="eastAsia" w:ascii="仿宋_GB2312" w:hAnsi="等线" w:eastAsia="仿宋_GB2312"/>
                <w:color w:val="000000"/>
                <w:sz w:val="20"/>
                <w:szCs w:val="20"/>
              </w:rPr>
              <w:t>需要添置户外收纳架、收纳盒及不同年龄段户外自主游戏材料。</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2.5</w:t>
            </w:r>
          </w:p>
        </w:tc>
        <w:tc>
          <w:tcPr>
            <w:tcW w:w="9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厨房设备添置</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0"/>
                <w:szCs w:val="20"/>
              </w:rPr>
            </w:pPr>
            <w:r>
              <w:rPr>
                <w:rFonts w:hint="eastAsia" w:ascii="仿宋_GB2312" w:hAnsi="等线" w:eastAsia="仿宋_GB2312"/>
                <w:color w:val="000000"/>
                <w:sz w:val="20"/>
                <w:szCs w:val="20"/>
              </w:rPr>
              <w:t>电饼铛、搅拌机、大型电饭锅</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0.2</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0.6</w:t>
            </w:r>
          </w:p>
        </w:tc>
        <w:tc>
          <w:tcPr>
            <w:tcW w:w="9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 xml:space="preserve">增添图书 </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0"/>
                <w:szCs w:val="20"/>
              </w:rPr>
            </w:pPr>
            <w:r>
              <w:rPr>
                <w:rFonts w:hint="eastAsia" w:ascii="仿宋_GB2312" w:hAnsi="等线" w:eastAsia="仿宋_GB2312"/>
                <w:color w:val="000000"/>
                <w:sz w:val="20"/>
                <w:szCs w:val="20"/>
              </w:rPr>
              <w:t>购置教委推荐的《助力阅读 点亮童年》100本必读绘本</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3</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0.3</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0.9</w:t>
            </w:r>
          </w:p>
        </w:tc>
        <w:tc>
          <w:tcPr>
            <w:tcW w:w="9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559"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 xml:space="preserve"> 班级角色游戏区创设及材料添置</w:t>
            </w:r>
          </w:p>
        </w:tc>
        <w:tc>
          <w:tcPr>
            <w:tcW w:w="3827"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0"/>
                <w:szCs w:val="20"/>
              </w:rPr>
            </w:pPr>
            <w:r>
              <w:rPr>
                <w:rFonts w:hint="eastAsia" w:ascii="仿宋_GB2312" w:hAnsi="等线" w:eastAsia="仿宋_GB2312"/>
                <w:color w:val="000000"/>
                <w:sz w:val="20"/>
                <w:szCs w:val="20"/>
              </w:rPr>
              <w:t>完善角色游戏区，调整布局，增加符合幼儿年龄特点的玩具材料</w:t>
            </w:r>
          </w:p>
        </w:tc>
        <w:tc>
          <w:tcPr>
            <w:tcW w:w="85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w:t>
            </w:r>
          </w:p>
        </w:tc>
        <w:tc>
          <w:tcPr>
            <w:tcW w:w="99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5</w:t>
            </w:r>
          </w:p>
        </w:tc>
        <w:tc>
          <w:tcPr>
            <w:tcW w:w="9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1191"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r>
      <w:tr>
        <w:tblPrEx>
          <w:tblLayout w:type="fixed"/>
          <w:tblCellMar>
            <w:top w:w="0" w:type="dxa"/>
            <w:left w:w="108" w:type="dxa"/>
            <w:bottom w:w="0" w:type="dxa"/>
            <w:right w:w="108" w:type="dxa"/>
          </w:tblCellMar>
        </w:tblPrEx>
        <w:trPr>
          <w:trHeight w:val="283" w:hRule="atLeast"/>
          <w:jc w:val="center"/>
        </w:trPr>
        <w:tc>
          <w:tcPr>
            <w:tcW w:w="84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0"/>
                <w:szCs w:val="20"/>
              </w:rPr>
            </w:pPr>
          </w:p>
        </w:tc>
        <w:tc>
          <w:tcPr>
            <w:tcW w:w="7229"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合计：</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20</w:t>
            </w:r>
          </w:p>
        </w:tc>
        <w:tc>
          <w:tcPr>
            <w:tcW w:w="9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0"/>
                <w:szCs w:val="20"/>
              </w:rPr>
            </w:pPr>
            <w:r>
              <w:rPr>
                <w:rFonts w:hint="eastAsia" w:ascii="仿宋_GB2312" w:hAnsi="等线" w:eastAsia="仿宋_GB2312"/>
                <w:color w:val="000000"/>
                <w:sz w:val="20"/>
                <w:szCs w:val="20"/>
              </w:rPr>
              <w:t>16.0269</w:t>
            </w:r>
          </w:p>
        </w:tc>
        <w:tc>
          <w:tcPr>
            <w:tcW w:w="1191"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0"/>
                <w:szCs w:val="20"/>
              </w:rPr>
            </w:pPr>
            <w:r>
              <w:rPr>
                <w:rFonts w:hint="eastAsia" w:ascii="仿宋_GB2312" w:hAnsi="等线" w:eastAsia="仿宋_GB2312"/>
                <w:color w:val="000000"/>
                <w:sz w:val="20"/>
                <w:szCs w:val="20"/>
              </w:rPr>
              <w:t>——</w:t>
            </w:r>
          </w:p>
        </w:tc>
      </w:tr>
      <w:tr>
        <w:tblPrEx>
          <w:tblLayout w:type="fixed"/>
          <w:tblCellMar>
            <w:top w:w="0" w:type="dxa"/>
            <w:left w:w="108" w:type="dxa"/>
            <w:bottom w:w="0" w:type="dxa"/>
            <w:right w:w="108" w:type="dxa"/>
          </w:tblCellMar>
        </w:tblPrEx>
        <w:trPr>
          <w:trHeight w:val="283" w:hRule="atLeast"/>
          <w:jc w:val="center"/>
        </w:trPr>
        <w:tc>
          <w:tcPr>
            <w:tcW w:w="80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总计：</w:t>
            </w:r>
          </w:p>
        </w:tc>
        <w:tc>
          <w:tcPr>
            <w:tcW w:w="1021"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45</w:t>
            </w:r>
          </w:p>
        </w:tc>
        <w:tc>
          <w:tcPr>
            <w:tcW w:w="922" w:type="dxa"/>
            <w:tcBorders>
              <w:top w:val="nil"/>
              <w:left w:val="nil"/>
              <w:bottom w:val="single" w:color="auto" w:sz="4" w:space="0"/>
              <w:right w:val="single" w:color="auto" w:sz="4" w:space="0"/>
            </w:tcBorders>
            <w:shd w:val="clear" w:color="auto" w:fill="auto"/>
            <w:vAlign w:val="bottom"/>
          </w:tcPr>
          <w:p>
            <w:pPr>
              <w:snapToGrid w:val="0"/>
              <w:spacing w:line="240" w:lineRule="atLeast"/>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20.9069</w:t>
            </w:r>
          </w:p>
        </w:tc>
        <w:tc>
          <w:tcPr>
            <w:tcW w:w="1191"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b/>
                <w:bCs/>
                <w:color w:val="000000"/>
                <w:sz w:val="20"/>
                <w:szCs w:val="20"/>
              </w:rPr>
            </w:pPr>
            <w:r>
              <w:rPr>
                <w:rFonts w:hint="eastAsia" w:ascii="仿宋_GB2312" w:hAnsi="等线" w:eastAsia="仿宋_GB2312"/>
                <w:b/>
                <w:bCs/>
                <w:color w:val="000000"/>
                <w:sz w:val="20"/>
                <w:szCs w:val="20"/>
              </w:rPr>
              <w:t>——</w:t>
            </w:r>
          </w:p>
        </w:tc>
      </w:tr>
    </w:tbl>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b/>
          <w:bCs/>
          <w:kern w:val="2"/>
          <w:sz w:val="30"/>
          <w:szCs w:val="30"/>
        </w:rPr>
        <w:t>④</w:t>
      </w:r>
      <w:r>
        <w:rPr>
          <w:rFonts w:ascii="仿宋_GB2312" w:hAnsi="Times New Roman" w:eastAsia="仿宋_GB2312" w:cs="Times New Roman"/>
          <w:b/>
          <w:bCs/>
          <w:kern w:val="2"/>
          <w:sz w:val="30"/>
          <w:szCs w:val="30"/>
        </w:rPr>
        <w:t>上海露凝幼儿园</w:t>
      </w:r>
      <w:r>
        <w:rPr>
          <w:rFonts w:hint="eastAsia" w:ascii="仿宋_GB2312" w:hAnsi="Times New Roman" w:eastAsia="仿宋_GB2312" w:cs="Times New Roman"/>
          <w:b/>
          <w:bCs/>
          <w:kern w:val="2"/>
          <w:sz w:val="30"/>
          <w:szCs w:val="30"/>
        </w:rPr>
        <w:t>：</w:t>
      </w:r>
      <w:r>
        <w:rPr>
          <w:rFonts w:ascii="仿宋_GB2312" w:hAnsi="Times New Roman" w:eastAsia="仿宋_GB2312" w:cs="Times New Roman"/>
          <w:kern w:val="2"/>
          <w:sz w:val="30"/>
          <w:szCs w:val="30"/>
        </w:rPr>
        <w:t>2022年</w:t>
      </w:r>
      <w:r>
        <w:rPr>
          <w:rFonts w:hint="eastAsia" w:ascii="仿宋_GB2312" w:hAnsi="Times New Roman" w:eastAsia="仿宋_GB2312" w:cs="Times New Roman"/>
          <w:kern w:val="2"/>
          <w:sz w:val="30"/>
          <w:szCs w:val="30"/>
        </w:rPr>
        <w:t>下拨</w:t>
      </w:r>
      <w:r>
        <w:rPr>
          <w:rFonts w:ascii="仿宋_GB2312" w:hAnsi="Times New Roman" w:eastAsia="仿宋_GB2312" w:cs="Times New Roman"/>
          <w:kern w:val="2"/>
          <w:sz w:val="30"/>
          <w:szCs w:val="30"/>
        </w:rPr>
        <w:t>上海露凝幼儿园民办教育发展专项资金10万元，主要用于保教装备购置，为了能支持孩子学习的多元性与多变性，并陶冶孩子的道德情操及提升幼儿动手操作的能力，</w:t>
      </w:r>
      <w:r>
        <w:rPr>
          <w:rFonts w:hint="eastAsia" w:ascii="仿宋_GB2312" w:hAnsi="Times New Roman" w:eastAsia="仿宋_GB2312" w:cs="Times New Roman"/>
          <w:kern w:val="2"/>
          <w:sz w:val="30"/>
          <w:szCs w:val="30"/>
        </w:rPr>
        <w:t>实际支出1</w:t>
      </w:r>
      <w:r>
        <w:rPr>
          <w:rFonts w:ascii="仿宋_GB2312" w:hAnsi="Times New Roman" w:eastAsia="仿宋_GB2312" w:cs="Times New Roman"/>
          <w:kern w:val="2"/>
          <w:sz w:val="30"/>
          <w:szCs w:val="30"/>
        </w:rPr>
        <w:t>0</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034</w:t>
      </w:r>
      <w:r>
        <w:rPr>
          <w:rFonts w:hint="eastAsia" w:ascii="仿宋_GB2312" w:hAnsi="Times New Roman" w:eastAsia="仿宋_GB2312" w:cs="Times New Roman"/>
          <w:kern w:val="2"/>
          <w:sz w:val="30"/>
          <w:szCs w:val="30"/>
        </w:rPr>
        <w:t>万元，其中0</w:t>
      </w:r>
      <w:r>
        <w:rPr>
          <w:rFonts w:ascii="仿宋_GB2312" w:hAnsi="Times New Roman" w:eastAsia="仿宋_GB2312" w:cs="Times New Roman"/>
          <w:kern w:val="2"/>
          <w:sz w:val="30"/>
          <w:szCs w:val="30"/>
        </w:rPr>
        <w:t>.034</w:t>
      </w:r>
      <w:r>
        <w:rPr>
          <w:rFonts w:hint="eastAsia" w:ascii="仿宋_GB2312" w:hAnsi="Times New Roman" w:eastAsia="仿宋_GB2312" w:cs="Times New Roman"/>
          <w:kern w:val="2"/>
          <w:sz w:val="30"/>
          <w:szCs w:val="30"/>
        </w:rPr>
        <w:t>万元为自筹资金。</w:t>
      </w:r>
    </w:p>
    <w:p>
      <w:pPr>
        <w:pStyle w:val="55"/>
        <w:ind w:firstLine="0" w:firstLineChars="0"/>
        <w:jc w:val="center"/>
        <w:rPr>
          <w:b/>
          <w:sz w:val="24"/>
          <w:szCs w:val="24"/>
          <w:lang w:eastAsia="zh-CN"/>
        </w:rPr>
      </w:pPr>
      <w:r>
        <w:rPr>
          <w:b/>
          <w:sz w:val="24"/>
          <w:szCs w:val="24"/>
          <w:lang w:eastAsia="zh-CN"/>
        </w:rPr>
        <w:t>表1-2</w:t>
      </w:r>
      <w:r>
        <w:rPr>
          <w:rFonts w:hint="eastAsia"/>
          <w:b/>
          <w:sz w:val="24"/>
          <w:szCs w:val="24"/>
          <w:lang w:eastAsia="zh-CN"/>
        </w:rPr>
        <w:t>-</w:t>
      </w:r>
      <w:r>
        <w:rPr>
          <w:b/>
          <w:sz w:val="24"/>
          <w:szCs w:val="24"/>
          <w:lang w:eastAsia="zh-CN"/>
        </w:rPr>
        <w:t>19  2022年上海露凝幼儿园民办教育发展专项资金使用情况</w:t>
      </w:r>
    </w:p>
    <w:tbl>
      <w:tblPr>
        <w:tblStyle w:val="40"/>
        <w:tblW w:w="8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3200"/>
        <w:gridCol w:w="1020"/>
        <w:gridCol w:w="1500"/>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blHeader/>
        </w:trPr>
        <w:tc>
          <w:tcPr>
            <w:tcW w:w="1020" w:type="dxa"/>
            <w:shd w:val="clear" w:color="auto" w:fill="auto"/>
            <w:vAlign w:val="center"/>
          </w:tcPr>
          <w:p>
            <w:pPr>
              <w:snapToGrid w:val="0"/>
              <w:spacing w:line="240" w:lineRule="exact"/>
              <w:jc w:val="center"/>
              <w:rPr>
                <w:rFonts w:ascii="仿宋_GB2312" w:hAnsi="楷体" w:eastAsia="仿宋_GB2312"/>
                <w:b/>
                <w:bCs/>
                <w:sz w:val="21"/>
                <w:szCs w:val="21"/>
              </w:rPr>
            </w:pPr>
            <w:r>
              <w:rPr>
                <w:rFonts w:hint="eastAsia" w:ascii="仿宋_GB2312" w:hAnsi="楷体" w:eastAsia="仿宋_GB2312"/>
                <w:b/>
                <w:bCs/>
                <w:sz w:val="21"/>
                <w:szCs w:val="21"/>
              </w:rPr>
              <w:t>序号</w:t>
            </w:r>
          </w:p>
        </w:tc>
        <w:tc>
          <w:tcPr>
            <w:tcW w:w="3200" w:type="dxa"/>
            <w:shd w:val="clear" w:color="auto" w:fill="auto"/>
            <w:vAlign w:val="center"/>
          </w:tcPr>
          <w:p>
            <w:pPr>
              <w:snapToGrid w:val="0"/>
              <w:spacing w:line="240" w:lineRule="exact"/>
              <w:jc w:val="center"/>
              <w:rPr>
                <w:rFonts w:ascii="仿宋_GB2312" w:hAnsi="楷体" w:eastAsia="仿宋_GB2312"/>
                <w:b/>
                <w:bCs/>
                <w:sz w:val="21"/>
                <w:szCs w:val="21"/>
              </w:rPr>
            </w:pPr>
            <w:r>
              <w:rPr>
                <w:rFonts w:hint="eastAsia" w:ascii="仿宋_GB2312" w:hAnsi="楷体" w:eastAsia="仿宋_GB2312"/>
                <w:b/>
                <w:bCs/>
                <w:sz w:val="21"/>
                <w:szCs w:val="21"/>
              </w:rPr>
              <w:t>装备名称</w:t>
            </w:r>
          </w:p>
        </w:tc>
        <w:tc>
          <w:tcPr>
            <w:tcW w:w="1020" w:type="dxa"/>
            <w:shd w:val="clear" w:color="auto" w:fill="auto"/>
            <w:vAlign w:val="center"/>
          </w:tcPr>
          <w:p>
            <w:pPr>
              <w:snapToGrid w:val="0"/>
              <w:spacing w:line="240" w:lineRule="exact"/>
              <w:jc w:val="center"/>
              <w:rPr>
                <w:rFonts w:ascii="仿宋_GB2312" w:hAnsi="楷体" w:eastAsia="仿宋_GB2312"/>
                <w:b/>
                <w:bCs/>
                <w:sz w:val="21"/>
                <w:szCs w:val="21"/>
              </w:rPr>
            </w:pPr>
            <w:r>
              <w:rPr>
                <w:rFonts w:hint="eastAsia" w:ascii="仿宋_GB2312" w:hAnsi="楷体" w:eastAsia="仿宋_GB2312"/>
                <w:b/>
                <w:bCs/>
                <w:sz w:val="21"/>
                <w:szCs w:val="21"/>
              </w:rPr>
              <w:t>数量</w:t>
            </w:r>
          </w:p>
        </w:tc>
        <w:tc>
          <w:tcPr>
            <w:tcW w:w="1500" w:type="dxa"/>
            <w:shd w:val="clear" w:color="auto" w:fill="auto"/>
            <w:vAlign w:val="center"/>
          </w:tcPr>
          <w:p>
            <w:pPr>
              <w:snapToGrid w:val="0"/>
              <w:spacing w:line="240" w:lineRule="exact"/>
              <w:jc w:val="center"/>
              <w:rPr>
                <w:rFonts w:ascii="仿宋_GB2312" w:hAnsi="楷体" w:eastAsia="仿宋_GB2312"/>
                <w:b/>
                <w:bCs/>
                <w:sz w:val="21"/>
                <w:szCs w:val="21"/>
              </w:rPr>
            </w:pPr>
            <w:r>
              <w:rPr>
                <w:rFonts w:hint="eastAsia" w:ascii="仿宋_GB2312" w:hAnsi="楷体" w:eastAsia="仿宋_GB2312"/>
                <w:b/>
                <w:bCs/>
                <w:sz w:val="21"/>
                <w:szCs w:val="21"/>
              </w:rPr>
              <w:t xml:space="preserve"> 单价 </w:t>
            </w:r>
          </w:p>
        </w:tc>
        <w:tc>
          <w:tcPr>
            <w:tcW w:w="2180" w:type="dxa"/>
            <w:shd w:val="clear" w:color="auto" w:fill="auto"/>
            <w:vAlign w:val="center"/>
          </w:tcPr>
          <w:p>
            <w:pPr>
              <w:snapToGrid w:val="0"/>
              <w:spacing w:line="240" w:lineRule="exact"/>
              <w:jc w:val="center"/>
              <w:rPr>
                <w:rFonts w:ascii="仿宋_GB2312" w:hAnsi="楷体" w:eastAsia="仿宋_GB2312"/>
                <w:b/>
                <w:bCs/>
                <w:sz w:val="21"/>
                <w:szCs w:val="21"/>
              </w:rPr>
            </w:pPr>
            <w:r>
              <w:rPr>
                <w:rFonts w:hint="eastAsia" w:ascii="仿宋_GB2312" w:hAnsi="楷体" w:eastAsia="仿宋_GB2312"/>
                <w:b/>
                <w:bCs/>
                <w:sz w:val="21"/>
                <w:szCs w:val="21"/>
              </w:rPr>
              <w:t>学校实际支出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珠江钢琴</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19,375.00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19,375.00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软式棍球运动包</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8,663.20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8,663.20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跑跳投掷训练包</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4,681.60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4,681.60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活力体能运动组合</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4,280.00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4,280.00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投掷类组合包</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3,812.20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3,812.20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蜘蛛侠爬行网</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3,416.00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3,416.00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7</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圆角方形爬滑球池（不含海洋球）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2,700.00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8</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多功能帐篷</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1,660.40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1,660.40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9</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收纳车</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1,429.40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1,429.40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10</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苍穹攀爬架</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1,386.00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1,386.00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呼啦圈手推式收纳车</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1,190.00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1,190.00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12</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彩虹梯</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1,176.00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1,176.00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13</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波浪过河石和步道（组合套装）</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1,098.50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1,098.50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14</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大号连接式滑板车</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1,048.60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1,048.60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15</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迷宫钻洞组合（单个正方形）</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1,040.00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10,400.00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16</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认识交通标志（大号）</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1,020.00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1,020.00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17</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魔术篮球架幼儿版</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990.00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1,980.00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18</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儿童单杠</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966.00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966.00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19</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后仰训练组</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924.00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924.00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20</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田径障碍运动套装</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840.00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840.00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感统构建平衡木（塑料）</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816.00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816.00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22</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可调节式球网</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720.00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720.00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23</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防滑波浪触觉步道注（塑款16件）</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717.60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717.60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24</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万象组合（塑料）</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660.00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660.00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25</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足球门</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516.00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1,032.00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26</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反弹球门</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492.00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984.00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27</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四分之一圆（塑料）</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468.00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468.00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28</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弹跳辅助板</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460.60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460.60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29</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足球绕杆</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450.00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30</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网兜秋千（网面颜色随机）</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420.00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数字地垫</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312.00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624.00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32</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四联家用地垫</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288.00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576.00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33</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儿童蹦床</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264.00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528.00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34</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过河石 （加厚防滑款11件套）</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260.00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35</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拔河棉绳</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252.00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36</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大陀螺大号 （滚塑款）</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247.00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494.00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37</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网缆秋千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222.00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38</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邦戈鼓 （羊皮）</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180.00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3,600.00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39</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彩虹伞</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4</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180.00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720.00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40</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布袋秋千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180.00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升降跨栏（4个一组）</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168.00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42</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儿童堂鼓</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156.00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3,120.00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43</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彩虹伞</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4</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96.00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44</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15音木琴</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91.00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1,820.00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45</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车轮滚滚</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4</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71.50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286.00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46</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木制雨声响筒</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54.00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47</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吊环秋千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54.00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54.00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48</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聪明板（塑料）</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8</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42.90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343.20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49</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颗粒大龙球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42.00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84.00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50</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卡巴萨</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41.60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832.00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手提鼓</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38.40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768.00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52</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1-100连续数板</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36.35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72.70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53</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牛津布三色跳袋（中号）</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5</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21.60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54</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原木沙蛋</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19.50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55</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羊角球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10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19.50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56</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21铃绒布棒铃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16.00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57</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铁砂筒</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15.60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58</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7铃蓝色皮握铃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15.60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312.00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59</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小鱼梆子</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14.40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60</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原木铃圈</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11.70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234.00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原木双响筒</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11.70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234.00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62</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木制刮沙筒</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11.70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234.00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63</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转响板</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10.80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64</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原木自响筒</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10.20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204.00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65</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滑板车连接扣</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5</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10.00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66</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原木加沟</w:t>
            </w:r>
            <w:r>
              <w:rPr>
                <w:rFonts w:hint="eastAsia" w:ascii="微软雅黑" w:hAnsi="微软雅黑" w:eastAsia="微软雅黑" w:cs="微软雅黑"/>
                <w:color w:val="000000"/>
                <w:sz w:val="21"/>
                <w:szCs w:val="21"/>
              </w:rPr>
              <w:t>単</w:t>
            </w:r>
            <w:r>
              <w:rPr>
                <w:rFonts w:hint="eastAsia" w:ascii="仿宋_GB2312" w:hAnsi="仿宋_GB2312" w:eastAsia="仿宋_GB2312" w:cs="仿宋_GB2312"/>
                <w:color w:val="000000"/>
                <w:sz w:val="21"/>
                <w:szCs w:val="21"/>
              </w:rPr>
              <w:t>响筒</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9.60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67</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6寸三角铁</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7.80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68</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原木刮棒</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7.20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69</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彩虹棒铃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6.50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130.00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70</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带线小号碰钟</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20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3.90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78.00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1020" w:type="dxa"/>
            <w:shd w:val="clear" w:color="auto" w:fill="auto"/>
            <w:vAlign w:val="center"/>
          </w:tcPr>
          <w:p>
            <w:pPr>
              <w:snapToGrid w:val="0"/>
              <w:spacing w:line="240" w:lineRule="exact"/>
              <w:jc w:val="center"/>
              <w:rPr>
                <w:rFonts w:ascii="仿宋_GB2312" w:hAnsi="楷体" w:eastAsia="仿宋_GB2312"/>
                <w:sz w:val="21"/>
                <w:szCs w:val="21"/>
              </w:rPr>
            </w:pPr>
            <w:r>
              <w:rPr>
                <w:rFonts w:hint="eastAsia" w:ascii="仿宋_GB2312" w:hAnsi="楷体" w:eastAsia="仿宋_GB2312"/>
                <w:sz w:val="21"/>
                <w:szCs w:val="21"/>
              </w:rPr>
              <w:t>71</w:t>
            </w:r>
          </w:p>
        </w:tc>
        <w:tc>
          <w:tcPr>
            <w:tcW w:w="3200" w:type="dxa"/>
            <w:shd w:val="clear" w:color="auto" w:fill="auto"/>
            <w:vAlign w:val="center"/>
          </w:tcPr>
          <w:p>
            <w:pPr>
              <w:snapToGrid w:val="0"/>
              <w:spacing w:line="240" w:lineRule="exact"/>
              <w:rPr>
                <w:rFonts w:ascii="仿宋_GB2312" w:hAnsi="楷体" w:eastAsia="仿宋_GB2312"/>
                <w:color w:val="000000"/>
                <w:sz w:val="21"/>
                <w:szCs w:val="21"/>
              </w:rPr>
            </w:pPr>
            <w:r>
              <w:rPr>
                <w:rFonts w:hint="eastAsia" w:ascii="仿宋_GB2312" w:hAnsi="楷体" w:eastAsia="仿宋_GB2312"/>
                <w:color w:val="000000"/>
                <w:sz w:val="21"/>
                <w:szCs w:val="21"/>
              </w:rPr>
              <w:t>海洋球</w:t>
            </w:r>
          </w:p>
        </w:tc>
        <w:tc>
          <w:tcPr>
            <w:tcW w:w="1020" w:type="dxa"/>
            <w:shd w:val="clear" w:color="auto" w:fill="auto"/>
            <w:vAlign w:val="center"/>
          </w:tcPr>
          <w:p>
            <w:pPr>
              <w:snapToGrid w:val="0"/>
              <w:spacing w:line="240" w:lineRule="exact"/>
              <w:jc w:val="center"/>
              <w:rPr>
                <w:rFonts w:ascii="仿宋_GB2312" w:hAnsi="楷体" w:eastAsia="仿宋_GB2312"/>
                <w:color w:val="000000"/>
                <w:sz w:val="21"/>
                <w:szCs w:val="21"/>
              </w:rPr>
            </w:pPr>
            <w:r>
              <w:rPr>
                <w:rFonts w:hint="eastAsia" w:ascii="仿宋_GB2312" w:hAnsi="楷体" w:eastAsia="仿宋_GB2312"/>
                <w:color w:val="000000"/>
                <w:sz w:val="21"/>
                <w:szCs w:val="21"/>
              </w:rPr>
              <w:t>5000</w:t>
            </w:r>
          </w:p>
        </w:tc>
        <w:tc>
          <w:tcPr>
            <w:tcW w:w="150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 xml:space="preserve">       0.17 </w:t>
            </w:r>
          </w:p>
        </w:tc>
        <w:tc>
          <w:tcPr>
            <w:tcW w:w="2180" w:type="dxa"/>
            <w:shd w:val="clear" w:color="auto" w:fill="auto"/>
            <w:vAlign w:val="center"/>
          </w:tcPr>
          <w:p>
            <w:pPr>
              <w:snapToGrid w:val="0"/>
              <w:spacing w:line="240" w:lineRule="exact"/>
              <w:jc w:val="right"/>
              <w:rPr>
                <w:rFonts w:ascii="仿宋_GB2312" w:hAnsi="楷体" w:eastAsia="仿宋_GB2312"/>
                <w:color w:val="000000"/>
                <w:sz w:val="21"/>
                <w:szCs w:val="21"/>
              </w:rPr>
            </w:pPr>
            <w:r>
              <w:rPr>
                <w:rFonts w:hint="eastAsia" w:ascii="仿宋_GB2312" w:hAnsi="楷体" w:eastAsia="仿宋_GB2312"/>
                <w:color w:val="000000"/>
                <w:sz w:val="21"/>
                <w:szCs w:val="21"/>
              </w:rPr>
              <w:t>850.00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4220" w:type="dxa"/>
            <w:gridSpan w:val="2"/>
            <w:shd w:val="clear" w:color="auto" w:fill="auto"/>
            <w:vAlign w:val="center"/>
          </w:tcPr>
          <w:p>
            <w:pPr>
              <w:snapToGrid w:val="0"/>
              <w:spacing w:line="240" w:lineRule="exact"/>
              <w:jc w:val="center"/>
              <w:rPr>
                <w:rFonts w:ascii="仿宋_GB2312" w:hAnsi="楷体" w:eastAsia="仿宋_GB2312"/>
                <w:b/>
                <w:bCs/>
                <w:sz w:val="21"/>
                <w:szCs w:val="21"/>
              </w:rPr>
            </w:pPr>
            <w:r>
              <w:rPr>
                <w:rFonts w:hint="eastAsia" w:ascii="仿宋_GB2312" w:hAnsi="楷体" w:eastAsia="仿宋_GB2312"/>
                <w:b/>
                <w:bCs/>
                <w:sz w:val="21"/>
                <w:szCs w:val="21"/>
              </w:rPr>
              <w:t>合计</w:t>
            </w:r>
          </w:p>
        </w:tc>
        <w:tc>
          <w:tcPr>
            <w:tcW w:w="1020" w:type="dxa"/>
            <w:shd w:val="clear" w:color="auto" w:fill="auto"/>
            <w:vAlign w:val="center"/>
          </w:tcPr>
          <w:p>
            <w:pPr>
              <w:snapToGrid w:val="0"/>
              <w:spacing w:line="240" w:lineRule="exact"/>
              <w:jc w:val="center"/>
              <w:rPr>
                <w:rFonts w:ascii="仿宋_GB2312" w:hAnsi="楷体" w:eastAsia="仿宋_GB2312"/>
                <w:b/>
                <w:bCs/>
                <w:sz w:val="21"/>
                <w:szCs w:val="21"/>
              </w:rPr>
            </w:pPr>
            <w:r>
              <w:rPr>
                <w:rFonts w:hint="eastAsia" w:ascii="仿宋_GB2312" w:hAnsi="楷体" w:eastAsia="仿宋_GB2312"/>
                <w:b/>
                <w:bCs/>
                <w:sz w:val="21"/>
                <w:szCs w:val="21"/>
              </w:rPr>
              <w:t>——</w:t>
            </w:r>
          </w:p>
        </w:tc>
        <w:tc>
          <w:tcPr>
            <w:tcW w:w="1500" w:type="dxa"/>
            <w:shd w:val="clear" w:color="auto" w:fill="auto"/>
            <w:vAlign w:val="center"/>
          </w:tcPr>
          <w:p>
            <w:pPr>
              <w:snapToGrid w:val="0"/>
              <w:spacing w:line="240" w:lineRule="exact"/>
              <w:jc w:val="right"/>
              <w:rPr>
                <w:rFonts w:ascii="仿宋_GB2312" w:hAnsi="楷体" w:eastAsia="仿宋_GB2312"/>
                <w:b/>
                <w:bCs/>
                <w:sz w:val="21"/>
                <w:szCs w:val="21"/>
              </w:rPr>
            </w:pPr>
            <w:r>
              <w:rPr>
                <w:rFonts w:hint="eastAsia" w:ascii="仿宋_GB2312" w:hAnsi="楷体" w:eastAsia="仿宋_GB2312"/>
                <w:b/>
                <w:bCs/>
                <w:sz w:val="21"/>
                <w:szCs w:val="21"/>
              </w:rPr>
              <w:t xml:space="preserve"> —— </w:t>
            </w:r>
          </w:p>
        </w:tc>
        <w:tc>
          <w:tcPr>
            <w:tcW w:w="2180" w:type="dxa"/>
            <w:shd w:val="clear" w:color="auto" w:fill="auto"/>
            <w:vAlign w:val="center"/>
          </w:tcPr>
          <w:p>
            <w:pPr>
              <w:snapToGrid w:val="0"/>
              <w:spacing w:line="240" w:lineRule="exact"/>
              <w:jc w:val="right"/>
              <w:rPr>
                <w:rFonts w:ascii="仿宋_GB2312" w:hAnsi="楷体" w:eastAsia="仿宋_GB2312"/>
                <w:b/>
                <w:bCs/>
                <w:sz w:val="21"/>
                <w:szCs w:val="21"/>
              </w:rPr>
            </w:pPr>
            <w:r>
              <w:rPr>
                <w:rFonts w:hint="eastAsia" w:ascii="仿宋_GB2312" w:hAnsi="楷体" w:eastAsia="仿宋_GB2312"/>
                <w:b/>
                <w:bCs/>
                <w:sz w:val="21"/>
                <w:szCs w:val="21"/>
              </w:rPr>
              <w:t>100,340.00</w:t>
            </w:r>
          </w:p>
        </w:tc>
      </w:tr>
    </w:tbl>
    <w:p>
      <w:pPr>
        <w:widowControl w:val="0"/>
        <w:spacing w:line="520" w:lineRule="exact"/>
        <w:ind w:firstLine="602" w:firstLineChars="200"/>
        <w:jc w:val="both"/>
        <w:rPr>
          <w:rFonts w:ascii="仿宋_GB2312" w:hAnsi="Times New Roman" w:eastAsia="仿宋_GB2312" w:cs="Times New Roman"/>
          <w:b/>
          <w:bCs/>
          <w:kern w:val="2"/>
          <w:sz w:val="30"/>
          <w:szCs w:val="30"/>
        </w:rPr>
      </w:pPr>
      <w:r>
        <w:rPr>
          <w:rFonts w:hint="eastAsia" w:ascii="仿宋_GB2312" w:hAnsi="Times New Roman" w:eastAsia="仿宋_GB2312" w:cs="Times New Roman"/>
          <w:b/>
          <w:bCs/>
          <w:kern w:val="2"/>
          <w:sz w:val="30"/>
          <w:szCs w:val="30"/>
        </w:rPr>
        <w:t>（</w:t>
      </w:r>
      <w:r>
        <w:rPr>
          <w:rFonts w:ascii="仿宋_GB2312" w:hAnsi="Times New Roman" w:eastAsia="仿宋_GB2312" w:cs="Times New Roman"/>
          <w:b/>
          <w:bCs/>
          <w:kern w:val="2"/>
          <w:sz w:val="30"/>
          <w:szCs w:val="30"/>
        </w:rPr>
        <w:t xml:space="preserve">3）民办非学历教育机构管理经费 </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民办非学历教育机构管理包括民办非学历教育机构变更、年检检查评估和培训市场综合治理工作两项工作。</w:t>
      </w:r>
    </w:p>
    <w:p>
      <w:pPr>
        <w:widowControl w:val="0"/>
        <w:spacing w:line="520" w:lineRule="exact"/>
        <w:ind w:firstLine="602" w:firstLineChars="200"/>
        <w:jc w:val="both"/>
        <w:rPr>
          <w:rFonts w:ascii="仿宋_GB2312" w:hAnsi="仿宋_GB2312" w:eastAsia="仿宋_GB2312" w:cs="仿宋_GB2312"/>
          <w:sz w:val="30"/>
          <w:szCs w:val="30"/>
        </w:rPr>
      </w:pPr>
      <w:r>
        <w:rPr>
          <w:rFonts w:hint="eastAsia" w:ascii="仿宋_GB2312" w:hAnsi="Times New Roman" w:eastAsia="仿宋_GB2312" w:cs="Times New Roman"/>
          <w:b/>
          <w:bCs/>
          <w:kern w:val="2"/>
          <w:sz w:val="30"/>
          <w:szCs w:val="30"/>
        </w:rPr>
        <w:t>①民办非学历教育机构变更</w:t>
      </w:r>
      <w:r>
        <w:rPr>
          <w:rFonts w:hint="eastAsia" w:ascii="仿宋_GB2312" w:hAnsi="Times New Roman" w:eastAsia="仿宋_GB2312" w:cs="Times New Roman"/>
          <w:kern w:val="2"/>
          <w:sz w:val="30"/>
          <w:szCs w:val="30"/>
        </w:rPr>
        <w:t>、</w:t>
      </w:r>
      <w:r>
        <w:rPr>
          <w:rFonts w:hint="eastAsia" w:ascii="仿宋_GB2312" w:hAnsi="Times New Roman" w:eastAsia="仿宋_GB2312" w:cs="Times New Roman"/>
          <w:b/>
          <w:bCs/>
          <w:kern w:val="2"/>
          <w:sz w:val="30"/>
          <w:szCs w:val="30"/>
        </w:rPr>
        <w:t>年检检查评估</w:t>
      </w:r>
      <w:r>
        <w:rPr>
          <w:rFonts w:hint="eastAsia" w:ascii="仿宋_GB2312" w:hAnsi="Times New Roman" w:eastAsia="仿宋_GB2312" w:cs="Times New Roman"/>
          <w:kern w:val="2"/>
          <w:sz w:val="30"/>
          <w:szCs w:val="30"/>
        </w:rPr>
        <w:t>：</w:t>
      </w:r>
      <w:r>
        <w:rPr>
          <w:rFonts w:hint="eastAsia" w:ascii="仿宋_GB2312" w:hAnsi="Times New Roman" w:eastAsia="仿宋_GB2312" w:cs="Times New Roman"/>
          <w:b/>
          <w:bCs/>
          <w:kern w:val="2"/>
          <w:sz w:val="30"/>
          <w:szCs w:val="30"/>
        </w:rPr>
        <w:t>一是机构年检</w:t>
      </w:r>
      <w:r>
        <w:rPr>
          <w:rFonts w:hint="eastAsia" w:ascii="仿宋_GB2312" w:hAnsi="Times New Roman" w:eastAsia="仿宋_GB2312" w:cs="Times New Roman"/>
          <w:kern w:val="2"/>
          <w:sz w:val="30"/>
          <w:szCs w:val="30"/>
        </w:rPr>
        <w:t>，根据《上海市崇明区民政局关于开展社会团体、民办非企业单位</w:t>
      </w:r>
      <w:r>
        <w:rPr>
          <w:rFonts w:ascii="仿宋_GB2312" w:hAnsi="Times New Roman" w:eastAsia="仿宋_GB2312" w:cs="Times New Roman"/>
          <w:kern w:val="2"/>
          <w:sz w:val="30"/>
          <w:szCs w:val="30"/>
        </w:rPr>
        <w:t>2021年年度检查的通知》和换证工作</w:t>
      </w:r>
      <w:r>
        <w:rPr>
          <w:rFonts w:hint="eastAsia" w:ascii="仿宋_GB2312" w:hAnsi="Times New Roman" w:eastAsia="仿宋_GB2312" w:cs="Times New Roman"/>
          <w:kern w:val="2"/>
          <w:sz w:val="30"/>
          <w:szCs w:val="30"/>
        </w:rPr>
        <w:t>要求，民办学校和机构共</w:t>
      </w:r>
      <w:r>
        <w:rPr>
          <w:rFonts w:ascii="仿宋_GB2312" w:hAnsi="Times New Roman" w:eastAsia="仿宋_GB2312" w:cs="Times New Roman"/>
          <w:kern w:val="2"/>
          <w:sz w:val="30"/>
          <w:szCs w:val="30"/>
        </w:rPr>
        <w:t>19家列入年检评估，</w:t>
      </w:r>
      <w:r>
        <w:rPr>
          <w:rFonts w:hint="eastAsia" w:ascii="仿宋_GB2312" w:hAnsi="Times New Roman" w:eastAsia="仿宋_GB2312" w:cs="Times New Roman"/>
          <w:kern w:val="2"/>
          <w:sz w:val="30"/>
          <w:szCs w:val="30"/>
        </w:rPr>
        <w:t>分别为第一类：民办学校</w:t>
      </w:r>
      <w:r>
        <w:rPr>
          <w:rFonts w:ascii="仿宋_GB2312" w:hAnsi="Times New Roman" w:eastAsia="仿宋_GB2312" w:cs="Times New Roman"/>
          <w:kern w:val="2"/>
          <w:sz w:val="30"/>
          <w:szCs w:val="30"/>
        </w:rPr>
        <w:t>4家。上海新纪元双语学校，上海民办民一中学，上海盛源幼儿园，上海露凝幼儿园有限公司。</w:t>
      </w:r>
      <w:r>
        <w:rPr>
          <w:rFonts w:hint="eastAsia" w:ascii="仿宋_GB2312" w:hAnsi="Times New Roman" w:eastAsia="仿宋_GB2312" w:cs="Times New Roman"/>
          <w:kern w:val="2"/>
          <w:sz w:val="30"/>
          <w:szCs w:val="30"/>
        </w:rPr>
        <w:t>第二类：培训机构</w:t>
      </w:r>
      <w:r>
        <w:rPr>
          <w:rFonts w:ascii="仿宋_GB2312" w:hAnsi="Times New Roman" w:eastAsia="仿宋_GB2312" w:cs="Times New Roman"/>
          <w:kern w:val="2"/>
          <w:sz w:val="30"/>
          <w:szCs w:val="30"/>
        </w:rPr>
        <w:t>15家。上海崇明菁时进修学校，上海崇明爱德堡进修学校，上海民一进修学院，上海前卫科教培训中心，上海前进远卓教育培训中心，上海海际进修学院，上海现代企业经济法律培训中心，上海市崇明旅游服务培训中心，上海市崇明民乐进修学院，上海崇明宇程教育培训学校，上海华夏艺术专修学院，上海崇明新纪元进修学校，上海市崇明华艺进修学校，上海崇爱英语培训学校有限公司，上海上实剑桥培训学校有限公司。</w:t>
      </w:r>
      <w:r>
        <w:rPr>
          <w:rFonts w:hint="eastAsia" w:ascii="仿宋_GB2312" w:hAnsi="Times New Roman" w:eastAsia="仿宋_GB2312" w:cs="Times New Roman"/>
          <w:kern w:val="2"/>
          <w:sz w:val="30"/>
          <w:szCs w:val="30"/>
        </w:rPr>
        <w:t>检查内容为</w:t>
      </w:r>
      <w:r>
        <w:rPr>
          <w:rFonts w:ascii="仿宋_GB2312" w:hAnsi="Times New Roman" w:eastAsia="仿宋_GB2312" w:cs="Times New Roman"/>
          <w:kern w:val="2"/>
          <w:sz w:val="30"/>
          <w:szCs w:val="30"/>
        </w:rPr>
        <w:t>2021年度财务审计报告（财务状况、资金来源及使用情况，比如年末净资产、负债等关键数据）</w:t>
      </w:r>
      <w:r>
        <w:rPr>
          <w:rFonts w:hint="eastAsia" w:ascii="仿宋_GB2312" w:hAnsi="Times New Roman" w:eastAsia="仿宋_GB2312" w:cs="Times New Roman"/>
          <w:kern w:val="2"/>
          <w:sz w:val="30"/>
          <w:szCs w:val="30"/>
        </w:rPr>
        <w:t>；</w:t>
      </w:r>
      <w:r>
        <w:rPr>
          <w:rFonts w:ascii="仿宋_GB2312" w:hAnsi="Times New Roman" w:eastAsia="仿宋_GB2312" w:cs="Times New Roman"/>
          <w:kern w:val="2"/>
          <w:sz w:val="30"/>
          <w:szCs w:val="30"/>
        </w:rPr>
        <w:t>办学许可证</w:t>
      </w:r>
      <w:r>
        <w:rPr>
          <w:rFonts w:hint="eastAsia" w:ascii="仿宋_GB2312" w:hAnsi="Times New Roman" w:eastAsia="仿宋_GB2312" w:cs="Times New Roman"/>
          <w:kern w:val="2"/>
          <w:sz w:val="30"/>
          <w:szCs w:val="30"/>
        </w:rPr>
        <w:t>及登记证事项变更及依法履行换证和登记手续情况；场地情况（消防安全、防疫落实）；负责人和从业人员情况（如：教师资质、决策机构、党组织情况）；按章程开展业务活动情况（两家民办中小学应按要求增加“党建”相关内容）；“双减”政策落实情况（涉及到3-18岁中小学生的学校和机构单独查看）。委托</w:t>
      </w:r>
      <w:r>
        <w:rPr>
          <w:rFonts w:hint="eastAsia" w:ascii="仿宋_GB2312" w:hAnsi="仿宋_GB2312" w:eastAsia="仿宋_GB2312" w:cs="仿宋_GB2312"/>
          <w:sz w:val="30"/>
          <w:szCs w:val="30"/>
        </w:rPr>
        <w:t>上海崇明教育评估中心进行评估，3000元/家，专项评估19家机构共计5.7万元。</w:t>
      </w:r>
      <w:bookmarkStart w:id="24" w:name="_Hlk137643948"/>
      <w:r>
        <w:rPr>
          <w:rFonts w:hint="eastAsia" w:ascii="仿宋_GB2312" w:hAnsi="仿宋_GB2312" w:eastAsia="仿宋_GB2312" w:cs="仿宋_GB2312"/>
          <w:sz w:val="30"/>
          <w:szCs w:val="30"/>
        </w:rPr>
        <w:t>审查结果为1</w:t>
      </w:r>
      <w:r>
        <w:rPr>
          <w:rFonts w:ascii="仿宋_GB2312" w:hAnsi="仿宋_GB2312" w:eastAsia="仿宋_GB2312" w:cs="仿宋_GB2312"/>
          <w:sz w:val="30"/>
          <w:szCs w:val="30"/>
        </w:rPr>
        <w:t>2</w:t>
      </w:r>
      <w:r>
        <w:rPr>
          <w:rFonts w:hint="eastAsia" w:ascii="仿宋_GB2312" w:hAnsi="仿宋_GB2312" w:eastAsia="仿宋_GB2312" w:cs="仿宋_GB2312"/>
          <w:sz w:val="30"/>
          <w:szCs w:val="30"/>
        </w:rPr>
        <w:t>家合格，6家运行情况不佳，1家场地变更没有核查。</w:t>
      </w:r>
      <w:bookmarkEnd w:id="24"/>
      <w:r>
        <w:rPr>
          <w:rFonts w:hint="eastAsia" w:ascii="仿宋_GB2312" w:hAnsi="仿宋_GB2312" w:eastAsia="仿宋_GB2312" w:cs="仿宋_GB2312"/>
          <w:b/>
          <w:bCs/>
          <w:sz w:val="30"/>
          <w:szCs w:val="30"/>
        </w:rPr>
        <w:t>二是各类机构变更核查</w:t>
      </w:r>
      <w:r>
        <w:rPr>
          <w:rFonts w:hint="eastAsia" w:ascii="仿宋_GB2312" w:hAnsi="仿宋_GB2312" w:eastAsia="仿宋_GB2312" w:cs="仿宋_GB2312"/>
          <w:sz w:val="30"/>
          <w:szCs w:val="30"/>
        </w:rPr>
        <w:t>，每年度各机构提出变更申请，区教育局委托评估机构进行核查。2</w:t>
      </w:r>
      <w:r>
        <w:rPr>
          <w:rFonts w:ascii="仿宋_GB2312" w:hAnsi="仿宋_GB2312" w:eastAsia="仿宋_GB2312" w:cs="仿宋_GB2312"/>
          <w:sz w:val="30"/>
          <w:szCs w:val="30"/>
        </w:rPr>
        <w:t>022</w:t>
      </w:r>
      <w:r>
        <w:rPr>
          <w:rFonts w:hint="eastAsia" w:ascii="仿宋_GB2312" w:hAnsi="仿宋_GB2312" w:eastAsia="仿宋_GB2312" w:cs="仿宋_GB2312"/>
          <w:sz w:val="30"/>
          <w:szCs w:val="30"/>
        </w:rPr>
        <w:t>年委托了上海崇明教育评估中心、上海平协教育研究与评估事务所对机构变更进行评估，具体详见下表。三是机构培训餐费、专家费和代扣代缴税费。</w:t>
      </w:r>
    </w:p>
    <w:p>
      <w:pPr>
        <w:widowControl w:val="0"/>
        <w:spacing w:line="520" w:lineRule="exact"/>
        <w:ind w:firstLine="602" w:firstLineChars="200"/>
        <w:jc w:val="both"/>
        <w:rPr>
          <w:rFonts w:ascii="仿宋_GB2312" w:hAnsi="仿宋_GB2312" w:eastAsia="仿宋_GB2312" w:cs="仿宋_GB2312"/>
          <w:sz w:val="30"/>
          <w:szCs w:val="30"/>
        </w:rPr>
      </w:pPr>
      <w:r>
        <w:rPr>
          <w:rFonts w:hint="eastAsia" w:ascii="仿宋_GB2312" w:hAnsi="仿宋_GB2312" w:eastAsia="仿宋_GB2312" w:cs="仿宋_GB2312"/>
          <w:b/>
          <w:bCs/>
          <w:sz w:val="30"/>
          <w:szCs w:val="30"/>
        </w:rPr>
        <w:t>②培训市场综合治理工作</w:t>
      </w:r>
      <w:r>
        <w:rPr>
          <w:rFonts w:hint="eastAsia" w:ascii="仿宋_GB2312" w:hAnsi="仿宋_GB2312" w:eastAsia="仿宋_GB2312" w:cs="仿宋_GB2312"/>
          <w:sz w:val="30"/>
          <w:szCs w:val="30"/>
        </w:rPr>
        <w:t>：</w:t>
      </w:r>
      <w:r>
        <w:rPr>
          <w:rFonts w:hint="eastAsia" w:ascii="仿宋_GB2312" w:hAnsi="仿宋_GB2312" w:eastAsia="仿宋_GB2312" w:cs="仿宋_GB2312"/>
          <w:b/>
          <w:bCs/>
          <w:sz w:val="30"/>
          <w:szCs w:val="30"/>
        </w:rPr>
        <w:t>一是防疫及消防检查</w:t>
      </w:r>
      <w:r>
        <w:rPr>
          <w:rFonts w:hint="eastAsia" w:ascii="仿宋_GB2312" w:hAnsi="仿宋_GB2312" w:eastAsia="仿宋_GB2312" w:cs="仿宋_GB2312"/>
          <w:sz w:val="30"/>
          <w:szCs w:val="30"/>
        </w:rPr>
        <w:t>，根据《关于进一步推进崇明区校外培训机构“场所码”全覆盖的通知》《于开展校外培训机构新冠肺炎疫情防控和消防安全专项检查的通知》《关于进一步加强学校新冠肺炎疫情防控预防性消毒工作的通知》，对区内民办各类机构进行检查，检查组成员为区教育人员及相关部门人员。经核查，支付了相关检查经费（餐费、车费等），没有支付人员经费。</w:t>
      </w:r>
      <w:r>
        <w:rPr>
          <w:rFonts w:hint="eastAsia" w:ascii="仿宋_GB2312" w:hAnsi="仿宋_GB2312" w:eastAsia="仿宋_GB2312" w:cs="仿宋_GB2312"/>
          <w:b/>
          <w:bCs/>
          <w:sz w:val="30"/>
          <w:szCs w:val="30"/>
        </w:rPr>
        <w:t>二是复工复课检查，</w:t>
      </w:r>
      <w:r>
        <w:rPr>
          <w:rFonts w:hint="eastAsia" w:ascii="仿宋_GB2312" w:hAnsi="仿宋_GB2312" w:eastAsia="仿宋_GB2312" w:cs="仿宋_GB2312"/>
          <w:sz w:val="30"/>
          <w:szCs w:val="30"/>
        </w:rPr>
        <w:t>根据 《上海市培训市场综合治理工作联席会议办公室关于培训机构恢复线下培训服务的通告》《关于崇明区校外培训机构复工的通知》要求，</w:t>
      </w:r>
      <w:r>
        <w:rPr>
          <w:rFonts w:ascii="仿宋_GB2312" w:hAnsi="仿宋_GB2312" w:eastAsia="仿宋_GB2312" w:cs="仿宋_GB2312"/>
          <w:sz w:val="30"/>
          <w:szCs w:val="30"/>
        </w:rPr>
        <w:t>2022</w:t>
      </w:r>
      <w:r>
        <w:rPr>
          <w:rFonts w:hint="eastAsia" w:ascii="仿宋_GB2312" w:hAnsi="仿宋_GB2312" w:eastAsia="仿宋_GB2312" w:cs="仿宋_GB2312"/>
          <w:sz w:val="30"/>
          <w:szCs w:val="30"/>
        </w:rPr>
        <w:t>年</w:t>
      </w:r>
      <w:r>
        <w:rPr>
          <w:rFonts w:ascii="仿宋_GB2312" w:hAnsi="仿宋_GB2312" w:eastAsia="仿宋_GB2312" w:cs="仿宋_GB2312"/>
          <w:sz w:val="30"/>
          <w:szCs w:val="30"/>
        </w:rPr>
        <w:t>7月，区教育局组成专项检查组，分2组实地检查本区34家提交复工申请的培训机构，并随机抽查了其它未申请复工的机构</w:t>
      </w:r>
      <w:r>
        <w:rPr>
          <w:rFonts w:hint="eastAsia" w:ascii="仿宋_GB2312" w:hAnsi="仿宋_GB2312" w:eastAsia="仿宋_GB2312" w:cs="仿宋_GB2312"/>
          <w:sz w:val="30"/>
          <w:szCs w:val="30"/>
        </w:rPr>
        <w:t>。检查组成员为区教育人员及相关部门人员。经核查，支付了相关检查经费（餐费、车费等），没有支付人员经费。</w:t>
      </w:r>
      <w:r>
        <w:rPr>
          <w:rFonts w:hint="eastAsia" w:ascii="仿宋_GB2312" w:hAnsi="仿宋_GB2312" w:eastAsia="仿宋_GB2312" w:cs="仿宋_GB2312"/>
          <w:b/>
          <w:bCs/>
          <w:sz w:val="30"/>
          <w:szCs w:val="30"/>
        </w:rPr>
        <w:t>三是寒暑期检查，</w:t>
      </w:r>
      <w:r>
        <w:rPr>
          <w:rFonts w:hint="eastAsia" w:ascii="仿宋_GB2312" w:hAnsi="仿宋_GB2312" w:eastAsia="仿宋_GB2312" w:cs="仿宋_GB2312"/>
          <w:sz w:val="30"/>
          <w:szCs w:val="30"/>
        </w:rPr>
        <w:t>根据《教育部办公厅关于做好</w:t>
      </w:r>
      <w:r>
        <w:rPr>
          <w:rFonts w:ascii="仿宋_GB2312" w:hAnsi="仿宋_GB2312" w:eastAsia="仿宋_GB2312" w:cs="仿宋_GB2312"/>
          <w:sz w:val="30"/>
          <w:szCs w:val="30"/>
        </w:rPr>
        <w:t>2022年暑期校外培训治理有关工作的通知</w:t>
      </w:r>
      <w:r>
        <w:rPr>
          <w:rFonts w:hint="eastAsia" w:ascii="仿宋_GB2312" w:hAnsi="仿宋_GB2312" w:eastAsia="仿宋_GB2312" w:cs="仿宋_GB2312"/>
          <w:sz w:val="30"/>
          <w:szCs w:val="30"/>
        </w:rPr>
        <w:t>》（教监管厅函〔</w:t>
      </w:r>
      <w:r>
        <w:rPr>
          <w:rFonts w:ascii="仿宋_GB2312" w:hAnsi="仿宋_GB2312" w:eastAsia="仿宋_GB2312" w:cs="仿宋_GB2312"/>
          <w:sz w:val="30"/>
          <w:szCs w:val="30"/>
        </w:rPr>
        <w:t>2022〕12 号</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上海市培训市场综合治理工作联席会议办公室关于印发2022年寒假校外培训机构专项治理工作方案的通知</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（沪培联办〔2022〕3号）</w:t>
      </w:r>
      <w:r>
        <w:rPr>
          <w:rFonts w:hint="eastAsia" w:ascii="仿宋_GB2312" w:hAnsi="仿宋_GB2312" w:eastAsia="仿宋_GB2312" w:cs="仿宋_GB2312"/>
          <w:sz w:val="30"/>
          <w:szCs w:val="30"/>
        </w:rPr>
        <w:t>，从培训时间、培训范围、培训资质等方面对区内机构进行了检查，检查组成员为区教育人员。经核查，支付了相关检查经费（餐费、车费等），没有支付人员经费。</w:t>
      </w:r>
      <w:r>
        <w:rPr>
          <w:rFonts w:hint="eastAsia" w:ascii="仿宋_GB2312" w:hAnsi="仿宋_GB2312" w:eastAsia="仿宋_GB2312" w:cs="仿宋_GB2312"/>
          <w:b/>
          <w:bCs/>
          <w:sz w:val="30"/>
          <w:szCs w:val="30"/>
        </w:rPr>
        <w:t>四是教育收费专项检查</w:t>
      </w:r>
      <w:r>
        <w:rPr>
          <w:rFonts w:hint="eastAsia" w:ascii="仿宋_GB2312" w:hAnsi="仿宋_GB2312" w:eastAsia="仿宋_GB2312" w:cs="仿宋_GB2312"/>
          <w:sz w:val="30"/>
          <w:szCs w:val="30"/>
        </w:rPr>
        <w:t>，根据《</w:t>
      </w:r>
      <w:r>
        <w:rPr>
          <w:rFonts w:hint="eastAsia" w:ascii="仿宋_GB2312" w:hAnsi="仿宋_GB2312" w:eastAsia="仿宋_GB2312" w:cs="仿宋_GB2312"/>
          <w:sz w:val="32"/>
          <w:szCs w:val="32"/>
        </w:rPr>
        <w:t>关于印发2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年上海市教育收费专项检查工作方案的通知</w:t>
      </w:r>
      <w:r>
        <w:rPr>
          <w:rFonts w:hint="eastAsia" w:ascii="仿宋_GB2312" w:hAnsi="仿宋_GB2312" w:eastAsia="仿宋_GB2312" w:cs="仿宋_GB2312"/>
          <w:sz w:val="30"/>
          <w:szCs w:val="30"/>
        </w:rPr>
        <w:t>》，开展区内学科类培训机构收费检查，对</w:t>
      </w:r>
      <w:r>
        <w:rPr>
          <w:rFonts w:ascii="仿宋_GB2312" w:hAnsi="仿宋_GB2312" w:eastAsia="仿宋_GB2312" w:cs="仿宋_GB2312"/>
          <w:sz w:val="30"/>
          <w:szCs w:val="30"/>
        </w:rPr>
        <w:t>12家培训机构</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义务教育阶段、高中各6家</w:t>
      </w:r>
      <w:r>
        <w:rPr>
          <w:rFonts w:hint="eastAsia" w:ascii="仿宋_GB2312" w:hAnsi="仿宋_GB2312" w:eastAsia="仿宋_GB2312" w:cs="仿宋_GB2312"/>
          <w:sz w:val="30"/>
          <w:szCs w:val="30"/>
        </w:rPr>
        <w:t>）进行了检查，</w:t>
      </w:r>
      <w:r>
        <w:rPr>
          <w:rFonts w:ascii="仿宋_GB2312" w:hAnsi="仿宋_GB2312" w:eastAsia="仿宋_GB2312" w:cs="仿宋_GB2312"/>
          <w:sz w:val="30"/>
          <w:szCs w:val="30"/>
        </w:rPr>
        <w:t>12家培训机构均执行收费公示制度，</w:t>
      </w:r>
      <w:r>
        <w:rPr>
          <w:rFonts w:hint="eastAsia" w:ascii="仿宋_GB2312" w:hAnsi="仿宋_GB2312" w:eastAsia="仿宋_GB2312" w:cs="仿宋_GB2312"/>
          <w:sz w:val="30"/>
          <w:szCs w:val="30"/>
        </w:rPr>
        <w:t>均已设立预收费专用账户，与银行签订预收费托管协议，确立预收费资金拨付机制，</w:t>
      </w:r>
      <w:r>
        <w:rPr>
          <w:rFonts w:ascii="仿宋_GB2312" w:hAnsi="仿宋_GB2312" w:eastAsia="仿宋_GB2312" w:cs="仿宋_GB2312"/>
          <w:sz w:val="30"/>
          <w:szCs w:val="30"/>
        </w:rPr>
        <w:t>一次性收取时间跨度</w:t>
      </w:r>
      <w:r>
        <w:rPr>
          <w:rFonts w:hint="eastAsia" w:ascii="仿宋_GB2312" w:hAnsi="仿宋_GB2312" w:eastAsia="仿宋_GB2312" w:cs="仿宋_GB2312"/>
          <w:sz w:val="30"/>
          <w:szCs w:val="30"/>
        </w:rPr>
        <w:t>均</w:t>
      </w:r>
      <w:r>
        <w:rPr>
          <w:rFonts w:ascii="仿宋_GB2312" w:hAnsi="仿宋_GB2312" w:eastAsia="仿宋_GB2312" w:cs="仿宋_GB2312"/>
          <w:sz w:val="30"/>
          <w:szCs w:val="30"/>
        </w:rPr>
        <w:t>不超过3个月的费用</w:t>
      </w:r>
      <w:r>
        <w:rPr>
          <w:rFonts w:hint="eastAsia" w:ascii="仿宋_GB2312" w:hAnsi="仿宋_GB2312" w:eastAsia="仿宋_GB2312" w:cs="仿宋_GB2312"/>
          <w:sz w:val="30"/>
          <w:szCs w:val="30"/>
        </w:rPr>
        <w:t>，其中，</w:t>
      </w:r>
      <w:r>
        <w:rPr>
          <w:rFonts w:ascii="仿宋_GB2312" w:hAnsi="仿宋_GB2312" w:eastAsia="仿宋_GB2312" w:cs="仿宋_GB2312"/>
          <w:sz w:val="30"/>
          <w:szCs w:val="30"/>
        </w:rPr>
        <w:t>6家学科类义务教育阶段培训机构均执行政府指导价，6家学科类高中培训机构均参照执行</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均与培训对象签订《中小学生校外培训服务合同（示范文本）》，并给培训对象出具收费凭证。</w:t>
      </w:r>
      <w:r>
        <w:rPr>
          <w:rFonts w:hint="eastAsia" w:ascii="仿宋_GB2312" w:hAnsi="仿宋_GB2312" w:eastAsia="仿宋_GB2312" w:cs="仿宋_GB2312"/>
          <w:sz w:val="30"/>
          <w:szCs w:val="30"/>
        </w:rPr>
        <w:t>检查组成员为区教育人员。经核查，支付了相关检查经费（餐费、车费等），没有支付人员经费。</w:t>
      </w:r>
      <w:r>
        <w:rPr>
          <w:rFonts w:hint="eastAsia" w:ascii="仿宋_GB2312" w:hAnsi="仿宋_GB2312" w:eastAsia="仿宋_GB2312" w:cs="仿宋_GB2312"/>
          <w:b/>
          <w:bCs/>
          <w:sz w:val="30"/>
          <w:szCs w:val="30"/>
        </w:rPr>
        <w:t>五是培训材料及人员检查</w:t>
      </w:r>
      <w:r>
        <w:rPr>
          <w:rFonts w:hint="eastAsia" w:ascii="仿宋_GB2312" w:hAnsi="仿宋_GB2312" w:eastAsia="仿宋_GB2312" w:cs="仿宋_GB2312"/>
          <w:sz w:val="30"/>
          <w:szCs w:val="30"/>
        </w:rPr>
        <w:t>，根据《关于开展校外培训机构培训材料与从业人员专项排查行动工作的通知》要求，对区内中小学及学龄前儿童校外培训机构专项排查全覆盖，此次排查共收到培训审查教材</w:t>
      </w:r>
      <w:r>
        <w:rPr>
          <w:rFonts w:ascii="仿宋_GB2312" w:hAnsi="仿宋_GB2312" w:eastAsia="仿宋_GB2312" w:cs="仿宋_GB2312"/>
          <w:sz w:val="30"/>
          <w:szCs w:val="30"/>
        </w:rPr>
        <w:t>164本，涉及到7大类，内容及出版社基本认定符合规定，未出现违规教材。</w:t>
      </w:r>
      <w:r>
        <w:rPr>
          <w:rFonts w:hint="eastAsia" w:ascii="仿宋_GB2312" w:hAnsi="仿宋_GB2312" w:eastAsia="仿宋_GB2312" w:cs="仿宋_GB2312"/>
          <w:sz w:val="30"/>
          <w:szCs w:val="30"/>
        </w:rPr>
        <w:t>培训从业人员信息为</w:t>
      </w:r>
      <w:r>
        <w:rPr>
          <w:rFonts w:ascii="仿宋_GB2312" w:hAnsi="仿宋_GB2312" w:eastAsia="仿宋_GB2312" w:cs="仿宋_GB2312"/>
          <w:sz w:val="30"/>
          <w:szCs w:val="30"/>
        </w:rPr>
        <w:t>273人</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发现有1人，因故意伤害案被行政拘留</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其余人员没有违法犯罪记录，</w:t>
      </w:r>
      <w:r>
        <w:rPr>
          <w:rFonts w:hint="eastAsia" w:ascii="仿宋_GB2312" w:hAnsi="仿宋_GB2312" w:eastAsia="仿宋_GB2312" w:cs="仿宋_GB2312"/>
          <w:sz w:val="30"/>
          <w:szCs w:val="30"/>
        </w:rPr>
        <w:t>已</w:t>
      </w:r>
      <w:r>
        <w:rPr>
          <w:rFonts w:ascii="仿宋_GB2312" w:hAnsi="仿宋_GB2312" w:eastAsia="仿宋_GB2312" w:cs="仿宋_GB2312"/>
          <w:sz w:val="30"/>
          <w:szCs w:val="30"/>
        </w:rPr>
        <w:t>落实整改</w:t>
      </w:r>
      <w:r>
        <w:rPr>
          <w:rFonts w:hint="eastAsia" w:ascii="仿宋_GB2312" w:hAnsi="仿宋_GB2312" w:eastAsia="仿宋_GB2312" w:cs="仿宋_GB2312"/>
          <w:sz w:val="30"/>
          <w:szCs w:val="30"/>
        </w:rPr>
        <w:t>。检查组成员为区教育人员。经核查，支付了相关检查经费（餐费、车费等），没有支付人员经费。</w:t>
      </w:r>
      <w:r>
        <w:rPr>
          <w:rFonts w:hint="eastAsia" w:ascii="仿宋_GB2312" w:hAnsi="Times New Roman" w:eastAsia="仿宋_GB2312" w:cs="Times New Roman"/>
          <w:kern w:val="2"/>
          <w:sz w:val="30"/>
          <w:szCs w:val="30"/>
        </w:rPr>
        <w:t>综上所述，</w:t>
      </w:r>
      <w:r>
        <w:rPr>
          <w:rFonts w:ascii="仿宋_GB2312" w:hAnsi="Times New Roman" w:eastAsia="仿宋_GB2312" w:cs="Times New Roman"/>
          <w:kern w:val="2"/>
          <w:sz w:val="30"/>
          <w:szCs w:val="30"/>
        </w:rPr>
        <w:t>2022年民办非学历教育机构管理经费共支出143059元</w:t>
      </w:r>
      <w:r>
        <w:rPr>
          <w:rFonts w:hint="eastAsia" w:ascii="仿宋_GB2312" w:hAnsi="Times New Roman" w:eastAsia="仿宋_GB2312" w:cs="Times New Roman"/>
          <w:kern w:val="2"/>
          <w:sz w:val="30"/>
          <w:szCs w:val="30"/>
        </w:rPr>
        <w:t>。</w:t>
      </w:r>
    </w:p>
    <w:p>
      <w:pPr>
        <w:jc w:val="center"/>
        <w:rPr>
          <w:rFonts w:ascii="Times New Roman" w:hAnsi="Times New Roman" w:eastAsia="仿宋_GB2312" w:cs="Times New Roman"/>
          <w:b/>
        </w:rPr>
      </w:pPr>
      <w:r>
        <w:rPr>
          <w:rFonts w:ascii="Times New Roman" w:hAnsi="Times New Roman" w:eastAsia="仿宋_GB2312" w:cs="Times New Roman"/>
          <w:b/>
        </w:rPr>
        <w:t>表1-2</w:t>
      </w:r>
      <w:r>
        <w:rPr>
          <w:rFonts w:hint="eastAsia" w:ascii="Times New Roman" w:hAnsi="Times New Roman" w:eastAsia="仿宋_GB2312" w:cs="Times New Roman"/>
          <w:b/>
        </w:rPr>
        <w:t>-</w:t>
      </w:r>
      <w:r>
        <w:rPr>
          <w:rFonts w:ascii="Times New Roman" w:hAnsi="Times New Roman" w:eastAsia="仿宋_GB2312" w:cs="Times New Roman"/>
          <w:b/>
        </w:rPr>
        <w:t>20 2022年崇明区教育局民办非学历教育机构管理经费使用情况</w:t>
      </w:r>
    </w:p>
    <w:tbl>
      <w:tblPr>
        <w:tblStyle w:val="40"/>
        <w:tblW w:w="10343" w:type="dxa"/>
        <w:jc w:val="center"/>
        <w:tblInd w:w="0" w:type="dxa"/>
        <w:tblLayout w:type="fixed"/>
        <w:tblCellMar>
          <w:top w:w="0" w:type="dxa"/>
          <w:left w:w="108" w:type="dxa"/>
          <w:bottom w:w="0" w:type="dxa"/>
          <w:right w:w="108" w:type="dxa"/>
        </w:tblCellMar>
      </w:tblPr>
      <w:tblGrid>
        <w:gridCol w:w="704"/>
        <w:gridCol w:w="1843"/>
        <w:gridCol w:w="1276"/>
        <w:gridCol w:w="6520"/>
      </w:tblGrid>
      <w:tr>
        <w:tblPrEx>
          <w:tblLayout w:type="fixed"/>
          <w:tblCellMar>
            <w:top w:w="0" w:type="dxa"/>
            <w:left w:w="108" w:type="dxa"/>
            <w:bottom w:w="0" w:type="dxa"/>
            <w:right w:w="108" w:type="dxa"/>
          </w:tblCellMar>
        </w:tblPrEx>
        <w:trPr>
          <w:trHeight w:val="227" w:hRule="atLeast"/>
          <w:tblHeader/>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序号</w:t>
            </w:r>
          </w:p>
        </w:tc>
        <w:tc>
          <w:tcPr>
            <w:tcW w:w="1843"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项目明细</w:t>
            </w:r>
          </w:p>
        </w:tc>
        <w:tc>
          <w:tcPr>
            <w:tcW w:w="1276"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金额</w:t>
            </w:r>
          </w:p>
        </w:tc>
        <w:tc>
          <w:tcPr>
            <w:tcW w:w="6520" w:type="dxa"/>
            <w:tcBorders>
              <w:top w:val="single" w:color="auto" w:sz="4" w:space="0"/>
              <w:left w:val="nil"/>
              <w:bottom w:val="single" w:color="auto" w:sz="4" w:space="0"/>
              <w:right w:val="single" w:color="auto" w:sz="4" w:space="0"/>
            </w:tcBorders>
            <w:shd w:val="clear" w:color="000000" w:fill="FFFFFF"/>
            <w:vAlign w:val="center"/>
          </w:tcPr>
          <w:p>
            <w:pPr>
              <w:snapToGrid w:val="0"/>
              <w:spacing w:line="240" w:lineRule="atLeast"/>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具体支出明细内容</w:t>
            </w:r>
          </w:p>
        </w:tc>
      </w:tr>
      <w:tr>
        <w:tblPrEx>
          <w:tblLayout w:type="fixed"/>
          <w:tblCellMar>
            <w:top w:w="0" w:type="dxa"/>
            <w:left w:w="108" w:type="dxa"/>
            <w:bottom w:w="0" w:type="dxa"/>
            <w:right w:w="108" w:type="dxa"/>
          </w:tblCellMar>
        </w:tblPrEx>
        <w:trPr>
          <w:trHeight w:val="227"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1</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Times New Roman" w:eastAsia="仿宋_GB2312" w:cs="Times New Roman"/>
                <w:sz w:val="21"/>
                <w:szCs w:val="21"/>
              </w:rPr>
            </w:pPr>
            <w:r>
              <w:rPr>
                <w:rFonts w:hint="eastAsia" w:ascii="仿宋_GB2312" w:hAnsi="Times New Roman" w:eastAsia="仿宋_GB2312" w:cs="Times New Roman"/>
                <w:sz w:val="21"/>
                <w:szCs w:val="21"/>
              </w:rPr>
              <w:t>民办非学历教育机构变更、年检检查等评估</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sz w:val="21"/>
                <w:szCs w:val="21"/>
              </w:rPr>
            </w:pPr>
            <w:r>
              <w:rPr>
                <w:rFonts w:hint="eastAsia" w:ascii="仿宋_GB2312" w:hAnsi="Times New Roman" w:eastAsia="仿宋_GB2312" w:cs="Times New Roman"/>
                <w:sz w:val="21"/>
                <w:szCs w:val="21"/>
              </w:rPr>
              <w:t>11</w:t>
            </w:r>
            <w:r>
              <w:rPr>
                <w:rFonts w:ascii="仿宋_GB2312" w:hAnsi="Times New Roman" w:eastAsia="仿宋_GB2312" w:cs="Times New Roman"/>
                <w:sz w:val="21"/>
                <w:szCs w:val="21"/>
              </w:rPr>
              <w:t>8</w:t>
            </w:r>
            <w:r>
              <w:rPr>
                <w:rFonts w:hint="eastAsia" w:ascii="仿宋_GB2312" w:hAnsi="Times New Roman" w:eastAsia="仿宋_GB2312" w:cs="Times New Roman"/>
                <w:sz w:val="21"/>
                <w:szCs w:val="21"/>
              </w:rPr>
              <w:t>,200.00</w:t>
            </w:r>
          </w:p>
        </w:tc>
        <w:tc>
          <w:tcPr>
            <w:tcW w:w="6520" w:type="dxa"/>
            <w:tcBorders>
              <w:top w:val="nil"/>
              <w:left w:val="nil"/>
              <w:bottom w:val="single" w:color="auto" w:sz="4" w:space="0"/>
              <w:right w:val="single" w:color="auto" w:sz="4" w:space="0"/>
            </w:tcBorders>
            <w:shd w:val="clear" w:color="000000" w:fill="FFFFFF"/>
            <w:vAlign w:val="center"/>
          </w:tcPr>
          <w:p>
            <w:pPr>
              <w:snapToGrid w:val="0"/>
              <w:spacing w:line="240" w:lineRule="atLeast"/>
              <w:rPr>
                <w:rFonts w:ascii="仿宋_GB2312" w:hAnsi="Times New Roman" w:eastAsia="仿宋_GB2312" w:cs="Times New Roman"/>
                <w:sz w:val="21"/>
                <w:szCs w:val="21"/>
              </w:rPr>
            </w:pPr>
            <w:r>
              <w:rPr>
                <w:rFonts w:hint="eastAsia" w:ascii="仿宋_GB2312" w:hAnsi="Times New Roman" w:eastAsia="仿宋_GB2312" w:cs="Times New Roman"/>
                <w:sz w:val="21"/>
                <w:szCs w:val="21"/>
              </w:rPr>
              <w:t>支培训机构评估餐费300元，支工技校市级项目专家评审费6000元，支上海崇明教育评估中心“2021年度培训机构年检评估”57000元，支劳务费代扣个人所得税900元，支上海平协教育研究与评估事务所“民乐进修学院办学内容及办学地址变更评估”7000元，支上海崇明教育评估中心“民一、启明星及唯望三家机构变更办学内容及高中学科类培训营转非评估” 18000元，支上海平协教育研究与评估事务所“四家机构高中学科类营转非及举办者变更等评估”23000元，支上海平协教育研究与评估事务所“上海现代企业法律培训中心办学内容及地址变更评估”6000元。</w:t>
            </w:r>
          </w:p>
        </w:tc>
      </w:tr>
      <w:tr>
        <w:tblPrEx>
          <w:tblLayout w:type="fixed"/>
          <w:tblCellMar>
            <w:top w:w="0" w:type="dxa"/>
            <w:left w:w="108" w:type="dxa"/>
            <w:bottom w:w="0" w:type="dxa"/>
            <w:right w:w="108" w:type="dxa"/>
          </w:tblCellMar>
        </w:tblPrEx>
        <w:trPr>
          <w:trHeight w:val="227" w:hRule="atLeast"/>
          <w:jc w:val="center"/>
        </w:trPr>
        <w:tc>
          <w:tcPr>
            <w:tcW w:w="704"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2</w:t>
            </w:r>
          </w:p>
        </w:tc>
        <w:tc>
          <w:tcPr>
            <w:tcW w:w="1843"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Times New Roman" w:eastAsia="仿宋_GB2312" w:cs="Times New Roman"/>
                <w:sz w:val="21"/>
                <w:szCs w:val="21"/>
              </w:rPr>
            </w:pPr>
            <w:r>
              <w:rPr>
                <w:rFonts w:hint="eastAsia" w:ascii="仿宋_GB2312" w:hAnsi="Times New Roman" w:eastAsia="仿宋_GB2312" w:cs="Times New Roman"/>
                <w:sz w:val="21"/>
                <w:szCs w:val="21"/>
              </w:rPr>
              <w:t>全区培训市场综合治理工作相关工作经费</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sz w:val="21"/>
                <w:szCs w:val="21"/>
              </w:rPr>
            </w:pPr>
            <w:r>
              <w:rPr>
                <w:rFonts w:hint="eastAsia" w:ascii="仿宋_GB2312" w:hAnsi="Times New Roman" w:eastAsia="仿宋_GB2312" w:cs="Times New Roman"/>
                <w:sz w:val="21"/>
                <w:szCs w:val="21"/>
              </w:rPr>
              <w:t>24,859.00</w:t>
            </w:r>
          </w:p>
        </w:tc>
        <w:tc>
          <w:tcPr>
            <w:tcW w:w="6520" w:type="dxa"/>
            <w:tcBorders>
              <w:top w:val="nil"/>
              <w:left w:val="nil"/>
              <w:bottom w:val="single" w:color="auto" w:sz="4" w:space="0"/>
              <w:right w:val="single" w:color="auto" w:sz="4" w:space="0"/>
            </w:tcBorders>
            <w:shd w:val="clear" w:color="000000" w:fill="FFFFFF"/>
            <w:vAlign w:val="center"/>
          </w:tcPr>
          <w:p>
            <w:pPr>
              <w:snapToGrid w:val="0"/>
              <w:spacing w:line="240" w:lineRule="atLeast"/>
              <w:rPr>
                <w:rFonts w:ascii="仿宋_GB2312" w:hAnsi="Times New Roman" w:eastAsia="仿宋_GB2312" w:cs="Times New Roman"/>
                <w:sz w:val="21"/>
                <w:szCs w:val="21"/>
              </w:rPr>
            </w:pPr>
            <w:r>
              <w:rPr>
                <w:rFonts w:hint="eastAsia" w:ascii="仿宋_GB2312" w:hAnsi="Times New Roman" w:eastAsia="仿宋_GB2312" w:cs="Times New Roman"/>
                <w:sz w:val="21"/>
                <w:szCs w:val="21"/>
              </w:rPr>
              <w:t>主要为全区培训市场综合治理相关工作经费，包括餐费、校外培训机构综合治理工作调研会经费、培训机构疫情防控、消防等实地检查经费等。</w:t>
            </w:r>
          </w:p>
        </w:tc>
      </w:tr>
      <w:tr>
        <w:tblPrEx>
          <w:tblLayout w:type="fixed"/>
          <w:tblCellMar>
            <w:top w:w="0" w:type="dxa"/>
            <w:left w:w="108" w:type="dxa"/>
            <w:bottom w:w="0" w:type="dxa"/>
            <w:right w:w="108" w:type="dxa"/>
          </w:tblCellMar>
        </w:tblPrEx>
        <w:trPr>
          <w:trHeight w:val="227" w:hRule="atLeast"/>
          <w:jc w:val="center"/>
        </w:trPr>
        <w:tc>
          <w:tcPr>
            <w:tcW w:w="2547" w:type="dxa"/>
            <w:gridSpan w:val="2"/>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合计：</w:t>
            </w:r>
          </w:p>
        </w:tc>
        <w:tc>
          <w:tcPr>
            <w:tcW w:w="127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sz w:val="21"/>
                <w:szCs w:val="21"/>
              </w:rPr>
            </w:pPr>
            <w:r>
              <w:rPr>
                <w:rFonts w:hint="eastAsia" w:ascii="仿宋_GB2312" w:hAnsi="Times New Roman" w:eastAsia="仿宋_GB2312" w:cs="Times New Roman"/>
                <w:b/>
                <w:bCs/>
                <w:color w:val="000000"/>
                <w:sz w:val="21"/>
                <w:szCs w:val="21"/>
              </w:rPr>
              <w:t>143,059.00</w:t>
            </w:r>
          </w:p>
        </w:tc>
        <w:tc>
          <w:tcPr>
            <w:tcW w:w="6520" w:type="dxa"/>
            <w:tcBorders>
              <w:top w:val="nil"/>
              <w:left w:val="nil"/>
              <w:bottom w:val="single" w:color="auto" w:sz="4" w:space="0"/>
              <w:right w:val="single" w:color="auto" w:sz="4" w:space="0"/>
            </w:tcBorders>
            <w:shd w:val="clear" w:color="000000" w:fill="FFFFFF"/>
            <w:vAlign w:val="center"/>
          </w:tcPr>
          <w:p>
            <w:pPr>
              <w:snapToGrid w:val="0"/>
              <w:spacing w:line="240" w:lineRule="atLeast"/>
              <w:rPr>
                <w:rFonts w:ascii="仿宋_GB2312" w:hAnsi="Times New Roman" w:eastAsia="仿宋_GB2312" w:cs="Times New Roman"/>
                <w:sz w:val="21"/>
                <w:szCs w:val="21"/>
              </w:rPr>
            </w:pPr>
            <w:r>
              <w:rPr>
                <w:rFonts w:hint="eastAsia" w:ascii="仿宋_GB2312" w:hAnsi="Times New Roman" w:eastAsia="仿宋_GB2312" w:cs="Times New Roman"/>
                <w:sz w:val="21"/>
                <w:szCs w:val="21"/>
              </w:rPr>
              <w:t>——</w:t>
            </w:r>
          </w:p>
        </w:tc>
      </w:tr>
    </w:tbl>
    <w:p>
      <w:pPr>
        <w:widowControl w:val="0"/>
        <w:spacing w:line="520" w:lineRule="exact"/>
        <w:ind w:firstLine="600" w:firstLineChars="200"/>
        <w:jc w:val="both"/>
        <w:rPr>
          <w:rFonts w:ascii="仿宋_GB2312" w:hAnsi="Times New Roman" w:eastAsia="仿宋_GB2312" w:cs="Times New Roman"/>
          <w:kern w:val="2"/>
          <w:sz w:val="30"/>
          <w:szCs w:val="30"/>
        </w:rPr>
      </w:pPr>
    </w:p>
    <w:p>
      <w:pPr>
        <w:widowControl w:val="0"/>
        <w:spacing w:line="520" w:lineRule="exact"/>
        <w:ind w:firstLine="600" w:firstLineChars="200"/>
        <w:jc w:val="both"/>
        <w:rPr>
          <w:rFonts w:ascii="仿宋_GB2312" w:hAnsi="Times New Roman" w:eastAsia="仿宋_GB2312" w:cs="Times New Roman"/>
          <w:kern w:val="2"/>
          <w:sz w:val="30"/>
          <w:szCs w:val="30"/>
        </w:rPr>
        <w:sectPr>
          <w:pgSz w:w="11900" w:h="16840"/>
          <w:pgMar w:top="1474" w:right="1531" w:bottom="1474" w:left="1531" w:header="851" w:footer="992" w:gutter="0"/>
          <w:cols w:space="425" w:num="1"/>
          <w:docGrid w:linePitch="312" w:charSpace="0"/>
        </w:sectPr>
      </w:pPr>
    </w:p>
    <w:p>
      <w:pPr>
        <w:widowControl w:val="0"/>
        <w:spacing w:line="560" w:lineRule="exact"/>
        <w:jc w:val="center"/>
        <w:rPr>
          <w:rFonts w:ascii="Times New Roman" w:hAnsi="Times New Roman" w:eastAsia="仿宋_GB2312" w:cs="Times New Roman"/>
          <w:b/>
        </w:rPr>
      </w:pPr>
      <w:r>
        <w:rPr>
          <w:rFonts w:ascii="Times New Roman" w:hAnsi="Times New Roman" w:eastAsia="仿宋_GB2312" w:cs="Times New Roman"/>
          <w:b/>
        </w:rPr>
        <w:t>表1-2</w:t>
      </w:r>
      <w:r>
        <w:rPr>
          <w:rFonts w:hint="eastAsia" w:ascii="Times New Roman" w:hAnsi="Times New Roman" w:eastAsia="仿宋_GB2312" w:cs="Times New Roman"/>
          <w:b/>
        </w:rPr>
        <w:t>-</w:t>
      </w:r>
      <w:r>
        <w:rPr>
          <w:rFonts w:ascii="Times New Roman" w:hAnsi="Times New Roman" w:eastAsia="仿宋_GB2312" w:cs="Times New Roman"/>
          <w:b/>
        </w:rPr>
        <w:t>21  2022年成职科内涵发展经费</w:t>
      </w:r>
      <w:r>
        <w:rPr>
          <w:rFonts w:hint="eastAsia" w:ascii="Times New Roman" w:hAnsi="Times New Roman" w:eastAsia="仿宋_GB2312" w:cs="Times New Roman"/>
          <w:b/>
        </w:rPr>
        <w:t>项目计划及完成情况汇总</w:t>
      </w:r>
      <w:r>
        <w:rPr>
          <w:rFonts w:ascii="Times New Roman" w:hAnsi="Times New Roman" w:eastAsia="仿宋_GB2312" w:cs="Times New Roman"/>
          <w:b/>
        </w:rPr>
        <w:t>表</w:t>
      </w:r>
    </w:p>
    <w:tbl>
      <w:tblPr>
        <w:tblStyle w:val="40"/>
        <w:tblW w:w="15390" w:type="dxa"/>
        <w:tblInd w:w="0" w:type="dxa"/>
        <w:tblLayout w:type="fixed"/>
        <w:tblCellMar>
          <w:top w:w="0" w:type="dxa"/>
          <w:left w:w="108" w:type="dxa"/>
          <w:bottom w:w="0" w:type="dxa"/>
          <w:right w:w="108" w:type="dxa"/>
        </w:tblCellMar>
      </w:tblPr>
      <w:tblGrid>
        <w:gridCol w:w="1175"/>
        <w:gridCol w:w="1410"/>
        <w:gridCol w:w="5205"/>
        <w:gridCol w:w="6098"/>
        <w:gridCol w:w="1502"/>
      </w:tblGrid>
      <w:tr>
        <w:tblPrEx>
          <w:tblLayout w:type="fixed"/>
          <w:tblCellMar>
            <w:top w:w="0" w:type="dxa"/>
            <w:left w:w="108" w:type="dxa"/>
            <w:bottom w:w="0" w:type="dxa"/>
            <w:right w:w="108" w:type="dxa"/>
          </w:tblCellMar>
        </w:tblPrEx>
        <w:trPr>
          <w:trHeight w:val="283" w:hRule="atLeast"/>
          <w:tblHeader/>
        </w:trPr>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bookmarkStart w:id="25" w:name="_Hlk137640458"/>
            <w:r>
              <w:rPr>
                <w:rFonts w:hint="eastAsia" w:ascii="仿宋_GB2312" w:hAnsi="等线" w:eastAsia="仿宋_GB2312"/>
                <w:b/>
                <w:bCs/>
                <w:color w:val="000000"/>
                <w:sz w:val="18"/>
                <w:szCs w:val="18"/>
              </w:rPr>
              <w:t>项目分类</w:t>
            </w:r>
          </w:p>
        </w:tc>
        <w:tc>
          <w:tcPr>
            <w:tcW w:w="1410"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子项目名称</w:t>
            </w:r>
          </w:p>
        </w:tc>
        <w:tc>
          <w:tcPr>
            <w:tcW w:w="5205"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项目实施计划</w:t>
            </w:r>
          </w:p>
        </w:tc>
        <w:tc>
          <w:tcPr>
            <w:tcW w:w="6098"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项目实际完成</w:t>
            </w:r>
          </w:p>
        </w:tc>
        <w:tc>
          <w:tcPr>
            <w:tcW w:w="1502" w:type="dxa"/>
            <w:tcBorders>
              <w:top w:val="single" w:color="auto" w:sz="4" w:space="0"/>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完成情况</w:t>
            </w:r>
          </w:p>
        </w:tc>
      </w:tr>
      <w:tr>
        <w:tblPrEx>
          <w:tblLayout w:type="fixed"/>
          <w:tblCellMar>
            <w:top w:w="0" w:type="dxa"/>
            <w:left w:w="108" w:type="dxa"/>
            <w:bottom w:w="0" w:type="dxa"/>
            <w:right w:w="108" w:type="dxa"/>
          </w:tblCellMar>
        </w:tblPrEx>
        <w:trPr>
          <w:trHeight w:val="283" w:hRule="atLeast"/>
        </w:trPr>
        <w:tc>
          <w:tcPr>
            <w:tcW w:w="1175"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终身教育</w:t>
            </w:r>
          </w:p>
        </w:tc>
        <w:tc>
          <w:tcPr>
            <w:tcW w:w="141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b/>
                <w:bCs/>
                <w:color w:val="000000"/>
                <w:sz w:val="18"/>
                <w:szCs w:val="18"/>
              </w:rPr>
            </w:pPr>
            <w:r>
              <w:rPr>
                <w:rFonts w:hint="eastAsia" w:ascii="仿宋_GB2312" w:hAnsi="等线" w:eastAsia="仿宋_GB2312"/>
                <w:b/>
                <w:bCs/>
                <w:color w:val="000000"/>
                <w:sz w:val="18"/>
                <w:szCs w:val="18"/>
              </w:rPr>
              <w:t>老年教育三类学习点建设经费</w:t>
            </w:r>
          </w:p>
        </w:tc>
        <w:tc>
          <w:tcPr>
            <w:tcW w:w="5205" w:type="dxa"/>
            <w:tcBorders>
              <w:top w:val="nil"/>
              <w:left w:val="nil"/>
              <w:bottom w:val="nil"/>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2022年，完成居村委示范学习点（新建）</w:t>
            </w:r>
            <w:r>
              <w:rPr>
                <w:rFonts w:ascii="仿宋_GB2312" w:hAnsi="等线" w:eastAsia="仿宋_GB2312"/>
                <w:color w:val="000000"/>
                <w:sz w:val="18"/>
                <w:szCs w:val="18"/>
              </w:rPr>
              <w:t>1-3个，居村委特色学习点（升级）2-3个，社会学习点（新建）2个，优秀社会学习点（升级）2个，养教结合学习点（新建）1个，养教结合标准化学习点（新建）1个</w:t>
            </w:r>
            <w:r>
              <w:rPr>
                <w:rFonts w:hint="eastAsia" w:ascii="仿宋_GB2312" w:hAnsi="等线" w:eastAsia="仿宋_GB2312"/>
                <w:color w:val="000000"/>
                <w:sz w:val="18"/>
                <w:szCs w:val="18"/>
              </w:rPr>
              <w:t>。</w:t>
            </w:r>
          </w:p>
          <w:p>
            <w:pPr>
              <w:snapToGrid w:val="0"/>
              <w:spacing w:line="240" w:lineRule="atLeast"/>
              <w:jc w:val="both"/>
              <w:rPr>
                <w:rFonts w:ascii="仿宋_GB2312" w:hAnsi="等线" w:eastAsia="仿宋_GB2312"/>
                <w:color w:val="000000"/>
                <w:sz w:val="18"/>
                <w:szCs w:val="18"/>
              </w:rPr>
            </w:pPr>
          </w:p>
        </w:tc>
        <w:tc>
          <w:tcPr>
            <w:tcW w:w="6098" w:type="dxa"/>
            <w:tcBorders>
              <w:top w:val="nil"/>
              <w:left w:val="nil"/>
              <w:bottom w:val="nil"/>
              <w:right w:val="single" w:color="auto" w:sz="4" w:space="0"/>
            </w:tcBorders>
            <w:shd w:val="clear" w:color="auto" w:fill="auto"/>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2022年新创建学习点5个，其中，重点培育居村委示范学习点1个（永丰村示范学习点）新增社会学习点2个（墨略文化艺术中心、农联西红花研究发展中心），新增养教结合学习点1个（江合养老院），新增养教结合标准化学习点1个（绿华镇日间照料）。2022年升级创建学习点6个，其中重点培育居村委特色学习点4个（兴安村特色学习点、北双村特色学习点、凤辰居委特色学习点、合兴村特色学习点），优秀社会学习点2个（怡心养老院、黄老师社区服务社）。</w:t>
            </w:r>
          </w:p>
        </w:tc>
        <w:tc>
          <w:tcPr>
            <w:tcW w:w="1502" w:type="dxa"/>
            <w:tcBorders>
              <w:top w:val="nil"/>
              <w:left w:val="nil"/>
              <w:bottom w:val="nil"/>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restart"/>
            <w:tcBorders>
              <w:top w:val="nil"/>
              <w:left w:val="single" w:color="auto" w:sz="4" w:space="0"/>
              <w:bottom w:val="single" w:color="auto" w:sz="4" w:space="0"/>
              <w:right w:val="nil"/>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终身教育经费</w:t>
            </w:r>
          </w:p>
        </w:tc>
        <w:tc>
          <w:tcPr>
            <w:tcW w:w="520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①2022年成人教育办学经费：</w:t>
            </w:r>
            <w:bookmarkStart w:id="26" w:name="_Hlk135597757"/>
            <w:r>
              <w:rPr>
                <w:rFonts w:hint="eastAsia" w:ascii="仿宋_GB2312" w:hAnsi="等线" w:eastAsia="仿宋_GB2312"/>
                <w:color w:val="000000"/>
                <w:sz w:val="18"/>
                <w:szCs w:val="18"/>
              </w:rPr>
              <w:t xml:space="preserve"> 2022年上半年，崇明区成人教育人头经费按照每人每年3元的标准下拨；因为疫情原因，上半年经费未使用完，故2022年下半年按照每人每年1元的标准下拨。</w:t>
            </w:r>
            <w:bookmarkEnd w:id="26"/>
          </w:p>
        </w:tc>
        <w:tc>
          <w:tcPr>
            <w:tcW w:w="6098"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①2022年成人教育人头经费：2022年上半年补贴人数为672908人，补贴总金额为201.9万元；2022年下半年补贴人数为672908人，补贴金额为67.2万元；2022年补贴总金额为269.1万元。</w:t>
            </w:r>
          </w:p>
        </w:tc>
        <w:tc>
          <w:tcPr>
            <w:tcW w:w="1502" w:type="dxa"/>
            <w:tcBorders>
              <w:top w:val="single" w:color="auto" w:sz="4" w:space="0"/>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②成人学校集团化办学经费：2022年计划对6所成人教育学校按校区数进行补贴，经区教育局三重一大会议通过，补贴标准每个校区补贴1万元（标准无明确政策文件依据）。</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②成人学校集团化办学经费：2022年共补贴6所学校18个校区。</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③成人学校考核奖励经费：2022年计划对2021学年度6所成人教育学校进行考核奖励。</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③成人学校考核奖励经费：考核结果为新河成校和庙镇成校考核结果为优秀，分别奖励7万元；堡镇成校、城桥成校和陈家镇成校考核结果为优良，分别奖励5万元；长兴成校考核结果为合格，奖励3万元。</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④老年优质校经费：2022年计划开展优质校建设评估申报工作，给予成功创建市优质校的成人学校给予每个学校5万元奖励，从终身教育经费中列支。</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④2020年，共3所成校申请老年优质校，全都没有申请成功；2021年，共3所成校申请老年优质校，2所成校申请成功；2022年，共3所成校申请老年优质校，2所学校被评为市优质校，分别是庙镇成校和新河成校，每个学校给予5万元奖励，共计10万元。</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⑤老年人学习团队活动经费：星级学习团队数量按2016年开始市级星级团队认定数统计，学习团队工作室活动经费1000元，五星团队每个团队活动经费600元，一至四星团队每个团队活动经费200元。</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⑤老年人学习团队活动经费：2022年年初，崇明区共有学习团队工作室2个，五星级团队36个，一至四星级团队537个。2022年新申报市级老年人一星级团队103个，五星级团队6个。项目实际经费129425.6元。</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⑥涉农课程培训经费：根据学校申请下拨涉农课程培训经费8万元，从成职条线终身教育经费中列支，该项目为2022年新增项目。计划用于农林实训基地建设。</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⑥涉农课程培训经费：给予城桥成校港西校区培训经费，该校林木栽培实训面积12亩，与光明集团联合开展小番茄种植、培训与课程开发。</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⑦区社区学院《创意海派插花》课程建设经费：崇明区开展社区教育课程创意海派插花，从终身教育经费中列支3万元，该项目为2022年新增项目。</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⑦区社区学院《创意海派插花》课程建设经费：2022年该项目共完成《瀛洲乡愁——创意海派插花》5个课程15个微课前期拍摄工作。费用包括咨询费、交通费、餐费、场地费、服装费等。</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⑧社区教育名师孵化室经费：建立社区教育名师孵化室，从终身教育经费中列支5万元，该项目为2022年新增项目。</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⑧社区教育名师孵化室经费：2022年强化教育队伍建设，设立社区教育名师孵化室，为学员创建各类市级培训12次，10人次参与3个市级重点实验项目和1个委托项目，6人次参与国家级及市级课题。</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⑨“我心目中的最美老年学员”主题征文讲述活动经费：根据崇明区老年教育工作小组办公室《关于组织开展第二届“我心目中的最美老年学员”主题征文讲述活动的通知》（区老教办〔2022〕2号），组织老年学员参加市主题征文讲述评选活动，该项目为2022年新增项目。</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⑨“我心目中的最美老年学员”主题征文讲述活动经费：2022年共向社区学院下拨经费18000元，主要用于征文讲述活动的专家评委费、征文奖励经费及视频拍摄费用。</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auto" w:sz="4" w:space="0"/>
              <w:right w:val="nil"/>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⑩崇明区教育局本级乡镇成人（社区）学校办学经费：计划主要用于与终身教育相关的工作经费，包括老年教育数字化转型总结专家评审费、社区老年学校优质校建设自评报告专家指导费、崇明区学习型社会建设各学促委成员单位学习书籍费、智慧助老、乐享生活课程开发服务费、老年数字教育进社区活动教学资源采购经费、市五星团队评审会用餐费、租车费等。</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⑩崇明区教育局本级乡镇成人（社区）学校办学经费：各类工作均完成。</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b/>
                <w:bCs/>
                <w:color w:val="000000"/>
                <w:sz w:val="18"/>
                <w:szCs w:val="18"/>
              </w:rPr>
            </w:pPr>
            <w:bookmarkStart w:id="27" w:name="_Hlk137388139"/>
            <w:r>
              <w:rPr>
                <w:rFonts w:hint="eastAsia" w:ascii="仿宋_GB2312" w:hAnsi="等线" w:eastAsia="仿宋_GB2312"/>
                <w:b/>
                <w:bCs/>
                <w:color w:val="000000"/>
                <w:sz w:val="18"/>
                <w:szCs w:val="18"/>
              </w:rPr>
              <w:t>学促办工作经费</w:t>
            </w:r>
            <w:bookmarkEnd w:id="27"/>
          </w:p>
        </w:tc>
        <w:tc>
          <w:tcPr>
            <w:tcW w:w="5205" w:type="dxa"/>
            <w:tcBorders>
              <w:top w:val="nil"/>
              <w:left w:val="nil"/>
              <w:bottom w:val="single" w:color="auto" w:sz="4" w:space="0"/>
              <w:right w:val="single" w:color="auto" w:sz="4" w:space="0"/>
            </w:tcBorders>
            <w:shd w:val="clear" w:color="auto" w:fill="auto"/>
          </w:tcPr>
          <w:p>
            <w:pPr>
              <w:snapToGrid w:val="0"/>
              <w:spacing w:line="240" w:lineRule="atLeast"/>
              <w:jc w:val="both"/>
              <w:rPr>
                <w:rFonts w:ascii="仿宋_GB2312" w:hAnsi="等线" w:eastAsia="仿宋_GB2312"/>
                <w:color w:val="000000"/>
                <w:sz w:val="18"/>
                <w:szCs w:val="18"/>
              </w:rPr>
            </w:pPr>
            <w:bookmarkStart w:id="28" w:name="_Hlk135593354"/>
            <w:r>
              <w:rPr>
                <w:rFonts w:hint="eastAsia" w:ascii="仿宋_GB2312" w:hAnsi="等线" w:eastAsia="仿宋_GB2312"/>
                <w:color w:val="000000"/>
                <w:sz w:val="18"/>
                <w:szCs w:val="18"/>
              </w:rPr>
              <w:t>计划开展2022年学习型城区监测工作，学促办工作经费项目明细包括材料印刷和学习型城区监测活动，根据上海学习型城区创建指导标准指标体系（见附件）涵盖学习型城区建设各单位监测指标数据项填报及学习型城区创建资源的活动等。</w:t>
            </w:r>
            <w:bookmarkEnd w:id="28"/>
          </w:p>
        </w:tc>
        <w:tc>
          <w:tcPr>
            <w:tcW w:w="6098" w:type="dxa"/>
            <w:tcBorders>
              <w:top w:val="nil"/>
              <w:left w:val="nil"/>
              <w:bottom w:val="single" w:color="auto" w:sz="4" w:space="0"/>
              <w:right w:val="single" w:color="auto" w:sz="4" w:space="0"/>
            </w:tcBorders>
            <w:shd w:val="clear" w:color="auto" w:fill="auto"/>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对照2022年上海市学习型城区建设监测指标，完成了学习型城区监测数据线上资料和数据的全面统整，组织并开展了2022年成教系统“学习型组织申报与评选活动”。</w:t>
            </w:r>
            <w:bookmarkStart w:id="29" w:name="_Hlk137479736"/>
            <w:r>
              <w:rPr>
                <w:rFonts w:hint="eastAsia" w:ascii="仿宋_GB2312" w:hAnsi="等线" w:eastAsia="仿宋_GB2312"/>
                <w:color w:val="000000"/>
                <w:sz w:val="18"/>
                <w:szCs w:val="18"/>
              </w:rPr>
              <w:t>学促办工作经费由于受疫情原因，学习型城区创建资源建设的线下活动未实施开展</w:t>
            </w:r>
            <w:bookmarkEnd w:id="29"/>
            <w:r>
              <w:rPr>
                <w:rFonts w:hint="eastAsia" w:ascii="仿宋_GB2312" w:hAnsi="等线" w:eastAsia="仿宋_GB2312"/>
                <w:color w:val="000000"/>
                <w:sz w:val="18"/>
                <w:szCs w:val="18"/>
              </w:rPr>
              <w:t>；印刷费用的定点采购馆合同根据《中华人民共和国政府采购法》及其他有关法律法规之规定以及上海市印刷服务定点采购项目招标投标结果，确定由上海瀛中广告有限公司提供各点位印刷品记录册1250本的印刷服务，单价8元，合计10000元。</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部分完成（受疫情影响，线下活动未开展）</w:t>
            </w:r>
          </w:p>
        </w:tc>
      </w:tr>
      <w:tr>
        <w:tblPrEx>
          <w:tblLayout w:type="fixed"/>
          <w:tblCellMar>
            <w:top w:w="0" w:type="dxa"/>
            <w:left w:w="108" w:type="dxa"/>
            <w:bottom w:w="0" w:type="dxa"/>
            <w:right w:w="108" w:type="dxa"/>
          </w:tblCellMar>
        </w:tblPrEx>
        <w:trPr>
          <w:trHeight w:val="283" w:hRule="atLeast"/>
        </w:trPr>
        <w:tc>
          <w:tcPr>
            <w:tcW w:w="1175"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民办教育</w:t>
            </w:r>
          </w:p>
        </w:tc>
        <w:tc>
          <w:tcPr>
            <w:tcW w:w="1410" w:type="dxa"/>
            <w:vMerge w:val="restart"/>
            <w:tcBorders>
              <w:top w:val="nil"/>
              <w:left w:val="single" w:color="auto" w:sz="4" w:space="0"/>
              <w:bottom w:val="single" w:color="000000"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民办学校学生公用经费补助</w:t>
            </w:r>
          </w:p>
        </w:tc>
        <w:tc>
          <w:tcPr>
            <w:tcW w:w="5205"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①“两免一补”经费：2022年计划对上海新纪元双语学校和上海民办民一中学全体学生实施“两免一补”政策，标准执行：小学325元/生/学期（每年650元），初中425元/生/学期（每年850元），经费每半年发放一次。</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①“两免一补”经费：2022年实际补贴2569人，共计1,036,225元，具体补贴明细详见附件。</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000000"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②寄宿生生活补助：2022年计划对上海新纪元双语学校全体寄宿生实施寄宿生生活补助政策。崇明区补助标准100元/生/学期（200/生/年），经费为每半年发放一次。</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②寄宿生生活补助：2022年实际补贴1306人，共计130,600元，具体补贴明细详见附件。</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vMerge w:val="continue"/>
            <w:tcBorders>
              <w:top w:val="nil"/>
              <w:left w:val="single" w:color="auto" w:sz="4" w:space="0"/>
              <w:bottom w:val="single" w:color="000000"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5205"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③生均公用经费补助：2022年计划对上海新纪元双语学校和上海民办民一中学全体学生实施生均公用经费补助政策（2所民办幼儿园因为不属于本市城乡义务教育学校，所以不对其进行补助）。</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③生均公用经费补助：上海新纪元双语学校为九年一贯制学校，按初中生均年2200元安排经费，分段计算方式同初中教育，且为寄宿制学校，故按照寄宿生年生均200元标准，增加公用经费补助。2022年上半年共658人，故补助经费为781700元；2022年下半年共648人，故补助经费770200元。上海民办民一中学按照按初中生均年2200元安排经费，分段计算。2022年上半年共627人，故补助经费为683350元；2022年下半年共636人，故补助经费为692800元。</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完成</w:t>
            </w: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b/>
                <w:bCs/>
                <w:color w:val="000000"/>
                <w:sz w:val="18"/>
                <w:szCs w:val="18"/>
              </w:rPr>
            </w:pPr>
            <w:r>
              <w:rPr>
                <w:rFonts w:hint="eastAsia" w:ascii="仿宋_GB2312" w:hAnsi="等线" w:eastAsia="仿宋_GB2312"/>
                <w:b/>
                <w:bCs/>
                <w:color w:val="000000"/>
                <w:sz w:val="18"/>
                <w:szCs w:val="18"/>
              </w:rPr>
              <w:t>民办教育发展专项资金</w:t>
            </w:r>
          </w:p>
        </w:tc>
        <w:tc>
          <w:tcPr>
            <w:tcW w:w="5205"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根据《上海市人民政府关于促进民办教育健康发展的实施意见》（沪府发〔2017〕94号）中关于“各区可设立促进民办教育发展专项资金，将支持民办教育发展资金列入年度同级教育财政预算”，2022年崇明区教育局安排民办教育发展专项资金共300万元，主要分配给崇明区4所民办中小幼，其中上海新纪元双语学校45万元、上海民办民一中学200万元、上海盛源幼儿园45万元、上海露凝幼儿园有限公司10万元。</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① 上海新纪元双语学校基本完成师资培训（“十四五”教育发展规划背景下教师素养提升）、特色项目（基于劳动教育、生命教育、美育基础上的森林课程建设）和设施设备（关注学生健康与幸福的货物与设备改善项目），</w:t>
            </w:r>
            <w:r>
              <w:rPr>
                <w:rFonts w:hint="eastAsia" w:ascii="仿宋_GB2312" w:hAnsi="等线" w:eastAsia="仿宋_GB2312"/>
                <w:b/>
                <w:bCs/>
                <w:color w:val="000000"/>
                <w:sz w:val="18"/>
                <w:szCs w:val="18"/>
              </w:rPr>
              <w:t>空调还未采购到位</w:t>
            </w:r>
            <w:r>
              <w:rPr>
                <w:rFonts w:hint="eastAsia" w:ascii="仿宋_GB2312" w:hAnsi="等线" w:eastAsia="仿宋_GB2312"/>
                <w:color w:val="000000"/>
                <w:sz w:val="18"/>
                <w:szCs w:val="18"/>
              </w:rPr>
              <w:t>。</w:t>
            </w:r>
            <w:r>
              <w:rPr>
                <w:rFonts w:hint="eastAsia" w:ascii="仿宋_GB2312" w:hAnsi="等线" w:eastAsia="仿宋_GB2312"/>
                <w:color w:val="000000"/>
                <w:sz w:val="18"/>
                <w:szCs w:val="18"/>
              </w:rPr>
              <w:br w:type="textWrapping"/>
            </w:r>
            <w:r>
              <w:rPr>
                <w:rFonts w:hint="eastAsia" w:ascii="仿宋_GB2312" w:hAnsi="等线" w:eastAsia="仿宋_GB2312"/>
                <w:color w:val="000000"/>
                <w:sz w:val="18"/>
                <w:szCs w:val="18"/>
              </w:rPr>
              <w:t>②上海民办民一中学没有完成。</w:t>
            </w:r>
            <w:r>
              <w:rPr>
                <w:rFonts w:hint="eastAsia" w:ascii="仿宋_GB2312" w:hAnsi="等线" w:eastAsia="仿宋_GB2312"/>
                <w:color w:val="000000"/>
                <w:sz w:val="18"/>
                <w:szCs w:val="18"/>
              </w:rPr>
              <w:br w:type="textWrapping"/>
            </w:r>
            <w:r>
              <w:rPr>
                <w:rFonts w:hint="eastAsia" w:ascii="仿宋_GB2312" w:hAnsi="等线" w:eastAsia="仿宋_GB2312"/>
                <w:color w:val="000000"/>
                <w:sz w:val="18"/>
                <w:szCs w:val="18"/>
              </w:rPr>
              <w:t>③上海盛源幼儿园：完成了特色创建项目和设备经采购，但受疫情影响，线下培训未完成。</w:t>
            </w:r>
          </w:p>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④上海露凝幼儿园完成了保教装备购置。</w:t>
            </w:r>
          </w:p>
        </w:tc>
        <w:tc>
          <w:tcPr>
            <w:tcW w:w="1502" w:type="dxa"/>
            <w:tcBorders>
              <w:top w:val="nil"/>
              <w:left w:val="nil"/>
              <w:bottom w:val="single" w:color="auto" w:sz="4" w:space="0"/>
              <w:right w:val="single" w:color="auto" w:sz="4" w:space="0"/>
            </w:tcBorders>
            <w:vAlign w:val="center"/>
          </w:tcPr>
          <w:p>
            <w:pPr>
              <w:spacing w:line="240" w:lineRule="atLeast"/>
              <w:rPr>
                <w:rFonts w:ascii="仿宋_GB2312" w:hAnsi="等线" w:eastAsia="仿宋_GB2312"/>
                <w:color w:val="000000"/>
                <w:sz w:val="18"/>
                <w:szCs w:val="18"/>
              </w:rPr>
            </w:pPr>
            <w:r>
              <w:rPr>
                <w:rFonts w:hint="eastAsia" w:ascii="仿宋_GB2312" w:hAnsi="等线" w:eastAsia="仿宋_GB2312"/>
                <w:color w:val="000000"/>
                <w:sz w:val="18"/>
                <w:szCs w:val="18"/>
              </w:rPr>
              <w:t>一是由于疫情影响，很多项目支出计划都得不到落实。二是由于民办教育发展专项资金都是年中申请，资金是年底下拨到账，所以当年的资金大部分只能放在下一年度使用，目前各校正在抓紧走项目流程进行设备采购等工作，争取早日完成。</w:t>
            </w:r>
            <w:r>
              <w:rPr>
                <w:rFonts w:ascii="仿宋_GB2312" w:hAnsi="等线" w:eastAsia="仿宋_GB2312"/>
                <w:color w:val="000000"/>
                <w:sz w:val="18"/>
                <w:szCs w:val="18"/>
              </w:rPr>
              <w:br w:type="textWrapping"/>
            </w:r>
            <w:r>
              <w:rPr>
                <w:rFonts w:hint="eastAsia" w:ascii="仿宋_GB2312" w:hAnsi="等线" w:eastAsia="仿宋_GB2312"/>
                <w:color w:val="000000"/>
                <w:sz w:val="18"/>
                <w:szCs w:val="18"/>
              </w:rPr>
              <w:t>设备更换根据上海市崇明区固定资产相关管理办法执行。</w:t>
            </w:r>
          </w:p>
          <w:p>
            <w:pPr>
              <w:snapToGrid w:val="0"/>
              <w:spacing w:after="240" w:line="240" w:lineRule="atLeast"/>
              <w:jc w:val="center"/>
              <w:rPr>
                <w:rFonts w:ascii="仿宋_GB2312" w:hAnsi="等线" w:eastAsia="仿宋_GB2312"/>
                <w:color w:val="000000"/>
                <w:sz w:val="18"/>
                <w:szCs w:val="18"/>
              </w:rPr>
            </w:pPr>
          </w:p>
        </w:tc>
      </w:tr>
      <w:tr>
        <w:tblPrEx>
          <w:tblLayout w:type="fixed"/>
          <w:tblCellMar>
            <w:top w:w="0" w:type="dxa"/>
            <w:left w:w="108" w:type="dxa"/>
            <w:bottom w:w="0" w:type="dxa"/>
            <w:right w:w="108" w:type="dxa"/>
          </w:tblCellMar>
        </w:tblPrEx>
        <w:trPr>
          <w:trHeight w:val="283" w:hRule="atLeast"/>
        </w:trPr>
        <w:tc>
          <w:tcPr>
            <w:tcW w:w="11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410"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b/>
                <w:bCs/>
                <w:color w:val="000000"/>
                <w:sz w:val="18"/>
                <w:szCs w:val="18"/>
              </w:rPr>
            </w:pPr>
            <w:r>
              <w:rPr>
                <w:rFonts w:hint="eastAsia" w:ascii="仿宋_GB2312" w:hAnsi="等线" w:eastAsia="仿宋_GB2312"/>
                <w:b/>
                <w:bCs/>
                <w:color w:val="000000"/>
                <w:sz w:val="18"/>
                <w:szCs w:val="18"/>
              </w:rPr>
              <w:t>民办非学历教育机构管理经费</w:t>
            </w:r>
          </w:p>
        </w:tc>
        <w:tc>
          <w:tcPr>
            <w:tcW w:w="5205" w:type="dxa"/>
            <w:tcBorders>
              <w:top w:val="nil"/>
              <w:left w:val="nil"/>
              <w:bottom w:val="single" w:color="auto" w:sz="4" w:space="0"/>
              <w:right w:val="single" w:color="auto" w:sz="4" w:space="0"/>
            </w:tcBorders>
            <w:shd w:val="clear" w:color="auto" w:fill="auto"/>
            <w:vAlign w:val="center"/>
          </w:tcPr>
          <w:p>
            <w:pPr>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计划进一步加强学科类培训机构监管。根据教育部关于开展义务教育阶段学科类校外培训治理“回头看”工作的要求，计划所有学科类校外培训机构进行检查，计划对校外培训机构预收费进行监管。对于民办学校和机构的年检评估及换证工作。</w:t>
            </w:r>
          </w:p>
        </w:tc>
        <w:tc>
          <w:tcPr>
            <w:tcW w:w="6098"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2022年，崇明区教育局开展了校外培训机构治理工作，履行培训机构监管职责，成立了区“培联办”，完善了信访机制，完成了义务教育学科类培训机构“营转非”“备改审”工作，不再审批新的面向义务教育阶段学生的学科类校外培训机构，实现学科类培训机构“零新增”。本区义务教育阶段学科类培训机构4家，压减率达94.4%。组织开展专项行动和排查工作，未发现隐形变异及违规竞赛行为的机构，无中小学教师违法违规开展校外培训。强化资金监管，防范风险隐患，严格落实教育部等六部门加强校外培训机构预收费监管工作要求。</w:t>
            </w:r>
          </w:p>
        </w:tc>
        <w:tc>
          <w:tcPr>
            <w:tcW w:w="1502" w:type="dxa"/>
            <w:tcBorders>
              <w:top w:val="nil"/>
              <w:left w:val="nil"/>
              <w:bottom w:val="single" w:color="auto" w:sz="4" w:space="0"/>
              <w:right w:val="single" w:color="auto" w:sz="4" w:space="0"/>
            </w:tcBorders>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部分完成（年检评估工作有</w:t>
            </w:r>
            <w:r>
              <w:rPr>
                <w:rFonts w:ascii="仿宋_GB2312" w:hAnsi="等线" w:eastAsia="仿宋_GB2312"/>
                <w:color w:val="000000"/>
                <w:sz w:val="18"/>
                <w:szCs w:val="18"/>
              </w:rPr>
              <w:t>1家由于地址变更，没有核查。</w:t>
            </w:r>
            <w:r>
              <w:rPr>
                <w:rFonts w:hint="eastAsia" w:ascii="仿宋_GB2312" w:hAnsi="等线" w:eastAsia="仿宋_GB2312"/>
                <w:color w:val="000000"/>
                <w:sz w:val="18"/>
                <w:szCs w:val="18"/>
              </w:rPr>
              <w:t>）</w:t>
            </w:r>
          </w:p>
        </w:tc>
      </w:tr>
      <w:bookmarkEnd w:id="25"/>
    </w:tbl>
    <w:p>
      <w:pPr>
        <w:widowControl w:val="0"/>
        <w:spacing w:line="520" w:lineRule="exact"/>
        <w:ind w:firstLine="600" w:firstLineChars="200"/>
        <w:jc w:val="both"/>
        <w:rPr>
          <w:rFonts w:ascii="Times New Roman" w:hAnsi="Times New Roman" w:eastAsia="仿宋_GB2312" w:cs="Times New Roman"/>
          <w:kern w:val="2"/>
          <w:sz w:val="30"/>
          <w:szCs w:val="30"/>
        </w:rPr>
      </w:pPr>
    </w:p>
    <w:p>
      <w:pPr>
        <w:widowControl w:val="0"/>
        <w:spacing w:line="520" w:lineRule="exact"/>
        <w:ind w:firstLine="600" w:firstLineChars="200"/>
        <w:jc w:val="both"/>
        <w:rPr>
          <w:rFonts w:ascii="Times New Roman" w:hAnsi="Times New Roman" w:eastAsia="仿宋_GB2312" w:cs="Times New Roman"/>
          <w:kern w:val="2"/>
          <w:sz w:val="30"/>
          <w:szCs w:val="30"/>
        </w:rPr>
      </w:pPr>
    </w:p>
    <w:p>
      <w:pPr>
        <w:pStyle w:val="195"/>
        <w:spacing w:line="560" w:lineRule="exact"/>
        <w:ind w:firstLine="643"/>
        <w:outlineLvl w:val="1"/>
        <w:rPr>
          <w:rFonts w:eastAsia="楷体_GB2312"/>
          <w:sz w:val="32"/>
          <w:szCs w:val="32"/>
        </w:rPr>
        <w:sectPr>
          <w:pgSz w:w="16840" w:h="11900" w:orient="landscape"/>
          <w:pgMar w:top="720" w:right="720" w:bottom="720" w:left="720" w:header="851" w:footer="992" w:gutter="0"/>
          <w:cols w:space="425" w:num="1"/>
          <w:docGrid w:linePitch="326" w:charSpace="0"/>
        </w:sectPr>
      </w:pPr>
    </w:p>
    <w:p>
      <w:pPr>
        <w:pStyle w:val="195"/>
        <w:spacing w:line="560" w:lineRule="exact"/>
        <w:ind w:firstLine="643"/>
        <w:outlineLvl w:val="1"/>
        <w:rPr>
          <w:rFonts w:eastAsia="楷体_GB2312"/>
          <w:sz w:val="32"/>
          <w:szCs w:val="32"/>
        </w:rPr>
      </w:pPr>
      <w:bookmarkStart w:id="30" w:name="_Toc15803"/>
      <w:r>
        <w:rPr>
          <w:rFonts w:eastAsia="楷体_GB2312"/>
          <w:sz w:val="32"/>
          <w:szCs w:val="32"/>
        </w:rPr>
        <w:t>（三）</w:t>
      </w:r>
      <w:r>
        <w:rPr>
          <w:rFonts w:hint="eastAsia" w:eastAsia="楷体_GB2312"/>
          <w:sz w:val="32"/>
          <w:szCs w:val="32"/>
        </w:rPr>
        <w:t>项目资金来源、项目预算及资金使用情况</w:t>
      </w:r>
      <w:bookmarkEnd w:id="30"/>
    </w:p>
    <w:p>
      <w:pPr>
        <w:widowControl w:val="0"/>
        <w:spacing w:line="520" w:lineRule="exact"/>
        <w:ind w:firstLine="600"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成职科内涵发展经费项目预算资金全部来源于区级财政资金一般公共预算，列入区教育局项目支出中经常性项目。</w:t>
      </w:r>
    </w:p>
    <w:p>
      <w:pPr>
        <w:widowControl w:val="0"/>
        <w:spacing w:line="560" w:lineRule="exact"/>
        <w:ind w:firstLine="602" w:firstLineChars="200"/>
        <w:jc w:val="both"/>
        <w:outlineLvl w:val="2"/>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1.2022年</w:t>
      </w:r>
      <w:r>
        <w:rPr>
          <w:rFonts w:hint="eastAsia" w:ascii="Times New Roman" w:hAnsi="Times New Roman" w:eastAsia="仿宋_GB2312" w:cs="Times New Roman"/>
          <w:b/>
          <w:bCs/>
          <w:kern w:val="2"/>
          <w:sz w:val="30"/>
          <w:szCs w:val="30"/>
        </w:rPr>
        <w:t>项目</w:t>
      </w:r>
      <w:r>
        <w:rPr>
          <w:rFonts w:ascii="Times New Roman" w:hAnsi="Times New Roman" w:eastAsia="仿宋_GB2312" w:cs="Times New Roman"/>
          <w:b/>
          <w:bCs/>
          <w:kern w:val="2"/>
          <w:sz w:val="30"/>
          <w:szCs w:val="30"/>
        </w:rPr>
        <w:t>预算及执行情况</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2022年项目年初预算金额为1138.08万元，年中调增预算9.42万元，调整后预算数为1147.50万元，实际支出数为1147.50万元，预算执行率为100%。具体预算编制及执行情况如下所示</w:t>
      </w:r>
      <w:r>
        <w:rPr>
          <w:rFonts w:hint="eastAsia" w:ascii="Times New Roman" w:hAnsi="Times New Roman" w:eastAsia="仿宋_GB2312" w:cs="Times New Roman"/>
          <w:kern w:val="2"/>
          <w:sz w:val="30"/>
          <w:szCs w:val="30"/>
        </w:rPr>
        <w:t>，具体编制情及执行情况详见附件。</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2022年项目预算调整情况：①老年教育三类学习点建设经费调减40200元，主要原因是区教育局建设经费年初预算无具体测算明细，按照实际情况，发放 10个居村委学习点工作人员和6个社会学习点工作人员劳务费，每人800元，共计12800元，该笔费用没有明确依据。②老年人学习团队活动经费调减1574.43元，主要是城桥镇成校活动按实调减1449.43元，崇明区社区学院按实调减125元。③社区教育名师孵化室经费调减4475元，主要原因是受疫情影响，交流活动减少，相关费用及材料费减少。④“我心目中的最美老年学员”主题征文讲述活动经费调减7元，主要是实际采购奖品减少。</w:t>
      </w:r>
      <w:r>
        <w:rPr>
          <w:rFonts w:hint="eastAsia" w:ascii="仿宋_GB2312" w:eastAsia="仿宋_GB2312" w:cs="Times New Roman"/>
          <w:kern w:val="2"/>
          <w:sz w:val="30"/>
          <w:szCs w:val="30"/>
        </w:rPr>
        <w:t>⑤崇明区教育局本级乡镇成人（社区）学校办学经费调减</w:t>
      </w:r>
      <w:r>
        <w:rPr>
          <w:rFonts w:ascii="仿宋_GB2312" w:eastAsia="仿宋_GB2312" w:cs="Times New Roman"/>
          <w:kern w:val="2"/>
          <w:sz w:val="30"/>
          <w:szCs w:val="30"/>
        </w:rPr>
        <w:t>147645.72</w:t>
      </w:r>
      <w:r>
        <w:rPr>
          <w:rFonts w:hint="eastAsia" w:ascii="仿宋_GB2312" w:eastAsia="仿宋_GB2312" w:cs="Times New Roman"/>
          <w:kern w:val="2"/>
          <w:sz w:val="30"/>
          <w:szCs w:val="30"/>
        </w:rPr>
        <w:t>元，主要原因是该子项目年初预算无具体测算明细，是按照2022年实际发生的各类评审费、餐费、车费、采购老年数字教育进社区活动教学资源（173700元）费用支出。⑥学促办工作经费调减3万元，主要原因是受疫情原因，学习型城区创建资源建设的线下活动未实施开展。⑦民办学校学生公用经费补助调增</w:t>
      </w:r>
      <w:r>
        <w:rPr>
          <w:rFonts w:ascii="仿宋_GB2312" w:eastAsia="仿宋_GB2312" w:cs="Times New Roman"/>
          <w:kern w:val="2"/>
          <w:sz w:val="30"/>
          <w:szCs w:val="30"/>
        </w:rPr>
        <w:t>399075</w:t>
      </w:r>
      <w:r>
        <w:rPr>
          <w:rFonts w:hint="eastAsia" w:ascii="仿宋_GB2312" w:eastAsia="仿宋_GB2312" w:cs="Times New Roman"/>
          <w:kern w:val="2"/>
          <w:sz w:val="30"/>
          <w:szCs w:val="30"/>
        </w:rPr>
        <w:t>元，主要是根据当年度实际学生数进行调整。⑧民办非学历教育机构管理经费调减</w:t>
      </w:r>
      <w:r>
        <w:rPr>
          <w:rFonts w:ascii="仿宋_GB2312" w:eastAsia="仿宋_GB2312" w:cs="Times New Roman"/>
          <w:kern w:val="2"/>
          <w:sz w:val="30"/>
          <w:szCs w:val="30"/>
        </w:rPr>
        <w:t>80941</w:t>
      </w:r>
      <w:r>
        <w:rPr>
          <w:rFonts w:hint="eastAsia" w:ascii="仿宋_GB2312" w:eastAsia="仿宋_GB2312" w:cs="Times New Roman"/>
          <w:kern w:val="2"/>
          <w:sz w:val="30"/>
          <w:szCs w:val="30"/>
        </w:rPr>
        <w:t>元，主要原因是该子项目年初预算无具体测算明细，按实际发生额结算。</w:t>
      </w:r>
    </w:p>
    <w:p>
      <w:pPr>
        <w:pStyle w:val="103"/>
        <w:ind w:firstLine="482"/>
        <w:jc w:val="center"/>
        <w:rPr>
          <w:b/>
          <w:sz w:val="24"/>
          <w:szCs w:val="24"/>
        </w:rPr>
      </w:pPr>
      <w:r>
        <w:rPr>
          <w:b/>
          <w:sz w:val="24"/>
          <w:szCs w:val="24"/>
        </w:rPr>
        <w:t>表1-3</w:t>
      </w:r>
      <w:r>
        <w:rPr>
          <w:rFonts w:hint="eastAsia"/>
          <w:b/>
          <w:sz w:val="24"/>
          <w:szCs w:val="24"/>
        </w:rPr>
        <w:t>-</w:t>
      </w:r>
      <w:r>
        <w:rPr>
          <w:b/>
          <w:sz w:val="24"/>
          <w:szCs w:val="24"/>
        </w:rPr>
        <w:t>1 2022年预算编制及执行情况（单位：元）</w:t>
      </w:r>
    </w:p>
    <w:tbl>
      <w:tblPr>
        <w:tblStyle w:val="40"/>
        <w:tblW w:w="11272" w:type="dxa"/>
        <w:jc w:val="center"/>
        <w:tblInd w:w="0" w:type="dxa"/>
        <w:tblLayout w:type="fixed"/>
        <w:tblCellMar>
          <w:top w:w="0" w:type="dxa"/>
          <w:left w:w="108" w:type="dxa"/>
          <w:bottom w:w="0" w:type="dxa"/>
          <w:right w:w="108" w:type="dxa"/>
        </w:tblCellMar>
      </w:tblPr>
      <w:tblGrid>
        <w:gridCol w:w="717"/>
        <w:gridCol w:w="1019"/>
        <w:gridCol w:w="2633"/>
        <w:gridCol w:w="1605"/>
        <w:gridCol w:w="1357"/>
        <w:gridCol w:w="1326"/>
        <w:gridCol w:w="1452"/>
        <w:gridCol w:w="1163"/>
      </w:tblGrid>
      <w:tr>
        <w:tblPrEx>
          <w:tblLayout w:type="fixed"/>
          <w:tblCellMar>
            <w:top w:w="0" w:type="dxa"/>
            <w:left w:w="108" w:type="dxa"/>
            <w:bottom w:w="0" w:type="dxa"/>
            <w:right w:w="108" w:type="dxa"/>
          </w:tblCellMar>
        </w:tblPrEx>
        <w:trPr>
          <w:trHeight w:val="280" w:hRule="atLeast"/>
          <w:tblHeader/>
          <w:jc w:val="center"/>
        </w:trPr>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项目分类</w:t>
            </w:r>
          </w:p>
        </w:tc>
        <w:tc>
          <w:tcPr>
            <w:tcW w:w="1019"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项目构成</w:t>
            </w:r>
          </w:p>
        </w:tc>
        <w:tc>
          <w:tcPr>
            <w:tcW w:w="2633"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　项目明细</w:t>
            </w:r>
          </w:p>
        </w:tc>
        <w:tc>
          <w:tcPr>
            <w:tcW w:w="16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sz w:val="20"/>
                <w:szCs w:val="20"/>
              </w:rPr>
            </w:pPr>
            <w:r>
              <w:rPr>
                <w:rFonts w:hint="eastAsia" w:ascii="仿宋_GB2312" w:hAnsi="等线" w:eastAsia="仿宋_GB2312"/>
                <w:b/>
                <w:bCs/>
                <w:sz w:val="20"/>
                <w:szCs w:val="20"/>
              </w:rPr>
              <w:t>年初预算</w:t>
            </w:r>
          </w:p>
        </w:tc>
        <w:tc>
          <w:tcPr>
            <w:tcW w:w="135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sz w:val="20"/>
                <w:szCs w:val="20"/>
              </w:rPr>
            </w:pPr>
            <w:r>
              <w:rPr>
                <w:rFonts w:hint="eastAsia" w:ascii="仿宋_GB2312" w:hAnsi="等线" w:eastAsia="仿宋_GB2312"/>
                <w:b/>
                <w:bCs/>
                <w:sz w:val="20"/>
                <w:szCs w:val="20"/>
              </w:rPr>
              <w:t>调整金额</w:t>
            </w:r>
          </w:p>
        </w:tc>
        <w:tc>
          <w:tcPr>
            <w:tcW w:w="1326"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sz w:val="20"/>
                <w:szCs w:val="20"/>
              </w:rPr>
            </w:pPr>
            <w:r>
              <w:rPr>
                <w:rFonts w:hint="eastAsia" w:ascii="仿宋_GB2312" w:hAnsi="等线" w:eastAsia="仿宋_GB2312"/>
                <w:b/>
                <w:bCs/>
                <w:sz w:val="20"/>
                <w:szCs w:val="20"/>
              </w:rPr>
              <w:t>调整后预算</w:t>
            </w:r>
          </w:p>
        </w:tc>
        <w:tc>
          <w:tcPr>
            <w:tcW w:w="145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sz w:val="20"/>
                <w:szCs w:val="20"/>
              </w:rPr>
            </w:pPr>
            <w:r>
              <w:rPr>
                <w:rFonts w:hint="eastAsia" w:ascii="仿宋_GB2312" w:hAnsi="等线" w:eastAsia="仿宋_GB2312"/>
                <w:b/>
                <w:bCs/>
                <w:sz w:val="20"/>
                <w:szCs w:val="20"/>
              </w:rPr>
              <w:t>执行金额</w:t>
            </w:r>
          </w:p>
        </w:tc>
        <w:tc>
          <w:tcPr>
            <w:tcW w:w="1163"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sz w:val="20"/>
                <w:szCs w:val="20"/>
              </w:rPr>
            </w:pPr>
            <w:r>
              <w:rPr>
                <w:rFonts w:hint="eastAsia" w:ascii="仿宋_GB2312" w:hAnsi="等线" w:eastAsia="仿宋_GB2312"/>
                <w:b/>
                <w:bCs/>
                <w:sz w:val="20"/>
                <w:szCs w:val="20"/>
              </w:rPr>
              <w:t>执行率</w:t>
            </w:r>
          </w:p>
        </w:tc>
      </w:tr>
      <w:tr>
        <w:tblPrEx>
          <w:tblLayout w:type="fixed"/>
          <w:tblCellMar>
            <w:top w:w="0" w:type="dxa"/>
            <w:left w:w="108" w:type="dxa"/>
            <w:bottom w:w="0" w:type="dxa"/>
            <w:right w:w="108" w:type="dxa"/>
          </w:tblCellMar>
        </w:tblPrEx>
        <w:trPr>
          <w:trHeight w:val="280" w:hRule="atLeast"/>
          <w:jc w:val="center"/>
        </w:trPr>
        <w:tc>
          <w:tcPr>
            <w:tcW w:w="717"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1.终身教育</w:t>
            </w:r>
          </w:p>
        </w:tc>
        <w:tc>
          <w:tcPr>
            <w:tcW w:w="1019" w:type="dxa"/>
            <w:vMerge w:val="restart"/>
            <w:tcBorders>
              <w:top w:val="nil"/>
              <w:left w:val="single" w:color="auto" w:sz="4" w:space="0"/>
              <w:bottom w:val="single" w:color="000000"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（1）老年教育三类学习点建设经费</w:t>
            </w: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区教育局建设经费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53000.00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-40200.00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12800.00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12800.00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堡镇成校建设经费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40000.00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40000.00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40000.00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城桥镇成校建设经费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64000.00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64000.00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64000.00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陈家镇成校建设经费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26000.00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26000.00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26000.00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新河镇成校建设经费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庙镇成校建设经费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66000.00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66000.00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66000.00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长兴镇成校建设经费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18000.00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18000.00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18000.00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b/>
                <w:bCs/>
                <w:color w:val="000000"/>
                <w:sz w:val="20"/>
                <w:szCs w:val="20"/>
              </w:rPr>
            </w:pPr>
            <w:r>
              <w:rPr>
                <w:rFonts w:hint="eastAsia" w:ascii="仿宋_GB2312" w:hAnsi="等线" w:eastAsia="仿宋_GB2312"/>
                <w:b/>
                <w:bCs/>
                <w:color w:val="000000"/>
                <w:sz w:val="20"/>
                <w:szCs w:val="20"/>
              </w:rPr>
              <w:t>小计</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297000.00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-40200.00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256800.00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256800.00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color w:val="000000"/>
                <w:sz w:val="20"/>
                <w:szCs w:val="20"/>
              </w:rPr>
            </w:pPr>
            <w:r>
              <w:rPr>
                <w:rFonts w:hint="eastAsia" w:ascii="仿宋_GB2312" w:hAnsi="等线" w:eastAsia="仿宋_GB2312"/>
                <w:b/>
                <w:bCs/>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restart"/>
            <w:tcBorders>
              <w:top w:val="nil"/>
              <w:left w:val="single" w:color="auto" w:sz="4" w:space="0"/>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（2）终身教育经费</w:t>
            </w: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成人教育办学经费（人头经费）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2691000.00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2691000.00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2691000.00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成人学校集团化办公经费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180000.00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180000.00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180000.00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2021成人学校考核奖励经费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320000.00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320000.00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320000.00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老年优质校经费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100000.00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100000.00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100000.00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老年人学习团队活动经费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131000.00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-1574.43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129425.57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129425.60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涉农课程培训经费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80000.00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80000.00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80000.00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515"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区社区学院《创意海派插花》课程建设经费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30000.00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社区教育名师孵化室经费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50000.00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-4475.00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45525.00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50000.00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515"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“我心目中的最美老年学员”主题征文讲述活动经费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18000.00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-7.00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17993.00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 xml:space="preserve">17993.00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515"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崇明区教育局本级乡镇成人（社区）学校办学经费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524000.00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-147645.72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376354.28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371879.25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1019"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2633" w:type="dxa"/>
            <w:tcBorders>
              <w:top w:val="nil"/>
              <w:left w:val="nil"/>
              <w:bottom w:val="single" w:color="auto" w:sz="4" w:space="0"/>
              <w:right w:val="single" w:color="auto" w:sz="4" w:space="0"/>
            </w:tcBorders>
            <w:shd w:val="clear" w:color="auto" w:fill="auto"/>
            <w:vAlign w:val="center"/>
          </w:tcPr>
          <w:p>
            <w:pPr>
              <w:rPr>
                <w:rFonts w:ascii="仿宋_GB2312" w:hAnsi="等线" w:eastAsia="仿宋_GB2312"/>
                <w:b/>
                <w:bCs/>
                <w:color w:val="000000"/>
                <w:sz w:val="20"/>
                <w:szCs w:val="20"/>
              </w:rPr>
            </w:pPr>
            <w:r>
              <w:rPr>
                <w:rFonts w:hint="eastAsia" w:ascii="仿宋_GB2312" w:hAnsi="等线" w:eastAsia="仿宋_GB2312"/>
                <w:b/>
                <w:bCs/>
                <w:color w:val="000000"/>
                <w:sz w:val="20"/>
                <w:szCs w:val="20"/>
              </w:rPr>
              <w:t>小计</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4124000.00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-153702.15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3970297.85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3970297.85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color w:val="000000"/>
                <w:sz w:val="20"/>
                <w:szCs w:val="20"/>
              </w:rPr>
            </w:pPr>
            <w:r>
              <w:rPr>
                <w:rFonts w:hint="eastAsia" w:ascii="仿宋_GB2312" w:hAnsi="等线" w:eastAsia="仿宋_GB2312"/>
                <w:b/>
                <w:bCs/>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000000" w:sz="4" w:space="0"/>
              <w:right w:val="single" w:color="auto" w:sz="4" w:space="0"/>
            </w:tcBorders>
            <w:vAlign w:val="center"/>
          </w:tcPr>
          <w:p>
            <w:pPr>
              <w:rPr>
                <w:rFonts w:ascii="仿宋_GB2312" w:hAnsi="等线" w:eastAsia="仿宋_GB2312"/>
                <w:color w:val="000000"/>
                <w:sz w:val="20"/>
                <w:szCs w:val="20"/>
              </w:rPr>
            </w:pPr>
          </w:p>
        </w:tc>
        <w:tc>
          <w:tcPr>
            <w:tcW w:w="3652" w:type="dxa"/>
            <w:gridSpan w:val="2"/>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（3）学促办工作经费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40000.00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-30000.00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515" w:hRule="atLeast"/>
          <w:jc w:val="center"/>
        </w:trPr>
        <w:tc>
          <w:tcPr>
            <w:tcW w:w="71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2.民办教育</w:t>
            </w:r>
          </w:p>
        </w:tc>
        <w:tc>
          <w:tcPr>
            <w:tcW w:w="3652" w:type="dxa"/>
            <w:gridSpan w:val="2"/>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（4）民办学校学生公用经费补助</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3695800.00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399075.00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4094875.00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4094875.00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717"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3652" w:type="dxa"/>
            <w:gridSpan w:val="2"/>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（5）民办教育发展专项资金</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3000000.00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0.00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3000000.00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3000000.00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515" w:hRule="atLeast"/>
          <w:jc w:val="center"/>
        </w:trPr>
        <w:tc>
          <w:tcPr>
            <w:tcW w:w="717" w:type="dxa"/>
            <w:vMerge w:val="continue"/>
            <w:tcBorders>
              <w:top w:val="nil"/>
              <w:left w:val="single" w:color="auto" w:sz="4" w:space="0"/>
              <w:bottom w:val="single" w:color="auto" w:sz="4" w:space="0"/>
              <w:right w:val="single" w:color="auto" w:sz="4" w:space="0"/>
            </w:tcBorders>
            <w:vAlign w:val="center"/>
          </w:tcPr>
          <w:p>
            <w:pPr>
              <w:rPr>
                <w:rFonts w:ascii="仿宋_GB2312" w:hAnsi="等线" w:eastAsia="仿宋_GB2312"/>
                <w:color w:val="000000"/>
                <w:sz w:val="20"/>
                <w:szCs w:val="20"/>
              </w:rPr>
            </w:pPr>
          </w:p>
        </w:tc>
        <w:tc>
          <w:tcPr>
            <w:tcW w:w="3652" w:type="dxa"/>
            <w:gridSpan w:val="2"/>
            <w:tcBorders>
              <w:top w:val="nil"/>
              <w:left w:val="nil"/>
              <w:bottom w:val="single" w:color="auto" w:sz="4" w:space="0"/>
              <w:right w:val="single" w:color="auto" w:sz="4" w:space="0"/>
            </w:tcBorders>
            <w:shd w:val="clear" w:color="auto" w:fill="auto"/>
            <w:vAlign w:val="center"/>
          </w:tcPr>
          <w:p>
            <w:pPr>
              <w:rPr>
                <w:rFonts w:ascii="仿宋_GB2312" w:hAnsi="等线" w:eastAsia="仿宋_GB2312"/>
                <w:color w:val="000000"/>
                <w:sz w:val="20"/>
                <w:szCs w:val="20"/>
              </w:rPr>
            </w:pPr>
            <w:r>
              <w:rPr>
                <w:rFonts w:hint="eastAsia" w:ascii="仿宋_GB2312" w:hAnsi="等线" w:eastAsia="仿宋_GB2312"/>
                <w:color w:val="000000"/>
                <w:sz w:val="20"/>
                <w:szCs w:val="20"/>
              </w:rPr>
              <w:t>（6）民办非学历教育机构管理经费</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224000.00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-80941.00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143059.00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sz w:val="20"/>
                <w:szCs w:val="20"/>
              </w:rPr>
            </w:pPr>
            <w:r>
              <w:rPr>
                <w:rFonts w:hint="eastAsia" w:ascii="仿宋_GB2312" w:hAnsi="等线" w:eastAsia="仿宋_GB2312"/>
                <w:sz w:val="20"/>
                <w:szCs w:val="20"/>
              </w:rPr>
              <w:t xml:space="preserve">143059.00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color w:val="000000"/>
                <w:sz w:val="20"/>
                <w:szCs w:val="20"/>
              </w:rPr>
            </w:pPr>
            <w:r>
              <w:rPr>
                <w:rFonts w:hint="eastAsia" w:ascii="仿宋_GB2312" w:hAnsi="等线" w:eastAsia="仿宋_GB2312"/>
                <w:color w:val="000000"/>
                <w:sz w:val="20"/>
                <w:szCs w:val="20"/>
              </w:rPr>
              <w:t>100.00%</w:t>
            </w:r>
          </w:p>
        </w:tc>
      </w:tr>
      <w:tr>
        <w:tblPrEx>
          <w:tblLayout w:type="fixed"/>
          <w:tblCellMar>
            <w:top w:w="0" w:type="dxa"/>
            <w:left w:w="108" w:type="dxa"/>
            <w:bottom w:w="0" w:type="dxa"/>
            <w:right w:w="108" w:type="dxa"/>
          </w:tblCellMar>
        </w:tblPrEx>
        <w:trPr>
          <w:trHeight w:val="280" w:hRule="atLeast"/>
          <w:jc w:val="center"/>
        </w:trPr>
        <w:tc>
          <w:tcPr>
            <w:tcW w:w="4369" w:type="dxa"/>
            <w:gridSpan w:val="3"/>
            <w:tcBorders>
              <w:top w:val="single" w:color="auto" w:sz="4" w:space="0"/>
              <w:left w:val="single" w:color="auto" w:sz="4" w:space="0"/>
              <w:bottom w:val="single" w:color="auto" w:sz="4" w:space="0"/>
              <w:right w:val="single" w:color="auto" w:sz="4" w:space="0"/>
            </w:tcBorders>
            <w:shd w:val="clear" w:color="auto" w:fill="auto"/>
            <w:vAlign w:val="bottom"/>
          </w:tcPr>
          <w:p>
            <w:pPr>
              <w:jc w:val="center"/>
              <w:rPr>
                <w:rFonts w:ascii="仿宋_GB2312" w:hAnsi="等线" w:eastAsia="仿宋_GB2312"/>
                <w:b/>
                <w:bCs/>
                <w:color w:val="000000"/>
                <w:sz w:val="20"/>
                <w:szCs w:val="20"/>
              </w:rPr>
            </w:pPr>
            <w:r>
              <w:rPr>
                <w:rFonts w:hint="eastAsia" w:ascii="仿宋_GB2312" w:hAnsi="等线" w:eastAsia="仿宋_GB2312"/>
                <w:b/>
                <w:bCs/>
                <w:color w:val="000000"/>
                <w:sz w:val="20"/>
                <w:szCs w:val="20"/>
              </w:rPr>
              <w:t>合计：</w:t>
            </w:r>
          </w:p>
        </w:tc>
        <w:tc>
          <w:tcPr>
            <w:tcW w:w="1605"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11380800.00 </w:t>
            </w:r>
          </w:p>
        </w:tc>
        <w:tc>
          <w:tcPr>
            <w:tcW w:w="1357"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94231.85 </w:t>
            </w:r>
          </w:p>
        </w:tc>
        <w:tc>
          <w:tcPr>
            <w:tcW w:w="1326"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11475031.85 </w:t>
            </w:r>
          </w:p>
        </w:tc>
        <w:tc>
          <w:tcPr>
            <w:tcW w:w="1452"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sz w:val="20"/>
                <w:szCs w:val="20"/>
              </w:rPr>
            </w:pPr>
            <w:r>
              <w:rPr>
                <w:rFonts w:hint="eastAsia" w:ascii="仿宋_GB2312" w:hAnsi="等线" w:eastAsia="仿宋_GB2312"/>
                <w:b/>
                <w:bCs/>
                <w:sz w:val="20"/>
                <w:szCs w:val="20"/>
              </w:rPr>
              <w:t xml:space="preserve">11475031.85 </w:t>
            </w:r>
          </w:p>
        </w:tc>
        <w:tc>
          <w:tcPr>
            <w:tcW w:w="1163" w:type="dxa"/>
            <w:tcBorders>
              <w:top w:val="nil"/>
              <w:left w:val="nil"/>
              <w:bottom w:val="single" w:color="auto" w:sz="4" w:space="0"/>
              <w:right w:val="single" w:color="auto" w:sz="4" w:space="0"/>
            </w:tcBorders>
            <w:shd w:val="clear" w:color="auto" w:fill="auto"/>
            <w:vAlign w:val="center"/>
          </w:tcPr>
          <w:p>
            <w:pPr>
              <w:jc w:val="right"/>
              <w:rPr>
                <w:rFonts w:ascii="仿宋_GB2312" w:hAnsi="等线" w:eastAsia="仿宋_GB2312"/>
                <w:b/>
                <w:bCs/>
                <w:color w:val="000000"/>
                <w:sz w:val="20"/>
                <w:szCs w:val="20"/>
              </w:rPr>
            </w:pPr>
            <w:r>
              <w:rPr>
                <w:rFonts w:hint="eastAsia" w:ascii="仿宋_GB2312" w:hAnsi="等线" w:eastAsia="仿宋_GB2312"/>
                <w:b/>
                <w:bCs/>
                <w:color w:val="000000"/>
                <w:sz w:val="20"/>
                <w:szCs w:val="20"/>
              </w:rPr>
              <w:t>100.00%</w:t>
            </w:r>
          </w:p>
        </w:tc>
      </w:tr>
    </w:tbl>
    <w:p>
      <w:pPr>
        <w:widowControl w:val="0"/>
        <w:spacing w:line="560" w:lineRule="exact"/>
        <w:ind w:firstLine="602" w:firstLineChars="200"/>
        <w:jc w:val="both"/>
        <w:outlineLvl w:val="2"/>
        <w:rPr>
          <w:rFonts w:ascii="仿宋_GB2312" w:hAnsi="Times New Roman" w:eastAsia="仿宋_GB2312" w:cs="Times New Roman"/>
          <w:b/>
          <w:bCs/>
          <w:kern w:val="2"/>
          <w:sz w:val="30"/>
          <w:szCs w:val="30"/>
        </w:rPr>
      </w:pPr>
      <w:r>
        <w:rPr>
          <w:rFonts w:hint="eastAsia" w:ascii="仿宋_GB2312" w:hAnsi="Times New Roman" w:eastAsia="仿宋_GB2312" w:cs="Times New Roman"/>
          <w:b/>
          <w:bCs/>
          <w:kern w:val="2"/>
          <w:sz w:val="30"/>
          <w:szCs w:val="30"/>
        </w:rPr>
        <w:t>2. 2020-2021年项目预算及执行情况</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2020年本项目年初预算金额为1141.00万元，年中调增预算8.90万元，调整后预算数为1149.90万元，实际支出数为1149.90万元，预算执行率为100%。其中，终身教育经费年初预算490万元、预算调整金额为-13.21万元，调整后预算为476.79万元，执行金额为476.79万元，预算执行率为100%；民办教育经费年初预算651万元、预算调整金额为22.11万元，调整后预算为673.11万元，执行金额为673.11万元，预算执行率为100%。</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2021年本项目年初预算金额为1012.10万元，年中调减预算155.15万元，调整后预算数为856.95万元，实际支出数为856.95万元，预算执行率为100%。其中，终身教育经费年初预算328.1万元、预算调整金额为12.46万元，调整后预算为340.55万元，执行金额为340.55万元，预算执行率为100%；民办教育经费年初预算684万元、预算调整金额为-167.6万元，调整后预算为516.4万元，执行金额为516.4万元，预算执行率为100%。</w:t>
      </w:r>
    </w:p>
    <w:p>
      <w:pPr>
        <w:widowControl w:val="0"/>
        <w:spacing w:line="520" w:lineRule="exact"/>
        <w:ind w:firstLine="600" w:firstLineChars="200"/>
        <w:jc w:val="both"/>
        <w:rPr>
          <w:rFonts w:ascii="仿宋_GB2312" w:hAnsi="Times New Roman" w:eastAsia="仿宋_GB2312" w:cs="Times New Roman"/>
          <w:bCs/>
          <w:kern w:val="2"/>
          <w:sz w:val="30"/>
          <w:szCs w:val="30"/>
        </w:rPr>
      </w:pPr>
      <w:r>
        <w:rPr>
          <w:rFonts w:hint="eastAsia" w:ascii="仿宋_GB2312" w:hAnsi="Times New Roman" w:eastAsia="仿宋_GB2312" w:cs="Times New Roman"/>
          <w:kern w:val="2"/>
          <w:sz w:val="30"/>
          <w:szCs w:val="30"/>
        </w:rPr>
        <w:t>该项目2020-2022终身教育经费预算明细发生了变化，2020-2021年终身教育经费包含1个子项目为成人（社区）教育经费，2022年，为了预算管理精细化，拆分为老年教育三类学习点建设经费、终身教育经费和学促办工作经费。2020-2022年民办教育子项目没有发生变化。具体预算及执行情况详见下表（详细情况见附件）。</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2021年民办教育发展专项资金240万元较2020年减少60万元是因为当年申请300万元，由于统一压减，实际下拨240万元；2022年民办学校学生公用经费补助较上两年增加的原因是2022年起生均经费补助标准进行了调增，小学生均经费补助由1</w:t>
      </w:r>
      <w:r>
        <w:rPr>
          <w:rFonts w:ascii="仿宋_GB2312" w:hAnsi="Times New Roman" w:eastAsia="仿宋_GB2312" w:cs="Times New Roman"/>
          <w:kern w:val="2"/>
          <w:sz w:val="30"/>
          <w:szCs w:val="30"/>
        </w:rPr>
        <w:t>800</w:t>
      </w:r>
      <w:r>
        <w:rPr>
          <w:rFonts w:hint="eastAsia" w:ascii="仿宋_GB2312" w:hAnsi="Times New Roman" w:eastAsia="仿宋_GB2312" w:cs="Times New Roman"/>
          <w:kern w:val="2"/>
          <w:sz w:val="30"/>
          <w:szCs w:val="30"/>
        </w:rPr>
        <w:t>元/年调整为2000元/年，初中生生均经费补助由2</w:t>
      </w:r>
      <w:r>
        <w:rPr>
          <w:rFonts w:ascii="仿宋_GB2312" w:hAnsi="Times New Roman" w:eastAsia="仿宋_GB2312" w:cs="Times New Roman"/>
          <w:kern w:val="2"/>
          <w:sz w:val="30"/>
          <w:szCs w:val="30"/>
        </w:rPr>
        <w:t>000</w:t>
      </w:r>
      <w:r>
        <w:rPr>
          <w:rFonts w:hint="eastAsia" w:ascii="仿宋_GB2312" w:hAnsi="Times New Roman" w:eastAsia="仿宋_GB2312" w:cs="Times New Roman"/>
          <w:kern w:val="2"/>
          <w:sz w:val="30"/>
          <w:szCs w:val="30"/>
        </w:rPr>
        <w:t>元/年调整为2200元/年；民办非学历教育机构管理经费近两年均减少的原因是受疫情影响培训机构数量的减少，故经费使用减少。</w:t>
      </w:r>
    </w:p>
    <w:p>
      <w:pPr>
        <w:pStyle w:val="195"/>
        <w:spacing w:line="560" w:lineRule="exact"/>
        <w:rPr>
          <w:rFonts w:ascii="仿宋_GB2312" w:hAnsi="仿宋_GB2312" w:cs="仿宋_GB2312"/>
          <w:kern w:val="0"/>
        </w:rPr>
      </w:pPr>
    </w:p>
    <w:p>
      <w:pPr>
        <w:pStyle w:val="195"/>
        <w:spacing w:line="560" w:lineRule="exact"/>
        <w:rPr>
          <w:rFonts w:ascii="仿宋_GB2312" w:hAnsi="仿宋_GB2312" w:cs="仿宋_GB2312"/>
          <w:kern w:val="0"/>
        </w:rPr>
      </w:pPr>
    </w:p>
    <w:p>
      <w:pPr>
        <w:pStyle w:val="195"/>
        <w:spacing w:line="560" w:lineRule="exact"/>
        <w:rPr>
          <w:rFonts w:ascii="仿宋_GB2312" w:hAnsi="仿宋_GB2312" w:cs="仿宋_GB2312"/>
          <w:kern w:val="0"/>
        </w:rPr>
        <w:sectPr>
          <w:pgSz w:w="11900" w:h="16840"/>
          <w:pgMar w:top="1474" w:right="1531" w:bottom="1474" w:left="1531" w:header="851" w:footer="992" w:gutter="0"/>
          <w:cols w:space="425" w:num="1"/>
          <w:docGrid w:linePitch="326" w:charSpace="0"/>
        </w:sectPr>
      </w:pPr>
    </w:p>
    <w:p>
      <w:pPr>
        <w:widowControl w:val="0"/>
        <w:spacing w:line="520" w:lineRule="exact"/>
        <w:ind w:firstLine="482" w:firstLineChars="200"/>
        <w:jc w:val="center"/>
        <w:rPr>
          <w:rFonts w:ascii="Times New Roman" w:hAnsi="Times New Roman" w:eastAsia="仿宋_GB2312" w:cs="Times New Roman"/>
          <w:b/>
          <w:kern w:val="2"/>
        </w:rPr>
      </w:pPr>
      <w:r>
        <w:rPr>
          <w:rFonts w:ascii="Times New Roman" w:hAnsi="Times New Roman" w:eastAsia="仿宋_GB2312" w:cs="Times New Roman"/>
          <w:b/>
          <w:kern w:val="2"/>
        </w:rPr>
        <w:t>表1-3</w:t>
      </w:r>
      <w:r>
        <w:rPr>
          <w:rFonts w:hint="eastAsia" w:ascii="Times New Roman" w:hAnsi="Times New Roman" w:eastAsia="仿宋_GB2312" w:cs="Times New Roman"/>
          <w:b/>
          <w:kern w:val="2"/>
        </w:rPr>
        <w:t>-</w:t>
      </w:r>
      <w:r>
        <w:rPr>
          <w:rFonts w:ascii="Times New Roman" w:hAnsi="Times New Roman" w:eastAsia="仿宋_GB2312" w:cs="Times New Roman"/>
          <w:b/>
          <w:kern w:val="2"/>
        </w:rPr>
        <w:t>2 2020</w:t>
      </w:r>
      <w:r>
        <w:rPr>
          <w:rFonts w:hint="eastAsia" w:ascii="Times New Roman" w:hAnsi="Times New Roman" w:eastAsia="仿宋_GB2312" w:cs="Times New Roman"/>
          <w:b/>
          <w:kern w:val="2"/>
        </w:rPr>
        <w:t>-</w:t>
      </w:r>
      <w:r>
        <w:rPr>
          <w:rFonts w:ascii="Times New Roman" w:hAnsi="Times New Roman" w:eastAsia="仿宋_GB2312" w:cs="Times New Roman"/>
          <w:b/>
          <w:kern w:val="2"/>
        </w:rPr>
        <w:t>2022年预算及执行</w:t>
      </w:r>
      <w:r>
        <w:rPr>
          <w:rFonts w:hint="eastAsia" w:ascii="Times New Roman" w:hAnsi="Times New Roman" w:eastAsia="仿宋_GB2312" w:cs="Times New Roman"/>
          <w:b/>
          <w:kern w:val="2"/>
        </w:rPr>
        <w:t>汇总表</w:t>
      </w:r>
      <w:r>
        <w:rPr>
          <w:rFonts w:ascii="Times New Roman" w:hAnsi="Times New Roman" w:eastAsia="仿宋_GB2312" w:cs="Times New Roman"/>
          <w:b/>
          <w:kern w:val="2"/>
        </w:rPr>
        <w:t>（单位：元）</w:t>
      </w:r>
    </w:p>
    <w:tbl>
      <w:tblPr>
        <w:tblStyle w:val="40"/>
        <w:tblW w:w="16298" w:type="dxa"/>
        <w:jc w:val="center"/>
        <w:tblInd w:w="0" w:type="dxa"/>
        <w:tblLayout w:type="fixed"/>
        <w:tblCellMar>
          <w:top w:w="0" w:type="dxa"/>
          <w:left w:w="108" w:type="dxa"/>
          <w:bottom w:w="0" w:type="dxa"/>
          <w:right w:w="108" w:type="dxa"/>
        </w:tblCellMar>
      </w:tblPr>
      <w:tblGrid>
        <w:gridCol w:w="704"/>
        <w:gridCol w:w="1304"/>
        <w:gridCol w:w="962"/>
        <w:gridCol w:w="1203"/>
        <w:gridCol w:w="1213"/>
        <w:gridCol w:w="1216"/>
        <w:gridCol w:w="1190"/>
        <w:gridCol w:w="1275"/>
        <w:gridCol w:w="1307"/>
        <w:gridCol w:w="1213"/>
        <w:gridCol w:w="1056"/>
        <w:gridCol w:w="1226"/>
        <w:gridCol w:w="1213"/>
        <w:gridCol w:w="1216"/>
      </w:tblGrid>
      <w:tr>
        <w:tblPrEx>
          <w:tblLayout w:type="fixed"/>
          <w:tblCellMar>
            <w:top w:w="0" w:type="dxa"/>
            <w:left w:w="108" w:type="dxa"/>
            <w:bottom w:w="0" w:type="dxa"/>
            <w:right w:w="108" w:type="dxa"/>
          </w:tblCellMar>
        </w:tblPrEx>
        <w:trPr>
          <w:trHeight w:val="283" w:hRule="atLeast"/>
          <w:jc w:val="center"/>
        </w:trPr>
        <w:tc>
          <w:tcPr>
            <w:tcW w:w="7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项目分类</w:t>
            </w:r>
          </w:p>
        </w:tc>
        <w:tc>
          <w:tcPr>
            <w:tcW w:w="13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项目构成</w:t>
            </w:r>
          </w:p>
        </w:tc>
        <w:tc>
          <w:tcPr>
            <w:tcW w:w="4594"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2020年</w:t>
            </w:r>
          </w:p>
        </w:tc>
        <w:tc>
          <w:tcPr>
            <w:tcW w:w="4985"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2021年</w:t>
            </w:r>
          </w:p>
        </w:tc>
        <w:tc>
          <w:tcPr>
            <w:tcW w:w="4711" w:type="dxa"/>
            <w:gridSpan w:val="4"/>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2022年</w:t>
            </w:r>
          </w:p>
        </w:tc>
      </w:tr>
      <w:tr>
        <w:tblPrEx>
          <w:tblLayout w:type="fixed"/>
          <w:tblCellMar>
            <w:top w:w="0" w:type="dxa"/>
            <w:left w:w="108" w:type="dxa"/>
            <w:bottom w:w="0" w:type="dxa"/>
            <w:right w:w="108" w:type="dxa"/>
          </w:tblCellMar>
        </w:tblPrEx>
        <w:trPr>
          <w:trHeight w:val="283" w:hRule="atLeast"/>
          <w:jc w:val="center"/>
        </w:trPr>
        <w:tc>
          <w:tcPr>
            <w:tcW w:w="70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130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b/>
                <w:bCs/>
                <w:color w:val="000000"/>
                <w:sz w:val="18"/>
                <w:szCs w:val="18"/>
              </w:rPr>
            </w:pPr>
          </w:p>
        </w:tc>
        <w:tc>
          <w:tcPr>
            <w:tcW w:w="96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年初预算</w:t>
            </w:r>
          </w:p>
        </w:tc>
        <w:tc>
          <w:tcPr>
            <w:tcW w:w="1203"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调整金额</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调整后预算</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执行金额</w:t>
            </w:r>
          </w:p>
        </w:tc>
        <w:tc>
          <w:tcPr>
            <w:tcW w:w="119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年初预算</w:t>
            </w:r>
          </w:p>
        </w:tc>
        <w:tc>
          <w:tcPr>
            <w:tcW w:w="127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调整金额</w:t>
            </w:r>
          </w:p>
        </w:tc>
        <w:tc>
          <w:tcPr>
            <w:tcW w:w="1307"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调整后预算</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执行金额</w:t>
            </w: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年初预算</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调整金额</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调整后预算</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执行金额</w:t>
            </w:r>
          </w:p>
        </w:tc>
      </w:tr>
      <w:tr>
        <w:tblPrEx>
          <w:tblLayout w:type="fixed"/>
          <w:tblCellMar>
            <w:top w:w="0" w:type="dxa"/>
            <w:left w:w="108" w:type="dxa"/>
            <w:bottom w:w="0" w:type="dxa"/>
            <w:right w:w="108" w:type="dxa"/>
          </w:tblCellMar>
        </w:tblPrEx>
        <w:trPr>
          <w:trHeight w:val="283" w:hRule="atLeast"/>
          <w:jc w:val="center"/>
        </w:trPr>
        <w:tc>
          <w:tcPr>
            <w:tcW w:w="704"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终身教育</w:t>
            </w:r>
          </w:p>
        </w:tc>
        <w:tc>
          <w:tcPr>
            <w:tcW w:w="1304"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18"/>
                <w:szCs w:val="18"/>
              </w:rPr>
            </w:pPr>
            <w:r>
              <w:rPr>
                <w:rFonts w:hint="eastAsia" w:ascii="仿宋_GB2312" w:hAnsi="等线" w:eastAsia="仿宋_GB2312"/>
                <w:color w:val="000000"/>
                <w:sz w:val="18"/>
                <w:szCs w:val="18"/>
              </w:rPr>
              <w:t>老年教育三类学习点建设经费</w:t>
            </w:r>
          </w:p>
        </w:tc>
        <w:tc>
          <w:tcPr>
            <w:tcW w:w="96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4900000</w:t>
            </w:r>
          </w:p>
        </w:tc>
        <w:tc>
          <w:tcPr>
            <w:tcW w:w="120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-132081.12</w:t>
            </w:r>
          </w:p>
        </w:tc>
        <w:tc>
          <w:tcPr>
            <w:tcW w:w="121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4767918.88</w:t>
            </w:r>
          </w:p>
        </w:tc>
        <w:tc>
          <w:tcPr>
            <w:tcW w:w="1216"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4767918.88</w:t>
            </w:r>
          </w:p>
        </w:tc>
        <w:tc>
          <w:tcPr>
            <w:tcW w:w="1190"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3281000</w:t>
            </w:r>
          </w:p>
        </w:tc>
        <w:tc>
          <w:tcPr>
            <w:tcW w:w="1275"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124551.34</w:t>
            </w:r>
          </w:p>
        </w:tc>
        <w:tc>
          <w:tcPr>
            <w:tcW w:w="130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3405551.34</w:t>
            </w:r>
          </w:p>
        </w:tc>
        <w:tc>
          <w:tcPr>
            <w:tcW w:w="121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3405551.34</w:t>
            </w: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297000</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-40200</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256800</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256800</w:t>
            </w:r>
          </w:p>
        </w:tc>
      </w:tr>
      <w:tr>
        <w:tblPrEx>
          <w:tblLayout w:type="fixed"/>
          <w:tblCellMar>
            <w:top w:w="0" w:type="dxa"/>
            <w:left w:w="108" w:type="dxa"/>
            <w:bottom w:w="0" w:type="dxa"/>
            <w:right w:w="108" w:type="dxa"/>
          </w:tblCellMar>
        </w:tblPrEx>
        <w:trPr>
          <w:trHeight w:val="283" w:hRule="atLeast"/>
          <w:jc w:val="center"/>
        </w:trPr>
        <w:tc>
          <w:tcPr>
            <w:tcW w:w="704"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b/>
                <w:bCs/>
                <w:color w:val="000000"/>
                <w:sz w:val="18"/>
                <w:szCs w:val="18"/>
              </w:rPr>
            </w:pPr>
          </w:p>
        </w:tc>
        <w:tc>
          <w:tcPr>
            <w:tcW w:w="1304"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18"/>
                <w:szCs w:val="18"/>
              </w:rPr>
            </w:pPr>
            <w:r>
              <w:rPr>
                <w:rFonts w:hint="eastAsia" w:ascii="仿宋_GB2312" w:hAnsi="等线" w:eastAsia="仿宋_GB2312"/>
                <w:color w:val="000000"/>
                <w:sz w:val="18"/>
                <w:szCs w:val="18"/>
              </w:rPr>
              <w:t>终身教育经费</w:t>
            </w:r>
          </w:p>
        </w:tc>
        <w:tc>
          <w:tcPr>
            <w:tcW w:w="96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0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1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1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190"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30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1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4124000</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-153702.15</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3970297.85</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3970297.85</w:t>
            </w:r>
          </w:p>
        </w:tc>
      </w:tr>
      <w:tr>
        <w:tblPrEx>
          <w:tblLayout w:type="fixed"/>
          <w:tblCellMar>
            <w:top w:w="0" w:type="dxa"/>
            <w:left w:w="108" w:type="dxa"/>
            <w:bottom w:w="0" w:type="dxa"/>
            <w:right w:w="108" w:type="dxa"/>
          </w:tblCellMar>
        </w:tblPrEx>
        <w:trPr>
          <w:trHeight w:val="283" w:hRule="atLeast"/>
          <w:jc w:val="center"/>
        </w:trPr>
        <w:tc>
          <w:tcPr>
            <w:tcW w:w="704"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b/>
                <w:bCs/>
                <w:color w:val="000000"/>
                <w:sz w:val="18"/>
                <w:szCs w:val="18"/>
              </w:rPr>
            </w:pPr>
          </w:p>
        </w:tc>
        <w:tc>
          <w:tcPr>
            <w:tcW w:w="1304"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18"/>
                <w:szCs w:val="18"/>
              </w:rPr>
            </w:pPr>
            <w:r>
              <w:rPr>
                <w:rFonts w:hint="eastAsia" w:ascii="仿宋_GB2312" w:hAnsi="等线" w:eastAsia="仿宋_GB2312"/>
                <w:color w:val="000000"/>
                <w:sz w:val="18"/>
                <w:szCs w:val="18"/>
              </w:rPr>
              <w:t>学促办工作经费</w:t>
            </w:r>
          </w:p>
        </w:tc>
        <w:tc>
          <w:tcPr>
            <w:tcW w:w="96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0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1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16"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190"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7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30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21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40000</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10000</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10000</w:t>
            </w:r>
          </w:p>
        </w:tc>
      </w:tr>
      <w:tr>
        <w:tblPrEx>
          <w:tblLayout w:type="fixed"/>
          <w:tblCellMar>
            <w:top w:w="0" w:type="dxa"/>
            <w:left w:w="108" w:type="dxa"/>
            <w:bottom w:w="0" w:type="dxa"/>
            <w:right w:w="108" w:type="dxa"/>
          </w:tblCellMar>
        </w:tblPrEx>
        <w:trPr>
          <w:trHeight w:val="283" w:hRule="atLeast"/>
          <w:jc w:val="center"/>
        </w:trPr>
        <w:tc>
          <w:tcPr>
            <w:tcW w:w="704"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民办教育</w:t>
            </w:r>
          </w:p>
        </w:tc>
        <w:tc>
          <w:tcPr>
            <w:tcW w:w="1304"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18"/>
                <w:szCs w:val="18"/>
              </w:rPr>
            </w:pPr>
            <w:r>
              <w:rPr>
                <w:rFonts w:hint="eastAsia" w:ascii="仿宋_GB2312" w:hAnsi="等线" w:eastAsia="仿宋_GB2312"/>
                <w:color w:val="000000"/>
                <w:sz w:val="18"/>
                <w:szCs w:val="18"/>
              </w:rPr>
              <w:t>民办学校学生公用经费补助</w:t>
            </w:r>
          </w:p>
        </w:tc>
        <w:tc>
          <w:tcPr>
            <w:tcW w:w="962"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3110000</w:t>
            </w:r>
          </w:p>
        </w:tc>
        <w:tc>
          <w:tcPr>
            <w:tcW w:w="120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261200</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3371200</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3371200</w:t>
            </w:r>
          </w:p>
        </w:tc>
        <w:tc>
          <w:tcPr>
            <w:tcW w:w="119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3440000</w:t>
            </w:r>
          </w:p>
        </w:tc>
        <w:tc>
          <w:tcPr>
            <w:tcW w:w="1275"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-800925</w:t>
            </w:r>
          </w:p>
        </w:tc>
        <w:tc>
          <w:tcPr>
            <w:tcW w:w="1307"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2639075</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2639075</w:t>
            </w: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3695800</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399075</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4094875</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4094875</w:t>
            </w:r>
          </w:p>
        </w:tc>
      </w:tr>
      <w:tr>
        <w:tblPrEx>
          <w:tblLayout w:type="fixed"/>
          <w:tblCellMar>
            <w:top w:w="0" w:type="dxa"/>
            <w:left w:w="108" w:type="dxa"/>
            <w:bottom w:w="0" w:type="dxa"/>
            <w:right w:w="108" w:type="dxa"/>
          </w:tblCellMar>
        </w:tblPrEx>
        <w:trPr>
          <w:trHeight w:val="283" w:hRule="atLeast"/>
          <w:jc w:val="center"/>
        </w:trPr>
        <w:tc>
          <w:tcPr>
            <w:tcW w:w="704"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304"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18"/>
                <w:szCs w:val="18"/>
              </w:rPr>
            </w:pPr>
            <w:r>
              <w:rPr>
                <w:rFonts w:hint="eastAsia" w:ascii="仿宋_GB2312" w:hAnsi="等线" w:eastAsia="仿宋_GB2312"/>
                <w:color w:val="000000"/>
                <w:sz w:val="18"/>
                <w:szCs w:val="18"/>
              </w:rPr>
              <w:t>民办教育发展专项资金</w:t>
            </w:r>
          </w:p>
        </w:tc>
        <w:tc>
          <w:tcPr>
            <w:tcW w:w="962"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3000000</w:t>
            </w:r>
          </w:p>
        </w:tc>
        <w:tc>
          <w:tcPr>
            <w:tcW w:w="120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0</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3000000</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3000000</w:t>
            </w:r>
          </w:p>
        </w:tc>
        <w:tc>
          <w:tcPr>
            <w:tcW w:w="119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3000000</w:t>
            </w:r>
          </w:p>
        </w:tc>
        <w:tc>
          <w:tcPr>
            <w:tcW w:w="1275"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-600000</w:t>
            </w:r>
          </w:p>
        </w:tc>
        <w:tc>
          <w:tcPr>
            <w:tcW w:w="1307"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2400000</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2400000</w:t>
            </w: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3000000</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0</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3000000</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3000000</w:t>
            </w:r>
          </w:p>
        </w:tc>
      </w:tr>
      <w:tr>
        <w:tblPrEx>
          <w:tblLayout w:type="fixed"/>
          <w:tblCellMar>
            <w:top w:w="0" w:type="dxa"/>
            <w:left w:w="108" w:type="dxa"/>
            <w:bottom w:w="0" w:type="dxa"/>
            <w:right w:w="108" w:type="dxa"/>
          </w:tblCellMar>
        </w:tblPrEx>
        <w:trPr>
          <w:trHeight w:val="283" w:hRule="atLeast"/>
          <w:jc w:val="center"/>
        </w:trPr>
        <w:tc>
          <w:tcPr>
            <w:tcW w:w="704"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Times New Roman" w:eastAsia="仿宋_GB2312" w:cs="Times New Roman"/>
                <w:color w:val="000000"/>
                <w:sz w:val="18"/>
                <w:szCs w:val="18"/>
              </w:rPr>
            </w:pPr>
          </w:p>
        </w:tc>
        <w:tc>
          <w:tcPr>
            <w:tcW w:w="1304"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18"/>
                <w:szCs w:val="18"/>
              </w:rPr>
            </w:pPr>
            <w:r>
              <w:rPr>
                <w:rFonts w:hint="eastAsia" w:ascii="仿宋_GB2312" w:hAnsi="等线" w:eastAsia="仿宋_GB2312"/>
                <w:color w:val="000000"/>
                <w:sz w:val="18"/>
                <w:szCs w:val="18"/>
              </w:rPr>
              <w:t>民办非学历教育机构管理经费</w:t>
            </w:r>
          </w:p>
        </w:tc>
        <w:tc>
          <w:tcPr>
            <w:tcW w:w="962"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400000</w:t>
            </w:r>
          </w:p>
        </w:tc>
        <w:tc>
          <w:tcPr>
            <w:tcW w:w="120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-40091</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359909</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359909</w:t>
            </w:r>
          </w:p>
        </w:tc>
        <w:tc>
          <w:tcPr>
            <w:tcW w:w="119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400000</w:t>
            </w:r>
          </w:p>
        </w:tc>
        <w:tc>
          <w:tcPr>
            <w:tcW w:w="1275"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-275100</w:t>
            </w:r>
          </w:p>
        </w:tc>
        <w:tc>
          <w:tcPr>
            <w:tcW w:w="1307"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124900</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124900</w:t>
            </w: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224000</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-80941</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143059</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color w:val="000000"/>
                <w:sz w:val="18"/>
                <w:szCs w:val="18"/>
              </w:rPr>
            </w:pPr>
            <w:r>
              <w:rPr>
                <w:rFonts w:hint="eastAsia" w:ascii="仿宋_GB2312" w:hAnsi="Times New Roman" w:eastAsia="仿宋_GB2312" w:cs="Times New Roman"/>
                <w:color w:val="000000"/>
                <w:sz w:val="18"/>
                <w:szCs w:val="18"/>
              </w:rPr>
              <w:t>143059</w:t>
            </w:r>
          </w:p>
        </w:tc>
      </w:tr>
      <w:tr>
        <w:tblPrEx>
          <w:tblLayout w:type="fixed"/>
          <w:tblCellMar>
            <w:top w:w="0" w:type="dxa"/>
            <w:left w:w="108" w:type="dxa"/>
            <w:bottom w:w="0" w:type="dxa"/>
            <w:right w:w="108" w:type="dxa"/>
          </w:tblCellMar>
        </w:tblPrEx>
        <w:trPr>
          <w:trHeight w:val="283" w:hRule="atLeast"/>
          <w:jc w:val="center"/>
        </w:trPr>
        <w:tc>
          <w:tcPr>
            <w:tcW w:w="20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合计：</w:t>
            </w:r>
          </w:p>
        </w:tc>
        <w:tc>
          <w:tcPr>
            <w:tcW w:w="962"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11410000</w:t>
            </w:r>
          </w:p>
        </w:tc>
        <w:tc>
          <w:tcPr>
            <w:tcW w:w="120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89027.88</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11499027.9</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11499027.9</w:t>
            </w:r>
          </w:p>
        </w:tc>
        <w:tc>
          <w:tcPr>
            <w:tcW w:w="1190"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10121000</w:t>
            </w:r>
          </w:p>
        </w:tc>
        <w:tc>
          <w:tcPr>
            <w:tcW w:w="1275"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-1551473.66</w:t>
            </w:r>
          </w:p>
        </w:tc>
        <w:tc>
          <w:tcPr>
            <w:tcW w:w="1307"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8569526.34</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8569526.34</w:t>
            </w:r>
          </w:p>
        </w:tc>
        <w:tc>
          <w:tcPr>
            <w:tcW w:w="105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11380800</w:t>
            </w:r>
          </w:p>
        </w:tc>
        <w:tc>
          <w:tcPr>
            <w:tcW w:w="122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94231.85</w:t>
            </w:r>
          </w:p>
        </w:tc>
        <w:tc>
          <w:tcPr>
            <w:tcW w:w="1213"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11475031.9</w:t>
            </w:r>
          </w:p>
        </w:tc>
        <w:tc>
          <w:tcPr>
            <w:tcW w:w="1216" w:type="dxa"/>
            <w:tcBorders>
              <w:top w:val="nil"/>
              <w:left w:val="nil"/>
              <w:bottom w:val="single" w:color="auto" w:sz="4" w:space="0"/>
              <w:right w:val="single" w:color="auto" w:sz="4" w:space="0"/>
            </w:tcBorders>
            <w:shd w:val="clear" w:color="auto" w:fill="auto"/>
            <w:vAlign w:val="center"/>
          </w:tcPr>
          <w:p>
            <w:pPr>
              <w:snapToGrid w:val="0"/>
              <w:spacing w:line="240" w:lineRule="atLeast"/>
              <w:jc w:val="right"/>
              <w:rPr>
                <w:rFonts w:ascii="仿宋_GB2312" w:hAnsi="Times New Roman" w:eastAsia="仿宋_GB2312" w:cs="Times New Roman"/>
                <w:b/>
                <w:bCs/>
                <w:color w:val="000000"/>
                <w:sz w:val="18"/>
                <w:szCs w:val="18"/>
              </w:rPr>
            </w:pPr>
            <w:r>
              <w:rPr>
                <w:rFonts w:hint="eastAsia" w:ascii="仿宋_GB2312" w:hAnsi="Times New Roman" w:eastAsia="仿宋_GB2312" w:cs="Times New Roman"/>
                <w:b/>
                <w:bCs/>
                <w:color w:val="000000"/>
                <w:sz w:val="18"/>
                <w:szCs w:val="18"/>
              </w:rPr>
              <w:t>11475031.9</w:t>
            </w:r>
          </w:p>
        </w:tc>
      </w:tr>
    </w:tbl>
    <w:p>
      <w:pPr>
        <w:pStyle w:val="195"/>
        <w:spacing w:line="560" w:lineRule="exact"/>
        <w:ind w:firstLine="0" w:firstLineChars="0"/>
        <w:rPr>
          <w:rFonts w:ascii="仿宋_GB2312" w:hAnsi="仿宋_GB2312" w:cs="仿宋_GB2312"/>
          <w:kern w:val="0"/>
        </w:rPr>
      </w:pPr>
    </w:p>
    <w:p>
      <w:pPr>
        <w:pStyle w:val="195"/>
        <w:spacing w:line="560" w:lineRule="exact"/>
        <w:rPr>
          <w:rFonts w:ascii="仿宋_GB2312" w:hAnsi="仿宋_GB2312" w:cs="仿宋_GB2312"/>
          <w:kern w:val="0"/>
        </w:rPr>
      </w:pPr>
    </w:p>
    <w:p>
      <w:pPr>
        <w:pStyle w:val="195"/>
        <w:spacing w:line="560" w:lineRule="exact"/>
        <w:rPr>
          <w:rFonts w:ascii="仿宋_GB2312" w:hAnsi="仿宋_GB2312" w:cs="仿宋_GB2312"/>
          <w:kern w:val="0"/>
        </w:rPr>
        <w:sectPr>
          <w:pgSz w:w="16840" w:h="11900" w:orient="landscape"/>
          <w:pgMar w:top="720" w:right="720" w:bottom="720" w:left="720" w:header="851" w:footer="992" w:gutter="0"/>
          <w:cols w:space="425" w:num="1"/>
          <w:docGrid w:linePitch="326" w:charSpace="0"/>
        </w:sectPr>
      </w:pPr>
    </w:p>
    <w:p>
      <w:pPr>
        <w:pStyle w:val="195"/>
        <w:spacing w:line="560" w:lineRule="exact"/>
        <w:ind w:firstLine="643"/>
        <w:outlineLvl w:val="1"/>
        <w:rPr>
          <w:rFonts w:eastAsia="楷体_GB2312"/>
          <w:sz w:val="32"/>
          <w:szCs w:val="32"/>
        </w:rPr>
      </w:pPr>
      <w:bookmarkStart w:id="31" w:name="_Toc22216"/>
      <w:r>
        <w:rPr>
          <w:rFonts w:eastAsia="楷体_GB2312"/>
          <w:sz w:val="32"/>
          <w:szCs w:val="32"/>
        </w:rPr>
        <w:t>（四）项目的组织及管理情况</w:t>
      </w:r>
      <w:bookmarkEnd w:id="31"/>
    </w:p>
    <w:p>
      <w:pPr>
        <w:pStyle w:val="195"/>
        <w:spacing w:line="560" w:lineRule="exact"/>
        <w:outlineLvl w:val="2"/>
      </w:pPr>
      <w:r>
        <w:t>1.项目组织情况</w:t>
      </w:r>
    </w:p>
    <w:p>
      <w:pPr>
        <w:widowControl w:val="0"/>
        <w:spacing w:line="520" w:lineRule="exact"/>
        <w:ind w:firstLine="641"/>
        <w:jc w:val="both"/>
        <w:rPr>
          <w:rFonts w:ascii="仿宋_GB2312" w:eastAsia="仿宋_GB2312"/>
          <w:kern w:val="2"/>
          <w:sz w:val="30"/>
          <w:szCs w:val="30"/>
        </w:rPr>
      </w:pPr>
      <w:r>
        <w:rPr>
          <w:rFonts w:hint="eastAsia" w:ascii="仿宋_GB2312" w:eastAsia="仿宋_GB2312"/>
          <w:kern w:val="2"/>
          <w:sz w:val="30"/>
          <w:szCs w:val="30"/>
        </w:rPr>
        <w:t>崇明区教育局：项目立项、预算编报、招标评标、项目实施及验收单位。</w:t>
      </w:r>
    </w:p>
    <w:p>
      <w:pPr>
        <w:widowControl w:val="0"/>
        <w:spacing w:line="520" w:lineRule="exact"/>
        <w:ind w:firstLine="641"/>
        <w:jc w:val="both"/>
        <w:rPr>
          <w:rFonts w:ascii="仿宋_GB2312" w:eastAsia="仿宋_GB2312"/>
          <w:kern w:val="2"/>
          <w:sz w:val="30"/>
          <w:szCs w:val="30"/>
        </w:rPr>
      </w:pPr>
      <w:r>
        <w:rPr>
          <w:rFonts w:hint="eastAsia" w:ascii="仿宋_GB2312" w:eastAsia="仿宋_GB2312"/>
          <w:kern w:val="2"/>
          <w:sz w:val="30"/>
          <w:szCs w:val="30"/>
        </w:rPr>
        <w:t>崇明区财政局：资金拨付单位，负责项目预算资金的核定、资金审批与拨付、并对本项目资金的支付和使用情况实施财政监督。</w:t>
      </w:r>
    </w:p>
    <w:p>
      <w:pPr>
        <w:widowControl w:val="0"/>
        <w:spacing w:line="520" w:lineRule="exact"/>
        <w:ind w:firstLine="641"/>
        <w:jc w:val="both"/>
        <w:rPr>
          <w:rFonts w:ascii="仿宋_GB2312" w:eastAsia="仿宋_GB2312"/>
          <w:kern w:val="2"/>
          <w:sz w:val="30"/>
          <w:szCs w:val="30"/>
        </w:rPr>
      </w:pPr>
      <w:r>
        <w:rPr>
          <w:rFonts w:hint="eastAsia" w:ascii="仿宋_GB2312" w:eastAsia="仿宋_GB2312"/>
          <w:kern w:val="2"/>
          <w:sz w:val="30"/>
          <w:szCs w:val="30"/>
        </w:rPr>
        <w:t>崇明区教育局下属成人学校和民办学校：项目的具体实施单位及受益方。</w:t>
      </w:r>
    </w:p>
    <w:p>
      <w:pPr>
        <w:widowControl w:val="0"/>
        <w:spacing w:line="520" w:lineRule="exact"/>
        <w:ind w:firstLine="641"/>
        <w:jc w:val="both"/>
        <w:rPr>
          <w:rFonts w:ascii="仿宋_GB2312" w:eastAsia="仿宋_GB2312"/>
          <w:kern w:val="2"/>
          <w:sz w:val="30"/>
          <w:szCs w:val="30"/>
        </w:rPr>
      </w:pPr>
      <w:r>
        <w:rPr>
          <w:rFonts w:hint="eastAsia" w:ascii="仿宋_GB2312" w:eastAsia="仿宋_GB2312"/>
          <w:kern w:val="2"/>
          <w:sz w:val="30"/>
          <w:szCs w:val="30"/>
        </w:rPr>
        <w:t>第三方服务机构：根据合同提供项目相关服务。</w:t>
      </w:r>
    </w:p>
    <w:p>
      <w:pPr>
        <w:widowControl w:val="0"/>
        <w:spacing w:line="520" w:lineRule="exact"/>
        <w:ind w:firstLine="641"/>
        <w:jc w:val="both"/>
        <w:rPr>
          <w:rFonts w:ascii="仿宋_GB2312" w:eastAsia="仿宋_GB2312"/>
          <w:kern w:val="2"/>
          <w:sz w:val="30"/>
          <w:szCs w:val="30"/>
        </w:rPr>
      </w:pPr>
      <w:r>
        <w:rPr>
          <w:rFonts w:hint="eastAsia" w:ascii="仿宋_GB2312" w:eastAsia="仿宋_GB2312"/>
          <w:kern w:val="2"/>
          <w:sz w:val="30"/>
          <w:szCs w:val="30"/>
        </w:rPr>
        <w:t>受益对象：崇明区终身教育学员、民办教育学生及家长。</w:t>
      </w:r>
    </w:p>
    <w:p>
      <w:pPr>
        <w:pStyle w:val="195"/>
        <w:spacing w:line="560" w:lineRule="exact"/>
        <w:outlineLvl w:val="2"/>
      </w:pPr>
      <w:r>
        <w:t>2.业务管理情况</w:t>
      </w:r>
    </w:p>
    <w:p>
      <w:pPr>
        <w:pStyle w:val="103"/>
        <w:ind w:firstLine="602"/>
        <w:rPr>
          <w:b/>
          <w:bCs/>
          <w:sz w:val="30"/>
          <w:szCs w:val="30"/>
        </w:rPr>
      </w:pPr>
      <w:r>
        <w:rPr>
          <w:b/>
          <w:bCs/>
          <w:sz w:val="30"/>
          <w:szCs w:val="30"/>
        </w:rPr>
        <w:t>（1）崇明区教育局本级项目业务管理情况</w:t>
      </w:r>
    </w:p>
    <w:p>
      <w:pPr>
        <w:pStyle w:val="103"/>
        <w:ind w:firstLine="600"/>
        <w:rPr>
          <w:sz w:val="30"/>
          <w:szCs w:val="30"/>
        </w:rPr>
      </w:pPr>
      <w:r>
        <w:rPr>
          <w:rFonts w:hint="eastAsia"/>
          <w:sz w:val="30"/>
          <w:szCs w:val="30"/>
        </w:rPr>
        <w:t>采购类项目：</w:t>
      </w:r>
      <w:r>
        <w:rPr>
          <w:sz w:val="30"/>
          <w:szCs w:val="30"/>
        </w:rPr>
        <w:t>区教育局成职科制定项目实施计划，经区教育局“三重一大”会议审批通过，需要采购的项目按照政府采购要求进行采购，确定第三方服务机构，区教育局按照项目实施计划和实施内容，督促第三方按照合同约定实施，并对第三方进行监督检查，并对最终结果进行验收。在项目结束时，将项目档案归集，并由专人管理存档。</w:t>
      </w:r>
    </w:p>
    <w:p>
      <w:pPr>
        <w:jc w:val="center"/>
        <w:rPr>
          <w:rFonts w:ascii="Times New Roman" w:hAnsi="Times New Roman" w:eastAsia="仿宋_GB2312" w:cs="Times New Roman"/>
          <w:b/>
          <w:bCs/>
        </w:rPr>
      </w:pPr>
      <w:r>
        <w:rPr>
          <w:rFonts w:ascii="仿宋_GB2312" w:eastAsia="仿宋_GB2312"/>
          <w:kern w:val="2"/>
          <w:sz w:val="32"/>
          <w:szCs w:val="32"/>
        </w:rPr>
        <w:drawing>
          <wp:anchor distT="0" distB="0" distL="114300" distR="114300" simplePos="0" relativeHeight="251660288" behindDoc="0" locked="0" layoutInCell="1" allowOverlap="1">
            <wp:simplePos x="0" y="0"/>
            <wp:positionH relativeFrom="column">
              <wp:posOffset>917575</wp:posOffset>
            </wp:positionH>
            <wp:positionV relativeFrom="paragraph">
              <wp:posOffset>128270</wp:posOffset>
            </wp:positionV>
            <wp:extent cx="3614420" cy="3656965"/>
            <wp:effectExtent l="0" t="0" r="5080" b="635"/>
            <wp:wrapTopAndBottom/>
            <wp:docPr id="16319725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972579" name="图片 1"/>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3614420" cy="3656965"/>
                    </a:xfrm>
                    <a:prstGeom prst="rect">
                      <a:avLst/>
                    </a:prstGeom>
                  </pic:spPr>
                </pic:pic>
              </a:graphicData>
            </a:graphic>
          </wp:anchor>
        </w:drawing>
      </w:r>
      <w:r>
        <w:rPr>
          <w:rFonts w:ascii="仿宋_GB2312" w:eastAsia="仿宋_GB2312"/>
          <w:kern w:val="2"/>
          <w:sz w:val="32"/>
          <w:szCs w:val="32"/>
        </w:rPr>
        <w:t xml:space="preserve"> </w:t>
      </w:r>
      <w:r>
        <w:rPr>
          <w:rFonts w:ascii="Times New Roman" w:hAnsi="Times New Roman" w:eastAsia="仿宋_GB2312" w:cs="Times New Roman"/>
          <w:b/>
          <w:bCs/>
        </w:rPr>
        <w:t>图1-4</w:t>
      </w:r>
      <w:r>
        <w:rPr>
          <w:rFonts w:hint="eastAsia" w:ascii="Times New Roman" w:hAnsi="Times New Roman" w:eastAsia="仿宋_GB2312" w:cs="Times New Roman"/>
          <w:b/>
          <w:bCs/>
        </w:rPr>
        <w:t>-</w:t>
      </w:r>
      <w:r>
        <w:rPr>
          <w:rFonts w:ascii="Times New Roman" w:hAnsi="Times New Roman" w:eastAsia="仿宋_GB2312" w:cs="Times New Roman"/>
          <w:b/>
          <w:bCs/>
        </w:rPr>
        <w:t>1 教育局本级</w:t>
      </w:r>
      <w:r>
        <w:rPr>
          <w:rFonts w:hint="eastAsia" w:ascii="Times New Roman" w:hAnsi="Times New Roman" w:eastAsia="仿宋_GB2312" w:cs="Times New Roman"/>
          <w:b/>
          <w:bCs/>
        </w:rPr>
        <w:t>采购项目</w:t>
      </w:r>
      <w:r>
        <w:rPr>
          <w:rFonts w:ascii="Times New Roman" w:hAnsi="Times New Roman" w:eastAsia="仿宋_GB2312" w:cs="Times New Roman"/>
          <w:b/>
          <w:bCs/>
        </w:rPr>
        <w:t>业务流程图</w:t>
      </w:r>
    </w:p>
    <w:p>
      <w:pPr>
        <w:widowControl w:val="0"/>
        <w:spacing w:line="520" w:lineRule="exact"/>
        <w:ind w:firstLine="641"/>
        <w:jc w:val="both"/>
        <w:rPr>
          <w:rFonts w:ascii="仿宋_GB2312" w:eastAsia="仿宋_GB2312"/>
          <w:kern w:val="2"/>
          <w:sz w:val="30"/>
          <w:szCs w:val="30"/>
        </w:rPr>
      </w:pPr>
      <w:r>
        <w:rPr>
          <w:rFonts w:hint="eastAsia" w:ascii="仿宋_GB2312" w:eastAsia="仿宋_GB2312"/>
          <w:kern w:val="2"/>
          <w:sz w:val="30"/>
          <w:szCs w:val="30"/>
        </w:rPr>
        <w:t>补贴类项目：区教育局发布通知，各单位、中小（幼儿园）学校统计上报本单位符合政策的奖励对象或补贴对象情况，区教育局复核，通过后比照相关奖励补贴政策要求，给予对应的奖励。</w:t>
      </w:r>
    </w:p>
    <w:p>
      <w:pPr>
        <w:jc w:val="center"/>
        <w:rPr>
          <w:rFonts w:ascii="仿宋_GB2312" w:eastAsia="仿宋_GB2312"/>
          <w:b/>
          <w:bCs/>
        </w:rPr>
      </w:pPr>
      <w:r>
        <w:drawing>
          <wp:inline distT="0" distB="0" distL="0" distR="0">
            <wp:extent cx="5048250" cy="3270250"/>
            <wp:effectExtent l="0" t="0" r="0" b="6350"/>
            <wp:docPr id="1" name="图片 1"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示, 示意图&#10;&#10;描述已自动生成"/>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5048250" cy="3270250"/>
                    </a:xfrm>
                    <a:prstGeom prst="rect">
                      <a:avLst/>
                    </a:prstGeom>
                    <a:noFill/>
                    <a:ln>
                      <a:noFill/>
                    </a:ln>
                  </pic:spPr>
                </pic:pic>
              </a:graphicData>
            </a:graphic>
          </wp:inline>
        </w:drawing>
      </w:r>
    </w:p>
    <w:p>
      <w:pPr>
        <w:jc w:val="center"/>
        <w:rPr>
          <w:rFonts w:ascii="仿宋_GB2312" w:eastAsia="仿宋_GB2312"/>
          <w:b/>
          <w:bCs/>
        </w:rPr>
      </w:pPr>
      <w:r>
        <w:rPr>
          <w:rFonts w:hint="eastAsia" w:ascii="仿宋_GB2312" w:eastAsia="仿宋_GB2312"/>
          <w:b/>
          <w:bCs/>
        </w:rPr>
        <w:t>图1-</w:t>
      </w:r>
      <w:r>
        <w:rPr>
          <w:rFonts w:ascii="仿宋_GB2312" w:eastAsia="仿宋_GB2312"/>
          <w:b/>
          <w:bCs/>
        </w:rPr>
        <w:t>4</w:t>
      </w:r>
      <w:r>
        <w:rPr>
          <w:rFonts w:hint="eastAsia" w:ascii="仿宋_GB2312" w:eastAsia="仿宋_GB2312"/>
          <w:b/>
          <w:bCs/>
        </w:rPr>
        <w:t>-</w:t>
      </w:r>
      <w:r>
        <w:rPr>
          <w:rFonts w:ascii="仿宋_GB2312" w:eastAsia="仿宋_GB2312"/>
          <w:b/>
          <w:bCs/>
        </w:rPr>
        <w:t>2</w:t>
      </w:r>
      <w:r>
        <w:rPr>
          <w:rFonts w:hint="eastAsia" w:ascii="仿宋_GB2312" w:eastAsia="仿宋_GB2312"/>
          <w:b/>
          <w:bCs/>
        </w:rPr>
        <w:t xml:space="preserve"> 奖励补贴类项目业务流程图</w:t>
      </w:r>
    </w:p>
    <w:p>
      <w:pPr>
        <w:widowControl w:val="0"/>
        <w:spacing w:line="560" w:lineRule="exact"/>
        <w:ind w:firstLine="602"/>
        <w:jc w:val="both"/>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（2）各学校（成校、社区学院、民办学校）业务管理情况</w:t>
      </w:r>
    </w:p>
    <w:p>
      <w:pPr>
        <w:widowControl w:val="0"/>
        <w:spacing w:line="520" w:lineRule="exact"/>
        <w:ind w:firstLine="600" w:firstLineChars="200"/>
        <w:jc w:val="both"/>
        <w:rPr>
          <w:rFonts w:ascii="Times New Roman" w:hAnsi="Times New Roman" w:eastAsia="仿宋_GB2312" w:cs="Times New Roman"/>
          <w:sz w:val="30"/>
          <w:szCs w:val="30"/>
        </w:rPr>
      </w:pPr>
      <w:r>
        <w:rPr>
          <w:rFonts w:ascii="Times New Roman" w:hAnsi="Times New Roman" w:eastAsia="仿宋_GB2312" w:cs="Times New Roman"/>
          <w:kern w:val="2"/>
          <w:sz w:val="30"/>
          <w:szCs w:val="30"/>
        </w:rPr>
        <w:t>各学校根据项目相关要求制定实施计划，报区教育局审批，审批通过后按照实施计划实施，区教育局</w:t>
      </w:r>
      <w:r>
        <w:rPr>
          <w:rFonts w:ascii="Times New Roman" w:hAnsi="Times New Roman" w:eastAsia="仿宋_GB2312" w:cs="Times New Roman"/>
          <w:sz w:val="30"/>
          <w:szCs w:val="30"/>
        </w:rPr>
        <w:t>对学校进行监督检查，并对最终结果进行验收。在项目结束时，将项目档案归集，并由专人管理存档。</w:t>
      </w:r>
    </w:p>
    <w:p>
      <w:pPr>
        <w:widowControl w:val="0"/>
        <w:ind w:firstLine="640" w:firstLineChars="200"/>
        <w:jc w:val="center"/>
        <w:rPr>
          <w:rFonts w:ascii="Times New Roman" w:hAnsi="Times New Roman" w:eastAsia="仿宋_GB2312" w:cs="Times New Roman"/>
          <w:kern w:val="2"/>
          <w:sz w:val="32"/>
          <w:szCs w:val="32"/>
        </w:rPr>
      </w:pPr>
      <w:r>
        <w:rPr>
          <w:rFonts w:ascii="Times New Roman" w:hAnsi="Times New Roman" w:eastAsia="仿宋_GB2312" w:cs="Times New Roman"/>
          <w:sz w:val="32"/>
          <w:szCs w:val="22"/>
        </w:rPr>
        <w:drawing>
          <wp:inline distT="0" distB="0" distL="0" distR="0">
            <wp:extent cx="3312160" cy="3206750"/>
            <wp:effectExtent l="0" t="0" r="2540" b="0"/>
            <wp:docPr id="7921972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197236" name="图片 1"/>
                    <pic:cNvPicPr>
                      <a:picLocks noChangeAspect="1"/>
                    </pic:cNvPicPr>
                  </pic:nvPicPr>
                  <pic:blipFill>
                    <a:blip r:embed="rId28"/>
                    <a:stretch>
                      <a:fillRect/>
                    </a:stretch>
                  </pic:blipFill>
                  <pic:spPr>
                    <a:xfrm>
                      <a:off x="0" y="0"/>
                      <a:ext cx="3330113" cy="3224348"/>
                    </a:xfrm>
                    <a:prstGeom prst="rect">
                      <a:avLst/>
                    </a:prstGeom>
                  </pic:spPr>
                </pic:pic>
              </a:graphicData>
            </a:graphic>
          </wp:inline>
        </w:drawing>
      </w:r>
    </w:p>
    <w:p>
      <w:pPr>
        <w:jc w:val="center"/>
        <w:rPr>
          <w:rFonts w:ascii="Times New Roman" w:hAnsi="Times New Roman" w:eastAsia="仿宋_GB2312" w:cs="Times New Roman"/>
          <w:b/>
          <w:bCs/>
        </w:rPr>
      </w:pPr>
      <w:r>
        <w:rPr>
          <w:rFonts w:ascii="Times New Roman" w:hAnsi="Times New Roman" w:eastAsia="仿宋_GB2312" w:cs="Times New Roman"/>
          <w:b/>
          <w:bCs/>
        </w:rPr>
        <w:t>图1-4</w:t>
      </w:r>
      <w:r>
        <w:rPr>
          <w:rFonts w:hint="eastAsia" w:ascii="Times New Roman" w:hAnsi="Times New Roman" w:eastAsia="仿宋_GB2312" w:cs="Times New Roman"/>
          <w:b/>
          <w:bCs/>
        </w:rPr>
        <w:t>-</w:t>
      </w:r>
      <w:r>
        <w:rPr>
          <w:rFonts w:ascii="Times New Roman" w:hAnsi="Times New Roman" w:eastAsia="仿宋_GB2312" w:cs="Times New Roman"/>
          <w:b/>
          <w:bCs/>
        </w:rPr>
        <w:t>3 各学校项目业务流程图</w:t>
      </w:r>
    </w:p>
    <w:p>
      <w:pPr>
        <w:widowControl w:val="0"/>
        <w:spacing w:line="560" w:lineRule="exact"/>
        <w:ind w:firstLine="602"/>
        <w:jc w:val="both"/>
        <w:rPr>
          <w:rFonts w:ascii="仿宋_GB2312" w:hAnsi="Times New Roman" w:eastAsia="仿宋_GB2312" w:cs="Times New Roman"/>
          <w:b/>
          <w:bCs/>
          <w:kern w:val="2"/>
          <w:sz w:val="30"/>
          <w:szCs w:val="30"/>
        </w:rPr>
      </w:pPr>
      <w:r>
        <w:rPr>
          <w:rFonts w:hint="eastAsia" w:ascii="仿宋_GB2312" w:hAnsi="Times New Roman" w:eastAsia="仿宋_GB2312" w:cs="Times New Roman"/>
          <w:b/>
          <w:bCs/>
          <w:kern w:val="2"/>
          <w:sz w:val="30"/>
          <w:szCs w:val="30"/>
        </w:rPr>
        <w:t>（3）政府采购情况</w:t>
      </w:r>
    </w:p>
    <w:p>
      <w:pPr>
        <w:widowControl w:val="0"/>
        <w:spacing w:line="520" w:lineRule="exact"/>
        <w:ind w:firstLine="600" w:firstLineChars="200"/>
        <w:jc w:val="both"/>
        <w:rPr>
          <w:rFonts w:ascii="仿宋_GB2312" w:hAnsi="Times New Roman" w:eastAsia="仿宋_GB2312" w:cs="Times New Roman"/>
          <w:kern w:val="2"/>
          <w:sz w:val="30"/>
          <w:szCs w:val="30"/>
        </w:rPr>
      </w:pPr>
      <w:r>
        <w:rPr>
          <w:rFonts w:hint="eastAsia" w:ascii="仿宋_GB2312" w:hAnsi="Times New Roman" w:eastAsia="仿宋_GB2312" w:cs="Times New Roman"/>
          <w:kern w:val="2"/>
          <w:sz w:val="30"/>
          <w:szCs w:val="30"/>
        </w:rPr>
        <w:t>本项目中终身教育经费中老年数字教育进社区活动教学资源支出采取的是邀请招标的采购方式，具体采购情况为：本项目2022年11月发布招标公告，2022年12月2日确定合格供应商为上海培砀实业有限公司，中标价格为17.37万元，服务期限2022年12月1日-2022年12月31日。学习型城区监测资料印刷为集市采购。年审及变更检查为直接委托。</w:t>
      </w:r>
    </w:p>
    <w:p>
      <w:pPr>
        <w:widowControl w:val="0"/>
        <w:spacing w:line="560" w:lineRule="exact"/>
        <w:ind w:firstLine="482" w:firstLineChars="200"/>
        <w:jc w:val="center"/>
        <w:rPr>
          <w:rFonts w:ascii="Times New Roman" w:hAnsi="Times New Roman" w:eastAsia="仿宋_GB2312" w:cs="Times New Roman"/>
          <w:b/>
          <w:bCs/>
        </w:rPr>
      </w:pPr>
      <w:r>
        <w:rPr>
          <w:rFonts w:ascii="Times New Roman" w:hAnsi="Times New Roman" w:eastAsia="仿宋_GB2312" w:cs="Times New Roman"/>
          <w:b/>
          <w:bCs/>
        </w:rPr>
        <w:t>表1-5 2022年该项目政府采购情况表</w:t>
      </w:r>
    </w:p>
    <w:tbl>
      <w:tblPr>
        <w:tblStyle w:val="40"/>
        <w:tblW w:w="88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1035"/>
        <w:gridCol w:w="1859"/>
        <w:gridCol w:w="1188"/>
        <w:gridCol w:w="1105"/>
        <w:gridCol w:w="1125"/>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blHeader/>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b/>
                <w:bCs/>
                <w:sz w:val="21"/>
                <w:szCs w:val="21"/>
                <w:lang w:eastAsia="en-US"/>
              </w:rPr>
            </w:pPr>
            <w:r>
              <w:rPr>
                <w:rFonts w:hint="eastAsia" w:ascii="仿宋_GB2312" w:hAnsi="Times New Roman" w:eastAsia="仿宋_GB2312" w:cs="Times New Roman"/>
                <w:b/>
                <w:bCs/>
                <w:sz w:val="21"/>
                <w:szCs w:val="21"/>
                <w:lang w:eastAsia="en-US"/>
              </w:rPr>
              <w:t>项目名称</w:t>
            </w:r>
          </w:p>
        </w:tc>
        <w:tc>
          <w:tcPr>
            <w:tcW w:w="1035" w:type="dxa"/>
            <w:vAlign w:val="center"/>
          </w:tcPr>
          <w:p>
            <w:pPr>
              <w:snapToGrid w:val="0"/>
              <w:spacing w:line="240" w:lineRule="atLeast"/>
              <w:jc w:val="center"/>
              <w:rPr>
                <w:rFonts w:ascii="仿宋_GB2312" w:hAnsi="Times New Roman" w:eastAsia="仿宋_GB2312" w:cs="Times New Roman"/>
                <w:b/>
                <w:bCs/>
                <w:sz w:val="21"/>
                <w:szCs w:val="21"/>
                <w:lang w:eastAsia="en-US"/>
              </w:rPr>
            </w:pPr>
            <w:r>
              <w:rPr>
                <w:rFonts w:hint="eastAsia" w:ascii="仿宋_GB2312" w:hAnsi="Times New Roman" w:eastAsia="仿宋_GB2312" w:cs="Times New Roman"/>
                <w:b/>
                <w:bCs/>
                <w:sz w:val="21"/>
                <w:szCs w:val="21"/>
                <w:lang w:eastAsia="en-US"/>
              </w:rPr>
              <w:t>采购类型</w:t>
            </w:r>
          </w:p>
        </w:tc>
        <w:tc>
          <w:tcPr>
            <w:tcW w:w="1859" w:type="dxa"/>
            <w:shd w:val="clear" w:color="auto" w:fill="auto"/>
            <w:vAlign w:val="center"/>
          </w:tcPr>
          <w:p>
            <w:pPr>
              <w:snapToGrid w:val="0"/>
              <w:spacing w:line="240" w:lineRule="atLeast"/>
              <w:jc w:val="center"/>
              <w:rPr>
                <w:rFonts w:ascii="仿宋_GB2312" w:hAnsi="Times New Roman" w:eastAsia="仿宋_GB2312" w:cs="Times New Roman"/>
                <w:b/>
                <w:bCs/>
                <w:sz w:val="21"/>
                <w:szCs w:val="21"/>
                <w:lang w:eastAsia="en-US"/>
              </w:rPr>
            </w:pPr>
            <w:r>
              <w:rPr>
                <w:rFonts w:hint="eastAsia" w:ascii="仿宋_GB2312" w:hAnsi="Times New Roman" w:eastAsia="仿宋_GB2312" w:cs="Times New Roman"/>
                <w:b/>
                <w:bCs/>
                <w:sz w:val="21"/>
                <w:szCs w:val="21"/>
                <w:lang w:eastAsia="en-US"/>
              </w:rPr>
              <w:t>服务内容</w:t>
            </w:r>
          </w:p>
        </w:tc>
        <w:tc>
          <w:tcPr>
            <w:tcW w:w="1188" w:type="dxa"/>
            <w:shd w:val="clear" w:color="auto" w:fill="auto"/>
            <w:vAlign w:val="center"/>
          </w:tcPr>
          <w:p>
            <w:pPr>
              <w:snapToGrid w:val="0"/>
              <w:spacing w:line="240" w:lineRule="atLeast"/>
              <w:jc w:val="center"/>
              <w:rPr>
                <w:rFonts w:ascii="仿宋_GB2312" w:hAnsi="Times New Roman" w:eastAsia="仿宋_GB2312" w:cs="Times New Roman"/>
                <w:b/>
                <w:bCs/>
                <w:sz w:val="21"/>
                <w:szCs w:val="21"/>
                <w:lang w:eastAsia="en-US"/>
              </w:rPr>
            </w:pPr>
            <w:r>
              <w:rPr>
                <w:rFonts w:hint="eastAsia" w:ascii="仿宋_GB2312" w:hAnsi="Times New Roman" w:eastAsia="仿宋_GB2312" w:cs="Times New Roman"/>
                <w:b/>
                <w:bCs/>
                <w:sz w:val="21"/>
                <w:szCs w:val="21"/>
                <w:lang w:eastAsia="en-US"/>
              </w:rPr>
              <w:t>中标单位</w:t>
            </w:r>
          </w:p>
        </w:tc>
        <w:tc>
          <w:tcPr>
            <w:tcW w:w="1105" w:type="dxa"/>
            <w:shd w:val="clear" w:color="auto" w:fill="auto"/>
            <w:vAlign w:val="center"/>
          </w:tcPr>
          <w:p>
            <w:pPr>
              <w:snapToGrid w:val="0"/>
              <w:spacing w:line="240" w:lineRule="atLeast"/>
              <w:jc w:val="center"/>
              <w:rPr>
                <w:rFonts w:ascii="仿宋_GB2312" w:hAnsi="Times New Roman" w:eastAsia="仿宋_GB2312" w:cs="Times New Roman"/>
                <w:b/>
                <w:bCs/>
                <w:sz w:val="21"/>
                <w:szCs w:val="21"/>
                <w:lang w:eastAsia="en-US"/>
              </w:rPr>
            </w:pPr>
            <w:r>
              <w:rPr>
                <w:rFonts w:hint="eastAsia" w:ascii="仿宋_GB2312" w:hAnsi="Times New Roman" w:eastAsia="仿宋_GB2312" w:cs="Times New Roman"/>
                <w:b/>
                <w:bCs/>
                <w:sz w:val="21"/>
                <w:szCs w:val="21"/>
                <w:lang w:eastAsia="en-US"/>
              </w:rPr>
              <w:t>中标金额</w:t>
            </w:r>
          </w:p>
        </w:tc>
        <w:tc>
          <w:tcPr>
            <w:tcW w:w="1125" w:type="dxa"/>
            <w:shd w:val="clear" w:color="auto" w:fill="auto"/>
            <w:vAlign w:val="center"/>
          </w:tcPr>
          <w:p>
            <w:pPr>
              <w:snapToGrid w:val="0"/>
              <w:spacing w:line="240" w:lineRule="atLeast"/>
              <w:jc w:val="center"/>
              <w:rPr>
                <w:rFonts w:ascii="仿宋_GB2312" w:hAnsi="Times New Roman" w:eastAsia="仿宋_GB2312" w:cs="Times New Roman"/>
                <w:b/>
                <w:bCs/>
                <w:sz w:val="21"/>
                <w:szCs w:val="21"/>
                <w:lang w:eastAsia="en-US"/>
              </w:rPr>
            </w:pPr>
            <w:r>
              <w:rPr>
                <w:rFonts w:hint="eastAsia" w:ascii="仿宋_GB2312" w:hAnsi="Times New Roman" w:eastAsia="仿宋_GB2312" w:cs="Times New Roman"/>
                <w:b/>
                <w:bCs/>
                <w:sz w:val="21"/>
                <w:szCs w:val="21"/>
                <w:lang w:eastAsia="en-US"/>
              </w:rPr>
              <w:t>合同金额</w:t>
            </w:r>
          </w:p>
        </w:tc>
        <w:tc>
          <w:tcPr>
            <w:tcW w:w="1308" w:type="dxa"/>
            <w:shd w:val="clear" w:color="auto" w:fill="auto"/>
            <w:vAlign w:val="center"/>
          </w:tcPr>
          <w:p>
            <w:pPr>
              <w:snapToGrid w:val="0"/>
              <w:spacing w:line="240" w:lineRule="atLeast"/>
              <w:jc w:val="center"/>
              <w:rPr>
                <w:rFonts w:ascii="仿宋_GB2312" w:hAnsi="Times New Roman" w:eastAsia="仿宋_GB2312" w:cs="Times New Roman"/>
                <w:b/>
                <w:bCs/>
                <w:sz w:val="21"/>
                <w:szCs w:val="21"/>
                <w:lang w:eastAsia="en-US"/>
              </w:rPr>
            </w:pPr>
            <w:r>
              <w:rPr>
                <w:rFonts w:hint="eastAsia" w:ascii="仿宋_GB2312" w:hAnsi="Times New Roman" w:eastAsia="仿宋_GB2312" w:cs="Times New Roman"/>
                <w:b/>
                <w:bCs/>
                <w:sz w:val="21"/>
                <w:szCs w:val="21"/>
                <w:lang w:eastAsia="en-US"/>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老年数字教育进社区活动教学资源</w:t>
            </w:r>
          </w:p>
        </w:tc>
        <w:tc>
          <w:tcPr>
            <w:tcW w:w="1035" w:type="dxa"/>
            <w:vAlign w:val="center"/>
          </w:tcPr>
          <w:p>
            <w:pPr>
              <w:snapToGrid w:val="0"/>
              <w:spacing w:line="240" w:lineRule="atLeast"/>
              <w:jc w:val="center"/>
              <w:rPr>
                <w:rFonts w:ascii="仿宋_GB2312" w:hAnsi="Times New Roman" w:eastAsia="仿宋_GB2312" w:cs="Times New Roman"/>
                <w:sz w:val="21"/>
                <w:szCs w:val="21"/>
                <w:lang w:eastAsia="en-US"/>
              </w:rPr>
            </w:pPr>
            <w:r>
              <w:rPr>
                <w:rFonts w:hint="eastAsia" w:ascii="仿宋_GB2312" w:hAnsi="Times New Roman" w:eastAsia="仿宋_GB2312" w:cs="Times New Roman"/>
                <w:sz w:val="21"/>
                <w:szCs w:val="21"/>
              </w:rPr>
              <w:t>邀请招标</w:t>
            </w:r>
          </w:p>
        </w:tc>
        <w:tc>
          <w:tcPr>
            <w:tcW w:w="1859"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学习视频82个，教学视频6个，配套手册1.2万份</w:t>
            </w:r>
          </w:p>
        </w:tc>
        <w:tc>
          <w:tcPr>
            <w:tcW w:w="118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上海培砀实业有限公司</w:t>
            </w:r>
          </w:p>
        </w:tc>
        <w:tc>
          <w:tcPr>
            <w:tcW w:w="1105" w:type="dxa"/>
            <w:shd w:val="clear" w:color="auto" w:fill="auto"/>
            <w:vAlign w:val="center"/>
          </w:tcPr>
          <w:p>
            <w:pPr>
              <w:snapToGrid w:val="0"/>
              <w:spacing w:line="240" w:lineRule="atLeast"/>
              <w:jc w:val="center"/>
              <w:rPr>
                <w:rFonts w:ascii="仿宋_GB2312" w:hAnsi="Times New Roman" w:eastAsia="仿宋_GB2312" w:cs="Times New Roman"/>
                <w:sz w:val="21"/>
                <w:szCs w:val="21"/>
                <w:lang w:eastAsia="en-US"/>
              </w:rPr>
            </w:pPr>
            <w:r>
              <w:rPr>
                <w:rFonts w:hint="eastAsia" w:ascii="仿宋_GB2312" w:hAnsi="Times New Roman" w:eastAsia="仿宋_GB2312" w:cs="Times New Roman"/>
                <w:sz w:val="21"/>
                <w:szCs w:val="21"/>
                <w:lang w:eastAsia="en-US"/>
              </w:rPr>
              <w:t>17.37</w:t>
            </w:r>
          </w:p>
        </w:tc>
        <w:tc>
          <w:tcPr>
            <w:tcW w:w="1125" w:type="dxa"/>
            <w:shd w:val="clear" w:color="auto" w:fill="auto"/>
            <w:vAlign w:val="center"/>
          </w:tcPr>
          <w:p>
            <w:pPr>
              <w:snapToGrid w:val="0"/>
              <w:spacing w:line="240" w:lineRule="atLeast"/>
              <w:jc w:val="center"/>
              <w:rPr>
                <w:rFonts w:ascii="仿宋_GB2312" w:hAnsi="Times New Roman" w:eastAsia="仿宋_GB2312" w:cs="Times New Roman"/>
                <w:sz w:val="21"/>
                <w:szCs w:val="21"/>
                <w:lang w:eastAsia="en-US"/>
              </w:rPr>
            </w:pPr>
            <w:r>
              <w:rPr>
                <w:rFonts w:hint="eastAsia" w:ascii="仿宋_GB2312" w:hAnsi="Times New Roman" w:eastAsia="仿宋_GB2312" w:cs="Times New Roman"/>
                <w:sz w:val="21"/>
                <w:szCs w:val="21"/>
                <w:lang w:eastAsia="en-US"/>
              </w:rPr>
              <w:t>17.37</w:t>
            </w:r>
          </w:p>
        </w:tc>
        <w:tc>
          <w:tcPr>
            <w:tcW w:w="1308"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项目验收后一次性支付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印刷服务</w:t>
            </w:r>
          </w:p>
        </w:tc>
        <w:tc>
          <w:tcPr>
            <w:tcW w:w="1035" w:type="dxa"/>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集市采购</w:t>
            </w:r>
          </w:p>
        </w:tc>
        <w:tc>
          <w:tcPr>
            <w:tcW w:w="1859"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印刷记录册1250本，单价8元</w:t>
            </w:r>
          </w:p>
        </w:tc>
        <w:tc>
          <w:tcPr>
            <w:tcW w:w="118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上海瀛中广告有限公司</w:t>
            </w:r>
          </w:p>
        </w:tc>
        <w:tc>
          <w:tcPr>
            <w:tcW w:w="110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1</w:t>
            </w:r>
          </w:p>
        </w:tc>
        <w:tc>
          <w:tcPr>
            <w:tcW w:w="112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1</w:t>
            </w:r>
          </w:p>
        </w:tc>
        <w:tc>
          <w:tcPr>
            <w:tcW w:w="1308"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项目验收后一次性支付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年检评估</w:t>
            </w:r>
          </w:p>
        </w:tc>
        <w:tc>
          <w:tcPr>
            <w:tcW w:w="1035" w:type="dxa"/>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直接委托</w:t>
            </w:r>
          </w:p>
        </w:tc>
        <w:tc>
          <w:tcPr>
            <w:tcW w:w="1859"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1</w:t>
            </w:r>
            <w:r>
              <w:rPr>
                <w:rFonts w:ascii="仿宋_GB2312" w:hAnsi="Times New Roman" w:eastAsia="仿宋_GB2312" w:cs="Times New Roman"/>
                <w:sz w:val="21"/>
                <w:szCs w:val="21"/>
              </w:rPr>
              <w:t>9家机构年检</w:t>
            </w:r>
          </w:p>
        </w:tc>
        <w:tc>
          <w:tcPr>
            <w:tcW w:w="118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上海崇明教育评估中心</w:t>
            </w:r>
          </w:p>
        </w:tc>
        <w:tc>
          <w:tcPr>
            <w:tcW w:w="110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5</w:t>
            </w:r>
            <w:r>
              <w:rPr>
                <w:rFonts w:ascii="仿宋_GB2312" w:hAnsi="Times New Roman" w:eastAsia="仿宋_GB2312" w:cs="Times New Roman"/>
                <w:sz w:val="21"/>
                <w:szCs w:val="21"/>
              </w:rPr>
              <w:t>.7</w:t>
            </w:r>
          </w:p>
        </w:tc>
        <w:tc>
          <w:tcPr>
            <w:tcW w:w="112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5</w:t>
            </w:r>
            <w:r>
              <w:rPr>
                <w:rFonts w:ascii="仿宋_GB2312" w:hAnsi="Times New Roman" w:eastAsia="仿宋_GB2312" w:cs="Times New Roman"/>
                <w:sz w:val="21"/>
                <w:szCs w:val="21"/>
              </w:rPr>
              <w:t>.7</w:t>
            </w:r>
          </w:p>
        </w:tc>
        <w:tc>
          <w:tcPr>
            <w:tcW w:w="1308"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项目验收后一次性支付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变更检查</w:t>
            </w:r>
          </w:p>
        </w:tc>
        <w:tc>
          <w:tcPr>
            <w:tcW w:w="1035" w:type="dxa"/>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直接委托</w:t>
            </w:r>
          </w:p>
        </w:tc>
        <w:tc>
          <w:tcPr>
            <w:tcW w:w="1859"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ascii="仿宋_GB2312" w:hAnsi="Times New Roman" w:eastAsia="仿宋_GB2312" w:cs="Times New Roman"/>
                <w:sz w:val="21"/>
                <w:szCs w:val="21"/>
              </w:rPr>
              <w:t>民一、启明星及唯望三家机构变更办学内容及高中学科类培训营转非评估</w:t>
            </w:r>
          </w:p>
        </w:tc>
        <w:tc>
          <w:tcPr>
            <w:tcW w:w="118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上海崇明教育评估中心</w:t>
            </w:r>
          </w:p>
        </w:tc>
        <w:tc>
          <w:tcPr>
            <w:tcW w:w="110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1</w:t>
            </w:r>
            <w:r>
              <w:rPr>
                <w:rFonts w:ascii="仿宋_GB2312" w:hAnsi="Times New Roman" w:eastAsia="仿宋_GB2312" w:cs="Times New Roman"/>
                <w:sz w:val="21"/>
                <w:szCs w:val="21"/>
              </w:rPr>
              <w:t>.8</w:t>
            </w:r>
          </w:p>
        </w:tc>
        <w:tc>
          <w:tcPr>
            <w:tcW w:w="112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1</w:t>
            </w:r>
            <w:r>
              <w:rPr>
                <w:rFonts w:ascii="仿宋_GB2312" w:hAnsi="Times New Roman" w:eastAsia="仿宋_GB2312" w:cs="Times New Roman"/>
                <w:sz w:val="21"/>
                <w:szCs w:val="21"/>
              </w:rPr>
              <w:t>.8</w:t>
            </w:r>
          </w:p>
        </w:tc>
        <w:tc>
          <w:tcPr>
            <w:tcW w:w="1308"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项目验收后一次性支付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变更检查</w:t>
            </w:r>
          </w:p>
        </w:tc>
        <w:tc>
          <w:tcPr>
            <w:tcW w:w="1035" w:type="dxa"/>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直接委托</w:t>
            </w:r>
          </w:p>
        </w:tc>
        <w:tc>
          <w:tcPr>
            <w:tcW w:w="1859"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ascii="仿宋_GB2312" w:hAnsi="Times New Roman" w:eastAsia="仿宋_GB2312" w:cs="Times New Roman"/>
                <w:sz w:val="21"/>
                <w:szCs w:val="21"/>
              </w:rPr>
              <w:t>民乐进修学院办学内容及办学地址变更评估</w:t>
            </w:r>
          </w:p>
        </w:tc>
        <w:tc>
          <w:tcPr>
            <w:tcW w:w="118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上海平协教育研究与评估事务所</w:t>
            </w:r>
          </w:p>
        </w:tc>
        <w:tc>
          <w:tcPr>
            <w:tcW w:w="110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0</w:t>
            </w:r>
            <w:r>
              <w:rPr>
                <w:rFonts w:ascii="仿宋_GB2312" w:hAnsi="Times New Roman" w:eastAsia="仿宋_GB2312" w:cs="Times New Roman"/>
                <w:sz w:val="21"/>
                <w:szCs w:val="21"/>
              </w:rPr>
              <w:t>.7</w:t>
            </w:r>
          </w:p>
        </w:tc>
        <w:tc>
          <w:tcPr>
            <w:tcW w:w="112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0</w:t>
            </w:r>
            <w:r>
              <w:rPr>
                <w:rFonts w:ascii="仿宋_GB2312" w:hAnsi="Times New Roman" w:eastAsia="仿宋_GB2312" w:cs="Times New Roman"/>
                <w:sz w:val="21"/>
                <w:szCs w:val="21"/>
              </w:rPr>
              <w:t>.7</w:t>
            </w:r>
          </w:p>
        </w:tc>
        <w:tc>
          <w:tcPr>
            <w:tcW w:w="1308"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项目验收后一次性支付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变更检查</w:t>
            </w:r>
          </w:p>
        </w:tc>
        <w:tc>
          <w:tcPr>
            <w:tcW w:w="1035" w:type="dxa"/>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直接委托</w:t>
            </w:r>
          </w:p>
        </w:tc>
        <w:tc>
          <w:tcPr>
            <w:tcW w:w="1859"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ascii="仿宋_GB2312" w:hAnsi="Times New Roman" w:eastAsia="仿宋_GB2312" w:cs="Times New Roman"/>
                <w:sz w:val="21"/>
                <w:szCs w:val="21"/>
              </w:rPr>
              <w:t>四家机构高中学科类营转非及举办者变更等评估</w:t>
            </w:r>
          </w:p>
        </w:tc>
        <w:tc>
          <w:tcPr>
            <w:tcW w:w="118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上海平协教育研究与评估事务所</w:t>
            </w:r>
          </w:p>
        </w:tc>
        <w:tc>
          <w:tcPr>
            <w:tcW w:w="110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2</w:t>
            </w:r>
            <w:r>
              <w:rPr>
                <w:rFonts w:ascii="仿宋_GB2312" w:hAnsi="Times New Roman" w:eastAsia="仿宋_GB2312" w:cs="Times New Roman"/>
                <w:sz w:val="21"/>
                <w:szCs w:val="21"/>
              </w:rPr>
              <w:t>.3</w:t>
            </w:r>
          </w:p>
        </w:tc>
        <w:tc>
          <w:tcPr>
            <w:tcW w:w="112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2</w:t>
            </w:r>
            <w:r>
              <w:rPr>
                <w:rFonts w:ascii="仿宋_GB2312" w:hAnsi="Times New Roman" w:eastAsia="仿宋_GB2312" w:cs="Times New Roman"/>
                <w:sz w:val="21"/>
                <w:szCs w:val="21"/>
              </w:rPr>
              <w:t>.3</w:t>
            </w:r>
          </w:p>
        </w:tc>
        <w:tc>
          <w:tcPr>
            <w:tcW w:w="1308"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项目验收后一次性支付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20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变更检查</w:t>
            </w:r>
          </w:p>
        </w:tc>
        <w:tc>
          <w:tcPr>
            <w:tcW w:w="1035" w:type="dxa"/>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直接委托</w:t>
            </w:r>
          </w:p>
        </w:tc>
        <w:tc>
          <w:tcPr>
            <w:tcW w:w="1859"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ascii="仿宋_GB2312" w:hAnsi="Times New Roman" w:eastAsia="仿宋_GB2312" w:cs="Times New Roman"/>
                <w:sz w:val="21"/>
                <w:szCs w:val="21"/>
              </w:rPr>
              <w:t>上海现代企业法律培训中心办学内容及地址变更评估</w:t>
            </w:r>
          </w:p>
        </w:tc>
        <w:tc>
          <w:tcPr>
            <w:tcW w:w="1188"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上海平协教育研究与评估事务所</w:t>
            </w:r>
          </w:p>
        </w:tc>
        <w:tc>
          <w:tcPr>
            <w:tcW w:w="110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0</w:t>
            </w:r>
            <w:r>
              <w:rPr>
                <w:rFonts w:ascii="仿宋_GB2312" w:hAnsi="Times New Roman" w:eastAsia="仿宋_GB2312" w:cs="Times New Roman"/>
                <w:sz w:val="21"/>
                <w:szCs w:val="21"/>
              </w:rPr>
              <w:t>.6</w:t>
            </w:r>
          </w:p>
        </w:tc>
        <w:tc>
          <w:tcPr>
            <w:tcW w:w="1125" w:type="dxa"/>
            <w:shd w:val="clear" w:color="auto" w:fill="auto"/>
            <w:vAlign w:val="center"/>
          </w:tcPr>
          <w:p>
            <w:pPr>
              <w:snapToGrid w:val="0"/>
              <w:spacing w:line="240" w:lineRule="atLeast"/>
              <w:jc w:val="center"/>
              <w:rPr>
                <w:rFonts w:ascii="仿宋_GB2312" w:hAnsi="Times New Roman" w:eastAsia="仿宋_GB2312" w:cs="Times New Roman"/>
                <w:sz w:val="21"/>
                <w:szCs w:val="21"/>
              </w:rPr>
            </w:pPr>
            <w:r>
              <w:rPr>
                <w:rFonts w:hint="eastAsia" w:ascii="仿宋_GB2312" w:hAnsi="Times New Roman" w:eastAsia="仿宋_GB2312" w:cs="Times New Roman"/>
                <w:sz w:val="21"/>
                <w:szCs w:val="21"/>
              </w:rPr>
              <w:t>0</w:t>
            </w:r>
            <w:r>
              <w:rPr>
                <w:rFonts w:ascii="仿宋_GB2312" w:hAnsi="Times New Roman" w:eastAsia="仿宋_GB2312" w:cs="Times New Roman"/>
                <w:sz w:val="21"/>
                <w:szCs w:val="21"/>
              </w:rPr>
              <w:t>.6</w:t>
            </w:r>
          </w:p>
        </w:tc>
        <w:tc>
          <w:tcPr>
            <w:tcW w:w="1308" w:type="dxa"/>
            <w:shd w:val="clear" w:color="auto" w:fill="auto"/>
            <w:vAlign w:val="center"/>
          </w:tcPr>
          <w:p>
            <w:pPr>
              <w:snapToGrid w:val="0"/>
              <w:spacing w:line="240" w:lineRule="atLeast"/>
              <w:jc w:val="both"/>
              <w:rPr>
                <w:rFonts w:ascii="仿宋_GB2312" w:hAnsi="Times New Roman" w:eastAsia="仿宋_GB2312" w:cs="Times New Roman"/>
                <w:sz w:val="21"/>
                <w:szCs w:val="21"/>
              </w:rPr>
            </w:pPr>
            <w:r>
              <w:rPr>
                <w:rFonts w:hint="eastAsia" w:ascii="仿宋_GB2312" w:hAnsi="Times New Roman" w:eastAsia="仿宋_GB2312" w:cs="Times New Roman"/>
                <w:sz w:val="21"/>
                <w:szCs w:val="21"/>
              </w:rPr>
              <w:t>项目验收后一次性支付</w:t>
            </w:r>
          </w:p>
        </w:tc>
      </w:tr>
    </w:tbl>
    <w:p>
      <w:pPr>
        <w:widowControl w:val="0"/>
        <w:spacing w:line="560" w:lineRule="exact"/>
        <w:ind w:firstLine="602" w:firstLineChars="200"/>
        <w:jc w:val="both"/>
        <w:outlineLvl w:val="2"/>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3.财务管理情况</w:t>
      </w:r>
    </w:p>
    <w:p>
      <w:pPr>
        <w:widowControl w:val="0"/>
        <w:spacing w:line="520" w:lineRule="exact"/>
        <w:ind w:firstLine="602" w:firstLineChars="200"/>
        <w:jc w:val="both"/>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（1）崇明区教育局本级项目财务管理情况</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区教育局根据工作计划、任务需求，进行预算编制。区教育局将预算安排报至区财政局，由区财政局进行预算审批。项目预算批复后</w:t>
      </w:r>
      <w:r>
        <w:rPr>
          <w:rFonts w:hint="eastAsia" w:ascii="Times New Roman" w:hAnsi="Times New Roman" w:eastAsia="仿宋_GB2312" w:cs="Times New Roman"/>
          <w:kern w:val="2"/>
          <w:sz w:val="30"/>
          <w:szCs w:val="30"/>
        </w:rPr>
        <w:t>,</w:t>
      </w:r>
      <w:r>
        <w:rPr>
          <w:rFonts w:ascii="Times New Roman" w:hAnsi="Times New Roman" w:eastAsia="仿宋_GB2312" w:cs="Times New Roman"/>
          <w:kern w:val="2"/>
          <w:sz w:val="30"/>
          <w:szCs w:val="30"/>
        </w:rPr>
        <w:t>不需要采购的按照内控制度要求进行各项支出管理；需要采购的由区教育局自行组织政府采购，确定第三方服务公司。确定第三方服务公司后签订服务合同，明确服务内容服务期限、服务金额、支付方式及监督检查等内容。第三方服务公司根据合同约定工作内容开展服务，区教育局根据合同约定支付方式，支付合同款。</w:t>
      </w:r>
    </w:p>
    <w:p>
      <w:pPr>
        <w:widowControl w:val="0"/>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sz w:val="32"/>
          <w:szCs w:val="22"/>
        </w:rPr>
        <w:drawing>
          <wp:inline distT="0" distB="0" distL="0" distR="0">
            <wp:extent cx="4725670" cy="3196590"/>
            <wp:effectExtent l="0" t="0" r="0" b="3810"/>
            <wp:docPr id="2626915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691508" name="图片 1"/>
                    <pic:cNvPicPr>
                      <a:picLocks noChangeAspect="1"/>
                    </pic:cNvPicPr>
                  </pic:nvPicPr>
                  <pic:blipFill>
                    <a:blip r:embed="rId29"/>
                    <a:stretch>
                      <a:fillRect/>
                    </a:stretch>
                  </pic:blipFill>
                  <pic:spPr>
                    <a:xfrm>
                      <a:off x="0" y="0"/>
                      <a:ext cx="4740276" cy="3206847"/>
                    </a:xfrm>
                    <a:prstGeom prst="rect">
                      <a:avLst/>
                    </a:prstGeom>
                  </pic:spPr>
                </pic:pic>
              </a:graphicData>
            </a:graphic>
          </wp:inline>
        </w:drawing>
      </w:r>
    </w:p>
    <w:p>
      <w:pPr>
        <w:jc w:val="center"/>
        <w:rPr>
          <w:rFonts w:ascii="Times New Roman" w:hAnsi="Times New Roman" w:eastAsia="仿宋_GB2312" w:cs="Times New Roman"/>
          <w:b/>
          <w:bCs/>
        </w:rPr>
      </w:pPr>
      <w:r>
        <w:rPr>
          <w:rFonts w:ascii="Times New Roman" w:hAnsi="Times New Roman" w:eastAsia="仿宋_GB2312" w:cs="Times New Roman"/>
          <w:b/>
          <w:bCs/>
        </w:rPr>
        <w:t>图1-3 教育局本级项目资金拨付流程图</w:t>
      </w:r>
    </w:p>
    <w:p>
      <w:pPr>
        <w:widowControl w:val="0"/>
        <w:spacing w:line="560" w:lineRule="exact"/>
        <w:ind w:firstLine="602"/>
        <w:jc w:val="both"/>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（2）各学校（成校、社区学院、民办学校）财务管理情况</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各学校根据工作计划、任务需求，进行预算编制。各学校将预算安排报至区教育局审批，审批通过后报区财政局进行预算审批。项目预算批复后,各学校根据工作计划内容开展工作，工作结束后由区教育局进行监督验收并支付相关款项。</w:t>
      </w:r>
    </w:p>
    <w:p>
      <w:pPr>
        <w:jc w:val="center"/>
        <w:rPr>
          <w:rFonts w:ascii="Times New Roman" w:hAnsi="Times New Roman" w:eastAsia="仿宋_GB2312" w:cs="Times New Roman"/>
          <w:b/>
          <w:bCs/>
        </w:rPr>
      </w:pPr>
      <w:r>
        <w:rPr>
          <w:rFonts w:ascii="Times New Roman" w:hAnsi="Times New Roman" w:eastAsia="仿宋_GB2312" w:cs="Times New Roman"/>
          <w:sz w:val="32"/>
          <w:szCs w:val="22"/>
        </w:rPr>
        <w:drawing>
          <wp:inline distT="0" distB="0" distL="0" distR="0">
            <wp:extent cx="5068570" cy="2792730"/>
            <wp:effectExtent l="0" t="0" r="0" b="7620"/>
            <wp:docPr id="14968118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11897" name="图片 1"/>
                    <pic:cNvPicPr>
                      <a:picLocks noChangeAspect="1"/>
                    </pic:cNvPicPr>
                  </pic:nvPicPr>
                  <pic:blipFill>
                    <a:blip r:embed="rId30"/>
                    <a:stretch>
                      <a:fillRect/>
                    </a:stretch>
                  </pic:blipFill>
                  <pic:spPr>
                    <a:xfrm>
                      <a:off x="0" y="0"/>
                      <a:ext cx="5070397" cy="2793939"/>
                    </a:xfrm>
                    <a:prstGeom prst="rect">
                      <a:avLst/>
                    </a:prstGeom>
                  </pic:spPr>
                </pic:pic>
              </a:graphicData>
            </a:graphic>
          </wp:inline>
        </w:drawing>
      </w:r>
    </w:p>
    <w:p>
      <w:pPr>
        <w:jc w:val="center"/>
        <w:rPr>
          <w:rFonts w:ascii="Times New Roman" w:hAnsi="Times New Roman" w:eastAsia="仿宋_GB2312" w:cs="Times New Roman"/>
          <w:b/>
          <w:bCs/>
        </w:rPr>
      </w:pPr>
      <w:r>
        <w:rPr>
          <w:rFonts w:ascii="Times New Roman" w:hAnsi="Times New Roman" w:eastAsia="仿宋_GB2312" w:cs="Times New Roman"/>
          <w:b/>
          <w:bCs/>
        </w:rPr>
        <w:t>图1-4 各学校资金拨付流程图</w:t>
      </w:r>
    </w:p>
    <w:p>
      <w:pPr>
        <w:pStyle w:val="195"/>
        <w:spacing w:line="560" w:lineRule="exact"/>
        <w:outlineLvl w:val="2"/>
      </w:pPr>
      <w:r>
        <w:t>4.制度建设情况</w:t>
      </w:r>
    </w:p>
    <w:p>
      <w:pPr>
        <w:widowControl w:val="0"/>
        <w:spacing w:line="520" w:lineRule="exact"/>
        <w:ind w:firstLine="641"/>
        <w:jc w:val="both"/>
        <w:rPr>
          <w:rFonts w:ascii="仿宋_GB2312" w:eastAsia="仿宋_GB2312"/>
          <w:kern w:val="2"/>
          <w:sz w:val="30"/>
          <w:szCs w:val="30"/>
        </w:rPr>
      </w:pPr>
      <w:r>
        <w:rPr>
          <w:rFonts w:hint="eastAsia" w:ascii="仿宋_GB2312" w:eastAsia="仿宋_GB2312"/>
          <w:kern w:val="2"/>
          <w:sz w:val="30"/>
          <w:szCs w:val="30"/>
        </w:rPr>
        <w:t>区教育局制定了《上海市崇明区教育局内部控制规定》、《档案管理制度》，内控制度明确了预算管理、收入支出、政府采购、合同管理的内部控制等相关要求；档案管理制度明确了人员岗位职责，档案保密要求、档案销毁、档案借阅等内容。</w:t>
      </w:r>
    </w:p>
    <w:p>
      <w:pPr>
        <w:pStyle w:val="195"/>
        <w:spacing w:line="560" w:lineRule="exact"/>
        <w:ind w:firstLine="643"/>
        <w:outlineLvl w:val="1"/>
        <w:rPr>
          <w:rFonts w:eastAsia="楷体_GB2312"/>
          <w:sz w:val="32"/>
          <w:szCs w:val="32"/>
        </w:rPr>
      </w:pPr>
      <w:bookmarkStart w:id="32" w:name="_Toc3698"/>
      <w:r>
        <w:rPr>
          <w:rFonts w:eastAsia="楷体_GB2312"/>
          <w:sz w:val="32"/>
          <w:szCs w:val="32"/>
        </w:rPr>
        <w:t>（</w:t>
      </w:r>
      <w:r>
        <w:rPr>
          <w:rFonts w:hint="eastAsia" w:eastAsia="楷体_GB2312"/>
          <w:sz w:val="32"/>
          <w:szCs w:val="32"/>
        </w:rPr>
        <w:t>五</w:t>
      </w:r>
      <w:r>
        <w:rPr>
          <w:rFonts w:eastAsia="楷体_GB2312"/>
          <w:sz w:val="32"/>
          <w:szCs w:val="32"/>
        </w:rPr>
        <w:t>）项目绩效目标</w:t>
      </w:r>
      <w:bookmarkEnd w:id="32"/>
    </w:p>
    <w:p>
      <w:pPr>
        <w:widowControl w:val="0"/>
        <w:spacing w:line="560" w:lineRule="exact"/>
        <w:ind w:firstLine="602" w:firstLineChars="200"/>
        <w:jc w:val="both"/>
        <w:outlineLvl w:val="2"/>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1.项目总目标</w:t>
      </w:r>
    </w:p>
    <w:p>
      <w:pPr>
        <w:pStyle w:val="103"/>
        <w:ind w:firstLine="600"/>
        <w:jc w:val="both"/>
        <w:rPr>
          <w:rStyle w:val="104"/>
          <w:sz w:val="30"/>
          <w:szCs w:val="30"/>
        </w:rPr>
      </w:pPr>
      <w:r>
        <w:rPr>
          <w:rStyle w:val="104"/>
          <w:rFonts w:hint="eastAsia"/>
          <w:sz w:val="30"/>
          <w:szCs w:val="30"/>
        </w:rPr>
        <w:t>在</w:t>
      </w:r>
      <w:r>
        <w:rPr>
          <w:rStyle w:val="104"/>
          <w:sz w:val="30"/>
          <w:szCs w:val="30"/>
        </w:rPr>
        <w:t>终身教育</w:t>
      </w:r>
      <w:r>
        <w:rPr>
          <w:rStyle w:val="104"/>
          <w:rFonts w:hint="eastAsia"/>
          <w:sz w:val="30"/>
          <w:szCs w:val="30"/>
        </w:rPr>
        <w:t>方面，通过扶持社区学院（老年大学）、成人学校发展，建立学习点，进一步统筹整合教育资源，构建新型终身教育体系，进一步提升崇明区终身教育影响力，助力学习型城区建设。</w:t>
      </w:r>
    </w:p>
    <w:p>
      <w:pPr>
        <w:pStyle w:val="103"/>
        <w:ind w:firstLine="600"/>
        <w:jc w:val="both"/>
        <w:rPr>
          <w:sz w:val="30"/>
          <w:szCs w:val="30"/>
        </w:rPr>
      </w:pPr>
      <w:r>
        <w:rPr>
          <w:rStyle w:val="104"/>
          <w:rFonts w:hint="eastAsia"/>
          <w:sz w:val="30"/>
          <w:szCs w:val="30"/>
        </w:rPr>
        <w:t>在</w:t>
      </w:r>
      <w:r>
        <w:rPr>
          <w:rStyle w:val="104"/>
          <w:sz w:val="30"/>
          <w:szCs w:val="30"/>
        </w:rPr>
        <w:t>民办教育</w:t>
      </w:r>
      <w:r>
        <w:rPr>
          <w:rStyle w:val="104"/>
          <w:rFonts w:hint="eastAsia"/>
          <w:sz w:val="30"/>
          <w:szCs w:val="30"/>
        </w:rPr>
        <w:t>方面，通过扶持民办学校，进一步促进崇明区民办教育有序健康发展，坚持优质特色发展导向，落实民办义务教育学校招生改革政策，严控办学规模，推进品牌建设，形成良好的民办学校发展生态，满足崇明区人民群众对教育服务多样化的需求。通过民办教育监管，推动行业规范发展</w:t>
      </w:r>
      <w:r>
        <w:rPr>
          <w:sz w:val="30"/>
          <w:szCs w:val="30"/>
        </w:rPr>
        <w:t>。</w:t>
      </w:r>
    </w:p>
    <w:p>
      <w:pPr>
        <w:widowControl w:val="0"/>
        <w:spacing w:line="560" w:lineRule="exact"/>
        <w:ind w:firstLine="602" w:firstLineChars="200"/>
        <w:jc w:val="both"/>
        <w:outlineLvl w:val="2"/>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2.年度目标</w:t>
      </w:r>
    </w:p>
    <w:p>
      <w:pPr>
        <w:widowControl w:val="0"/>
        <w:spacing w:line="520" w:lineRule="exact"/>
        <w:ind w:firstLine="602" w:firstLineChars="200"/>
        <w:jc w:val="both"/>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（1）产出目标</w:t>
      </w:r>
    </w:p>
    <w:p>
      <w:pPr>
        <w:widowControl w:val="0"/>
        <w:spacing w:line="520" w:lineRule="exact"/>
        <w:ind w:firstLine="602" w:firstLineChars="200"/>
        <w:jc w:val="both"/>
        <w:rPr>
          <w:rFonts w:ascii="仿宋_GB2312" w:hAnsi="Times New Roman" w:eastAsia="仿宋_GB2312" w:cs="Times New Roman"/>
          <w:kern w:val="2"/>
          <w:sz w:val="30"/>
          <w:szCs w:val="30"/>
        </w:rPr>
      </w:pPr>
      <w:r>
        <w:rPr>
          <w:rFonts w:hint="eastAsia" w:ascii="Times New Roman" w:hAnsi="Times New Roman" w:eastAsia="仿宋_GB2312" w:cs="Times New Roman"/>
          <w:b/>
          <w:bCs/>
          <w:kern w:val="2"/>
          <w:sz w:val="30"/>
          <w:szCs w:val="30"/>
        </w:rPr>
        <w:t>老年教育三类学习点建设经费：</w:t>
      </w:r>
      <w:r>
        <w:rPr>
          <w:rFonts w:hint="eastAsia" w:ascii="仿宋_GB2312" w:hAnsi="Times New Roman" w:eastAsia="仿宋_GB2312" w:cs="Times New Roman"/>
          <w:kern w:val="2"/>
          <w:sz w:val="30"/>
          <w:szCs w:val="30"/>
        </w:rPr>
        <w:t>完成居村委示范学习点（新建）1-3个，居村委特色学习点（升级）2-3个，社会学习点（新建）2个，优秀社会学习点（升级）2个，养教结合学习点（新建）1个，养教结合标准化学习点（新建）1个。学习点建设达到验收标准，且均在2022年底前完成。</w:t>
      </w:r>
    </w:p>
    <w:p>
      <w:pPr>
        <w:widowControl w:val="0"/>
        <w:spacing w:line="520" w:lineRule="exact"/>
        <w:ind w:firstLine="602"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b/>
          <w:bCs/>
          <w:kern w:val="2"/>
          <w:sz w:val="30"/>
          <w:szCs w:val="30"/>
        </w:rPr>
        <w:t>终身教育经费：</w:t>
      </w:r>
      <w:r>
        <w:rPr>
          <w:rFonts w:hint="eastAsia" w:ascii="Times New Roman" w:hAnsi="Times New Roman" w:eastAsia="仿宋_GB2312" w:cs="Times New Roman"/>
          <w:kern w:val="2"/>
          <w:sz w:val="30"/>
          <w:szCs w:val="30"/>
        </w:rPr>
        <w:t>①2022年完成对6所成人教育学校根据区域实际人口数进行成人教育人头经费补贴。②2022年完成对6所成人教育学校按校区数进行补贴。③2022年完成对2021学年度6所成人教育学校进行考核奖励。④2022年完成开展优质校建设评估申报工作，给予成功创建市优质校的成人学校给予奖励。⑤完成对学习团队工作室、一至五星团队活动经费扶持。⑥完成农课程培训。⑦完成崇明区开展社区教育课程创意海派插花。⑧完成扶持社区教育名师孵化室。⑨完成“我心目中的最美老年学员”主题征文讲述评选活动。⑩完成对成人（社区）学校办学经费补贴。各类补贴发放准确率达到1</w:t>
      </w:r>
      <w:r>
        <w:rPr>
          <w:rFonts w:ascii="Times New Roman" w:hAnsi="Times New Roman" w:eastAsia="仿宋_GB2312" w:cs="Times New Roman"/>
          <w:kern w:val="2"/>
          <w:sz w:val="30"/>
          <w:szCs w:val="30"/>
        </w:rPr>
        <w:t>00</w:t>
      </w:r>
      <w:r>
        <w:rPr>
          <w:rFonts w:hint="eastAsia" w:ascii="Times New Roman" w:hAnsi="Times New Roman" w:eastAsia="仿宋_GB2312" w:cs="Times New Roman"/>
          <w:kern w:val="2"/>
          <w:sz w:val="30"/>
          <w:szCs w:val="30"/>
        </w:rPr>
        <w:t>%，且按时发放。各类培训活动达到实施方案要求，且均在2</w:t>
      </w:r>
      <w:r>
        <w:rPr>
          <w:rFonts w:ascii="Times New Roman" w:hAnsi="Times New Roman" w:eastAsia="仿宋_GB2312" w:cs="Times New Roman"/>
          <w:kern w:val="2"/>
          <w:sz w:val="30"/>
          <w:szCs w:val="30"/>
        </w:rPr>
        <w:t>022</w:t>
      </w:r>
      <w:r>
        <w:rPr>
          <w:rFonts w:hint="eastAsia" w:ascii="Times New Roman" w:hAnsi="Times New Roman" w:eastAsia="仿宋_GB2312" w:cs="Times New Roman"/>
          <w:kern w:val="2"/>
          <w:sz w:val="30"/>
          <w:szCs w:val="30"/>
        </w:rPr>
        <w:t>年底前完成。</w:t>
      </w:r>
    </w:p>
    <w:p>
      <w:pPr>
        <w:widowControl w:val="0"/>
        <w:spacing w:line="520" w:lineRule="exact"/>
        <w:ind w:firstLine="602"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b/>
          <w:bCs/>
          <w:kern w:val="2"/>
          <w:sz w:val="30"/>
          <w:szCs w:val="30"/>
        </w:rPr>
        <w:t>学促办工作经费：</w:t>
      </w:r>
      <w:r>
        <w:rPr>
          <w:rFonts w:hint="eastAsia" w:ascii="Times New Roman" w:hAnsi="Times New Roman" w:eastAsia="仿宋_GB2312" w:cs="Times New Roman"/>
          <w:kern w:val="2"/>
          <w:sz w:val="30"/>
          <w:szCs w:val="30"/>
        </w:rPr>
        <w:t>完成对1</w:t>
      </w:r>
      <w:r>
        <w:rPr>
          <w:rFonts w:ascii="Times New Roman" w:hAnsi="Times New Roman" w:eastAsia="仿宋_GB2312" w:cs="Times New Roman"/>
          <w:kern w:val="2"/>
          <w:sz w:val="30"/>
          <w:szCs w:val="30"/>
        </w:rPr>
        <w:t>8</w:t>
      </w:r>
      <w:r>
        <w:rPr>
          <w:rFonts w:hint="eastAsia" w:ascii="Times New Roman" w:hAnsi="Times New Roman" w:eastAsia="仿宋_GB2312" w:cs="Times New Roman"/>
          <w:kern w:val="2"/>
          <w:sz w:val="30"/>
          <w:szCs w:val="30"/>
        </w:rPr>
        <w:t>个乡镇的学习型城区监测工作，达到监测验收标准，且在2</w:t>
      </w:r>
      <w:r>
        <w:rPr>
          <w:rFonts w:ascii="Times New Roman" w:hAnsi="Times New Roman" w:eastAsia="仿宋_GB2312" w:cs="Times New Roman"/>
          <w:kern w:val="2"/>
          <w:sz w:val="30"/>
          <w:szCs w:val="30"/>
        </w:rPr>
        <w:t>022</w:t>
      </w:r>
      <w:r>
        <w:rPr>
          <w:rFonts w:hint="eastAsia" w:ascii="Times New Roman" w:hAnsi="Times New Roman" w:eastAsia="仿宋_GB2312" w:cs="Times New Roman"/>
          <w:kern w:val="2"/>
          <w:sz w:val="30"/>
          <w:szCs w:val="30"/>
        </w:rPr>
        <w:t>年底前完成。</w:t>
      </w:r>
    </w:p>
    <w:p>
      <w:pPr>
        <w:widowControl w:val="0"/>
        <w:spacing w:line="520" w:lineRule="exact"/>
        <w:ind w:firstLine="602"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b/>
          <w:bCs/>
          <w:kern w:val="2"/>
          <w:sz w:val="30"/>
          <w:szCs w:val="30"/>
        </w:rPr>
        <w:t>民办学校学生公用经费补助：</w:t>
      </w:r>
      <w:r>
        <w:rPr>
          <w:rFonts w:hint="eastAsia" w:ascii="Times New Roman" w:hAnsi="Times New Roman" w:eastAsia="仿宋_GB2312" w:cs="Times New Roman"/>
          <w:kern w:val="2"/>
          <w:sz w:val="30"/>
          <w:szCs w:val="30"/>
        </w:rPr>
        <w:t>①完成对上海新纪元双语学校和上海民办民一中学全体学生实施“两免一补”政策。②完成对上海新纪元双语学校全体寄宿生实施寄宿生生活补助政策。③完成对上海新纪元双语学校和上海民办民一中学全体学生实施生均经费补助政策。各类补贴发放准确率达到1</w:t>
      </w:r>
      <w:r>
        <w:rPr>
          <w:rFonts w:ascii="Times New Roman" w:hAnsi="Times New Roman" w:eastAsia="仿宋_GB2312" w:cs="Times New Roman"/>
          <w:kern w:val="2"/>
          <w:sz w:val="30"/>
          <w:szCs w:val="30"/>
        </w:rPr>
        <w:t>00</w:t>
      </w:r>
      <w:r>
        <w:rPr>
          <w:rFonts w:hint="eastAsia" w:ascii="Times New Roman" w:hAnsi="Times New Roman" w:eastAsia="仿宋_GB2312" w:cs="Times New Roman"/>
          <w:kern w:val="2"/>
          <w:sz w:val="30"/>
          <w:szCs w:val="30"/>
        </w:rPr>
        <w:t>%，且均按时发放。</w:t>
      </w:r>
    </w:p>
    <w:p>
      <w:pPr>
        <w:widowControl w:val="0"/>
        <w:spacing w:line="520" w:lineRule="exact"/>
        <w:ind w:firstLine="602"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b/>
          <w:bCs/>
          <w:kern w:val="2"/>
          <w:sz w:val="30"/>
          <w:szCs w:val="30"/>
        </w:rPr>
        <w:t>民办教育发展专项资金：</w:t>
      </w:r>
      <w:r>
        <w:rPr>
          <w:rFonts w:hint="eastAsia" w:ascii="Times New Roman" w:hAnsi="Times New Roman" w:eastAsia="仿宋_GB2312" w:cs="Times New Roman"/>
          <w:kern w:val="2"/>
          <w:sz w:val="30"/>
          <w:szCs w:val="30"/>
        </w:rPr>
        <w:t>完成对4所民办中小幼专项扶持，扶持工作考核通过，且在2</w:t>
      </w:r>
      <w:r>
        <w:rPr>
          <w:rFonts w:ascii="Times New Roman" w:hAnsi="Times New Roman" w:eastAsia="仿宋_GB2312" w:cs="Times New Roman"/>
          <w:kern w:val="2"/>
          <w:sz w:val="30"/>
          <w:szCs w:val="30"/>
        </w:rPr>
        <w:t>022</w:t>
      </w:r>
      <w:r>
        <w:rPr>
          <w:rFonts w:hint="eastAsia" w:ascii="Times New Roman" w:hAnsi="Times New Roman" w:eastAsia="仿宋_GB2312" w:cs="Times New Roman"/>
          <w:kern w:val="2"/>
          <w:sz w:val="30"/>
          <w:szCs w:val="30"/>
        </w:rPr>
        <w:t>年底前完成。</w:t>
      </w:r>
    </w:p>
    <w:p>
      <w:pPr>
        <w:widowControl w:val="0"/>
        <w:spacing w:line="520" w:lineRule="exact"/>
        <w:ind w:firstLine="602"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b/>
          <w:bCs/>
          <w:kern w:val="2"/>
          <w:sz w:val="30"/>
          <w:szCs w:val="30"/>
        </w:rPr>
        <w:t>民办非学历教育机构管理经费：</w:t>
      </w:r>
      <w:r>
        <w:rPr>
          <w:rFonts w:hint="eastAsia" w:ascii="Times New Roman" w:hAnsi="Times New Roman" w:eastAsia="仿宋_GB2312" w:cs="Times New Roman"/>
          <w:kern w:val="2"/>
          <w:sz w:val="30"/>
          <w:szCs w:val="30"/>
        </w:rPr>
        <w:t>完成</w:t>
      </w:r>
      <w:r>
        <w:rPr>
          <w:rFonts w:hint="eastAsia" w:ascii="仿宋_GB2312" w:hAnsi="Times New Roman" w:eastAsia="仿宋_GB2312" w:cs="Times New Roman"/>
          <w:kern w:val="2"/>
          <w:sz w:val="30"/>
          <w:szCs w:val="30"/>
        </w:rPr>
        <w:t>民办非学历教育机构变更、年检检查评估和培训市场综合治理工作两项工作</w:t>
      </w:r>
      <w:r>
        <w:rPr>
          <w:rFonts w:hint="eastAsia" w:ascii="Times New Roman" w:hAnsi="Times New Roman" w:eastAsia="仿宋_GB2312" w:cs="Times New Roman"/>
          <w:kern w:val="2"/>
          <w:sz w:val="30"/>
          <w:szCs w:val="30"/>
        </w:rPr>
        <w:t>，且在2</w:t>
      </w:r>
      <w:r>
        <w:rPr>
          <w:rFonts w:ascii="Times New Roman" w:hAnsi="Times New Roman" w:eastAsia="仿宋_GB2312" w:cs="Times New Roman"/>
          <w:kern w:val="2"/>
          <w:sz w:val="30"/>
          <w:szCs w:val="30"/>
        </w:rPr>
        <w:t>022</w:t>
      </w:r>
      <w:r>
        <w:rPr>
          <w:rFonts w:hint="eastAsia" w:ascii="Times New Roman" w:hAnsi="Times New Roman" w:eastAsia="仿宋_GB2312" w:cs="Times New Roman"/>
          <w:kern w:val="2"/>
          <w:sz w:val="30"/>
          <w:szCs w:val="30"/>
        </w:rPr>
        <w:t>年底前完成。</w:t>
      </w:r>
    </w:p>
    <w:p>
      <w:pPr>
        <w:widowControl w:val="0"/>
        <w:spacing w:line="520" w:lineRule="exact"/>
        <w:ind w:firstLine="602" w:firstLineChars="200"/>
        <w:jc w:val="both"/>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（2）效果目标</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整合资源，不断提升基层老年教育内涵质量，促进终身教育成果转换，获得市级以上奖励，创建优质教学课程，增加老年星级团队，提升社区教育能级，提高各学校教学质量和学生素质，规范培训市场，加强市场培训机构监管力度，做到终身教育学员满意度≥85%，民办学校学生及家长满意度≥85%，民办学校教师满意度≥85%。</w:t>
      </w:r>
    </w:p>
    <w:p>
      <w:pPr>
        <w:widowControl w:val="0"/>
        <w:spacing w:line="560" w:lineRule="exact"/>
        <w:ind w:firstLine="602" w:firstLineChars="200"/>
        <w:jc w:val="both"/>
        <w:outlineLvl w:val="2"/>
        <w:rPr>
          <w:rFonts w:ascii="Times New Roman" w:hAnsi="Times New Roman" w:eastAsia="仿宋_GB2312" w:cs="Times New Roman"/>
          <w:b/>
          <w:bCs/>
          <w:kern w:val="2"/>
          <w:sz w:val="30"/>
          <w:szCs w:val="30"/>
        </w:rPr>
      </w:pPr>
      <w:r>
        <w:rPr>
          <w:rFonts w:ascii="Times New Roman" w:hAnsi="Times New Roman" w:eastAsia="仿宋_GB2312" w:cs="Times New Roman"/>
          <w:b/>
          <w:bCs/>
          <w:kern w:val="2"/>
          <w:sz w:val="30"/>
          <w:szCs w:val="30"/>
        </w:rPr>
        <w:t>3.绩效指标</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ascii="Times New Roman" w:hAnsi="Times New Roman" w:eastAsia="仿宋_GB2312" w:cs="Times New Roman"/>
          <w:kern w:val="2"/>
          <w:sz w:val="30"/>
          <w:szCs w:val="30"/>
        </w:rPr>
        <w:t>区教育局编制了绩效目标表，但部分绩效目标指标不够合理，为保证绩效评价的科学性、合理性，评价组结合</w:t>
      </w:r>
      <w:bookmarkStart w:id="33" w:name="_Hlk106450567"/>
      <w:r>
        <w:rPr>
          <w:rFonts w:ascii="Times New Roman" w:hAnsi="Times New Roman" w:eastAsia="仿宋_GB2312" w:cs="Times New Roman"/>
          <w:kern w:val="2"/>
          <w:sz w:val="30"/>
          <w:szCs w:val="30"/>
        </w:rPr>
        <w:t>《中共上海市崇明区委 上海市崇明区人民政府关于我区全面实施预算绩效管理的实施意见》（崇委发〔2019〕21号）</w:t>
      </w:r>
      <w:bookmarkEnd w:id="33"/>
      <w:r>
        <w:rPr>
          <w:rFonts w:ascii="Times New Roman" w:hAnsi="Times New Roman" w:eastAsia="仿宋_GB2312" w:cs="Times New Roman"/>
          <w:kern w:val="2"/>
          <w:sz w:val="30"/>
          <w:szCs w:val="30"/>
        </w:rPr>
        <w:t>等文件要求，基于区教育局提供的资料、初步访谈情况，重新梳理并编制了项目绩效目标表，经与区教育局讨论确认后形成的绩效目标表如下。</w:t>
      </w:r>
    </w:p>
    <w:p>
      <w:pPr>
        <w:jc w:val="center"/>
        <w:rPr>
          <w:rFonts w:ascii="仿宋_GB2312" w:eastAsia="仿宋_GB2312"/>
          <w:b/>
        </w:rPr>
      </w:pPr>
      <w:r>
        <w:rPr>
          <w:rFonts w:hint="eastAsia" w:ascii="仿宋_GB2312" w:eastAsia="仿宋_GB2312"/>
          <w:b/>
        </w:rPr>
        <w:t>表1-</w:t>
      </w:r>
      <w:r>
        <w:rPr>
          <w:rFonts w:ascii="仿宋_GB2312" w:eastAsia="仿宋_GB2312"/>
          <w:b/>
        </w:rPr>
        <w:t>5</w:t>
      </w:r>
      <w:r>
        <w:rPr>
          <w:rFonts w:hint="eastAsia" w:ascii="仿宋_GB2312" w:eastAsia="仿宋_GB2312"/>
          <w:b/>
        </w:rPr>
        <w:t>-1 项目绩效目标表</w:t>
      </w:r>
    </w:p>
    <w:tbl>
      <w:tblPr>
        <w:tblStyle w:val="40"/>
        <w:tblW w:w="111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1135"/>
        <w:gridCol w:w="2270"/>
        <w:gridCol w:w="2300"/>
        <w:gridCol w:w="2551"/>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blHeader/>
          <w:jc w:val="center"/>
        </w:trPr>
        <w:tc>
          <w:tcPr>
            <w:tcW w:w="953" w:type="dxa"/>
            <w:shd w:val="clear" w:color="auto" w:fill="auto"/>
            <w:vAlign w:val="center"/>
          </w:tcPr>
          <w:p>
            <w:pPr>
              <w:jc w:val="center"/>
              <w:rPr>
                <w:rFonts w:ascii="仿宋_GB2312" w:eastAsia="仿宋_GB2312"/>
                <w:b/>
                <w:bCs/>
                <w:color w:val="000000"/>
                <w:sz w:val="20"/>
                <w:szCs w:val="20"/>
              </w:rPr>
            </w:pPr>
            <w:r>
              <w:rPr>
                <w:rFonts w:hint="eastAsia" w:ascii="仿宋_GB2312" w:eastAsia="仿宋_GB2312"/>
                <w:b/>
                <w:bCs/>
                <w:color w:val="000000"/>
                <w:sz w:val="20"/>
                <w:szCs w:val="20"/>
              </w:rPr>
              <w:t>一级指标</w:t>
            </w:r>
          </w:p>
        </w:tc>
        <w:tc>
          <w:tcPr>
            <w:tcW w:w="1135" w:type="dxa"/>
            <w:shd w:val="clear" w:color="auto" w:fill="auto"/>
            <w:vAlign w:val="center"/>
          </w:tcPr>
          <w:p>
            <w:pPr>
              <w:jc w:val="center"/>
              <w:rPr>
                <w:rFonts w:ascii="仿宋_GB2312" w:eastAsia="仿宋_GB2312"/>
                <w:b/>
                <w:bCs/>
                <w:color w:val="000000"/>
                <w:sz w:val="20"/>
                <w:szCs w:val="20"/>
              </w:rPr>
            </w:pPr>
            <w:r>
              <w:rPr>
                <w:rFonts w:hint="eastAsia" w:ascii="仿宋_GB2312" w:eastAsia="仿宋_GB2312"/>
                <w:b/>
                <w:bCs/>
                <w:color w:val="000000"/>
                <w:sz w:val="20"/>
                <w:szCs w:val="20"/>
              </w:rPr>
              <w:t>二级指标</w:t>
            </w:r>
          </w:p>
        </w:tc>
        <w:tc>
          <w:tcPr>
            <w:tcW w:w="2270" w:type="dxa"/>
            <w:shd w:val="clear" w:color="auto" w:fill="auto"/>
            <w:vAlign w:val="center"/>
          </w:tcPr>
          <w:p>
            <w:pPr>
              <w:jc w:val="center"/>
              <w:rPr>
                <w:rFonts w:ascii="仿宋_GB2312" w:eastAsia="仿宋_GB2312"/>
                <w:b/>
                <w:bCs/>
                <w:color w:val="000000"/>
                <w:sz w:val="20"/>
                <w:szCs w:val="20"/>
              </w:rPr>
            </w:pPr>
            <w:r>
              <w:rPr>
                <w:rFonts w:hint="eastAsia" w:ascii="仿宋_GB2312" w:eastAsia="仿宋_GB2312"/>
                <w:b/>
                <w:bCs/>
                <w:color w:val="000000"/>
                <w:sz w:val="20"/>
                <w:szCs w:val="20"/>
              </w:rPr>
              <w:t>三级指标</w:t>
            </w:r>
          </w:p>
        </w:tc>
        <w:tc>
          <w:tcPr>
            <w:tcW w:w="2300" w:type="dxa"/>
            <w:vAlign w:val="center"/>
          </w:tcPr>
          <w:p>
            <w:pPr>
              <w:jc w:val="center"/>
              <w:rPr>
                <w:rFonts w:ascii="仿宋_GB2312" w:eastAsia="仿宋_GB2312"/>
                <w:b/>
                <w:bCs/>
                <w:color w:val="000000"/>
                <w:sz w:val="20"/>
                <w:szCs w:val="20"/>
              </w:rPr>
            </w:pPr>
            <w:r>
              <w:rPr>
                <w:rFonts w:hint="eastAsia" w:ascii="仿宋_GB2312" w:eastAsia="仿宋_GB2312"/>
                <w:b/>
                <w:bCs/>
                <w:color w:val="000000"/>
                <w:sz w:val="20"/>
                <w:szCs w:val="20"/>
              </w:rPr>
              <w:t>四级指标</w:t>
            </w:r>
          </w:p>
        </w:tc>
        <w:tc>
          <w:tcPr>
            <w:tcW w:w="2551" w:type="dxa"/>
            <w:shd w:val="clear" w:color="auto" w:fill="auto"/>
            <w:vAlign w:val="center"/>
          </w:tcPr>
          <w:p>
            <w:pPr>
              <w:jc w:val="center"/>
              <w:rPr>
                <w:rFonts w:ascii="仿宋_GB2312" w:eastAsia="仿宋_GB2312"/>
                <w:b/>
                <w:bCs/>
                <w:color w:val="000000"/>
                <w:sz w:val="20"/>
                <w:szCs w:val="20"/>
              </w:rPr>
            </w:pPr>
            <w:r>
              <w:rPr>
                <w:rFonts w:hint="eastAsia" w:ascii="仿宋_GB2312" w:eastAsia="仿宋_GB2312"/>
                <w:b/>
                <w:bCs/>
                <w:color w:val="000000"/>
                <w:sz w:val="20"/>
                <w:szCs w:val="20"/>
              </w:rPr>
              <w:t>年度指标值</w:t>
            </w:r>
          </w:p>
        </w:tc>
        <w:tc>
          <w:tcPr>
            <w:tcW w:w="1913" w:type="dxa"/>
            <w:shd w:val="clear" w:color="auto" w:fill="auto"/>
            <w:vAlign w:val="center"/>
          </w:tcPr>
          <w:p>
            <w:pPr>
              <w:jc w:val="center"/>
              <w:rPr>
                <w:rFonts w:ascii="仿宋_GB2312" w:eastAsia="仿宋_GB2312"/>
                <w:b/>
                <w:bCs/>
                <w:color w:val="000000"/>
                <w:sz w:val="20"/>
                <w:szCs w:val="20"/>
              </w:rPr>
            </w:pPr>
            <w:r>
              <w:rPr>
                <w:rFonts w:hint="eastAsia" w:ascii="仿宋_GB2312" w:eastAsia="仿宋_GB2312"/>
                <w:b/>
                <w:bCs/>
                <w:color w:val="000000"/>
                <w:sz w:val="20"/>
                <w:szCs w:val="20"/>
              </w:rPr>
              <w:t>指标值来源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jc w:val="center"/>
        </w:trPr>
        <w:tc>
          <w:tcPr>
            <w:tcW w:w="953" w:type="dxa"/>
            <w:vMerge w:val="restart"/>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产出</w:t>
            </w:r>
          </w:p>
        </w:tc>
        <w:tc>
          <w:tcPr>
            <w:tcW w:w="1135" w:type="dxa"/>
            <w:vMerge w:val="restart"/>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产出数量</w:t>
            </w:r>
          </w:p>
        </w:tc>
        <w:tc>
          <w:tcPr>
            <w:tcW w:w="2270" w:type="dxa"/>
            <w:vMerge w:val="restart"/>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终身教育相关工作完成情况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老年教育三类学习点建设完成率</w:t>
            </w:r>
          </w:p>
        </w:tc>
        <w:tc>
          <w:tcPr>
            <w:tcW w:w="2551" w:type="dxa"/>
            <w:shd w:val="clear" w:color="auto" w:fill="auto"/>
            <w:vAlign w:val="center"/>
          </w:tcPr>
          <w:p>
            <w:pPr>
              <w:jc w:val="both"/>
              <w:rPr>
                <w:rFonts w:ascii="仿宋_GB2312" w:eastAsia="仿宋_GB2312"/>
                <w:color w:val="000000"/>
                <w:sz w:val="20"/>
                <w:szCs w:val="20"/>
              </w:rPr>
            </w:pPr>
            <w:r>
              <w:rPr>
                <w:rFonts w:hint="eastAsia" w:ascii="仿宋_GB2312" w:eastAsia="仿宋_GB2312"/>
                <w:color w:val="000000"/>
                <w:sz w:val="20"/>
                <w:szCs w:val="20"/>
              </w:rPr>
              <w:t>1</w:t>
            </w:r>
            <w:r>
              <w:rPr>
                <w:rFonts w:ascii="仿宋_GB2312" w:eastAsia="仿宋_GB2312"/>
                <w:color w:val="000000"/>
                <w:sz w:val="20"/>
                <w:szCs w:val="20"/>
              </w:rPr>
              <w:t>00</w:t>
            </w:r>
            <w:r>
              <w:rPr>
                <w:rFonts w:hint="eastAsia" w:ascii="仿宋_GB2312" w:eastAsia="仿宋_GB2312"/>
                <w:color w:val="000000"/>
                <w:sz w:val="20"/>
                <w:szCs w:val="20"/>
              </w:rPr>
              <w:t>%，完成居村委示范学习点（新建）</w:t>
            </w:r>
            <w:r>
              <w:rPr>
                <w:rFonts w:ascii="仿宋_GB2312" w:eastAsia="仿宋_GB2312"/>
                <w:color w:val="000000"/>
                <w:sz w:val="20"/>
                <w:szCs w:val="20"/>
              </w:rPr>
              <w:t>1-3个，居村委特色学习点（升级）2-3个，社会学习点（新建）2个，优秀社会学习点（升级）2个，养教结合学习点（新建）1个，养教结合标准化学习点（新建）1个</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终身教育工作计划完成率</w:t>
            </w:r>
          </w:p>
        </w:tc>
        <w:tc>
          <w:tcPr>
            <w:tcW w:w="2551" w:type="dxa"/>
            <w:shd w:val="clear" w:color="auto" w:fill="auto"/>
            <w:vAlign w:val="center"/>
          </w:tcPr>
          <w:p>
            <w:pPr>
              <w:jc w:val="both"/>
              <w:rPr>
                <w:rFonts w:ascii="仿宋_GB2312" w:eastAsia="仿宋_GB2312"/>
                <w:color w:val="000000"/>
                <w:sz w:val="20"/>
                <w:szCs w:val="20"/>
              </w:rPr>
            </w:pPr>
            <w:r>
              <w:rPr>
                <w:rFonts w:hint="eastAsia" w:ascii="仿宋_GB2312" w:eastAsia="仿宋_GB2312"/>
                <w:color w:val="000000"/>
                <w:sz w:val="20"/>
                <w:szCs w:val="20"/>
              </w:rPr>
              <w:t>1</w:t>
            </w:r>
            <w:r>
              <w:rPr>
                <w:rFonts w:ascii="仿宋_GB2312" w:eastAsia="仿宋_GB2312"/>
                <w:color w:val="000000"/>
                <w:sz w:val="20"/>
                <w:szCs w:val="20"/>
              </w:rPr>
              <w:t>00</w:t>
            </w:r>
            <w:r>
              <w:rPr>
                <w:rFonts w:hint="eastAsia" w:ascii="仿宋_GB2312" w:eastAsia="仿宋_GB2312"/>
                <w:color w:val="000000"/>
                <w:sz w:val="20"/>
                <w:szCs w:val="20"/>
              </w:rPr>
              <w:t>%①</w:t>
            </w:r>
            <w:r>
              <w:rPr>
                <w:rFonts w:ascii="仿宋_GB2312" w:eastAsia="仿宋_GB2312"/>
                <w:color w:val="000000"/>
                <w:sz w:val="20"/>
                <w:szCs w:val="20"/>
              </w:rPr>
              <w:t>2022年完成对6所成人教育学校根据区域实际人口数进行成人教育人头经费补贴。②2022年完成对6所成人教育学校按校区数进行补贴。③2022年完成对2021学年度6所成人教育学校进行考核奖励。④2022年完成开展优质校建设评估申报工作，给予成功创建市优质校的成人学校给予奖励。⑤完成对学习团队工作室、一至五星团队活动经费扶持。⑥完成农课程培训。⑦完成崇明区开展社区教育课程创意海派插花。⑧完成扶持社区教育名师孵化室。⑨完成“我心目中的最美老年学员”主题征文讲述评选活动。⑩完成对成人（社区）学校办学经费补贴。</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学促办工作计划完成率</w:t>
            </w:r>
          </w:p>
        </w:tc>
        <w:tc>
          <w:tcPr>
            <w:tcW w:w="2551"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1</w:t>
            </w:r>
            <w:r>
              <w:rPr>
                <w:rFonts w:ascii="仿宋_GB2312" w:eastAsia="仿宋_GB2312"/>
                <w:color w:val="000000"/>
                <w:sz w:val="20"/>
                <w:szCs w:val="20"/>
              </w:rPr>
              <w:t>00</w:t>
            </w:r>
            <w:r>
              <w:rPr>
                <w:rFonts w:hint="eastAsia" w:ascii="仿宋_GB2312" w:eastAsia="仿宋_GB2312"/>
                <w:color w:val="000000"/>
                <w:sz w:val="20"/>
                <w:szCs w:val="20"/>
              </w:rPr>
              <w:t>%，学习型城区监测18个乡镇</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restart"/>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民办教育工作完成情况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民办学校学生公用经费应补尽补率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hAnsi="等线" w:eastAsia="仿宋_GB2312"/>
                <w:color w:val="000000"/>
                <w:sz w:val="20"/>
                <w:szCs w:val="20"/>
              </w:rPr>
            </w:pPr>
            <w:r>
              <w:rPr>
                <w:rFonts w:hint="eastAsia" w:ascii="仿宋_GB2312" w:eastAsia="仿宋_GB2312"/>
                <w:color w:val="000000"/>
                <w:sz w:val="20"/>
                <w:szCs w:val="20"/>
              </w:rPr>
              <w:t>民办教育发展工作完成率</w:t>
            </w:r>
          </w:p>
        </w:tc>
        <w:tc>
          <w:tcPr>
            <w:tcW w:w="2551" w:type="dxa"/>
            <w:shd w:val="clear" w:color="auto" w:fill="auto"/>
            <w:vAlign w:val="center"/>
          </w:tcPr>
          <w:p>
            <w:pPr>
              <w:jc w:val="center"/>
              <w:rPr>
                <w:rFonts w:ascii="仿宋_GB2312" w:hAnsi="等线" w:eastAsia="仿宋_GB2312"/>
                <w:color w:val="000000"/>
                <w:sz w:val="20"/>
                <w:szCs w:val="20"/>
              </w:rPr>
            </w:pPr>
            <w:r>
              <w:rPr>
                <w:rFonts w:hint="eastAsia" w:ascii="仿宋_GB2312" w:hAnsi="等线" w:eastAsia="仿宋_GB2312"/>
                <w:color w:val="000000"/>
                <w:sz w:val="20"/>
                <w:szCs w:val="20"/>
              </w:rPr>
              <w:t>100%（4所民办中小幼）</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民办非学历教育机构监管完成率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restart"/>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产出质量</w:t>
            </w:r>
          </w:p>
        </w:tc>
        <w:tc>
          <w:tcPr>
            <w:tcW w:w="2270" w:type="dxa"/>
            <w:vMerge w:val="restart"/>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终身教育相关工作完成质量情况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老年教育三类学习点建设验收通过率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终身教育经费发放准确率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成校及社区学院办学质量考核合格率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学习型数据监测系统数据填报的准确率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restart"/>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民办教育工作完成质量情况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民办学校补助经费发放准确率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民办教育发展专项资金项目补贴发放准确率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民办培训市场综合治理工作达标率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100%（达到国家、市监管要求）</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vMerge w:val="continue"/>
            <w:shd w:val="clear" w:color="auto" w:fill="auto"/>
            <w:vAlign w:val="center"/>
          </w:tcPr>
          <w:p>
            <w:pPr>
              <w:rPr>
                <w:rFonts w:ascii="仿宋_GB2312" w:eastAsia="仿宋_GB2312"/>
                <w:color w:val="000000"/>
                <w:sz w:val="20"/>
                <w:szCs w:val="20"/>
              </w:rPr>
            </w:pP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民办非学历教育机构年检通过率</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产出时效</w:t>
            </w: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各项工作完成及时率</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合同约定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产出成本</w:t>
            </w: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成本控制情况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控制在预算内</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restart"/>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效益</w:t>
            </w:r>
          </w:p>
        </w:tc>
        <w:tc>
          <w:tcPr>
            <w:tcW w:w="1135" w:type="dxa"/>
            <w:vMerge w:val="restart"/>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社会效益</w:t>
            </w: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基层老年教育成效情况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both"/>
              <w:rPr>
                <w:rFonts w:ascii="仿宋_GB2312" w:eastAsia="仿宋_GB2312"/>
                <w:color w:val="000000"/>
                <w:sz w:val="20"/>
                <w:szCs w:val="20"/>
              </w:rPr>
            </w:pPr>
            <w:r>
              <w:rPr>
                <w:rFonts w:hint="eastAsia" w:ascii="仿宋_GB2312" w:eastAsia="仿宋_GB2312"/>
                <w:color w:val="000000"/>
                <w:sz w:val="20"/>
                <w:szCs w:val="20"/>
              </w:rPr>
              <w:t>老年优秀社会学习点数量有效提升；老年优质校争创成功。</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终身教育成效情况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both"/>
              <w:rPr>
                <w:rFonts w:ascii="仿宋_GB2312" w:eastAsia="仿宋_GB2312"/>
                <w:color w:val="000000"/>
                <w:sz w:val="20"/>
                <w:szCs w:val="20"/>
              </w:rPr>
            </w:pPr>
            <w:r>
              <w:rPr>
                <w:rFonts w:hint="eastAsia" w:ascii="仿宋_GB2312" w:eastAsia="仿宋_GB2312"/>
                <w:color w:val="000000"/>
                <w:sz w:val="20"/>
                <w:szCs w:val="20"/>
              </w:rPr>
              <w:t>终身教育获得成果情况，包括获得过市级以上奖励，入选全国或市级优质或特色课程数量≥1个。</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终身学习便利度及多样性</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社会调查中9</w:t>
            </w:r>
            <w:r>
              <w:rPr>
                <w:rFonts w:ascii="仿宋_GB2312" w:eastAsia="仿宋_GB2312"/>
                <w:color w:val="000000"/>
                <w:sz w:val="20"/>
                <w:szCs w:val="20"/>
              </w:rPr>
              <w:t>0</w:t>
            </w:r>
            <w:r>
              <w:rPr>
                <w:rFonts w:hint="eastAsia" w:ascii="仿宋_GB2312" w:eastAsia="仿宋_GB2312"/>
                <w:color w:val="000000"/>
                <w:sz w:val="20"/>
                <w:szCs w:val="20"/>
              </w:rPr>
              <w:t>%以上老年人认为学习便利，且多样</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终身教育宣传情况</w:t>
            </w:r>
          </w:p>
        </w:tc>
        <w:tc>
          <w:tcPr>
            <w:tcW w:w="2300" w:type="dxa"/>
            <w:vAlign w:val="center"/>
          </w:tcPr>
          <w:p>
            <w:pPr>
              <w:rPr>
                <w:rFonts w:ascii="仿宋_GB2312" w:eastAsia="仿宋_GB2312"/>
                <w:color w:val="000000"/>
                <w:sz w:val="20"/>
                <w:szCs w:val="20"/>
              </w:rPr>
            </w:pP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终身教育宣传渠道多样、且知晓度达到9</w:t>
            </w:r>
            <w:r>
              <w:rPr>
                <w:rFonts w:ascii="仿宋_GB2312" w:eastAsia="仿宋_GB2312"/>
                <w:color w:val="000000"/>
                <w:sz w:val="20"/>
                <w:szCs w:val="20"/>
              </w:rPr>
              <w:t>0</w:t>
            </w:r>
            <w:r>
              <w:rPr>
                <w:rFonts w:hint="eastAsia" w:ascii="仿宋_GB2312" w:eastAsia="仿宋_GB2312"/>
                <w:color w:val="000000"/>
                <w:sz w:val="20"/>
                <w:szCs w:val="20"/>
              </w:rPr>
              <w:t>%以上</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民办学校教学设施设备使用率</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100%</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民办学校区重点高中升学率</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hAnsi="等线" w:eastAsia="仿宋_GB2312"/>
                <w:color w:val="000000"/>
                <w:sz w:val="18"/>
                <w:szCs w:val="18"/>
              </w:rPr>
              <w:t>2个学校均较上年提升</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历史标准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bookmarkStart w:id="34" w:name="_Hlk137650480"/>
            <w:r>
              <w:rPr>
                <w:rFonts w:hint="eastAsia" w:ascii="仿宋_GB2312" w:eastAsia="仿宋_GB2312"/>
                <w:color w:val="000000"/>
                <w:sz w:val="20"/>
                <w:szCs w:val="20"/>
              </w:rPr>
              <w:t>民办学校学生体质健康优良率</w:t>
            </w:r>
            <w:bookmarkEnd w:id="34"/>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ascii="仿宋_GB2312" w:eastAsia="仿宋_GB2312"/>
                <w:color w:val="000000"/>
                <w:sz w:val="20"/>
                <w:szCs w:val="20"/>
              </w:rPr>
              <w:t>52</w:t>
            </w:r>
            <w:r>
              <w:rPr>
                <w:rFonts w:hint="eastAsia" w:ascii="仿宋_GB2312" w:eastAsia="仿宋_GB2312"/>
                <w:color w:val="000000"/>
                <w:sz w:val="20"/>
                <w:szCs w:val="20"/>
              </w:rPr>
              <w:t>%</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崇明区教育“十四规划”到2</w:t>
            </w:r>
            <w:r>
              <w:rPr>
                <w:rFonts w:ascii="仿宋_GB2312" w:eastAsia="仿宋_GB2312"/>
                <w:color w:val="000000"/>
                <w:sz w:val="20"/>
                <w:szCs w:val="20"/>
              </w:rPr>
              <w:t>02</w:t>
            </w:r>
            <w:r>
              <w:rPr>
                <w:rFonts w:hint="eastAsia" w:ascii="仿宋_GB2312" w:eastAsia="仿宋_GB2312"/>
                <w:color w:val="000000"/>
                <w:sz w:val="20"/>
                <w:szCs w:val="20"/>
              </w:rPr>
              <w:t>5年达到5</w:t>
            </w:r>
            <w:r>
              <w:rPr>
                <w:rFonts w:ascii="仿宋_GB2312" w:eastAsia="仿宋_GB2312"/>
                <w:color w:val="000000"/>
                <w:sz w:val="20"/>
                <w:szCs w:val="20"/>
              </w:rPr>
              <w:t>5</w:t>
            </w:r>
            <w:r>
              <w:rPr>
                <w:rFonts w:hint="eastAsia" w:ascii="仿宋_GB2312" w:eastAsia="仿宋_GB2312"/>
                <w:color w:val="000000"/>
                <w:sz w:val="20"/>
                <w:szCs w:val="20"/>
              </w:rPr>
              <w:t>%，按5年折算，2</w:t>
            </w:r>
            <w:r>
              <w:rPr>
                <w:rFonts w:ascii="仿宋_GB2312" w:eastAsia="仿宋_GB2312"/>
                <w:color w:val="000000"/>
                <w:sz w:val="20"/>
                <w:szCs w:val="20"/>
              </w:rPr>
              <w:t>022</w:t>
            </w:r>
            <w:r>
              <w:rPr>
                <w:rFonts w:hint="eastAsia" w:ascii="仿宋_GB2312" w:eastAsia="仿宋_GB2312"/>
                <w:color w:val="000000"/>
                <w:sz w:val="20"/>
                <w:szCs w:val="20"/>
              </w:rPr>
              <w:t>年应达到5</w:t>
            </w:r>
            <w:r>
              <w:rPr>
                <w:rFonts w:ascii="仿宋_GB2312" w:eastAsia="仿宋_GB2312"/>
                <w:color w:val="000000"/>
                <w:sz w:val="20"/>
                <w:szCs w:val="20"/>
              </w:rPr>
              <w:t>2</w:t>
            </w:r>
            <w:r>
              <w:rPr>
                <w:rFonts w:hint="eastAsia" w:ascii="仿宋_GB2312" w:eastAsia="仿宋_GB2312"/>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学科类培训机构控制情况</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0新增</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953" w:type="dxa"/>
            <w:vMerge w:val="continue"/>
            <w:vAlign w:val="center"/>
          </w:tcPr>
          <w:p>
            <w:pPr>
              <w:rPr>
                <w:rFonts w:ascii="仿宋_GB2312" w:eastAsia="仿宋_GB2312"/>
                <w:color w:val="000000"/>
                <w:sz w:val="20"/>
                <w:szCs w:val="20"/>
              </w:rPr>
            </w:pPr>
          </w:p>
        </w:tc>
        <w:tc>
          <w:tcPr>
            <w:tcW w:w="1135"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可持续影响</w:t>
            </w: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成职科内涵发展长效管理机制健全性和执行有效性</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健全且执行有效</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计划标准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restart"/>
            <w:vAlign w:val="center"/>
          </w:tcPr>
          <w:p>
            <w:pPr>
              <w:rPr>
                <w:rFonts w:ascii="仿宋_GB2312" w:eastAsia="仿宋_GB2312"/>
                <w:color w:val="000000"/>
                <w:sz w:val="20"/>
                <w:szCs w:val="20"/>
              </w:rPr>
            </w:pPr>
            <w:r>
              <w:rPr>
                <w:rFonts w:hint="eastAsia" w:ascii="仿宋_GB2312" w:eastAsia="仿宋_GB2312"/>
                <w:color w:val="000000"/>
                <w:sz w:val="20"/>
                <w:szCs w:val="20"/>
              </w:rPr>
              <w:t>满意度</w:t>
            </w: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终身教育学员满意度</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≥85%</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center"/>
          </w:tcPr>
          <w:p>
            <w:pPr>
              <w:rPr>
                <w:rFonts w:ascii="仿宋_GB2312" w:eastAsia="仿宋_GB2312"/>
                <w:color w:val="000000"/>
                <w:sz w:val="20"/>
                <w:szCs w:val="20"/>
              </w:rPr>
            </w:pPr>
            <w:r>
              <w:rPr>
                <w:rFonts w:hint="eastAsia" w:ascii="仿宋_GB2312" w:eastAsia="仿宋_GB2312"/>
                <w:color w:val="000000"/>
                <w:sz w:val="20"/>
                <w:szCs w:val="20"/>
              </w:rPr>
              <w:t>民办学校学生及家长满意度</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w:t>
            </w:r>
            <w:r>
              <w:rPr>
                <w:rFonts w:ascii="仿宋_GB2312" w:eastAsia="仿宋_GB2312"/>
                <w:color w:val="000000"/>
                <w:sz w:val="20"/>
                <w:szCs w:val="20"/>
              </w:rPr>
              <w:t>85</w:t>
            </w:r>
            <w:r>
              <w:rPr>
                <w:rFonts w:hint="eastAsia" w:ascii="仿宋_GB2312" w:eastAsia="仿宋_GB2312"/>
                <w:color w:val="000000"/>
                <w:sz w:val="20"/>
                <w:szCs w:val="20"/>
              </w:rPr>
              <w:t>%</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jc w:val="center"/>
        </w:trPr>
        <w:tc>
          <w:tcPr>
            <w:tcW w:w="953" w:type="dxa"/>
            <w:vMerge w:val="continue"/>
            <w:vAlign w:val="center"/>
          </w:tcPr>
          <w:p>
            <w:pPr>
              <w:rPr>
                <w:rFonts w:ascii="仿宋_GB2312" w:eastAsia="仿宋_GB2312"/>
                <w:color w:val="000000"/>
                <w:sz w:val="20"/>
                <w:szCs w:val="20"/>
              </w:rPr>
            </w:pPr>
          </w:p>
        </w:tc>
        <w:tc>
          <w:tcPr>
            <w:tcW w:w="1135" w:type="dxa"/>
            <w:vMerge w:val="continue"/>
            <w:vAlign w:val="center"/>
          </w:tcPr>
          <w:p>
            <w:pPr>
              <w:rPr>
                <w:rFonts w:ascii="仿宋_GB2312" w:eastAsia="仿宋_GB2312"/>
                <w:color w:val="000000"/>
                <w:sz w:val="20"/>
                <w:szCs w:val="20"/>
              </w:rPr>
            </w:pPr>
          </w:p>
        </w:tc>
        <w:tc>
          <w:tcPr>
            <w:tcW w:w="2270" w:type="dxa"/>
            <w:shd w:val="clear" w:color="auto" w:fill="auto"/>
            <w:vAlign w:val="bottom"/>
          </w:tcPr>
          <w:p>
            <w:pPr>
              <w:rPr>
                <w:rFonts w:ascii="仿宋_GB2312" w:eastAsia="仿宋_GB2312"/>
                <w:color w:val="000000"/>
                <w:sz w:val="20"/>
                <w:szCs w:val="20"/>
              </w:rPr>
            </w:pPr>
            <w:r>
              <w:rPr>
                <w:rFonts w:hint="eastAsia" w:ascii="仿宋_GB2312" w:eastAsia="仿宋_GB2312"/>
                <w:color w:val="000000"/>
                <w:sz w:val="20"/>
                <w:szCs w:val="20"/>
              </w:rPr>
              <w:t>民办学校教师满意度</w:t>
            </w:r>
          </w:p>
        </w:tc>
        <w:tc>
          <w:tcPr>
            <w:tcW w:w="2300" w:type="dxa"/>
            <w:vAlign w:val="center"/>
          </w:tcPr>
          <w:p>
            <w:pPr>
              <w:rPr>
                <w:rFonts w:ascii="仿宋_GB2312" w:eastAsia="仿宋_GB2312"/>
                <w:color w:val="000000"/>
                <w:sz w:val="20"/>
                <w:szCs w:val="20"/>
              </w:rPr>
            </w:pPr>
            <w:r>
              <w:rPr>
                <w:rFonts w:hint="eastAsia" w:ascii="仿宋_GB2312" w:eastAsia="仿宋_GB2312"/>
                <w:color w:val="000000"/>
                <w:sz w:val="20"/>
                <w:szCs w:val="20"/>
              </w:rPr>
              <w:t>——</w:t>
            </w:r>
          </w:p>
        </w:tc>
        <w:tc>
          <w:tcPr>
            <w:tcW w:w="2551"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≥85%</w:t>
            </w:r>
          </w:p>
        </w:tc>
        <w:tc>
          <w:tcPr>
            <w:tcW w:w="1913" w:type="dxa"/>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行业标准</w:t>
            </w:r>
          </w:p>
        </w:tc>
      </w:tr>
    </w:tbl>
    <w:p>
      <w:pPr>
        <w:jc w:val="center"/>
        <w:rPr>
          <w:rFonts w:ascii="仿宋_GB2312" w:eastAsia="仿宋_GB2312"/>
          <w:b/>
        </w:rPr>
      </w:pPr>
    </w:p>
    <w:p>
      <w:pPr>
        <w:pStyle w:val="193"/>
        <w:spacing w:line="560" w:lineRule="exact"/>
        <w:ind w:firstLine="643"/>
        <w:outlineLvl w:val="0"/>
        <w:rPr>
          <w:sz w:val="32"/>
          <w:szCs w:val="32"/>
        </w:rPr>
      </w:pPr>
      <w:bookmarkStart w:id="35" w:name="_Toc106125101"/>
      <w:bookmarkStart w:id="36" w:name="_Toc10223087"/>
      <w:bookmarkStart w:id="37" w:name="_Toc31349"/>
      <w:r>
        <w:rPr>
          <w:sz w:val="32"/>
          <w:szCs w:val="32"/>
        </w:rPr>
        <w:t>二、</w:t>
      </w:r>
      <w:bookmarkEnd w:id="35"/>
      <w:bookmarkEnd w:id="36"/>
      <w:r>
        <w:rPr>
          <w:rFonts w:hint="eastAsia"/>
          <w:sz w:val="32"/>
          <w:szCs w:val="32"/>
        </w:rPr>
        <w:t>绩效评价工作情况</w:t>
      </w:r>
      <w:bookmarkEnd w:id="37"/>
      <w:r>
        <w:rPr>
          <w:sz w:val="32"/>
          <w:szCs w:val="32"/>
        </w:rPr>
        <w:tab/>
      </w:r>
    </w:p>
    <w:p>
      <w:pPr>
        <w:pStyle w:val="195"/>
        <w:spacing w:line="560" w:lineRule="exact"/>
        <w:ind w:firstLine="643"/>
        <w:outlineLvl w:val="1"/>
        <w:rPr>
          <w:rFonts w:eastAsia="楷体_GB2312"/>
          <w:sz w:val="32"/>
          <w:szCs w:val="32"/>
        </w:rPr>
      </w:pPr>
      <w:bookmarkStart w:id="38" w:name="_Toc106125102"/>
      <w:bookmarkStart w:id="39" w:name="_Toc10223088"/>
      <w:bookmarkStart w:id="40" w:name="_Toc27420"/>
      <w:r>
        <w:rPr>
          <w:rFonts w:eastAsia="楷体_GB2312"/>
          <w:sz w:val="32"/>
          <w:szCs w:val="32"/>
        </w:rPr>
        <w:t>（一）</w:t>
      </w:r>
      <w:bookmarkEnd w:id="38"/>
      <w:bookmarkEnd w:id="39"/>
      <w:r>
        <w:rPr>
          <w:rFonts w:hint="eastAsia" w:eastAsia="楷体_GB2312"/>
          <w:sz w:val="32"/>
          <w:szCs w:val="32"/>
        </w:rPr>
        <w:t>绩效评价目的、对象和范围</w:t>
      </w:r>
      <w:bookmarkEnd w:id="40"/>
    </w:p>
    <w:p>
      <w:pPr>
        <w:pStyle w:val="195"/>
        <w:spacing w:line="560" w:lineRule="exact"/>
        <w:outlineLvl w:val="2"/>
      </w:pPr>
      <w:r>
        <w:t>1.评价目的</w:t>
      </w:r>
    </w:p>
    <w:p>
      <w:pPr>
        <w:widowControl w:val="0"/>
        <w:spacing w:line="520" w:lineRule="exact"/>
        <w:ind w:firstLine="641"/>
        <w:jc w:val="both"/>
        <w:rPr>
          <w:rFonts w:ascii="仿宋_GB2312" w:eastAsia="仿宋_GB2312"/>
          <w:kern w:val="2"/>
          <w:sz w:val="30"/>
          <w:szCs w:val="30"/>
        </w:rPr>
      </w:pPr>
      <w:bookmarkStart w:id="41" w:name="_Hlk10034357"/>
      <w:r>
        <w:rPr>
          <w:rFonts w:ascii="仿宋_GB2312" w:eastAsia="仿宋_GB2312"/>
          <w:kern w:val="2"/>
          <w:sz w:val="30"/>
          <w:szCs w:val="30"/>
        </w:rPr>
        <w:t>本次绩效评价旨在从项目基本情况入手，对该项目2021年项目开展的实际情况进行考察，重点关注该项目实际完成情况及效果，主要包括预算资金安排及支出情况、项目实施管理情况、项目目标的设置及完成情况、项目实际产出及效益情况，通过搭建指标体系对项目绩效管理综合质量水平、项目实施效果进行评分，进一步强化区教育局预算绩效管理理念和管理水平，切实反映项目实施的效果，合理配置公共资源，发挥财政资金使用效益和引导作用。</w:t>
      </w:r>
    </w:p>
    <w:bookmarkEnd w:id="41"/>
    <w:p>
      <w:pPr>
        <w:pStyle w:val="195"/>
        <w:spacing w:line="560" w:lineRule="exact"/>
        <w:outlineLvl w:val="2"/>
      </w:pPr>
      <w:r>
        <w:t>2.评价</w:t>
      </w:r>
      <w:r>
        <w:rPr>
          <w:rFonts w:hint="eastAsia"/>
        </w:rPr>
        <w:t>对象和范围</w:t>
      </w:r>
    </w:p>
    <w:p>
      <w:pPr>
        <w:widowControl w:val="0"/>
        <w:spacing w:line="520" w:lineRule="exact"/>
        <w:ind w:firstLine="641"/>
        <w:jc w:val="both"/>
        <w:rPr>
          <w:rFonts w:ascii="仿宋_GB2312" w:eastAsia="仿宋_GB2312"/>
          <w:kern w:val="2"/>
          <w:sz w:val="30"/>
          <w:szCs w:val="30"/>
        </w:rPr>
      </w:pPr>
      <w:r>
        <w:rPr>
          <w:rFonts w:ascii="仿宋_GB2312" w:eastAsia="仿宋_GB2312"/>
          <w:kern w:val="2"/>
          <w:sz w:val="30"/>
          <w:szCs w:val="30"/>
        </w:rPr>
        <w:t>本次绩效评价的对象为2022年成职科内涵发展经费项目。评价范围包括该经费项目所涉及的所有预算及执行情况，项目实际完成情况及效果，主要包括预算资金安排及支出情况、项目实施管理情况、项目目标的设置及完成情况、项目实际产出及效益情况等。本次绩效评价</w:t>
      </w:r>
      <w:r>
        <w:rPr>
          <w:rFonts w:hint="eastAsia" w:ascii="仿宋_GB2312" w:eastAsia="仿宋_GB2312"/>
          <w:kern w:val="2"/>
          <w:sz w:val="30"/>
          <w:szCs w:val="30"/>
        </w:rPr>
        <w:t>范围</w:t>
      </w:r>
      <w:r>
        <w:rPr>
          <w:rFonts w:ascii="仿宋_GB2312" w:eastAsia="仿宋_GB2312"/>
          <w:kern w:val="2"/>
          <w:sz w:val="30"/>
          <w:szCs w:val="30"/>
        </w:rPr>
        <w:t>为2022年1月至2022年12月。</w:t>
      </w:r>
    </w:p>
    <w:p>
      <w:pPr>
        <w:pStyle w:val="195"/>
        <w:spacing w:line="560" w:lineRule="exact"/>
        <w:outlineLvl w:val="1"/>
        <w:rPr>
          <w:rFonts w:eastAsia="楷体_GB2312"/>
        </w:rPr>
      </w:pPr>
      <w:bookmarkStart w:id="42" w:name="_Toc106125103"/>
      <w:bookmarkStart w:id="43" w:name="_Toc10223089"/>
      <w:bookmarkStart w:id="44" w:name="_Toc29187"/>
      <w:r>
        <w:rPr>
          <w:rFonts w:eastAsia="楷体_GB2312"/>
        </w:rPr>
        <w:t>（二）</w:t>
      </w:r>
      <w:bookmarkEnd w:id="42"/>
      <w:bookmarkEnd w:id="43"/>
      <w:r>
        <w:rPr>
          <w:rFonts w:hint="eastAsia" w:eastAsia="楷体_GB2312"/>
        </w:rPr>
        <w:t>绩效评价的依据</w:t>
      </w:r>
      <w:bookmarkEnd w:id="44"/>
      <w:r>
        <w:rPr>
          <w:rFonts w:eastAsia="楷体_GB2312"/>
        </w:rPr>
        <w:tab/>
      </w:r>
    </w:p>
    <w:p>
      <w:pPr>
        <w:pStyle w:val="195"/>
        <w:spacing w:line="560" w:lineRule="exact"/>
        <w:outlineLvl w:val="2"/>
      </w:pPr>
      <w:r>
        <w:rPr>
          <w:rFonts w:hint="eastAsia"/>
        </w:rPr>
        <w:t>1</w:t>
      </w:r>
      <w:r>
        <w:t>.绩效管理类</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（1）</w:t>
      </w:r>
      <w:r>
        <w:rPr>
          <w:rFonts w:ascii="仿宋_GB2312" w:eastAsia="仿宋_GB2312"/>
          <w:kern w:val="2"/>
          <w:sz w:val="30"/>
          <w:szCs w:val="30"/>
        </w:rPr>
        <w:t>《中共中央国务院关于全面实施预算绩效管理的意见》（中发〔2018〕34号）；</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（2）</w:t>
      </w:r>
      <w:r>
        <w:rPr>
          <w:rFonts w:ascii="仿宋_GB2312" w:eastAsia="仿宋_GB2312"/>
          <w:kern w:val="2"/>
          <w:sz w:val="30"/>
          <w:szCs w:val="30"/>
        </w:rPr>
        <w:t>《中共上海市委 上海市人民政府关于我市全面实施预算绩效管理的实施意见》（沪委发〔2019〕12号）；</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（3）</w:t>
      </w:r>
      <w:r>
        <w:rPr>
          <w:rFonts w:ascii="仿宋_GB2312" w:eastAsia="仿宋_GB2312"/>
          <w:kern w:val="2"/>
          <w:sz w:val="30"/>
          <w:szCs w:val="30"/>
        </w:rPr>
        <w:t>《上海市财政项目支出预算绩效管理办法（试行）》（沪财绩〔2020〕6号）；</w:t>
      </w:r>
    </w:p>
    <w:p>
      <w:pPr>
        <w:widowControl w:val="0"/>
        <w:spacing w:line="520" w:lineRule="exact"/>
        <w:ind w:firstLine="600" w:firstLineChars="200"/>
        <w:jc w:val="both"/>
        <w:rPr>
          <w:rFonts w:ascii="仿宋_GB2312" w:eastAsia="仿宋_GB2312"/>
          <w:kern w:val="2"/>
          <w:sz w:val="30"/>
          <w:szCs w:val="30"/>
        </w:rPr>
      </w:pPr>
      <w:bookmarkStart w:id="45" w:name="_Hlk106455122"/>
      <w:r>
        <w:rPr>
          <w:rFonts w:hint="eastAsia" w:ascii="仿宋_GB2312" w:eastAsia="仿宋_GB2312"/>
          <w:kern w:val="2"/>
          <w:sz w:val="30"/>
          <w:szCs w:val="30"/>
        </w:rPr>
        <w:t>（4）</w:t>
      </w:r>
      <w:r>
        <w:rPr>
          <w:rFonts w:ascii="仿宋_GB2312" w:eastAsia="仿宋_GB2312"/>
          <w:kern w:val="2"/>
          <w:sz w:val="30"/>
          <w:szCs w:val="30"/>
        </w:rPr>
        <w:t>《中共上海市崇明区委 上海市崇明区人民政府关于我区全面实施预算绩效管理的实施意见》（崇委发〔2019〕21号）。</w:t>
      </w:r>
      <w:bookmarkEnd w:id="45"/>
    </w:p>
    <w:p>
      <w:pPr>
        <w:pStyle w:val="195"/>
        <w:spacing w:line="560" w:lineRule="exact"/>
        <w:outlineLvl w:val="2"/>
      </w:pPr>
      <w:r>
        <w:rPr>
          <w:rFonts w:hint="eastAsia"/>
        </w:rPr>
        <w:t>2</w:t>
      </w:r>
      <w:r>
        <w:t>.项目业务类</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（1）</w:t>
      </w:r>
      <w:r>
        <w:rPr>
          <w:rFonts w:ascii="仿宋_GB2312" w:eastAsia="仿宋_GB2312"/>
          <w:kern w:val="2"/>
          <w:sz w:val="30"/>
          <w:szCs w:val="30"/>
        </w:rPr>
        <w:t>上文项目背景中的立项政策文件；</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（2）</w:t>
      </w:r>
      <w:r>
        <w:rPr>
          <w:rFonts w:ascii="仿宋_GB2312" w:eastAsia="仿宋_GB2312"/>
          <w:kern w:val="2"/>
          <w:sz w:val="30"/>
          <w:szCs w:val="30"/>
        </w:rPr>
        <w:t>预算批复文件；</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（3）</w:t>
      </w:r>
      <w:r>
        <w:rPr>
          <w:rFonts w:ascii="仿宋_GB2312" w:eastAsia="仿宋_GB2312"/>
          <w:kern w:val="2"/>
          <w:sz w:val="30"/>
          <w:szCs w:val="30"/>
        </w:rPr>
        <w:t>购买服务合同书；</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（4）</w:t>
      </w:r>
      <w:r>
        <w:rPr>
          <w:rFonts w:ascii="仿宋_GB2312" w:eastAsia="仿宋_GB2312"/>
          <w:kern w:val="2"/>
          <w:sz w:val="30"/>
          <w:szCs w:val="30"/>
        </w:rPr>
        <w:t>项目实施过程文件，如考核记录、评定结果、检查结果、等；</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（5）</w:t>
      </w:r>
      <w:r>
        <w:rPr>
          <w:rFonts w:ascii="仿宋_GB2312" w:eastAsia="仿宋_GB2312"/>
          <w:kern w:val="2"/>
          <w:sz w:val="30"/>
          <w:szCs w:val="30"/>
        </w:rPr>
        <w:t>区教育局年度工作计划和年度工作总结；</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（6）会计凭证；</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（7）</w:t>
      </w:r>
      <w:r>
        <w:rPr>
          <w:rFonts w:ascii="仿宋_GB2312" w:eastAsia="仿宋_GB2312"/>
          <w:kern w:val="2"/>
          <w:sz w:val="30"/>
          <w:szCs w:val="30"/>
        </w:rPr>
        <w:t>其他相关公开信息资料，如新闻报道、公示通知等。</w:t>
      </w:r>
    </w:p>
    <w:p>
      <w:pPr>
        <w:pStyle w:val="195"/>
        <w:spacing w:line="560" w:lineRule="exact"/>
        <w:outlineLvl w:val="1"/>
        <w:rPr>
          <w:rFonts w:eastAsia="楷体_GB2312"/>
        </w:rPr>
      </w:pPr>
      <w:bookmarkStart w:id="46" w:name="_Toc11753"/>
      <w:r>
        <w:rPr>
          <w:rFonts w:eastAsia="楷体_GB2312"/>
        </w:rPr>
        <w:t>（三）</w:t>
      </w:r>
      <w:r>
        <w:rPr>
          <w:rFonts w:hint="eastAsia" w:eastAsia="楷体_GB2312"/>
        </w:rPr>
        <w:t>绩效评价原则和评价方法</w:t>
      </w:r>
      <w:bookmarkEnd w:id="46"/>
    </w:p>
    <w:p>
      <w:pPr>
        <w:pStyle w:val="195"/>
        <w:spacing w:line="560" w:lineRule="exact"/>
        <w:outlineLvl w:val="2"/>
      </w:pPr>
      <w:r>
        <w:rPr>
          <w:rFonts w:hint="eastAsia"/>
        </w:rPr>
        <w:t>1</w:t>
      </w:r>
      <w:r>
        <w:t>.绩效</w:t>
      </w:r>
      <w:r>
        <w:rPr>
          <w:rFonts w:hint="eastAsia"/>
        </w:rPr>
        <w:t>评价原则</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（1）科学规范。注重财政支出的经济性、效率性和有效性，严格执行规定的程序，采用定量与定性分析相结合的方法。</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（2）公正公开。绩效评价客观、公正，标准统一、资料可靠，依法公开并接受监督。</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（3）分级分类。绩效评价由各级财政部门、单位根据评价对象的特点，分类组织实施。</w:t>
      </w:r>
    </w:p>
    <w:p>
      <w:pPr>
        <w:widowControl w:val="0"/>
        <w:spacing w:line="520" w:lineRule="exact"/>
        <w:ind w:firstLine="600" w:firstLineChars="200"/>
        <w:jc w:val="both"/>
        <w:rPr>
          <w:rFonts w:ascii="仿宋_GB2312" w:eastAsia="仿宋_GB2312"/>
          <w:kern w:val="2"/>
          <w:sz w:val="30"/>
          <w:szCs w:val="30"/>
        </w:rPr>
      </w:pPr>
      <w:r>
        <w:rPr>
          <w:rFonts w:hint="eastAsia" w:ascii="仿宋_GB2312" w:eastAsia="仿宋_GB2312"/>
          <w:kern w:val="2"/>
          <w:sz w:val="30"/>
          <w:szCs w:val="30"/>
        </w:rPr>
        <w:t>（</w:t>
      </w:r>
      <w:r>
        <w:rPr>
          <w:rFonts w:ascii="仿宋_GB2312" w:eastAsia="仿宋_GB2312"/>
          <w:kern w:val="2"/>
          <w:sz w:val="30"/>
          <w:szCs w:val="30"/>
        </w:rPr>
        <w:t>4</w:t>
      </w:r>
      <w:r>
        <w:rPr>
          <w:rFonts w:hint="eastAsia" w:ascii="仿宋_GB2312" w:eastAsia="仿宋_GB2312"/>
          <w:kern w:val="2"/>
          <w:sz w:val="30"/>
          <w:szCs w:val="30"/>
        </w:rPr>
        <w:t>）绩效相关。绩效评价针对具体支出及其产出绩效进行评价，结果清晰反映支出和产出绩效之间的紧密对应关系。</w:t>
      </w:r>
    </w:p>
    <w:p>
      <w:pPr>
        <w:pStyle w:val="195"/>
        <w:spacing w:line="560" w:lineRule="exact"/>
        <w:outlineLvl w:val="2"/>
      </w:pPr>
      <w:r>
        <w:t>2.绩效</w:t>
      </w:r>
      <w:r>
        <w:rPr>
          <w:rFonts w:hint="eastAsia"/>
        </w:rPr>
        <w:t>评价方法</w:t>
      </w:r>
    </w:p>
    <w:p>
      <w:pPr>
        <w:widowControl w:val="0"/>
        <w:spacing w:line="520" w:lineRule="exact"/>
        <w:ind w:firstLine="600" w:firstLineChars="200"/>
        <w:jc w:val="both"/>
        <w:rPr>
          <w:rFonts w:ascii="Times New Roman" w:hAnsi="Times New Roman" w:eastAsia="仿宋_GB2312" w:cs="Times New Roman"/>
          <w:b/>
          <w:kern w:val="2"/>
          <w:sz w:val="30"/>
          <w:szCs w:val="30"/>
        </w:rPr>
      </w:pPr>
      <w:r>
        <w:rPr>
          <w:rFonts w:ascii="Times New Roman" w:hAnsi="Times New Roman" w:eastAsia="仿宋_GB2312" w:cs="Times New Roman"/>
          <w:kern w:val="2"/>
          <w:sz w:val="30"/>
          <w:szCs w:val="30"/>
        </w:rPr>
        <w:t>评价小组运用比较法、文献法、社会调查法、因素分析法等多种方法从多个角度对项目进行评价。</w:t>
      </w:r>
    </w:p>
    <w:p>
      <w:pPr>
        <w:widowControl w:val="0"/>
        <w:spacing w:line="520" w:lineRule="exact"/>
        <w:ind w:firstLine="600" w:firstLineChars="200"/>
        <w:jc w:val="both"/>
        <w:rPr>
          <w:rFonts w:ascii="Times New Roman" w:hAnsi="Times New Roman" w:eastAsia="仿宋_GB2312" w:cs="Times New Roman"/>
          <w:b/>
          <w:kern w:val="2"/>
          <w:sz w:val="30"/>
          <w:szCs w:val="30"/>
        </w:rPr>
      </w:pPr>
      <w:r>
        <w:rPr>
          <w:rFonts w:hint="eastAsia" w:ascii="Times New Roman" w:hAnsi="Times New Roman" w:eastAsia="仿宋_GB2312" w:cs="Times New Roman"/>
          <w:kern w:val="2"/>
          <w:sz w:val="30"/>
          <w:szCs w:val="30"/>
        </w:rPr>
        <w:t>（1）</w:t>
      </w:r>
      <w:r>
        <w:rPr>
          <w:rFonts w:ascii="Times New Roman" w:hAnsi="Times New Roman" w:eastAsia="仿宋_GB2312" w:cs="Times New Roman"/>
          <w:kern w:val="2"/>
          <w:sz w:val="30"/>
          <w:szCs w:val="30"/>
        </w:rPr>
        <w:t>比较法。通过对2020年、2021、2022年该项目的具体实施情况与绩效目标等进行比较，得出相关经验做法和问题。</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kern w:val="2"/>
          <w:sz w:val="30"/>
          <w:szCs w:val="30"/>
        </w:rPr>
        <w:t>（2）</w:t>
      </w:r>
      <w:r>
        <w:rPr>
          <w:rFonts w:ascii="Times New Roman" w:hAnsi="Times New Roman" w:eastAsia="仿宋_GB2312" w:cs="Times New Roman"/>
          <w:kern w:val="2"/>
          <w:sz w:val="30"/>
          <w:szCs w:val="30"/>
        </w:rPr>
        <w:t>文献法。通过搜集、整理、分析国家、上海市、崇明区终身教育和民办教育的相关政策文件、管理制度等相关文献资料，了解成职科内涵发展经费项目开展的背景、目的、意义及相关要求。</w:t>
      </w:r>
    </w:p>
    <w:p>
      <w:pPr>
        <w:widowControl w:val="0"/>
        <w:spacing w:line="520" w:lineRule="exact"/>
        <w:ind w:firstLine="600" w:firstLineChars="200"/>
        <w:jc w:val="both"/>
        <w:rPr>
          <w:rFonts w:ascii="Times New Roman" w:hAnsi="Times New Roman" w:eastAsia="仿宋_GB2312" w:cs="Times New Roman"/>
          <w:kern w:val="2"/>
          <w:sz w:val="30"/>
          <w:szCs w:val="30"/>
        </w:rPr>
      </w:pPr>
      <w:r>
        <w:rPr>
          <w:rFonts w:hint="eastAsia" w:ascii="Times New Roman" w:hAnsi="Times New Roman" w:eastAsia="仿宋_GB2312" w:cs="Times New Roman"/>
          <w:kern w:val="2"/>
          <w:sz w:val="30"/>
          <w:szCs w:val="30"/>
        </w:rPr>
        <w:t>（3）</w:t>
      </w:r>
      <w:r>
        <w:rPr>
          <w:rFonts w:ascii="Times New Roman" w:hAnsi="Times New Roman" w:eastAsia="仿宋_GB2312" w:cs="Times New Roman"/>
          <w:kern w:val="2"/>
          <w:sz w:val="30"/>
          <w:szCs w:val="30"/>
        </w:rPr>
        <w:t>社会调查法。通过访谈、满意度调查等方法，对区教育局、学校等相关负责人进行访谈，了解成职科内涵发展经费项目的组织管理情况及实际产出效益等，并重点关注相关学校、学生及家长对该项目实施的意见建议和满意度。</w:t>
      </w:r>
    </w:p>
    <w:p>
      <w:pPr>
        <w:widowControl w:val="0"/>
        <w:spacing w:line="520" w:lineRule="exact"/>
        <w:ind w:firstLine="600" w:firstLineChars="200"/>
        <w:jc w:val="both"/>
        <w:rPr>
          <w:rFonts w:ascii="Times New Roman" w:hAnsi="Times New Roman" w:eastAsia="仿宋_GB2312" w:cs="Times New Roman"/>
          <w:b/>
          <w:kern w:val="2"/>
          <w:sz w:val="30"/>
          <w:szCs w:val="30"/>
        </w:rPr>
      </w:pPr>
      <w:r>
        <w:rPr>
          <w:rFonts w:hint="eastAsia" w:ascii="Times New Roman" w:hAnsi="Times New Roman" w:eastAsia="仿宋_GB2312" w:cs="Times New Roman"/>
          <w:kern w:val="2"/>
          <w:sz w:val="30"/>
          <w:szCs w:val="30"/>
        </w:rPr>
        <w:t>（4）</w:t>
      </w:r>
      <w:r>
        <w:rPr>
          <w:rFonts w:ascii="Times New Roman" w:hAnsi="Times New Roman" w:eastAsia="仿宋_GB2312" w:cs="Times New Roman"/>
          <w:kern w:val="2"/>
          <w:sz w:val="30"/>
          <w:szCs w:val="30"/>
        </w:rPr>
        <w:t>因素分析法。通过梳理项目绩效目标的实现程度和影响绩效目标实现的内外因素，分析这些因素对目标实现的影响力，从而进一步分析如何通过控制此类影响因素以保障项目的顺利完成，实现项目预期绩效目标。</w:t>
      </w:r>
    </w:p>
    <w:p>
      <w:pPr>
        <w:pStyle w:val="195"/>
        <w:spacing w:line="560" w:lineRule="exact"/>
        <w:ind w:firstLine="643"/>
        <w:outlineLvl w:val="1"/>
        <w:rPr>
          <w:rFonts w:eastAsia="楷体_GB2312"/>
          <w:sz w:val="32"/>
          <w:szCs w:val="32"/>
        </w:rPr>
      </w:pPr>
      <w:bookmarkStart w:id="47" w:name="_Toc106125104"/>
      <w:bookmarkStart w:id="48" w:name="_Toc14044"/>
      <w:r>
        <w:rPr>
          <w:rFonts w:eastAsia="楷体_GB2312"/>
          <w:sz w:val="32"/>
          <w:szCs w:val="32"/>
        </w:rPr>
        <w:t>（</w:t>
      </w:r>
      <w:r>
        <w:rPr>
          <w:rFonts w:hint="eastAsia" w:eastAsia="楷体_GB2312"/>
          <w:sz w:val="32"/>
          <w:szCs w:val="32"/>
        </w:rPr>
        <w:t>四</w:t>
      </w:r>
      <w:r>
        <w:rPr>
          <w:rFonts w:eastAsia="楷体_GB2312"/>
          <w:sz w:val="32"/>
          <w:szCs w:val="32"/>
        </w:rPr>
        <w:t>）</w:t>
      </w:r>
      <w:bookmarkEnd w:id="47"/>
      <w:r>
        <w:rPr>
          <w:rFonts w:hint="eastAsia" w:eastAsia="楷体_GB2312"/>
          <w:sz w:val="32"/>
          <w:szCs w:val="32"/>
        </w:rPr>
        <w:t>绩效评价工作方案制定过程</w:t>
      </w:r>
      <w:bookmarkEnd w:id="48"/>
    </w:p>
    <w:p>
      <w:pPr>
        <w:pStyle w:val="200"/>
        <w:spacing w:line="520" w:lineRule="exact"/>
        <w:ind w:firstLine="600"/>
        <w:rPr>
          <w:sz w:val="30"/>
          <w:szCs w:val="30"/>
        </w:rPr>
      </w:pPr>
      <w:r>
        <w:rPr>
          <w:rFonts w:hint="eastAsia"/>
          <w:sz w:val="30"/>
          <w:szCs w:val="30"/>
        </w:rPr>
        <w:t>工作方案经专家评审后，评价组从以下方面对工作方案进行了修改和完完善：一是修改了项目立项背景、补充了成校、民办学校学生数、教职工数等基本信息；二是重新梳理了项目计划和实施内容，包括项目依据、项目实施计划、项目完成情况等；三是补充项目政府采购的基本信息；四是根据专家和委托方意见，调整绩效总目标和年度目标，产出设计了四级指标，指标值</w:t>
      </w:r>
      <w:r>
        <w:rPr>
          <w:sz w:val="30"/>
          <w:szCs w:val="30"/>
        </w:rPr>
        <w:t>细化</w:t>
      </w:r>
      <w:r>
        <w:rPr>
          <w:rFonts w:hint="eastAsia"/>
          <w:sz w:val="30"/>
          <w:szCs w:val="30"/>
        </w:rPr>
        <w:t>为了</w:t>
      </w:r>
      <w:r>
        <w:rPr>
          <w:sz w:val="30"/>
          <w:szCs w:val="30"/>
        </w:rPr>
        <w:t>工作内容和相关数量</w:t>
      </w:r>
      <w:r>
        <w:rPr>
          <w:rFonts w:hint="eastAsia"/>
          <w:sz w:val="30"/>
          <w:szCs w:val="30"/>
        </w:rPr>
        <w:t>；五是相应调整和完善评价目的、评价依据、评价对象与范围的表述；六是指标评价体系根据评价范围全部重新设计和调整。</w:t>
      </w:r>
    </w:p>
    <w:p>
      <w:pPr>
        <w:pStyle w:val="195"/>
        <w:spacing w:line="520" w:lineRule="exact"/>
        <w:ind w:firstLine="643"/>
        <w:outlineLvl w:val="1"/>
        <w:rPr>
          <w:rFonts w:eastAsia="楷体_GB2312"/>
          <w:sz w:val="32"/>
          <w:szCs w:val="32"/>
        </w:rPr>
      </w:pPr>
      <w:bookmarkStart w:id="49" w:name="_Toc106125105"/>
      <w:bookmarkStart w:id="50" w:name="_Toc6851"/>
      <w:r>
        <w:rPr>
          <w:rFonts w:eastAsia="楷体_GB2312"/>
          <w:sz w:val="32"/>
          <w:szCs w:val="32"/>
        </w:rPr>
        <w:t>（</w:t>
      </w:r>
      <w:r>
        <w:rPr>
          <w:rFonts w:hint="eastAsia" w:eastAsia="楷体_GB2312"/>
          <w:sz w:val="32"/>
          <w:szCs w:val="32"/>
        </w:rPr>
        <w:t>五</w:t>
      </w:r>
      <w:r>
        <w:rPr>
          <w:rFonts w:eastAsia="楷体_GB2312"/>
          <w:sz w:val="32"/>
          <w:szCs w:val="32"/>
        </w:rPr>
        <w:t>）</w:t>
      </w:r>
      <w:bookmarkEnd w:id="49"/>
      <w:r>
        <w:rPr>
          <w:rFonts w:hint="eastAsia" w:eastAsia="楷体_GB2312"/>
          <w:sz w:val="32"/>
          <w:szCs w:val="32"/>
        </w:rPr>
        <w:t>绩效评价实施过程</w:t>
      </w:r>
      <w:bookmarkEnd w:id="50"/>
    </w:p>
    <w:p>
      <w:pPr>
        <w:pStyle w:val="200"/>
        <w:spacing w:line="520" w:lineRule="exact"/>
        <w:ind w:firstLine="600"/>
        <w:rPr>
          <w:sz w:val="30"/>
          <w:szCs w:val="30"/>
        </w:rPr>
      </w:pPr>
      <w:r>
        <w:rPr>
          <w:rFonts w:hint="eastAsia"/>
          <w:sz w:val="30"/>
          <w:szCs w:val="30"/>
        </w:rPr>
        <w:t>评价组首先在研读成职科内涵发展经费相关政策文件、资料的基础上，结合区教育局相关负责人的初步访谈，梳理了成职科内涵发展经费项目工作的历史沿革，同时梳理了项目</w:t>
      </w:r>
      <w:r>
        <w:rPr>
          <w:sz w:val="30"/>
          <w:szCs w:val="30"/>
        </w:rPr>
        <w:t>2020年</w:t>
      </w:r>
      <w:r>
        <w:rPr>
          <w:rFonts w:hint="eastAsia"/>
          <w:sz w:val="30"/>
          <w:szCs w:val="30"/>
        </w:rPr>
        <w:t>-</w:t>
      </w:r>
      <w:r>
        <w:rPr>
          <w:sz w:val="30"/>
          <w:szCs w:val="30"/>
        </w:rPr>
        <w:t>2022</w:t>
      </w:r>
      <w:r>
        <w:rPr>
          <w:rFonts w:hint="eastAsia"/>
          <w:sz w:val="30"/>
          <w:szCs w:val="30"/>
        </w:rPr>
        <w:t>年变化情况</w:t>
      </w:r>
      <w:r>
        <w:rPr>
          <w:sz w:val="30"/>
          <w:szCs w:val="30"/>
        </w:rPr>
        <w:t>。其次通过数据收集对2022年度预算的编制及执行情况、项目的实施情况、业务及财务管理制度等情况开展全方位调研，根据委托方要求及专家评审结论拟定了指标体系、满意度问卷及访谈提纲等内容，制定了绩效评价的工作方案。</w:t>
      </w:r>
    </w:p>
    <w:p>
      <w:pPr>
        <w:pStyle w:val="200"/>
        <w:spacing w:line="520" w:lineRule="exact"/>
        <w:ind w:firstLine="600"/>
        <w:rPr>
          <w:sz w:val="30"/>
          <w:szCs w:val="30"/>
        </w:rPr>
      </w:pPr>
      <w:r>
        <w:rPr>
          <w:rFonts w:hint="eastAsia"/>
          <w:sz w:val="30"/>
          <w:szCs w:val="30"/>
        </w:rPr>
        <w:t>本次绩效评价实施过程包含四个阶段，分别为前期、方案、实施和报告。</w:t>
      </w:r>
    </w:p>
    <w:p>
      <w:pPr>
        <w:pStyle w:val="200"/>
        <w:spacing w:line="520" w:lineRule="exact"/>
        <w:ind w:firstLine="600"/>
        <w:rPr>
          <w:sz w:val="30"/>
          <w:szCs w:val="30"/>
        </w:rPr>
      </w:pPr>
      <w:r>
        <w:rPr>
          <w:rFonts w:hint="eastAsia"/>
          <w:sz w:val="30"/>
          <w:szCs w:val="30"/>
        </w:rPr>
        <w:t>前期工作包括成立评价小组、前期调研等，主要了解项目概况，包括项目背景及目的、资金管理、业务管理等，明确评价目的、评价方法、指标体系、评价标准等。在初步调研基础上，于</w:t>
      </w:r>
      <w:r>
        <w:rPr>
          <w:sz w:val="30"/>
          <w:szCs w:val="30"/>
        </w:rPr>
        <w:t>5月2日完成工作方案</w:t>
      </w:r>
      <w:r>
        <w:rPr>
          <w:rFonts w:hint="eastAsia"/>
          <w:sz w:val="30"/>
          <w:szCs w:val="30"/>
        </w:rPr>
        <w:t>评审</w:t>
      </w:r>
      <w:r>
        <w:rPr>
          <w:sz w:val="30"/>
          <w:szCs w:val="30"/>
        </w:rPr>
        <w:t>稿</w:t>
      </w:r>
      <w:r>
        <w:rPr>
          <w:rFonts w:hint="eastAsia"/>
          <w:sz w:val="30"/>
          <w:szCs w:val="30"/>
        </w:rPr>
        <w:t>，5月</w:t>
      </w:r>
      <w:r>
        <w:rPr>
          <w:sz w:val="30"/>
          <w:szCs w:val="30"/>
        </w:rPr>
        <w:t>8</w:t>
      </w:r>
      <w:r>
        <w:rPr>
          <w:rFonts w:hint="eastAsia"/>
          <w:sz w:val="30"/>
          <w:szCs w:val="30"/>
        </w:rPr>
        <w:t>日参加了专家评审会，经过一个月左右的调研，</w:t>
      </w:r>
      <w:r>
        <w:rPr>
          <w:sz w:val="30"/>
          <w:szCs w:val="30"/>
        </w:rPr>
        <w:t>6月13日完成</w:t>
      </w:r>
      <w:r>
        <w:rPr>
          <w:rFonts w:hint="eastAsia"/>
          <w:sz w:val="30"/>
          <w:szCs w:val="30"/>
        </w:rPr>
        <w:t>了</w:t>
      </w:r>
      <w:r>
        <w:rPr>
          <w:sz w:val="30"/>
          <w:szCs w:val="30"/>
        </w:rPr>
        <w:t>评价报告初稿。</w:t>
      </w:r>
    </w:p>
    <w:p>
      <w:pPr>
        <w:pStyle w:val="195"/>
        <w:spacing w:line="560" w:lineRule="exact"/>
        <w:outlineLvl w:val="2"/>
        <w:rPr>
          <w:b w:val="0"/>
          <w:bCs w:val="0"/>
        </w:rPr>
      </w:pPr>
      <w:r>
        <w:t>1.前期调研阶段</w:t>
      </w:r>
    </w:p>
    <w:p>
      <w:pPr>
        <w:pStyle w:val="200"/>
        <w:spacing w:line="520" w:lineRule="exact"/>
        <w:ind w:firstLine="600"/>
        <w:rPr>
          <w:sz w:val="30"/>
          <w:szCs w:val="30"/>
        </w:rPr>
      </w:pPr>
      <w:r>
        <w:rPr>
          <w:sz w:val="30"/>
          <w:szCs w:val="30"/>
        </w:rPr>
        <w:t>2023年3月11日-3月31日，收集整理区财政局及区教育局提供项目相关</w:t>
      </w:r>
      <w:r>
        <w:rPr>
          <w:rFonts w:hint="eastAsia"/>
          <w:sz w:val="30"/>
          <w:szCs w:val="30"/>
        </w:rPr>
        <w:t>政策</w:t>
      </w:r>
      <w:r>
        <w:rPr>
          <w:sz w:val="30"/>
          <w:szCs w:val="30"/>
        </w:rPr>
        <w:t>文件、</w:t>
      </w:r>
      <w:r>
        <w:rPr>
          <w:rFonts w:hint="eastAsia"/>
          <w:sz w:val="30"/>
          <w:szCs w:val="30"/>
        </w:rPr>
        <w:t>预算明细、</w:t>
      </w:r>
      <w:r>
        <w:rPr>
          <w:sz w:val="30"/>
          <w:szCs w:val="30"/>
        </w:rPr>
        <w:t>项目资料、财务资料等，核实相关数据后汇总。前期初步调研，准确掌握项目基本情况。评价组对区教育局进行了访谈，收集和整理与该项目相关的政策、文件资料，了解</w:t>
      </w:r>
      <w:r>
        <w:rPr>
          <w:rFonts w:hint="eastAsia"/>
          <w:sz w:val="30"/>
          <w:szCs w:val="30"/>
        </w:rPr>
        <w:t>2</w:t>
      </w:r>
      <w:r>
        <w:rPr>
          <w:sz w:val="30"/>
          <w:szCs w:val="30"/>
        </w:rPr>
        <w:t>020</w:t>
      </w:r>
      <w:r>
        <w:rPr>
          <w:rFonts w:hint="eastAsia"/>
          <w:sz w:val="30"/>
          <w:szCs w:val="30"/>
        </w:rPr>
        <w:t>-</w:t>
      </w:r>
      <w:r>
        <w:rPr>
          <w:sz w:val="30"/>
          <w:szCs w:val="30"/>
        </w:rPr>
        <w:t>2022年度项目预算编制情况、项目实施过程、</w:t>
      </w:r>
      <w:r>
        <w:rPr>
          <w:rFonts w:hint="eastAsia"/>
          <w:sz w:val="30"/>
          <w:szCs w:val="30"/>
        </w:rPr>
        <w:t>预算编制</w:t>
      </w:r>
      <w:r>
        <w:rPr>
          <w:sz w:val="30"/>
          <w:szCs w:val="30"/>
        </w:rPr>
        <w:t>方法、</w:t>
      </w:r>
      <w:r>
        <w:rPr>
          <w:rFonts w:hint="eastAsia"/>
          <w:sz w:val="30"/>
          <w:szCs w:val="30"/>
        </w:rPr>
        <w:t>招标采购</w:t>
      </w:r>
      <w:r>
        <w:rPr>
          <w:sz w:val="30"/>
          <w:szCs w:val="30"/>
        </w:rPr>
        <w:t>情况、</w:t>
      </w:r>
      <w:r>
        <w:rPr>
          <w:rFonts w:hint="eastAsia"/>
          <w:sz w:val="30"/>
          <w:szCs w:val="30"/>
        </w:rPr>
        <w:t>现有师资情况</w:t>
      </w:r>
      <w:r>
        <w:rPr>
          <w:sz w:val="30"/>
          <w:szCs w:val="30"/>
        </w:rPr>
        <w:t>等内容。</w:t>
      </w:r>
    </w:p>
    <w:p>
      <w:pPr>
        <w:pStyle w:val="195"/>
        <w:spacing w:line="560" w:lineRule="exact"/>
        <w:outlineLvl w:val="2"/>
      </w:pPr>
      <w:r>
        <w:t>2.方案编制阶段</w:t>
      </w:r>
    </w:p>
    <w:p>
      <w:pPr>
        <w:pStyle w:val="200"/>
        <w:spacing w:line="520" w:lineRule="exact"/>
        <w:ind w:firstLine="600"/>
        <w:rPr>
          <w:sz w:val="30"/>
          <w:szCs w:val="30"/>
        </w:rPr>
      </w:pPr>
      <w:r>
        <w:rPr>
          <w:sz w:val="30"/>
          <w:szCs w:val="30"/>
        </w:rPr>
        <w:t>2023年4月1日至5月15日，评价小组根据绩效评价的原则和规范，对收集的数据进行甄别、分析和评分，并综合分析提炼结论，撰写绩效评价工作方案。</w:t>
      </w:r>
      <w:r>
        <w:rPr>
          <w:rFonts w:hint="eastAsia"/>
          <w:sz w:val="30"/>
          <w:szCs w:val="30"/>
        </w:rPr>
        <w:t>工作方案经专家评审后，评价组根据专家评审意见和委托方意见对方案进行了修改。</w:t>
      </w:r>
    </w:p>
    <w:p>
      <w:pPr>
        <w:pStyle w:val="195"/>
        <w:spacing w:line="560" w:lineRule="exact"/>
        <w:outlineLvl w:val="2"/>
      </w:pPr>
      <w:r>
        <w:t>3.实施阶段</w:t>
      </w:r>
    </w:p>
    <w:p>
      <w:pPr>
        <w:pStyle w:val="200"/>
        <w:spacing w:line="520" w:lineRule="exact"/>
        <w:ind w:firstLine="600"/>
        <w:rPr>
          <w:sz w:val="30"/>
          <w:szCs w:val="30"/>
        </w:rPr>
      </w:pPr>
      <w:r>
        <w:rPr>
          <w:sz w:val="30"/>
          <w:szCs w:val="30"/>
        </w:rPr>
        <w:t>2023年5月16日至5月25日，</w:t>
      </w:r>
      <w:r>
        <w:rPr>
          <w:rFonts w:hint="eastAsia"/>
          <w:sz w:val="30"/>
          <w:szCs w:val="30"/>
        </w:rPr>
        <w:t>本阶段主要</w:t>
      </w:r>
      <w:r>
        <w:rPr>
          <w:sz w:val="30"/>
          <w:szCs w:val="30"/>
        </w:rPr>
        <w:t>工作内容</w:t>
      </w:r>
      <w:r>
        <w:rPr>
          <w:rFonts w:hint="eastAsia"/>
          <w:sz w:val="30"/>
          <w:szCs w:val="30"/>
        </w:rPr>
        <w:t>为拍摄、整理、分析项目相关凭证资料，根据前期资料收集情况和方案专家评审意见，继续与区教育局沟通协调，补充相关缺失的资料文件，在委托方协调下，评价组安排成员赴区教育局拍摄2</w:t>
      </w:r>
      <w:r>
        <w:rPr>
          <w:sz w:val="30"/>
          <w:szCs w:val="30"/>
        </w:rPr>
        <w:t>020</w:t>
      </w:r>
      <w:r>
        <w:rPr>
          <w:rFonts w:hint="eastAsia"/>
          <w:sz w:val="30"/>
          <w:szCs w:val="30"/>
        </w:rPr>
        <w:t>-</w:t>
      </w:r>
      <w:r>
        <w:rPr>
          <w:sz w:val="30"/>
          <w:szCs w:val="30"/>
        </w:rPr>
        <w:t>2022</w:t>
      </w:r>
      <w:r>
        <w:rPr>
          <w:rFonts w:hint="eastAsia"/>
          <w:sz w:val="30"/>
          <w:szCs w:val="30"/>
        </w:rPr>
        <w:t>年项目凭证资料，按照项目内容分类整理、录入、编辑，评价分析形成评价报告内容。并</w:t>
      </w:r>
      <w:r>
        <w:rPr>
          <w:sz w:val="30"/>
          <w:szCs w:val="30"/>
        </w:rPr>
        <w:t>对2所成校（选择经费使用最多的上海市崇明区城桥镇成人中等文化技术学校和学员人数最多的上海市崇明区庙镇成人中等文化技术学校）、区社区学院及4所民办学校进行</w:t>
      </w:r>
      <w:r>
        <w:rPr>
          <w:rFonts w:hint="eastAsia"/>
          <w:sz w:val="30"/>
          <w:szCs w:val="30"/>
        </w:rPr>
        <w:t>了</w:t>
      </w:r>
      <w:r>
        <w:rPr>
          <w:sz w:val="30"/>
          <w:szCs w:val="30"/>
        </w:rPr>
        <w:t>现场核查</w:t>
      </w:r>
      <w:r>
        <w:rPr>
          <w:rFonts w:hint="eastAsia"/>
          <w:sz w:val="30"/>
          <w:szCs w:val="30"/>
        </w:rPr>
        <w:t>。</w:t>
      </w:r>
    </w:p>
    <w:p>
      <w:pPr>
        <w:jc w:val="center"/>
        <w:rPr>
          <w:rFonts w:ascii="Times New Roman" w:hAnsi="Times New Roman" w:eastAsia="仿宋_GB2312" w:cs="Times New Roman"/>
          <w:b/>
          <w:szCs w:val="22"/>
        </w:rPr>
      </w:pPr>
      <w:r>
        <w:rPr>
          <w:rFonts w:ascii="Times New Roman" w:hAnsi="Times New Roman" w:eastAsia="仿宋_GB2312" w:cs="Times New Roman"/>
          <w:b/>
          <w:szCs w:val="22"/>
        </w:rPr>
        <w:t>表2-1</w:t>
      </w:r>
      <w:r>
        <w:rPr>
          <w:rFonts w:hint="eastAsia" w:ascii="Times New Roman" w:hAnsi="Times New Roman" w:eastAsia="仿宋_GB2312" w:cs="Times New Roman"/>
          <w:b/>
          <w:szCs w:val="22"/>
        </w:rPr>
        <w:t>-</w:t>
      </w:r>
      <w:r>
        <w:rPr>
          <w:rFonts w:ascii="Times New Roman" w:hAnsi="Times New Roman" w:eastAsia="仿宋_GB2312" w:cs="Times New Roman"/>
          <w:b/>
          <w:szCs w:val="22"/>
        </w:rPr>
        <w:t>1现场核查</w:t>
      </w:r>
      <w:r>
        <w:rPr>
          <w:rFonts w:hint="eastAsia" w:ascii="Times New Roman" w:hAnsi="Times New Roman" w:eastAsia="仿宋_GB2312" w:cs="Times New Roman"/>
          <w:b/>
          <w:szCs w:val="22"/>
        </w:rPr>
        <w:t>情况</w:t>
      </w:r>
      <w:r>
        <w:rPr>
          <w:rFonts w:ascii="Times New Roman" w:hAnsi="Times New Roman" w:eastAsia="仿宋_GB2312" w:cs="Times New Roman"/>
          <w:b/>
          <w:szCs w:val="22"/>
        </w:rPr>
        <w:t>表</w:t>
      </w:r>
    </w:p>
    <w:tbl>
      <w:tblPr>
        <w:tblStyle w:val="40"/>
        <w:tblW w:w="10767" w:type="dxa"/>
        <w:jc w:val="center"/>
        <w:tblInd w:w="0" w:type="dxa"/>
        <w:tblLayout w:type="fixed"/>
        <w:tblCellMar>
          <w:top w:w="0" w:type="dxa"/>
          <w:left w:w="108" w:type="dxa"/>
          <w:bottom w:w="0" w:type="dxa"/>
          <w:right w:w="108" w:type="dxa"/>
        </w:tblCellMar>
      </w:tblPr>
      <w:tblGrid>
        <w:gridCol w:w="753"/>
        <w:gridCol w:w="1378"/>
        <w:gridCol w:w="4809"/>
        <w:gridCol w:w="3827"/>
      </w:tblGrid>
      <w:tr>
        <w:tblPrEx>
          <w:tblLayout w:type="fixed"/>
          <w:tblCellMar>
            <w:top w:w="0" w:type="dxa"/>
            <w:left w:w="108" w:type="dxa"/>
            <w:bottom w:w="0" w:type="dxa"/>
            <w:right w:w="108" w:type="dxa"/>
          </w:tblCellMar>
        </w:tblPrEx>
        <w:trPr>
          <w:trHeight w:val="285" w:hRule="atLeast"/>
          <w:tblHeader/>
          <w:jc w:val="center"/>
        </w:trPr>
        <w:tc>
          <w:tcPr>
            <w:tcW w:w="753" w:type="dxa"/>
            <w:tcBorders>
              <w:top w:val="single" w:color="auto" w:sz="4" w:space="0"/>
              <w:left w:val="single" w:color="auto" w:sz="4" w:space="0"/>
              <w:bottom w:val="single" w:color="auto" w:sz="4" w:space="0"/>
              <w:right w:val="single" w:color="auto" w:sz="4" w:space="0"/>
            </w:tcBorders>
            <w:shd w:val="clear" w:color="auto" w:fill="auto"/>
            <w:vAlign w:val="bottom"/>
          </w:tcPr>
          <w:p>
            <w:pPr>
              <w:adjustRightInd w:val="0"/>
              <w:snapToGrid w:val="0"/>
              <w:spacing w:line="240" w:lineRule="atLeast"/>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序号</w:t>
            </w:r>
          </w:p>
        </w:tc>
        <w:tc>
          <w:tcPr>
            <w:tcW w:w="1378" w:type="dxa"/>
            <w:tcBorders>
              <w:top w:val="single" w:color="auto" w:sz="4" w:space="0"/>
              <w:left w:val="nil"/>
              <w:bottom w:val="single" w:color="auto" w:sz="4" w:space="0"/>
              <w:right w:val="single" w:color="auto" w:sz="4" w:space="0"/>
            </w:tcBorders>
            <w:shd w:val="clear" w:color="auto" w:fill="auto"/>
            <w:vAlign w:val="bottom"/>
          </w:tcPr>
          <w:p>
            <w:pPr>
              <w:adjustRightInd w:val="0"/>
              <w:snapToGrid w:val="0"/>
              <w:spacing w:line="240" w:lineRule="atLeast"/>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单位名称</w:t>
            </w:r>
          </w:p>
        </w:tc>
        <w:tc>
          <w:tcPr>
            <w:tcW w:w="4809" w:type="dxa"/>
            <w:tcBorders>
              <w:top w:val="single" w:color="auto" w:sz="4" w:space="0"/>
              <w:left w:val="nil"/>
              <w:bottom w:val="single" w:color="auto" w:sz="4" w:space="0"/>
              <w:right w:val="single" w:color="auto" w:sz="4" w:space="0"/>
            </w:tcBorders>
            <w:shd w:val="clear" w:color="auto" w:fill="auto"/>
            <w:vAlign w:val="bottom"/>
          </w:tcPr>
          <w:p>
            <w:pPr>
              <w:adjustRightInd w:val="0"/>
              <w:snapToGrid w:val="0"/>
              <w:spacing w:line="240" w:lineRule="atLeast"/>
              <w:jc w:val="center"/>
              <w:rPr>
                <w:rFonts w:ascii="Times New Roman" w:hAnsi="Times New Roman" w:eastAsia="仿宋_GB2312" w:cs="Times New Roman"/>
                <w:b/>
                <w:bCs/>
                <w:color w:val="000000"/>
                <w:sz w:val="20"/>
                <w:szCs w:val="20"/>
              </w:rPr>
            </w:pPr>
            <w:r>
              <w:rPr>
                <w:rFonts w:ascii="Times New Roman" w:hAnsi="Times New Roman" w:eastAsia="仿宋_GB2312" w:cs="Times New Roman"/>
                <w:b/>
                <w:bCs/>
                <w:color w:val="000000"/>
                <w:sz w:val="20"/>
                <w:szCs w:val="20"/>
              </w:rPr>
              <w:t>调研内容</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40" w:lineRule="atLeast"/>
              <w:jc w:val="center"/>
              <w:rPr>
                <w:rFonts w:ascii="Times New Roman" w:hAnsi="Times New Roman" w:eastAsia="仿宋_GB2312" w:cs="Times New Roman"/>
                <w:b/>
                <w:bCs/>
                <w:color w:val="000000"/>
                <w:sz w:val="20"/>
                <w:szCs w:val="20"/>
              </w:rPr>
            </w:pPr>
            <w:r>
              <w:rPr>
                <w:rFonts w:hint="eastAsia" w:ascii="Times New Roman" w:hAnsi="Times New Roman" w:eastAsia="仿宋_GB2312" w:cs="Times New Roman"/>
                <w:b/>
                <w:bCs/>
                <w:color w:val="000000"/>
                <w:sz w:val="20"/>
                <w:szCs w:val="20"/>
              </w:rPr>
              <w:t>调研发现的问题</w:t>
            </w:r>
          </w:p>
        </w:tc>
      </w:tr>
      <w:tr>
        <w:tblPrEx>
          <w:tblLayout w:type="fixed"/>
          <w:tblCellMar>
            <w:top w:w="0" w:type="dxa"/>
            <w:left w:w="108" w:type="dxa"/>
            <w:bottom w:w="0" w:type="dxa"/>
            <w:right w:w="108" w:type="dxa"/>
          </w:tblCellMar>
        </w:tblPrEx>
        <w:trPr>
          <w:trHeight w:val="285" w:hRule="atLeast"/>
          <w:jc w:val="center"/>
        </w:trPr>
        <w:tc>
          <w:tcPr>
            <w:tcW w:w="753"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1</w:t>
            </w:r>
          </w:p>
        </w:tc>
        <w:tc>
          <w:tcPr>
            <w:tcW w:w="1378"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上海市崇明区城桥镇成人中等文化技术学校</w:t>
            </w:r>
          </w:p>
        </w:tc>
        <w:tc>
          <w:tcPr>
            <w:tcW w:w="480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（1）老年三类学习点建设情况；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（2）成人教育人头经费下拨情况及使用情况；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（3）所有校区情况及成人学校集团化办公经费下拨及使用情况；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（4）2021年成人学校考核结果及奖励情况；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（5）老年人学习团队建设情况及活动经费使用情况；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（6）涉农课程培训相关材料。</w:t>
            </w:r>
          </w:p>
        </w:tc>
        <w:tc>
          <w:tcPr>
            <w:tcW w:w="3827" w:type="dxa"/>
            <w:tcBorders>
              <w:top w:val="nil"/>
              <w:left w:val="nil"/>
              <w:bottom w:val="single" w:color="auto" w:sz="4" w:space="0"/>
              <w:right w:val="single" w:color="auto" w:sz="4" w:space="0"/>
            </w:tcBorders>
            <w:vAlign w:val="center"/>
          </w:tcPr>
          <w:p>
            <w:pPr>
              <w:adjustRightInd w:val="0"/>
              <w:snapToGrid w:val="0"/>
              <w:spacing w:line="240" w:lineRule="atLeast"/>
              <w:jc w:val="both"/>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（1）</w:t>
            </w:r>
            <w:r>
              <w:rPr>
                <w:rFonts w:ascii="Times New Roman" w:hAnsi="Times New Roman" w:eastAsia="仿宋_GB2312" w:cs="Times New Roman"/>
                <w:color w:val="000000"/>
                <w:sz w:val="20"/>
                <w:szCs w:val="20"/>
              </w:rPr>
              <w:t>番茄课程没有立项依据，经费拨付不合理；</w:t>
            </w:r>
          </w:p>
          <w:p>
            <w:pPr>
              <w:adjustRightInd w:val="0"/>
              <w:snapToGrid w:val="0"/>
              <w:spacing w:line="240" w:lineRule="atLeast"/>
              <w:jc w:val="both"/>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（2）</w:t>
            </w:r>
            <w:r>
              <w:rPr>
                <w:rFonts w:ascii="Times New Roman" w:hAnsi="Times New Roman" w:eastAsia="仿宋_GB2312" w:cs="Times New Roman"/>
                <w:color w:val="000000"/>
                <w:sz w:val="20"/>
                <w:szCs w:val="20"/>
              </w:rPr>
              <w:t>番茄种植书册印刷不</w:t>
            </w:r>
            <w:r>
              <w:rPr>
                <w:rFonts w:hint="eastAsia" w:ascii="Times New Roman" w:hAnsi="Times New Roman" w:eastAsia="仿宋_GB2312" w:cs="Times New Roman"/>
                <w:color w:val="000000"/>
                <w:sz w:val="20"/>
                <w:szCs w:val="20"/>
              </w:rPr>
              <w:t>够</w:t>
            </w:r>
            <w:r>
              <w:rPr>
                <w:rFonts w:ascii="Times New Roman" w:hAnsi="Times New Roman" w:eastAsia="仿宋_GB2312" w:cs="Times New Roman"/>
                <w:color w:val="000000"/>
                <w:sz w:val="20"/>
                <w:szCs w:val="20"/>
              </w:rPr>
              <w:t>理，使用效率不高，建议发送电子版节约经费；</w:t>
            </w:r>
          </w:p>
          <w:p>
            <w:pPr>
              <w:adjustRightInd w:val="0"/>
              <w:snapToGrid w:val="0"/>
              <w:spacing w:line="240" w:lineRule="atLeast"/>
              <w:jc w:val="both"/>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（3）</w:t>
            </w:r>
            <w:r>
              <w:rPr>
                <w:rFonts w:ascii="Times New Roman" w:hAnsi="Times New Roman" w:eastAsia="仿宋_GB2312" w:cs="Times New Roman"/>
                <w:color w:val="000000"/>
                <w:sz w:val="20"/>
                <w:szCs w:val="20"/>
              </w:rPr>
              <w:t>使用项目经费订阅党报党刊不合理；</w:t>
            </w:r>
          </w:p>
          <w:p>
            <w:pPr>
              <w:adjustRightInd w:val="0"/>
              <w:snapToGrid w:val="0"/>
              <w:spacing w:line="240" w:lineRule="atLeast"/>
              <w:jc w:val="both"/>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（4）</w:t>
            </w:r>
            <w:r>
              <w:rPr>
                <w:rFonts w:ascii="Times New Roman" w:hAnsi="Times New Roman" w:eastAsia="仿宋_GB2312" w:cs="Times New Roman"/>
                <w:color w:val="000000"/>
                <w:sz w:val="20"/>
                <w:szCs w:val="20"/>
              </w:rPr>
              <w:t>使用项目经费慰问困难党员不合理。</w:t>
            </w:r>
          </w:p>
        </w:tc>
      </w:tr>
      <w:tr>
        <w:tblPrEx>
          <w:tblLayout w:type="fixed"/>
          <w:tblCellMar>
            <w:top w:w="0" w:type="dxa"/>
            <w:left w:w="108" w:type="dxa"/>
            <w:bottom w:w="0" w:type="dxa"/>
            <w:right w:w="108" w:type="dxa"/>
          </w:tblCellMar>
        </w:tblPrEx>
        <w:trPr>
          <w:trHeight w:val="285" w:hRule="atLeast"/>
          <w:jc w:val="center"/>
        </w:trPr>
        <w:tc>
          <w:tcPr>
            <w:tcW w:w="753"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2</w:t>
            </w:r>
          </w:p>
        </w:tc>
        <w:tc>
          <w:tcPr>
            <w:tcW w:w="1378"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上海市崇明区庙镇成人中等文化技术学校</w:t>
            </w:r>
          </w:p>
        </w:tc>
        <w:tc>
          <w:tcPr>
            <w:tcW w:w="480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（1）老年三类学习点建设情况；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（2）成人教育人头经费下拨情况及使用情况；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（3）所有校区情况及成人学校集团化办公经费下拨及使用情况；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（4）2021年成人学校考核结果及奖励情况；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（5）老年人学习团队建设情况及活动经费使用情况；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（6）优质校相关评比材料。</w:t>
            </w:r>
          </w:p>
        </w:tc>
        <w:tc>
          <w:tcPr>
            <w:tcW w:w="3827" w:type="dxa"/>
            <w:tcBorders>
              <w:top w:val="nil"/>
              <w:left w:val="nil"/>
              <w:bottom w:val="single" w:color="auto" w:sz="4" w:space="0"/>
              <w:right w:val="single" w:color="auto" w:sz="4" w:space="0"/>
            </w:tcBorders>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w:t>
            </w:r>
          </w:p>
        </w:tc>
      </w:tr>
      <w:tr>
        <w:tblPrEx>
          <w:tblLayout w:type="fixed"/>
          <w:tblCellMar>
            <w:top w:w="0" w:type="dxa"/>
            <w:left w:w="108" w:type="dxa"/>
            <w:bottom w:w="0" w:type="dxa"/>
            <w:right w:w="108" w:type="dxa"/>
          </w:tblCellMar>
        </w:tblPrEx>
        <w:trPr>
          <w:trHeight w:val="285" w:hRule="atLeast"/>
          <w:jc w:val="center"/>
        </w:trPr>
        <w:tc>
          <w:tcPr>
            <w:tcW w:w="753"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3</w:t>
            </w:r>
          </w:p>
        </w:tc>
        <w:tc>
          <w:tcPr>
            <w:tcW w:w="1378"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崇明区社区学院</w:t>
            </w:r>
          </w:p>
        </w:tc>
        <w:tc>
          <w:tcPr>
            <w:tcW w:w="480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（1）2022年社区教育名师孵化室建设及经费使用情况；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（2）创意海派插花课程建设及经费使用情况；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（3）第二届“我心目中的最美老年学员”主题征文讲述活动开展及经费使用情况；</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（4）老年人学习团队建设情况及活动经费使用情况。</w:t>
            </w:r>
          </w:p>
        </w:tc>
        <w:tc>
          <w:tcPr>
            <w:tcW w:w="3827" w:type="dxa"/>
            <w:tcBorders>
              <w:top w:val="nil"/>
              <w:left w:val="nil"/>
              <w:bottom w:val="single" w:color="auto" w:sz="4" w:space="0"/>
              <w:right w:val="single" w:color="auto" w:sz="4" w:space="0"/>
            </w:tcBorders>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w:t>
            </w:r>
          </w:p>
        </w:tc>
      </w:tr>
      <w:tr>
        <w:tblPrEx>
          <w:tblLayout w:type="fixed"/>
          <w:tblCellMar>
            <w:top w:w="0" w:type="dxa"/>
            <w:left w:w="108" w:type="dxa"/>
            <w:bottom w:w="0" w:type="dxa"/>
            <w:right w:w="108" w:type="dxa"/>
          </w:tblCellMar>
        </w:tblPrEx>
        <w:trPr>
          <w:trHeight w:val="285" w:hRule="atLeast"/>
          <w:jc w:val="center"/>
        </w:trPr>
        <w:tc>
          <w:tcPr>
            <w:tcW w:w="753"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4</w:t>
            </w:r>
          </w:p>
        </w:tc>
        <w:tc>
          <w:tcPr>
            <w:tcW w:w="1378"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上海新纪元双语学校</w:t>
            </w:r>
          </w:p>
        </w:tc>
        <w:tc>
          <w:tcPr>
            <w:tcW w:w="480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（1）2020-2022年民办教育发展专项资金发放及使用情况</w:t>
            </w:r>
            <w:r>
              <w:rPr>
                <w:rFonts w:hint="eastAsia" w:ascii="Times New Roman" w:hAnsi="Times New Roman" w:eastAsia="仿宋_GB2312" w:cs="Times New Roman"/>
                <w:color w:val="000000"/>
                <w:sz w:val="20"/>
                <w:szCs w:val="20"/>
              </w:rPr>
              <w:t>，及相关项目政府采购、合同管理等管理情况</w:t>
            </w:r>
            <w:r>
              <w:rPr>
                <w:rFonts w:ascii="Times New Roman" w:hAnsi="Times New Roman" w:eastAsia="仿宋_GB2312" w:cs="Times New Roman"/>
                <w:color w:val="000000"/>
                <w:sz w:val="20"/>
                <w:szCs w:val="20"/>
              </w:rPr>
              <w:t>；</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（2）民办学校学生公用经费补助发放及使用情况</w:t>
            </w:r>
            <w:r>
              <w:rPr>
                <w:rFonts w:hint="eastAsia" w:ascii="Times New Roman" w:hAnsi="Times New Roman" w:eastAsia="仿宋_GB2312" w:cs="Times New Roman"/>
                <w:color w:val="000000"/>
                <w:sz w:val="20"/>
                <w:szCs w:val="20"/>
              </w:rPr>
              <w:t>；</w:t>
            </w:r>
          </w:p>
          <w:p>
            <w:pPr>
              <w:adjustRightInd w:val="0"/>
              <w:snapToGrid w:val="0"/>
              <w:spacing w:line="240" w:lineRule="atLeast"/>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（3）“两免一补”经费和寄宿生生活补助发放及使用情况；</w:t>
            </w:r>
          </w:p>
        </w:tc>
        <w:tc>
          <w:tcPr>
            <w:tcW w:w="3827" w:type="dxa"/>
            <w:tcBorders>
              <w:top w:val="nil"/>
              <w:left w:val="nil"/>
              <w:bottom w:val="single" w:color="auto" w:sz="4" w:space="0"/>
              <w:right w:val="single" w:color="auto" w:sz="4" w:space="0"/>
            </w:tcBorders>
            <w:vAlign w:val="center"/>
          </w:tcPr>
          <w:p>
            <w:pPr>
              <w:adjustRightInd w:val="0"/>
              <w:snapToGrid w:val="0"/>
              <w:spacing w:line="240" w:lineRule="atLeast"/>
              <w:jc w:val="both"/>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部分设备采购不及时，如，游泳馆空调，截至</w:t>
            </w:r>
            <w:r>
              <w:rPr>
                <w:rFonts w:ascii="Times New Roman" w:hAnsi="Times New Roman" w:eastAsia="仿宋_GB2312" w:cs="Times New Roman"/>
                <w:color w:val="000000"/>
                <w:sz w:val="20"/>
                <w:szCs w:val="20"/>
              </w:rPr>
              <w:t>23年5月1日仍未采购到位。</w:t>
            </w:r>
            <w:r>
              <w:rPr>
                <w:rFonts w:hint="eastAsia" w:ascii="Times New Roman" w:hAnsi="Times New Roman" w:eastAsia="仿宋_GB2312" w:cs="Times New Roman"/>
                <w:color w:val="000000"/>
                <w:sz w:val="20"/>
                <w:szCs w:val="20"/>
              </w:rPr>
              <w:t>专项资金有结余。</w:t>
            </w:r>
          </w:p>
        </w:tc>
      </w:tr>
      <w:tr>
        <w:tblPrEx>
          <w:tblLayout w:type="fixed"/>
          <w:tblCellMar>
            <w:top w:w="0" w:type="dxa"/>
            <w:left w:w="108" w:type="dxa"/>
            <w:bottom w:w="0" w:type="dxa"/>
            <w:right w:w="108" w:type="dxa"/>
          </w:tblCellMar>
        </w:tblPrEx>
        <w:trPr>
          <w:trHeight w:val="285" w:hRule="atLeast"/>
          <w:jc w:val="center"/>
        </w:trPr>
        <w:tc>
          <w:tcPr>
            <w:tcW w:w="753"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5</w:t>
            </w:r>
          </w:p>
        </w:tc>
        <w:tc>
          <w:tcPr>
            <w:tcW w:w="1378"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上海民办民一中学</w:t>
            </w:r>
          </w:p>
        </w:tc>
        <w:tc>
          <w:tcPr>
            <w:tcW w:w="480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（1）2020-2022年民办教育发展专项资金发放及使用情况</w:t>
            </w:r>
            <w:r>
              <w:rPr>
                <w:rFonts w:hint="eastAsia" w:ascii="Times New Roman" w:hAnsi="Times New Roman" w:eastAsia="仿宋_GB2312" w:cs="Times New Roman"/>
                <w:color w:val="000000"/>
                <w:sz w:val="20"/>
                <w:szCs w:val="20"/>
              </w:rPr>
              <w:t>，及相关项目政府采购、合同管理等管理情况</w:t>
            </w:r>
            <w:r>
              <w:rPr>
                <w:rFonts w:ascii="Times New Roman" w:hAnsi="Times New Roman" w:eastAsia="仿宋_GB2312" w:cs="Times New Roman"/>
                <w:color w:val="000000"/>
                <w:sz w:val="20"/>
                <w:szCs w:val="20"/>
              </w:rPr>
              <w:t>；</w:t>
            </w:r>
            <w:r>
              <w:rPr>
                <w:rFonts w:ascii="Times New Roman" w:hAnsi="Times New Roman" w:eastAsia="仿宋_GB2312" w:cs="Times New Roman"/>
                <w:color w:val="000000"/>
                <w:sz w:val="20"/>
                <w:szCs w:val="20"/>
              </w:rPr>
              <w:br w:type="textWrapping"/>
            </w:r>
            <w:r>
              <w:rPr>
                <w:rFonts w:ascii="Times New Roman" w:hAnsi="Times New Roman" w:eastAsia="仿宋_GB2312" w:cs="Times New Roman"/>
                <w:color w:val="000000"/>
                <w:sz w:val="20"/>
                <w:szCs w:val="20"/>
              </w:rPr>
              <w:t>（2）民办学校学生公用经费补助发放及使用情况。</w:t>
            </w:r>
          </w:p>
          <w:p>
            <w:pPr>
              <w:adjustRightInd w:val="0"/>
              <w:snapToGrid w:val="0"/>
              <w:spacing w:line="240" w:lineRule="atLeast"/>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（3）“两免一补”经费发放及使用情况；</w:t>
            </w:r>
          </w:p>
        </w:tc>
        <w:tc>
          <w:tcPr>
            <w:tcW w:w="3827" w:type="dxa"/>
            <w:tcBorders>
              <w:top w:val="nil"/>
              <w:left w:val="nil"/>
              <w:bottom w:val="single" w:color="auto" w:sz="4" w:space="0"/>
              <w:right w:val="single" w:color="auto" w:sz="4" w:space="0"/>
            </w:tcBorders>
            <w:vAlign w:val="center"/>
          </w:tcPr>
          <w:p>
            <w:pPr>
              <w:adjustRightInd w:val="0"/>
              <w:snapToGrid w:val="0"/>
              <w:spacing w:line="240" w:lineRule="atLeast"/>
              <w:jc w:val="both"/>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（1）</w:t>
            </w:r>
            <w:r>
              <w:rPr>
                <w:rFonts w:ascii="Times New Roman" w:hAnsi="Times New Roman" w:eastAsia="仿宋_GB2312" w:cs="Times New Roman"/>
                <w:color w:val="000000"/>
                <w:sz w:val="20"/>
                <w:szCs w:val="20"/>
              </w:rPr>
              <w:t>资金无法按照计划全部使用，截至2022年，结转历年资金88.12万；</w:t>
            </w:r>
          </w:p>
          <w:p>
            <w:pPr>
              <w:adjustRightInd w:val="0"/>
              <w:snapToGrid w:val="0"/>
              <w:spacing w:line="240" w:lineRule="atLeast"/>
              <w:jc w:val="both"/>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（2）</w:t>
            </w:r>
            <w:r>
              <w:rPr>
                <w:rFonts w:ascii="Times New Roman" w:hAnsi="Times New Roman" w:eastAsia="仿宋_GB2312" w:cs="Times New Roman"/>
                <w:color w:val="000000"/>
                <w:sz w:val="20"/>
                <w:szCs w:val="20"/>
              </w:rPr>
              <w:t>2022年200万教育专项未使用，结转到下年度。</w:t>
            </w:r>
          </w:p>
        </w:tc>
      </w:tr>
      <w:tr>
        <w:tblPrEx>
          <w:tblLayout w:type="fixed"/>
          <w:tblCellMar>
            <w:top w:w="0" w:type="dxa"/>
            <w:left w:w="108" w:type="dxa"/>
            <w:bottom w:w="0" w:type="dxa"/>
            <w:right w:w="108" w:type="dxa"/>
          </w:tblCellMar>
        </w:tblPrEx>
        <w:trPr>
          <w:trHeight w:val="285" w:hRule="atLeast"/>
          <w:jc w:val="center"/>
        </w:trPr>
        <w:tc>
          <w:tcPr>
            <w:tcW w:w="753"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6</w:t>
            </w:r>
          </w:p>
        </w:tc>
        <w:tc>
          <w:tcPr>
            <w:tcW w:w="1378"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上海盛源幼儿园</w:t>
            </w:r>
          </w:p>
        </w:tc>
        <w:tc>
          <w:tcPr>
            <w:tcW w:w="480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2020-2022年民办教育发展专项资金发放及使用情况</w:t>
            </w:r>
            <w:r>
              <w:rPr>
                <w:rFonts w:hint="eastAsia" w:ascii="Times New Roman" w:hAnsi="Times New Roman" w:eastAsia="仿宋_GB2312" w:cs="Times New Roman"/>
                <w:color w:val="000000"/>
                <w:sz w:val="20"/>
                <w:szCs w:val="20"/>
              </w:rPr>
              <w:t>，及相关项目政府采购、合同管理等管理情况。</w:t>
            </w:r>
          </w:p>
        </w:tc>
        <w:tc>
          <w:tcPr>
            <w:tcW w:w="3827" w:type="dxa"/>
            <w:tcBorders>
              <w:top w:val="nil"/>
              <w:left w:val="nil"/>
              <w:bottom w:val="single" w:color="auto" w:sz="4" w:space="0"/>
              <w:right w:val="single" w:color="auto" w:sz="4" w:space="0"/>
            </w:tcBorders>
            <w:vAlign w:val="center"/>
          </w:tcPr>
          <w:p>
            <w:pPr>
              <w:adjustRightInd w:val="0"/>
              <w:snapToGrid w:val="0"/>
              <w:spacing w:line="240" w:lineRule="atLeast"/>
              <w:jc w:val="both"/>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2022年教育专项45万，使用了20.9万，主要用于学校零星维修</w:t>
            </w:r>
            <w:r>
              <w:rPr>
                <w:rFonts w:hint="eastAsia" w:ascii="Times New Roman" w:hAnsi="Times New Roman" w:eastAsia="仿宋_GB2312" w:cs="Times New Roman"/>
                <w:color w:val="000000"/>
                <w:sz w:val="20"/>
                <w:szCs w:val="20"/>
              </w:rPr>
              <w:t>，</w:t>
            </w:r>
            <w:r>
              <w:rPr>
                <w:rFonts w:hint="eastAsia" w:ascii="仿宋_GB2312" w:hAnsi="等线" w:eastAsia="仿宋_GB2312"/>
                <w:color w:val="000000"/>
                <w:sz w:val="20"/>
                <w:szCs w:val="20"/>
              </w:rPr>
              <w:t>因为疫情线下培训暂停，故培训费没有支出。</w:t>
            </w:r>
          </w:p>
        </w:tc>
      </w:tr>
      <w:tr>
        <w:tblPrEx>
          <w:tblLayout w:type="fixed"/>
          <w:tblCellMar>
            <w:top w:w="0" w:type="dxa"/>
            <w:left w:w="108" w:type="dxa"/>
            <w:bottom w:w="0" w:type="dxa"/>
            <w:right w:w="108" w:type="dxa"/>
          </w:tblCellMar>
        </w:tblPrEx>
        <w:trPr>
          <w:trHeight w:val="285" w:hRule="atLeast"/>
          <w:jc w:val="center"/>
        </w:trPr>
        <w:tc>
          <w:tcPr>
            <w:tcW w:w="753" w:type="dxa"/>
            <w:tcBorders>
              <w:top w:val="nil"/>
              <w:left w:val="single" w:color="auto" w:sz="4" w:space="0"/>
              <w:bottom w:val="single" w:color="auto" w:sz="4" w:space="0"/>
              <w:right w:val="single" w:color="auto" w:sz="4" w:space="0"/>
            </w:tcBorders>
            <w:shd w:val="clear" w:color="auto" w:fill="auto"/>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7</w:t>
            </w:r>
          </w:p>
        </w:tc>
        <w:tc>
          <w:tcPr>
            <w:tcW w:w="1378"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上海露凝幼儿园有限公司</w:t>
            </w:r>
          </w:p>
        </w:tc>
        <w:tc>
          <w:tcPr>
            <w:tcW w:w="4809" w:type="dxa"/>
            <w:tcBorders>
              <w:top w:val="nil"/>
              <w:left w:val="nil"/>
              <w:bottom w:val="single" w:color="auto" w:sz="4" w:space="0"/>
              <w:right w:val="single" w:color="auto" w:sz="4" w:space="0"/>
            </w:tcBorders>
            <w:shd w:val="clear" w:color="auto" w:fill="auto"/>
            <w:vAlign w:val="center"/>
          </w:tcPr>
          <w:p>
            <w:pPr>
              <w:adjustRightInd w:val="0"/>
              <w:snapToGrid w:val="0"/>
              <w:spacing w:line="240" w:lineRule="atLeast"/>
              <w:rPr>
                <w:rFonts w:ascii="Times New Roman" w:hAnsi="Times New Roman" w:eastAsia="仿宋_GB2312" w:cs="Times New Roman"/>
                <w:color w:val="000000"/>
                <w:sz w:val="20"/>
                <w:szCs w:val="20"/>
              </w:rPr>
            </w:pPr>
            <w:r>
              <w:rPr>
                <w:rFonts w:ascii="Times New Roman" w:hAnsi="Times New Roman" w:eastAsia="仿宋_GB2312" w:cs="Times New Roman"/>
                <w:color w:val="000000"/>
                <w:sz w:val="20"/>
                <w:szCs w:val="20"/>
              </w:rPr>
              <w:t>2020-2022年民办教育发展专项资金发放及使用情况</w:t>
            </w:r>
            <w:r>
              <w:rPr>
                <w:rFonts w:hint="eastAsia" w:ascii="Times New Roman" w:hAnsi="Times New Roman" w:eastAsia="仿宋_GB2312" w:cs="Times New Roman"/>
                <w:color w:val="000000"/>
                <w:sz w:val="20"/>
                <w:szCs w:val="20"/>
              </w:rPr>
              <w:t>，及相关项目政府采购、合同管理等管理情况。</w:t>
            </w:r>
          </w:p>
        </w:tc>
        <w:tc>
          <w:tcPr>
            <w:tcW w:w="3827" w:type="dxa"/>
            <w:tcBorders>
              <w:top w:val="nil"/>
              <w:left w:val="nil"/>
              <w:bottom w:val="single" w:color="auto" w:sz="4" w:space="0"/>
              <w:right w:val="single" w:color="auto" w:sz="4" w:space="0"/>
            </w:tcBorders>
            <w:vAlign w:val="center"/>
          </w:tcPr>
          <w:p>
            <w:pPr>
              <w:adjustRightInd w:val="0"/>
              <w:snapToGrid w:val="0"/>
              <w:spacing w:line="240" w:lineRule="atLeast"/>
              <w:jc w:val="center"/>
              <w:rPr>
                <w:rFonts w:ascii="Times New Roman" w:hAnsi="Times New Roman" w:eastAsia="仿宋_GB2312" w:cs="Times New Roman"/>
                <w:color w:val="000000"/>
                <w:sz w:val="20"/>
                <w:szCs w:val="20"/>
              </w:rPr>
            </w:pPr>
            <w:r>
              <w:rPr>
                <w:rFonts w:hint="eastAsia" w:ascii="Times New Roman" w:hAnsi="Times New Roman" w:eastAsia="仿宋_GB2312" w:cs="Times New Roman"/>
                <w:color w:val="000000"/>
                <w:sz w:val="20"/>
                <w:szCs w:val="20"/>
              </w:rPr>
              <w:t>——</w:t>
            </w:r>
          </w:p>
        </w:tc>
      </w:tr>
    </w:tbl>
    <w:p>
      <w:pPr>
        <w:pStyle w:val="200"/>
        <w:spacing w:line="520" w:lineRule="exact"/>
        <w:ind w:firstLine="600"/>
        <w:rPr>
          <w:sz w:val="30"/>
          <w:szCs w:val="30"/>
        </w:rPr>
      </w:pPr>
      <w:r>
        <w:rPr>
          <w:rFonts w:hint="eastAsia"/>
          <w:sz w:val="30"/>
          <w:szCs w:val="30"/>
        </w:rPr>
        <w:t>此外，开展了访谈、满意度调查等工作，方案报告、满意度报告详见附件。</w:t>
      </w:r>
    </w:p>
    <w:p>
      <w:pPr>
        <w:pStyle w:val="195"/>
        <w:spacing w:line="560" w:lineRule="exact"/>
        <w:outlineLvl w:val="2"/>
      </w:pPr>
      <w:r>
        <w:t>4.报告阶段</w:t>
      </w:r>
    </w:p>
    <w:p>
      <w:pPr>
        <w:pStyle w:val="200"/>
        <w:spacing w:line="520" w:lineRule="exact"/>
        <w:ind w:firstLine="600"/>
        <w:rPr>
          <w:sz w:val="30"/>
          <w:szCs w:val="30"/>
        </w:rPr>
      </w:pPr>
      <w:r>
        <w:rPr>
          <w:sz w:val="30"/>
          <w:szCs w:val="30"/>
        </w:rPr>
        <w:t>2023年5月26日至6月13日，评价小组根据专家评审意见，补充调研和数据资料，</w:t>
      </w:r>
      <w:r>
        <w:rPr>
          <w:rFonts w:hint="eastAsia"/>
          <w:sz w:val="30"/>
          <w:szCs w:val="30"/>
        </w:rPr>
        <w:t>撰写绩效评价报告，在评价组内进行讨论修改后，完成</w:t>
      </w:r>
      <w:r>
        <w:rPr>
          <w:sz w:val="30"/>
          <w:szCs w:val="30"/>
        </w:rPr>
        <w:t>绩效评价报告初稿，提交区财政局进行</w:t>
      </w:r>
      <w:r>
        <w:rPr>
          <w:rFonts w:hint="eastAsia"/>
          <w:sz w:val="30"/>
          <w:szCs w:val="30"/>
        </w:rPr>
        <w:t>审核</w:t>
      </w:r>
      <w:r>
        <w:rPr>
          <w:sz w:val="30"/>
          <w:szCs w:val="30"/>
        </w:rPr>
        <w:t>。</w:t>
      </w:r>
    </w:p>
    <w:p>
      <w:pPr>
        <w:pStyle w:val="193"/>
        <w:spacing w:line="560" w:lineRule="exact"/>
        <w:ind w:firstLine="643"/>
        <w:outlineLvl w:val="0"/>
        <w:rPr>
          <w:sz w:val="32"/>
          <w:szCs w:val="32"/>
        </w:rPr>
      </w:pPr>
      <w:bookmarkStart w:id="51" w:name="_Toc106125106"/>
      <w:bookmarkStart w:id="52" w:name="_Toc5310"/>
      <w:r>
        <w:rPr>
          <w:sz w:val="32"/>
          <w:szCs w:val="32"/>
        </w:rPr>
        <w:t>三、</w:t>
      </w:r>
      <w:bookmarkEnd w:id="51"/>
      <w:r>
        <w:rPr>
          <w:rFonts w:hint="eastAsia"/>
          <w:sz w:val="32"/>
          <w:szCs w:val="32"/>
        </w:rPr>
        <w:t>评价结论与绩效分析</w:t>
      </w:r>
      <w:bookmarkEnd w:id="52"/>
    </w:p>
    <w:p>
      <w:pPr>
        <w:pStyle w:val="195"/>
        <w:spacing w:line="560" w:lineRule="exact"/>
        <w:ind w:firstLine="643"/>
        <w:outlineLvl w:val="1"/>
        <w:rPr>
          <w:rFonts w:eastAsia="楷体_GB2312"/>
          <w:sz w:val="32"/>
          <w:szCs w:val="32"/>
        </w:rPr>
      </w:pPr>
      <w:bookmarkStart w:id="53" w:name="_Toc10223092"/>
      <w:bookmarkStart w:id="54" w:name="_Toc106125107"/>
      <w:bookmarkStart w:id="55" w:name="_Toc4074"/>
      <w:r>
        <w:rPr>
          <w:rFonts w:eastAsia="楷体_GB2312"/>
          <w:sz w:val="32"/>
          <w:szCs w:val="32"/>
        </w:rPr>
        <w:t>（一）</w:t>
      </w:r>
      <w:bookmarkEnd w:id="53"/>
      <w:bookmarkEnd w:id="54"/>
      <w:r>
        <w:rPr>
          <w:rFonts w:hint="eastAsia" w:eastAsia="楷体_GB2312"/>
          <w:sz w:val="32"/>
          <w:szCs w:val="32"/>
        </w:rPr>
        <w:t>评价结论</w:t>
      </w:r>
      <w:bookmarkEnd w:id="55"/>
    </w:p>
    <w:p>
      <w:pPr>
        <w:pStyle w:val="195"/>
        <w:spacing w:line="560" w:lineRule="exact"/>
        <w:outlineLvl w:val="2"/>
      </w:pPr>
      <w:r>
        <w:rPr>
          <w:rFonts w:hint="eastAsia"/>
        </w:rPr>
        <w:t>1.评价结果</w:t>
      </w:r>
    </w:p>
    <w:p>
      <w:pPr>
        <w:pStyle w:val="200"/>
        <w:spacing w:line="520" w:lineRule="exact"/>
        <w:ind w:firstLine="600"/>
        <w:rPr>
          <w:rFonts w:ascii="仿宋_GB2312"/>
          <w:color w:val="FF0000"/>
          <w:sz w:val="30"/>
          <w:szCs w:val="30"/>
        </w:rPr>
      </w:pPr>
      <w:r>
        <w:rPr>
          <w:rFonts w:hint="eastAsia" w:ascii="仿宋_GB2312"/>
          <w:sz w:val="30"/>
          <w:szCs w:val="30"/>
        </w:rPr>
        <w:t>根据《上海市财政项目支出预算绩效管理办法（试行）》（沪财绩〔2020〕6号）、《中共上海市崇明区委 上海市崇明区人民政府关于我区全面实施预算绩效管理的实施意见》（崇委发〔2019〕21号），评价组按照项目绩效评价指标体系，从决策、过程、产出和效益四个维度，通过数据采集、实地调研和问卷访谈等方式，对项目进行了客观公正的评价。项目绩效得分8</w:t>
      </w:r>
      <w:r>
        <w:rPr>
          <w:rFonts w:ascii="仿宋_GB2312"/>
          <w:sz w:val="30"/>
          <w:szCs w:val="30"/>
        </w:rPr>
        <w:t>4</w:t>
      </w:r>
      <w:r>
        <w:rPr>
          <w:rFonts w:hint="eastAsia" w:ascii="仿宋_GB2312"/>
          <w:sz w:val="30"/>
          <w:szCs w:val="30"/>
        </w:rPr>
        <w:t>.</w:t>
      </w:r>
      <w:r>
        <w:rPr>
          <w:rFonts w:ascii="仿宋_GB2312"/>
          <w:sz w:val="30"/>
          <w:szCs w:val="30"/>
        </w:rPr>
        <w:t>8</w:t>
      </w:r>
      <w:r>
        <w:rPr>
          <w:rFonts w:hint="eastAsia" w:ascii="仿宋_GB2312"/>
          <w:sz w:val="30"/>
          <w:szCs w:val="30"/>
        </w:rPr>
        <w:t>分，绩效评级属于“良”。其中决策指标得分率为80%，过程指标得分率为8</w:t>
      </w:r>
      <w:r>
        <w:rPr>
          <w:rFonts w:ascii="仿宋_GB2312"/>
          <w:sz w:val="30"/>
          <w:szCs w:val="30"/>
        </w:rPr>
        <w:t>0.5</w:t>
      </w:r>
      <w:r>
        <w:rPr>
          <w:rFonts w:hint="eastAsia" w:ascii="仿宋_GB2312"/>
          <w:sz w:val="30"/>
          <w:szCs w:val="30"/>
        </w:rPr>
        <w:t>%，产出指标得分率为85.7%，效率指标得分率为9</w:t>
      </w:r>
      <w:r>
        <w:rPr>
          <w:rFonts w:ascii="仿宋_GB2312"/>
          <w:sz w:val="30"/>
          <w:szCs w:val="30"/>
        </w:rPr>
        <w:t>0</w:t>
      </w:r>
      <w:r>
        <w:rPr>
          <w:rFonts w:hint="eastAsia" w:ascii="仿宋_GB2312"/>
          <w:sz w:val="30"/>
          <w:szCs w:val="30"/>
        </w:rPr>
        <w:t>%。具体详见下表：</w:t>
      </w:r>
    </w:p>
    <w:p>
      <w:pPr>
        <w:jc w:val="center"/>
        <w:rPr>
          <w:rFonts w:ascii="仿宋_GB2312" w:eastAsia="仿宋_GB2312"/>
          <w:b/>
        </w:rPr>
      </w:pPr>
      <w:r>
        <w:rPr>
          <w:rFonts w:ascii="仿宋_GB2312" w:eastAsia="仿宋_GB2312"/>
          <w:b/>
        </w:rPr>
        <w:t>表3-1</w:t>
      </w:r>
      <w:r>
        <w:rPr>
          <w:rFonts w:hint="eastAsia" w:ascii="仿宋_GB2312" w:eastAsia="仿宋_GB2312"/>
          <w:b/>
        </w:rPr>
        <w:t>-</w:t>
      </w:r>
      <w:r>
        <w:rPr>
          <w:rFonts w:ascii="仿宋_GB2312" w:eastAsia="仿宋_GB2312"/>
          <w:b/>
        </w:rPr>
        <w:t>1</w:t>
      </w:r>
      <w:r>
        <w:rPr>
          <w:rFonts w:hint="eastAsia" w:ascii="仿宋_GB2312" w:eastAsia="仿宋_GB2312"/>
          <w:b/>
        </w:rPr>
        <w:t>项目</w:t>
      </w:r>
      <w:r>
        <w:rPr>
          <w:rFonts w:ascii="仿宋_GB2312" w:eastAsia="仿宋_GB2312"/>
          <w:b/>
        </w:rPr>
        <w:t>绩效评价指标得分简表</w:t>
      </w:r>
    </w:p>
    <w:tbl>
      <w:tblPr>
        <w:tblStyle w:val="40"/>
        <w:tblW w:w="11112" w:type="dxa"/>
        <w:tblInd w:w="-998" w:type="dxa"/>
        <w:tblLayout w:type="fixed"/>
        <w:tblCellMar>
          <w:top w:w="0" w:type="dxa"/>
          <w:left w:w="108" w:type="dxa"/>
          <w:bottom w:w="0" w:type="dxa"/>
          <w:right w:w="108" w:type="dxa"/>
        </w:tblCellMar>
      </w:tblPr>
      <w:tblGrid>
        <w:gridCol w:w="1282"/>
        <w:gridCol w:w="1273"/>
        <w:gridCol w:w="2127"/>
        <w:gridCol w:w="2214"/>
        <w:gridCol w:w="802"/>
        <w:gridCol w:w="1122"/>
        <w:gridCol w:w="1305"/>
        <w:gridCol w:w="720"/>
        <w:gridCol w:w="267"/>
      </w:tblGrid>
      <w:tr>
        <w:tblPrEx>
          <w:tblLayout w:type="fixed"/>
          <w:tblCellMar>
            <w:top w:w="0" w:type="dxa"/>
            <w:left w:w="108" w:type="dxa"/>
            <w:bottom w:w="0" w:type="dxa"/>
            <w:right w:w="108" w:type="dxa"/>
          </w:tblCellMar>
        </w:tblPrEx>
        <w:trPr>
          <w:gridAfter w:val="1"/>
          <w:wAfter w:w="267" w:type="dxa"/>
          <w:trHeight w:val="227" w:hRule="atLeast"/>
          <w:tblHeader/>
        </w:trPr>
        <w:tc>
          <w:tcPr>
            <w:tcW w:w="1282"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一级指标</w:t>
            </w:r>
          </w:p>
        </w:tc>
        <w:tc>
          <w:tcPr>
            <w:tcW w:w="1273"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二级指标</w:t>
            </w:r>
          </w:p>
        </w:tc>
        <w:tc>
          <w:tcPr>
            <w:tcW w:w="2127"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三级指标</w:t>
            </w:r>
          </w:p>
        </w:tc>
        <w:tc>
          <w:tcPr>
            <w:tcW w:w="2214"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四级指标</w:t>
            </w:r>
          </w:p>
        </w:tc>
        <w:tc>
          <w:tcPr>
            <w:tcW w:w="802"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权重</w:t>
            </w:r>
          </w:p>
        </w:tc>
        <w:tc>
          <w:tcPr>
            <w:tcW w:w="1122"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标准值</w:t>
            </w:r>
          </w:p>
        </w:tc>
        <w:tc>
          <w:tcPr>
            <w:tcW w:w="1305"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实际值</w:t>
            </w:r>
          </w:p>
        </w:tc>
        <w:tc>
          <w:tcPr>
            <w:tcW w:w="720"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得分</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A决策（20分）</w:t>
            </w: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A1项目立项（7分）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A11立项依据充分性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4</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充分</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基本充分</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3.6</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A12立项程序规范性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A2绩效目标（6分）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A21绩效目标合理性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合理</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基本合理</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2.4</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A22绩效指标明确性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明确</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基本明确</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1.5</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A3资金投入(7分）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A31预算编制科学性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4</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科学</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基本科学</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2.8</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A32资金分配合理性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合理</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部分合理</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2.7</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B过程(20分）</w:t>
            </w: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B1资金管理（7分）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B11预算执行率</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微软雅黑" w:hAnsi="微软雅黑" w:eastAsia="微软雅黑" w:cs="微软雅黑"/>
                <w:color w:val="000000"/>
                <w:sz w:val="21"/>
                <w:szCs w:val="21"/>
              </w:rPr>
              <w:t>≧</w:t>
            </w:r>
            <w:r>
              <w:rPr>
                <w:rFonts w:hint="eastAsia" w:ascii="仿宋_GB2312" w:hAnsi="等线" w:eastAsia="仿宋_GB2312"/>
                <w:color w:val="000000"/>
                <w:sz w:val="21"/>
                <w:szCs w:val="21"/>
              </w:rPr>
              <w:t>95%</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区教育局100%;各学校</w:t>
            </w:r>
            <w:r>
              <w:rPr>
                <w:rFonts w:ascii="仿宋_GB2312" w:hAnsi="等线" w:eastAsia="仿宋_GB2312"/>
                <w:color w:val="000000"/>
                <w:sz w:val="21"/>
                <w:szCs w:val="21"/>
              </w:rPr>
              <w:t>61.32%</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B12预算调整率</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≤5%</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0.82%</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B13资金使用合规性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基本规范</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2.4</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B2组织实施（13分）</w:t>
            </w: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B21管理制度健全性（6分）</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B211财务管理制度健全性</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健全</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健全</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B212工作计划完整性</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完整</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完整</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B213合同管理制度健全性</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健全</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基本健全</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ascii="仿宋_GB2312" w:hAnsi="等线" w:eastAsia="仿宋_GB2312"/>
                <w:color w:val="000000"/>
                <w:sz w:val="21"/>
                <w:szCs w:val="21"/>
              </w:rPr>
              <w:t>0.7</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B214项目招标及监督验收管理制度健全性</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健全</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基本健全</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1.6</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B215项目档案管理制度健全性</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健全</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健全</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B22制度执行规范性（7分）</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 xml:space="preserve">B221财务管理制度执行规范性 </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 xml:space="preserve">B222合同管理制度执行规范性 </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B223项目招标及监督验收管理制度执行规范性</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基本规范</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2.4</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B224项目档案管理制度执行规范性</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规范</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C产出(30分）</w:t>
            </w: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C1产出数量（12分）</w:t>
            </w: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C11终身教育相关工作完成情况（5分）</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C111老年教育三类学习点建设完成率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C112终身教育工作计划完成率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C113学促办工作计划完成率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80%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0.8</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C12民办教育工作完成情况（7分）</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C121民办学校学生公用经费应补尽补率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C122民办教育发展工作完成率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75%</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1.13</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C123民办非学历教育机构监管完成率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90%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0.9</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C2产出质量（12分）</w:t>
            </w: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C21终身教育相关工作完成质量情况（6分）</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C211老年教育三类学习点建设验收通过率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C212终身教育经费发放准确率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C213成校及社区学院办学质量考核合格率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C214学习型数据监测系统数据填报的准确率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C22民办教育工作完成质量情况（6分）</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C221民办学校补助经费发放准确率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C222民办教育发展专项资金项目补贴发放准确率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C223民办培训市场综合治理工作达标率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C224民办非学历教育机构年检通过率</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67%</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0.67</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C3产出时效（3分）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C31各项工作完成及时率</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60%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1.5</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C4产出成本（3分）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C41成本控制情况</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控制在预算内</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在预算内，但部分项目成本标准偏高</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2.7</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D效益(30分）</w:t>
            </w: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D1社会效益（16分）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D11基层老年教育成效情况</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提升</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提升</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D12终身教育成效情况</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显著</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显著</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D13终身学习便利度及多样性</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社会调查中90%以上老年人认为学习便利，且多样</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98.72%</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D14终身教育宣传情况</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终身教育宣传渠道多样、且知晓度达到90%以上</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终身教育宣传渠道多样，100%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D15民办学校教学设施设备使用率</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100%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D16民办学校区重点高中升学率</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18"/>
                <w:szCs w:val="18"/>
              </w:rPr>
              <w:t>2个学校均较上年提升</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ascii="仿宋_GB2312" w:hAnsi="等线" w:eastAsia="仿宋_GB2312"/>
                <w:color w:val="000000"/>
                <w:sz w:val="21"/>
                <w:szCs w:val="21"/>
              </w:rPr>
              <w:t>1</w:t>
            </w:r>
            <w:r>
              <w:rPr>
                <w:rFonts w:hint="eastAsia" w:ascii="仿宋_GB2312" w:hAnsi="等线" w:eastAsia="仿宋_GB2312"/>
                <w:color w:val="000000"/>
                <w:sz w:val="21"/>
                <w:szCs w:val="21"/>
              </w:rPr>
              <w:t>个学校较上年提升</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D17民办学校学生体质健康优良率</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52%</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53%</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r>
      <w:tr>
        <w:tblPrEx>
          <w:tblLayout w:type="fixed"/>
          <w:tblCellMar>
            <w:top w:w="0" w:type="dxa"/>
            <w:left w:w="108" w:type="dxa"/>
            <w:bottom w:w="0" w:type="dxa"/>
            <w:right w:w="108" w:type="dxa"/>
          </w:tblCellMar>
        </w:tblPrEx>
        <w:trPr>
          <w:gridAfter w:val="1"/>
          <w:wAfter w:w="267" w:type="dxa"/>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D18学科类培训机构新增情况</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0</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0</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r>
      <w:tr>
        <w:tblPrEx>
          <w:tblLayout w:type="fixed"/>
          <w:tblCellMar>
            <w:top w:w="0" w:type="dxa"/>
            <w:left w:w="108" w:type="dxa"/>
            <w:bottom w:w="0" w:type="dxa"/>
            <w:right w:w="108" w:type="dxa"/>
          </w:tblCellMar>
        </w:tblPrEx>
        <w:trPr>
          <w:gridAfter w:val="1"/>
          <w:wAfter w:w="267" w:type="dxa"/>
          <w:trHeight w:val="311"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D2长效机制建立健全情况（4分）</w:t>
            </w: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D21成职科内涵发展长效管理机制健全性和执行有效性</w:t>
            </w:r>
          </w:p>
        </w:tc>
        <w:tc>
          <w:tcPr>
            <w:tcW w:w="2214"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4</w:t>
            </w:r>
          </w:p>
        </w:tc>
        <w:tc>
          <w:tcPr>
            <w:tcW w:w="1122"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健全且执行有效</w:t>
            </w:r>
          </w:p>
        </w:tc>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项目具有长期发展规划，但缺少对项目的定期评价、跟踪。</w:t>
            </w:r>
          </w:p>
        </w:tc>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r>
      <w:tr>
        <w:tblPrEx>
          <w:tblLayout w:type="fixed"/>
          <w:tblCellMar>
            <w:top w:w="0" w:type="dxa"/>
            <w:left w:w="108" w:type="dxa"/>
            <w:bottom w:w="0" w:type="dxa"/>
            <w:right w:w="108" w:type="dxa"/>
          </w:tblCellMar>
        </w:tblPrEx>
        <w:trPr>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80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1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30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720"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67" w:type="dxa"/>
            <w:tcBorders>
              <w:top w:val="nil"/>
              <w:left w:val="nil"/>
              <w:bottom w:val="nil"/>
              <w:right w:val="nil"/>
            </w:tcBorders>
            <w:shd w:val="clear" w:color="auto" w:fill="auto"/>
            <w:vAlign w:val="center"/>
          </w:tcPr>
          <w:p>
            <w:pPr>
              <w:snapToGrid w:val="0"/>
              <w:spacing w:line="240" w:lineRule="atLeast"/>
              <w:jc w:val="center"/>
              <w:rPr>
                <w:rFonts w:ascii="仿宋_GB2312" w:hAnsi="等线" w:eastAsia="仿宋_GB2312"/>
                <w:color w:val="000000"/>
                <w:sz w:val="21"/>
                <w:szCs w:val="21"/>
              </w:rPr>
            </w:pPr>
          </w:p>
        </w:tc>
      </w:tr>
      <w:tr>
        <w:tblPrEx>
          <w:tblLayout w:type="fixed"/>
          <w:tblCellMar>
            <w:top w:w="0" w:type="dxa"/>
            <w:left w:w="108" w:type="dxa"/>
            <w:bottom w:w="0" w:type="dxa"/>
            <w:right w:w="108" w:type="dxa"/>
          </w:tblCellMar>
        </w:tblPrEx>
        <w:trPr>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214"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80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12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305"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720"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267" w:type="dxa"/>
            <w:tcBorders>
              <w:top w:val="nil"/>
              <w:left w:val="nil"/>
              <w:bottom w:val="nil"/>
              <w:right w:val="nil"/>
            </w:tcBorders>
            <w:shd w:val="clear" w:color="auto" w:fill="auto"/>
            <w:vAlign w:val="center"/>
          </w:tcPr>
          <w:p>
            <w:pPr>
              <w:snapToGrid w:val="0"/>
              <w:spacing w:line="240" w:lineRule="atLeast"/>
              <w:rPr>
                <w:rFonts w:ascii="仿宋_GB2312" w:hAnsi="Times New Roman" w:eastAsia="仿宋_GB2312" w:cs="Times New Roman"/>
                <w:sz w:val="21"/>
                <w:szCs w:val="21"/>
              </w:rPr>
            </w:pPr>
          </w:p>
        </w:tc>
      </w:tr>
      <w:tr>
        <w:tblPrEx>
          <w:tblLayout w:type="fixed"/>
          <w:tblCellMar>
            <w:top w:w="0" w:type="dxa"/>
            <w:left w:w="108" w:type="dxa"/>
            <w:bottom w:w="0" w:type="dxa"/>
            <w:right w:w="108" w:type="dxa"/>
          </w:tblCellMar>
        </w:tblPrEx>
        <w:trPr>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restart"/>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D3满意度（10分）</w:t>
            </w: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D32终身教育学员满意度</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≥85%</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93.08%</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267" w:type="dxa"/>
            <w:vAlign w:val="center"/>
          </w:tcPr>
          <w:p>
            <w:pPr>
              <w:snapToGrid w:val="0"/>
              <w:spacing w:line="240" w:lineRule="atLeast"/>
              <w:rPr>
                <w:rFonts w:ascii="仿宋_GB2312" w:hAnsi="Times New Roman" w:eastAsia="仿宋_GB2312" w:cs="Times New Roman"/>
                <w:sz w:val="21"/>
                <w:szCs w:val="21"/>
              </w:rPr>
            </w:pPr>
          </w:p>
        </w:tc>
      </w:tr>
      <w:tr>
        <w:tblPrEx>
          <w:tblLayout w:type="fixed"/>
          <w:tblCellMar>
            <w:top w:w="0" w:type="dxa"/>
            <w:left w:w="108" w:type="dxa"/>
            <w:bottom w:w="0" w:type="dxa"/>
            <w:right w:w="108" w:type="dxa"/>
          </w:tblCellMar>
        </w:tblPrEx>
        <w:trPr>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D33民办学校学生及家长满意度</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4</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≥85%</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95.85%</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4</w:t>
            </w:r>
          </w:p>
        </w:tc>
        <w:tc>
          <w:tcPr>
            <w:tcW w:w="267" w:type="dxa"/>
            <w:vAlign w:val="center"/>
          </w:tcPr>
          <w:p>
            <w:pPr>
              <w:snapToGrid w:val="0"/>
              <w:spacing w:line="240" w:lineRule="atLeast"/>
              <w:rPr>
                <w:rFonts w:ascii="仿宋_GB2312" w:hAnsi="Times New Roman" w:eastAsia="仿宋_GB2312" w:cs="Times New Roman"/>
                <w:sz w:val="21"/>
                <w:szCs w:val="21"/>
              </w:rPr>
            </w:pPr>
          </w:p>
        </w:tc>
      </w:tr>
      <w:tr>
        <w:tblPrEx>
          <w:tblLayout w:type="fixed"/>
          <w:tblCellMar>
            <w:top w:w="0" w:type="dxa"/>
            <w:left w:w="108" w:type="dxa"/>
            <w:bottom w:w="0" w:type="dxa"/>
            <w:right w:w="108" w:type="dxa"/>
          </w:tblCellMar>
        </w:tblPrEx>
        <w:trPr>
          <w:trHeight w:val="227" w:hRule="atLeast"/>
        </w:trPr>
        <w:tc>
          <w:tcPr>
            <w:tcW w:w="1282" w:type="dxa"/>
            <w:vMerge w:val="continue"/>
            <w:tcBorders>
              <w:top w:val="nil"/>
              <w:left w:val="single" w:color="auto" w:sz="4" w:space="0"/>
              <w:bottom w:val="single" w:color="auto" w:sz="4" w:space="0"/>
              <w:right w:val="single" w:color="auto" w:sz="4" w:space="0"/>
            </w:tcBorders>
            <w:vAlign w:val="center"/>
          </w:tcPr>
          <w:p>
            <w:pPr>
              <w:snapToGrid w:val="0"/>
              <w:spacing w:line="240" w:lineRule="atLeast"/>
              <w:rPr>
                <w:rFonts w:ascii="仿宋_GB2312" w:hAnsi="等线" w:eastAsia="仿宋_GB2312"/>
                <w:color w:val="000000"/>
                <w:sz w:val="21"/>
                <w:szCs w:val="21"/>
              </w:rPr>
            </w:pPr>
          </w:p>
        </w:tc>
        <w:tc>
          <w:tcPr>
            <w:tcW w:w="1273" w:type="dxa"/>
            <w:vMerge w:val="continue"/>
            <w:tcBorders>
              <w:top w:val="nil"/>
              <w:left w:val="single" w:color="auto" w:sz="4" w:space="0"/>
              <w:bottom w:val="single" w:color="auto" w:sz="4" w:space="0"/>
              <w:right w:val="single" w:color="auto" w:sz="4" w:space="0"/>
            </w:tcBorders>
            <w:vAlign w:val="center"/>
          </w:tcPr>
          <w:p>
            <w:pPr>
              <w:snapToGrid w:val="0"/>
              <w:spacing w:line="240" w:lineRule="atLeast"/>
              <w:jc w:val="both"/>
              <w:rPr>
                <w:rFonts w:ascii="仿宋_GB2312" w:hAnsi="等线" w:eastAsia="仿宋_GB2312"/>
                <w:color w:val="000000"/>
                <w:sz w:val="21"/>
                <w:szCs w:val="21"/>
              </w:rPr>
            </w:pPr>
          </w:p>
        </w:tc>
        <w:tc>
          <w:tcPr>
            <w:tcW w:w="2127"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D34民办学校教师满意度</w:t>
            </w:r>
          </w:p>
        </w:tc>
        <w:tc>
          <w:tcPr>
            <w:tcW w:w="2214"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≥85%</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95.03%</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267" w:type="dxa"/>
            <w:vAlign w:val="center"/>
          </w:tcPr>
          <w:p>
            <w:pPr>
              <w:snapToGrid w:val="0"/>
              <w:spacing w:line="240" w:lineRule="atLeast"/>
              <w:rPr>
                <w:rFonts w:ascii="仿宋_GB2312" w:hAnsi="Times New Roman" w:eastAsia="仿宋_GB2312" w:cs="Times New Roman"/>
                <w:sz w:val="21"/>
                <w:szCs w:val="21"/>
              </w:rPr>
            </w:pPr>
          </w:p>
        </w:tc>
      </w:tr>
      <w:tr>
        <w:tblPrEx>
          <w:tblLayout w:type="fixed"/>
          <w:tblCellMar>
            <w:top w:w="0" w:type="dxa"/>
            <w:left w:w="108" w:type="dxa"/>
            <w:bottom w:w="0" w:type="dxa"/>
            <w:right w:w="108" w:type="dxa"/>
          </w:tblCellMar>
        </w:tblPrEx>
        <w:trPr>
          <w:trHeight w:val="227" w:hRule="atLeast"/>
        </w:trPr>
        <w:tc>
          <w:tcPr>
            <w:tcW w:w="68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b/>
                <w:bCs/>
                <w:color w:val="000000"/>
                <w:sz w:val="21"/>
                <w:szCs w:val="21"/>
              </w:rPr>
            </w:pPr>
            <w:r>
              <w:rPr>
                <w:rFonts w:hint="eastAsia" w:ascii="仿宋_GB2312" w:hAnsi="等线" w:eastAsia="仿宋_GB2312"/>
                <w:b/>
                <w:bCs/>
                <w:color w:val="000000"/>
                <w:sz w:val="21"/>
                <w:szCs w:val="21"/>
              </w:rPr>
              <w:t>合计</w:t>
            </w:r>
          </w:p>
        </w:tc>
        <w:tc>
          <w:tcPr>
            <w:tcW w:w="80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100</w:t>
            </w:r>
          </w:p>
        </w:tc>
        <w:tc>
          <w:tcPr>
            <w:tcW w:w="1122"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　</w:t>
            </w:r>
          </w:p>
        </w:tc>
        <w:tc>
          <w:tcPr>
            <w:tcW w:w="1305"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w:t>
            </w:r>
          </w:p>
        </w:tc>
        <w:tc>
          <w:tcPr>
            <w:tcW w:w="720" w:type="dxa"/>
            <w:tcBorders>
              <w:top w:val="nil"/>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8</w:t>
            </w:r>
            <w:r>
              <w:rPr>
                <w:rFonts w:ascii="仿宋_GB2312" w:hAnsi="等线" w:eastAsia="仿宋_GB2312"/>
                <w:b/>
                <w:bCs/>
                <w:color w:val="000000"/>
                <w:sz w:val="21"/>
                <w:szCs w:val="21"/>
              </w:rPr>
              <w:t>4</w:t>
            </w:r>
            <w:r>
              <w:rPr>
                <w:rFonts w:hint="eastAsia" w:ascii="仿宋_GB2312" w:hAnsi="等线" w:eastAsia="仿宋_GB2312"/>
                <w:b/>
                <w:bCs/>
                <w:color w:val="000000"/>
                <w:sz w:val="21"/>
                <w:szCs w:val="21"/>
              </w:rPr>
              <w:t>.</w:t>
            </w:r>
            <w:r>
              <w:rPr>
                <w:rFonts w:ascii="仿宋_GB2312" w:hAnsi="等线" w:eastAsia="仿宋_GB2312"/>
                <w:b/>
                <w:bCs/>
                <w:color w:val="000000"/>
                <w:sz w:val="21"/>
                <w:szCs w:val="21"/>
              </w:rPr>
              <w:t>8</w:t>
            </w:r>
          </w:p>
        </w:tc>
        <w:tc>
          <w:tcPr>
            <w:tcW w:w="267" w:type="dxa"/>
            <w:vAlign w:val="center"/>
          </w:tcPr>
          <w:p>
            <w:pPr>
              <w:snapToGrid w:val="0"/>
              <w:spacing w:line="240" w:lineRule="atLeast"/>
              <w:rPr>
                <w:rFonts w:ascii="仿宋_GB2312" w:hAnsi="Times New Roman" w:eastAsia="仿宋_GB2312" w:cs="Times New Roman"/>
                <w:sz w:val="21"/>
                <w:szCs w:val="21"/>
              </w:rPr>
            </w:pPr>
          </w:p>
        </w:tc>
      </w:tr>
    </w:tbl>
    <w:p>
      <w:pPr>
        <w:pStyle w:val="195"/>
        <w:spacing w:line="520" w:lineRule="exact"/>
        <w:outlineLvl w:val="2"/>
      </w:pPr>
      <w:bookmarkStart w:id="56" w:name="_Toc106125108"/>
      <w:r>
        <w:t>2.</w:t>
      </w:r>
      <w:r>
        <w:rPr>
          <w:rFonts w:hint="eastAsia"/>
        </w:rPr>
        <w:t>主要绩效</w:t>
      </w:r>
    </w:p>
    <w:p>
      <w:pPr>
        <w:pStyle w:val="200"/>
        <w:spacing w:line="520" w:lineRule="exact"/>
        <w:ind w:firstLine="600"/>
        <w:rPr>
          <w:sz w:val="30"/>
          <w:szCs w:val="30"/>
        </w:rPr>
      </w:pPr>
      <w:bookmarkStart w:id="57" w:name="_Hlk108909719"/>
      <w:r>
        <w:rPr>
          <w:rFonts w:hint="eastAsia"/>
          <w:sz w:val="30"/>
          <w:szCs w:val="30"/>
        </w:rPr>
        <w:t>根据上海市及崇明区关于终身教育和民办教育的相关要求，崇明区教育局2</w:t>
      </w:r>
      <w:r>
        <w:rPr>
          <w:sz w:val="30"/>
          <w:szCs w:val="30"/>
        </w:rPr>
        <w:t>022</w:t>
      </w:r>
      <w:r>
        <w:rPr>
          <w:rFonts w:hint="eastAsia"/>
          <w:sz w:val="30"/>
          <w:szCs w:val="30"/>
        </w:rPr>
        <w:t>年完成了三类</w:t>
      </w:r>
      <w:r>
        <w:rPr>
          <w:sz w:val="30"/>
          <w:szCs w:val="30"/>
        </w:rPr>
        <w:t>学习点</w:t>
      </w:r>
      <w:r>
        <w:rPr>
          <w:rFonts w:hint="eastAsia"/>
          <w:sz w:val="30"/>
          <w:szCs w:val="30"/>
        </w:rPr>
        <w:t>建设，扶持了社区学院和成校发展，</w:t>
      </w:r>
      <w:r>
        <w:rPr>
          <w:sz w:val="30"/>
          <w:szCs w:val="30"/>
        </w:rPr>
        <w:t>2所学校被评为市优质校</w:t>
      </w:r>
      <w:r>
        <w:rPr>
          <w:rFonts w:hint="eastAsia"/>
          <w:sz w:val="30"/>
          <w:szCs w:val="30"/>
        </w:rPr>
        <w:t>，推动老年人学习团队建设，不断优化终身教育课程，进一步扶持民办教育发展，加强民办学校管理取得一定成效</w:t>
      </w:r>
      <w:r>
        <w:rPr>
          <w:sz w:val="30"/>
          <w:szCs w:val="30"/>
        </w:rPr>
        <w:t>。</w:t>
      </w:r>
    </w:p>
    <w:p>
      <w:pPr>
        <w:pStyle w:val="200"/>
        <w:spacing w:line="520" w:lineRule="exact"/>
        <w:ind w:firstLine="600"/>
        <w:rPr>
          <w:sz w:val="30"/>
          <w:szCs w:val="30"/>
        </w:rPr>
      </w:pPr>
      <w:r>
        <w:rPr>
          <w:rFonts w:hint="eastAsia"/>
          <w:sz w:val="30"/>
          <w:szCs w:val="30"/>
        </w:rPr>
        <w:t>项目立项程序规范，财务管理制度健全，工作计划完整、项目档案管理制度健全，完成了</w:t>
      </w:r>
      <w:r>
        <w:rPr>
          <w:sz w:val="30"/>
          <w:szCs w:val="30"/>
        </w:rPr>
        <w:t>老年教育三类学习点建设</w:t>
      </w:r>
      <w:r>
        <w:rPr>
          <w:rFonts w:hint="eastAsia"/>
          <w:sz w:val="30"/>
          <w:szCs w:val="30"/>
        </w:rPr>
        <w:t>任务，实际完成新创建学习点</w:t>
      </w:r>
      <w:r>
        <w:rPr>
          <w:sz w:val="30"/>
          <w:szCs w:val="30"/>
        </w:rPr>
        <w:t>5个</w:t>
      </w:r>
      <w:r>
        <w:rPr>
          <w:rFonts w:hint="eastAsia"/>
          <w:sz w:val="30"/>
          <w:szCs w:val="30"/>
        </w:rPr>
        <w:t>、完成了</w:t>
      </w:r>
      <w:r>
        <w:rPr>
          <w:sz w:val="30"/>
          <w:szCs w:val="30"/>
        </w:rPr>
        <w:t>终身教育</w:t>
      </w:r>
      <w:r>
        <w:rPr>
          <w:rFonts w:hint="eastAsia"/>
          <w:sz w:val="30"/>
          <w:szCs w:val="30"/>
        </w:rPr>
        <w:t>服务相关</w:t>
      </w:r>
      <w:r>
        <w:rPr>
          <w:sz w:val="30"/>
          <w:szCs w:val="30"/>
        </w:rPr>
        <w:t>工作</w:t>
      </w:r>
      <w:r>
        <w:rPr>
          <w:rFonts w:hint="eastAsia"/>
          <w:sz w:val="30"/>
          <w:szCs w:val="30"/>
        </w:rPr>
        <w:t>，完成了民办培训市场综合治理工作</w:t>
      </w:r>
      <w:r>
        <w:rPr>
          <w:rFonts w:hint="eastAsia"/>
          <w:sz w:val="30"/>
          <w:szCs w:val="30"/>
          <w:lang w:val="en-US"/>
        </w:rPr>
        <w:t>，完成对4</w:t>
      </w:r>
      <w:r>
        <w:rPr>
          <w:sz w:val="30"/>
          <w:szCs w:val="30"/>
          <w:lang w:val="en-US"/>
        </w:rPr>
        <w:t>8</w:t>
      </w:r>
      <w:r>
        <w:rPr>
          <w:rFonts w:hint="eastAsia"/>
          <w:sz w:val="30"/>
          <w:szCs w:val="30"/>
          <w:lang w:val="en-US"/>
        </w:rPr>
        <w:t>家培训结构的监督管理，</w:t>
      </w:r>
      <w:r>
        <w:rPr>
          <w:rFonts w:hint="eastAsia"/>
          <w:sz w:val="30"/>
          <w:szCs w:val="30"/>
        </w:rPr>
        <w:t>学习型数据监测系统数据填报准确，</w:t>
      </w:r>
      <w:r>
        <w:rPr>
          <w:sz w:val="30"/>
          <w:szCs w:val="30"/>
        </w:rPr>
        <w:t>基层老年教育成效</w:t>
      </w:r>
      <w:r>
        <w:rPr>
          <w:rFonts w:hint="eastAsia"/>
          <w:sz w:val="30"/>
          <w:szCs w:val="30"/>
        </w:rPr>
        <w:t>和</w:t>
      </w:r>
      <w:r>
        <w:rPr>
          <w:sz w:val="30"/>
          <w:szCs w:val="30"/>
        </w:rPr>
        <w:t>终身教育成效</w:t>
      </w:r>
      <w:r>
        <w:rPr>
          <w:rFonts w:hint="eastAsia"/>
          <w:sz w:val="30"/>
          <w:szCs w:val="30"/>
        </w:rPr>
        <w:t>较为显著，</w:t>
      </w:r>
      <w:r>
        <w:rPr>
          <w:sz w:val="30"/>
          <w:szCs w:val="30"/>
        </w:rPr>
        <w:t>终身学习便利度及多样性</w:t>
      </w:r>
      <w:r>
        <w:rPr>
          <w:rFonts w:hint="eastAsia"/>
          <w:sz w:val="30"/>
          <w:szCs w:val="30"/>
        </w:rPr>
        <w:t>较强，</w:t>
      </w:r>
      <w:r>
        <w:rPr>
          <w:sz w:val="30"/>
          <w:szCs w:val="30"/>
        </w:rPr>
        <w:t>终身教育宣传</w:t>
      </w:r>
      <w:r>
        <w:rPr>
          <w:rFonts w:hint="eastAsia"/>
          <w:sz w:val="30"/>
          <w:szCs w:val="30"/>
        </w:rPr>
        <w:t>比较到位，</w:t>
      </w:r>
      <w:r>
        <w:rPr>
          <w:sz w:val="30"/>
          <w:szCs w:val="30"/>
        </w:rPr>
        <w:t>民办学校教学设施设备使用率</w:t>
      </w:r>
      <w:r>
        <w:rPr>
          <w:rFonts w:hint="eastAsia"/>
          <w:sz w:val="30"/>
          <w:szCs w:val="30"/>
        </w:rPr>
        <w:t>达到1</w:t>
      </w:r>
      <w:r>
        <w:rPr>
          <w:sz w:val="30"/>
          <w:szCs w:val="30"/>
        </w:rPr>
        <w:t>00</w:t>
      </w:r>
      <w:r>
        <w:rPr>
          <w:rFonts w:hint="eastAsia"/>
          <w:sz w:val="30"/>
          <w:szCs w:val="30"/>
        </w:rPr>
        <w:t>%，</w:t>
      </w:r>
      <w:r>
        <w:rPr>
          <w:rFonts w:hint="eastAsia" w:ascii="仿宋_GB2312"/>
          <w:sz w:val="30"/>
          <w:szCs w:val="30"/>
        </w:rPr>
        <w:t>民办学校学生体质健康优良率为</w:t>
      </w:r>
      <w:r>
        <w:rPr>
          <w:rFonts w:ascii="仿宋_GB2312"/>
          <w:sz w:val="30"/>
          <w:szCs w:val="30"/>
        </w:rPr>
        <w:t>53</w:t>
      </w:r>
      <w:r>
        <w:rPr>
          <w:rFonts w:hint="eastAsia" w:ascii="仿宋_GB2312"/>
          <w:sz w:val="30"/>
          <w:szCs w:val="30"/>
        </w:rPr>
        <w:t>%，高于5</w:t>
      </w:r>
      <w:r>
        <w:rPr>
          <w:rFonts w:ascii="仿宋_GB2312"/>
          <w:sz w:val="30"/>
          <w:szCs w:val="30"/>
        </w:rPr>
        <w:t>2</w:t>
      </w:r>
      <w:r>
        <w:rPr>
          <w:rFonts w:hint="eastAsia" w:ascii="仿宋_GB2312"/>
          <w:sz w:val="30"/>
          <w:szCs w:val="30"/>
        </w:rPr>
        <w:t>%，</w:t>
      </w:r>
      <w:r>
        <w:rPr>
          <w:sz w:val="30"/>
          <w:szCs w:val="30"/>
        </w:rPr>
        <w:t>学科类培训机构</w:t>
      </w:r>
      <w:r>
        <w:rPr>
          <w:rFonts w:hint="eastAsia"/>
          <w:sz w:val="30"/>
          <w:szCs w:val="30"/>
        </w:rPr>
        <w:t>0</w:t>
      </w:r>
      <w:r>
        <w:rPr>
          <w:sz w:val="30"/>
          <w:szCs w:val="30"/>
        </w:rPr>
        <w:t>新增</w:t>
      </w:r>
      <w:r>
        <w:rPr>
          <w:rFonts w:hint="eastAsia"/>
          <w:sz w:val="30"/>
          <w:szCs w:val="30"/>
        </w:rPr>
        <w:t>，但是个别项目立项依据不充分，预算编制不合理、资金分配标准不明确，绩效目标指标不合理，个别学校资金有结余，业务管理制度不健全，合同管理不到位，部分项目没有完成，长效机制还需完善。</w:t>
      </w:r>
    </w:p>
    <w:bookmarkEnd w:id="57"/>
    <w:p>
      <w:pPr>
        <w:pStyle w:val="195"/>
        <w:spacing w:line="560" w:lineRule="exact"/>
        <w:ind w:firstLine="643"/>
        <w:outlineLvl w:val="1"/>
        <w:rPr>
          <w:sz w:val="32"/>
          <w:szCs w:val="32"/>
        </w:rPr>
      </w:pPr>
      <w:bookmarkStart w:id="58" w:name="_Toc5244"/>
      <w:r>
        <w:rPr>
          <w:sz w:val="32"/>
          <w:szCs w:val="32"/>
        </w:rPr>
        <w:t>（二）</w:t>
      </w:r>
      <w:bookmarkEnd w:id="56"/>
      <w:r>
        <w:rPr>
          <w:rFonts w:hint="eastAsia"/>
          <w:sz w:val="32"/>
          <w:szCs w:val="32"/>
        </w:rPr>
        <w:t>具体绩效分析</w:t>
      </w:r>
      <w:bookmarkEnd w:id="58"/>
    </w:p>
    <w:p>
      <w:pPr>
        <w:pStyle w:val="195"/>
        <w:spacing w:line="520" w:lineRule="exact"/>
        <w:outlineLvl w:val="2"/>
      </w:pPr>
      <w:bookmarkStart w:id="59" w:name="_Hlk137653712"/>
      <w:r>
        <w:rPr>
          <w:rFonts w:hint="eastAsia"/>
        </w:rPr>
        <w:t>1</w:t>
      </w:r>
      <w:r>
        <w:t>.</w:t>
      </w:r>
      <w:r>
        <w:rPr>
          <w:rFonts w:hint="eastAsia"/>
        </w:rPr>
        <w:t xml:space="preserve"> 项目决策分析</w:t>
      </w:r>
    </w:p>
    <w:p>
      <w:pPr>
        <w:pStyle w:val="103"/>
        <w:ind w:firstLine="602"/>
        <w:jc w:val="both"/>
        <w:rPr>
          <w:rFonts w:ascii="仿宋_GB2312"/>
          <w:b/>
          <w:bCs/>
          <w:sz w:val="30"/>
          <w:szCs w:val="30"/>
        </w:rPr>
      </w:pPr>
      <w:r>
        <w:rPr>
          <w:rFonts w:hAnsi="仿宋"/>
          <w:b/>
          <w:bCs/>
          <w:sz w:val="30"/>
          <w:szCs w:val="30"/>
        </w:rPr>
        <w:t>A11立项依据充分性</w:t>
      </w:r>
      <w:r>
        <w:rPr>
          <w:rFonts w:hint="eastAsia" w:ascii="仿宋_GB2312"/>
          <w:b/>
          <w:bCs/>
          <w:sz w:val="30"/>
          <w:szCs w:val="30"/>
        </w:rPr>
        <w:t>，权重</w:t>
      </w:r>
      <w:r>
        <w:rPr>
          <w:rFonts w:hAnsi="仿宋"/>
          <w:b/>
          <w:bCs/>
          <w:sz w:val="30"/>
          <w:szCs w:val="30"/>
        </w:rPr>
        <w:t>4</w:t>
      </w:r>
      <w:r>
        <w:rPr>
          <w:rFonts w:hint="eastAsia" w:ascii="仿宋_GB2312"/>
          <w:b/>
          <w:bCs/>
          <w:sz w:val="30"/>
          <w:szCs w:val="30"/>
        </w:rPr>
        <w:t>分，得</w:t>
      </w:r>
      <w:r>
        <w:rPr>
          <w:rFonts w:hAnsi="仿宋"/>
          <w:b/>
          <w:bCs/>
          <w:sz w:val="30"/>
          <w:szCs w:val="30"/>
        </w:rPr>
        <w:t>3.6</w:t>
      </w:r>
      <w:r>
        <w:rPr>
          <w:rFonts w:hint="eastAsia" w:ascii="仿宋_GB2312"/>
          <w:b/>
          <w:bCs/>
          <w:sz w:val="30"/>
          <w:szCs w:val="30"/>
        </w:rPr>
        <w:t>分。</w:t>
      </w:r>
    </w:p>
    <w:p>
      <w:pPr>
        <w:pStyle w:val="209"/>
        <w:spacing w:line="520" w:lineRule="exact"/>
        <w:ind w:firstLine="600"/>
        <w:rPr>
          <w:rFonts w:hAnsi="仿宋"/>
          <w:sz w:val="30"/>
          <w:szCs w:val="30"/>
        </w:rPr>
      </w:pPr>
      <w:r>
        <w:rPr>
          <w:rFonts w:hAnsi="仿宋"/>
          <w:sz w:val="30"/>
          <w:szCs w:val="30"/>
        </w:rPr>
        <w:t>2022</w:t>
      </w:r>
      <w:r>
        <w:rPr>
          <w:rFonts w:hint="eastAsia" w:hAnsi="仿宋"/>
          <w:sz w:val="30"/>
          <w:szCs w:val="30"/>
        </w:rPr>
        <w:t>年成职科内涵发展经费项目根据《中国教育现代化</w:t>
      </w:r>
      <w:r>
        <w:rPr>
          <w:rFonts w:hAnsi="仿宋"/>
          <w:sz w:val="30"/>
          <w:szCs w:val="30"/>
        </w:rPr>
        <w:t>2035》</w:t>
      </w:r>
      <w:r>
        <w:rPr>
          <w:rFonts w:hint="eastAsia" w:hAnsi="仿宋"/>
          <w:sz w:val="30"/>
          <w:szCs w:val="30"/>
        </w:rPr>
        <w:t>、《关于印发“十四五”国家老龄事业发展和养老服务体系规划的通知》（国发〔</w:t>
      </w:r>
      <w:r>
        <w:rPr>
          <w:rFonts w:hAnsi="仿宋"/>
          <w:sz w:val="30"/>
          <w:szCs w:val="30"/>
        </w:rPr>
        <w:t>2021〕35号）</w:t>
      </w:r>
      <w:r>
        <w:rPr>
          <w:rFonts w:hint="eastAsia" w:hAnsi="仿宋"/>
          <w:sz w:val="30"/>
          <w:szCs w:val="30"/>
        </w:rPr>
        <w:t>《上海市教育委员会</w:t>
      </w:r>
      <w:r>
        <w:rPr>
          <w:rFonts w:hAnsi="仿宋"/>
          <w:sz w:val="30"/>
          <w:szCs w:val="30"/>
        </w:rPr>
        <w:t xml:space="preserve">  上海市学习型社会建设与终身教育促进委员会办公室关于印发&lt;上海市终身教育发展“十四五”规划&gt;的通知》（沪教委终〔2022〕2号）</w:t>
      </w:r>
      <w:r>
        <w:rPr>
          <w:rFonts w:hint="eastAsia" w:hAnsi="仿宋"/>
          <w:sz w:val="30"/>
          <w:szCs w:val="30"/>
        </w:rPr>
        <w:t>《上海市老年教育发展“十四五”规划》（沪教委终〔</w:t>
      </w:r>
      <w:r>
        <w:rPr>
          <w:rFonts w:hAnsi="仿宋"/>
          <w:sz w:val="30"/>
          <w:szCs w:val="30"/>
        </w:rPr>
        <w:t>2022〕3号）</w:t>
      </w:r>
      <w:r>
        <w:rPr>
          <w:rFonts w:hint="eastAsia" w:hAnsi="仿宋"/>
          <w:sz w:val="30"/>
          <w:szCs w:val="30"/>
        </w:rPr>
        <w:t>《</w:t>
      </w:r>
      <w:r>
        <w:rPr>
          <w:rFonts w:hAnsi="仿宋"/>
          <w:sz w:val="30"/>
          <w:szCs w:val="30"/>
        </w:rPr>
        <w:t>2022年上海市老年教育工作要点》（沪老教办〔2022〕1号）</w:t>
      </w:r>
      <w:r>
        <w:rPr>
          <w:rFonts w:hint="eastAsia" w:hAnsi="仿宋"/>
          <w:sz w:val="30"/>
          <w:szCs w:val="30"/>
        </w:rPr>
        <w:t>《上海市学习型社会建设与终身教育促进委员会办公室关于开展</w:t>
      </w:r>
      <w:r>
        <w:rPr>
          <w:rFonts w:hAnsi="仿宋"/>
          <w:sz w:val="30"/>
          <w:szCs w:val="30"/>
        </w:rPr>
        <w:t>2022年度学习型城区监测数据填报工作的通知》（沪学习促进办〔2022〕3号）</w:t>
      </w:r>
      <w:r>
        <w:rPr>
          <w:rFonts w:hint="eastAsia" w:hAnsi="仿宋"/>
          <w:sz w:val="30"/>
          <w:szCs w:val="30"/>
        </w:rPr>
        <w:t>《上海市崇明区人民政府办公室关于印发</w:t>
      </w:r>
      <w:r>
        <w:rPr>
          <w:rFonts w:hAnsi="仿宋"/>
          <w:sz w:val="30"/>
          <w:szCs w:val="30"/>
        </w:rPr>
        <w:t>&lt;崇明区老龄事业发展“十四五”规划&gt;的通知》（沪崇府办发〔2021〕28号）</w:t>
      </w:r>
      <w:r>
        <w:rPr>
          <w:rFonts w:hint="eastAsia" w:hAnsi="仿宋"/>
          <w:sz w:val="30"/>
          <w:szCs w:val="30"/>
        </w:rPr>
        <w:t>《</w:t>
      </w:r>
      <w:r>
        <w:rPr>
          <w:rFonts w:hAnsi="仿宋"/>
          <w:sz w:val="30"/>
          <w:szCs w:val="30"/>
        </w:rPr>
        <w:t>2022年崇明区老年教育工作要点》（区老教办〔2022〕第1号）</w:t>
      </w:r>
      <w:r>
        <w:rPr>
          <w:rFonts w:hint="eastAsia" w:hAnsi="仿宋"/>
          <w:sz w:val="30"/>
          <w:szCs w:val="30"/>
        </w:rPr>
        <w:t>《中华人民共和国民办教育促进法实施条例》（国务院令第</w:t>
      </w:r>
      <w:r>
        <w:rPr>
          <w:rFonts w:hAnsi="仿宋"/>
          <w:sz w:val="30"/>
          <w:szCs w:val="30"/>
        </w:rPr>
        <w:t>741号）</w:t>
      </w:r>
      <w:r>
        <w:rPr>
          <w:rFonts w:hint="eastAsia" w:hAnsi="仿宋"/>
          <w:sz w:val="30"/>
          <w:szCs w:val="30"/>
        </w:rPr>
        <w:t>《上海市人民政府关于促进民办教育健康发展的实施意见》（沪府发〔</w:t>
      </w:r>
      <w:r>
        <w:rPr>
          <w:rFonts w:hAnsi="仿宋"/>
          <w:sz w:val="30"/>
          <w:szCs w:val="30"/>
        </w:rPr>
        <w:t>2017〕94号）</w:t>
      </w:r>
      <w:r>
        <w:rPr>
          <w:rFonts w:hint="eastAsia" w:hAnsi="仿宋"/>
          <w:sz w:val="30"/>
          <w:szCs w:val="30"/>
        </w:rPr>
        <w:t>《教育部、中央编办、司法部关于加强教育行政执法，深入推进校外培训综合治理的意见》（教监管〔</w:t>
      </w:r>
      <w:r>
        <w:rPr>
          <w:rFonts w:hAnsi="仿宋"/>
          <w:sz w:val="30"/>
          <w:szCs w:val="30"/>
        </w:rPr>
        <w:t>2022〕1号）</w:t>
      </w:r>
      <w:r>
        <w:rPr>
          <w:rFonts w:hint="eastAsia" w:hAnsi="仿宋"/>
          <w:sz w:val="30"/>
          <w:szCs w:val="30"/>
        </w:rPr>
        <w:t>《上海市人民政府办公厅关于转发市教委等四部门制订的</w:t>
      </w:r>
      <w:r>
        <w:rPr>
          <w:rFonts w:hAnsi="仿宋"/>
          <w:sz w:val="30"/>
          <w:szCs w:val="30"/>
        </w:rPr>
        <w:t>&lt;上海市民办培训机构设置标准&gt;&lt;上海市营利性民办培训机构管理办法&gt;&lt;上海市非营利性民办培训机构管理办法&gt;的通知》（沪府办发〔2017〕82号）</w:t>
      </w:r>
      <w:r>
        <w:rPr>
          <w:rFonts w:hint="eastAsia" w:hAnsi="仿宋"/>
          <w:sz w:val="30"/>
          <w:szCs w:val="30"/>
        </w:rPr>
        <w:t>《上海市政府关于进一步完善本市城乡义务教育经费保障机制的通知》（沪府发〔</w:t>
      </w:r>
      <w:r>
        <w:rPr>
          <w:rFonts w:hAnsi="仿宋"/>
          <w:sz w:val="30"/>
          <w:szCs w:val="30"/>
        </w:rPr>
        <w:t>2016〕35号）等</w:t>
      </w:r>
      <w:r>
        <w:rPr>
          <w:rFonts w:hint="eastAsia" w:hAnsi="仿宋"/>
          <w:sz w:val="30"/>
          <w:szCs w:val="30"/>
        </w:rPr>
        <w:t>政策要求</w:t>
      </w:r>
      <w:r>
        <w:rPr>
          <w:rFonts w:hAnsi="仿宋"/>
          <w:sz w:val="30"/>
          <w:szCs w:val="30"/>
        </w:rPr>
        <w:t>和区教育局</w:t>
      </w:r>
      <w:r>
        <w:rPr>
          <w:rFonts w:hint="eastAsia" w:hAnsi="仿宋"/>
          <w:sz w:val="30"/>
          <w:szCs w:val="30"/>
        </w:rPr>
        <w:t>职能</w:t>
      </w:r>
      <w:r>
        <w:rPr>
          <w:rFonts w:hAnsi="仿宋"/>
          <w:sz w:val="30"/>
          <w:szCs w:val="30"/>
        </w:rPr>
        <w:t>设立，项目立项</w:t>
      </w:r>
      <w:r>
        <w:rPr>
          <w:rFonts w:hint="eastAsia" w:hAnsi="仿宋"/>
          <w:sz w:val="30"/>
          <w:szCs w:val="30"/>
        </w:rPr>
        <w:t>基本</w:t>
      </w:r>
      <w:r>
        <w:rPr>
          <w:rFonts w:hAnsi="仿宋"/>
          <w:sz w:val="30"/>
          <w:szCs w:val="30"/>
        </w:rPr>
        <w:t>符合国家法律法规和相关政策规划要求</w:t>
      </w:r>
      <w:r>
        <w:rPr>
          <w:rFonts w:hint="eastAsia" w:hAnsi="仿宋"/>
          <w:sz w:val="30"/>
          <w:szCs w:val="30"/>
        </w:rPr>
        <w:t>，</w:t>
      </w:r>
      <w:r>
        <w:rPr>
          <w:rFonts w:hAnsi="仿宋"/>
          <w:sz w:val="30"/>
          <w:szCs w:val="30"/>
        </w:rPr>
        <w:t>与区教育局部门职责相符</w:t>
      </w:r>
      <w:r>
        <w:rPr>
          <w:rFonts w:hint="eastAsia" w:hAnsi="仿宋"/>
          <w:sz w:val="30"/>
          <w:szCs w:val="30"/>
        </w:rPr>
        <w:t>，</w:t>
      </w:r>
      <w:r>
        <w:rPr>
          <w:rFonts w:hAnsi="仿宋"/>
          <w:sz w:val="30"/>
          <w:szCs w:val="30"/>
        </w:rPr>
        <w:t>属于公共财政支出范围。</w:t>
      </w:r>
      <w:r>
        <w:rPr>
          <w:rFonts w:hint="eastAsia" w:hAnsi="仿宋"/>
          <w:sz w:val="30"/>
          <w:szCs w:val="30"/>
        </w:rPr>
        <w:t>但存在以下问题①</w:t>
      </w:r>
      <w:r>
        <w:rPr>
          <w:rFonts w:hAnsi="仿宋"/>
          <w:sz w:val="30"/>
          <w:szCs w:val="30"/>
        </w:rPr>
        <w:t>成人学校考核奖励经费项目立项依据不充分，《上海市终身教育促进条例》中明确“本市对终身教育工作中做出突出成绩的单位和个人，按照有关规定给予表彰奖励”，文件指出对有突出成绩的单位和个人给予奖励，而不是对所有成校进行奖励，该项目对6所成校均有奖励，与政策文件精神不相符合。</w:t>
      </w:r>
      <w:r>
        <w:rPr>
          <w:rFonts w:hint="eastAsia" w:hAnsi="仿宋"/>
          <w:sz w:val="30"/>
          <w:szCs w:val="30"/>
        </w:rPr>
        <w:t>②</w:t>
      </w:r>
      <w:r>
        <w:rPr>
          <w:rFonts w:hAnsi="仿宋"/>
          <w:sz w:val="30"/>
          <w:szCs w:val="30"/>
        </w:rPr>
        <w:t>成人学校集团化办学经费子项目也无明确的政策立项依据。</w:t>
      </w:r>
    </w:p>
    <w:p>
      <w:pPr>
        <w:pStyle w:val="103"/>
        <w:ind w:firstLine="600"/>
        <w:jc w:val="both"/>
        <w:rPr>
          <w:rFonts w:ascii="仿宋_GB2312"/>
          <w:sz w:val="30"/>
          <w:szCs w:val="30"/>
        </w:rPr>
      </w:pPr>
      <w:r>
        <w:rPr>
          <w:rFonts w:hAnsi="仿宋"/>
          <w:sz w:val="30"/>
          <w:szCs w:val="30"/>
        </w:rPr>
        <w:t>故根据评分标准，</w:t>
      </w:r>
      <w:r>
        <w:rPr>
          <w:rFonts w:hint="eastAsia" w:hAnsi="仿宋"/>
          <w:sz w:val="30"/>
          <w:szCs w:val="30"/>
        </w:rPr>
        <w:t>扣权重分</w:t>
      </w:r>
      <w:r>
        <w:rPr>
          <w:rFonts w:hAnsi="仿宋"/>
          <w:sz w:val="30"/>
          <w:szCs w:val="30"/>
        </w:rPr>
        <w:t>10</w:t>
      </w:r>
      <w:r>
        <w:rPr>
          <w:rFonts w:hint="eastAsia" w:hAnsi="仿宋"/>
          <w:sz w:val="30"/>
          <w:szCs w:val="30"/>
        </w:rPr>
        <w:t>%</w:t>
      </w:r>
      <w:r>
        <w:rPr>
          <w:rFonts w:hAnsi="仿宋"/>
          <w:sz w:val="30"/>
          <w:szCs w:val="30"/>
        </w:rPr>
        <w:t>，该项指标得</w:t>
      </w:r>
      <w:r>
        <w:rPr>
          <w:rFonts w:hint="eastAsia" w:hAnsi="仿宋"/>
          <w:sz w:val="30"/>
          <w:szCs w:val="30"/>
        </w:rPr>
        <w:t>3</w:t>
      </w:r>
      <w:r>
        <w:rPr>
          <w:rFonts w:hAnsi="仿宋"/>
          <w:sz w:val="30"/>
          <w:szCs w:val="30"/>
        </w:rPr>
        <w:t>.6分</w:t>
      </w:r>
      <w:r>
        <w:rPr>
          <w:sz w:val="30"/>
          <w:szCs w:val="30"/>
        </w:rPr>
        <w:t>。</w:t>
      </w:r>
    </w:p>
    <w:p>
      <w:pPr>
        <w:pStyle w:val="103"/>
        <w:ind w:firstLine="602"/>
        <w:jc w:val="both"/>
        <w:rPr>
          <w:rFonts w:ascii="仿宋_GB2312"/>
          <w:b/>
          <w:bCs/>
          <w:sz w:val="30"/>
          <w:szCs w:val="30"/>
        </w:rPr>
      </w:pPr>
      <w:r>
        <w:rPr>
          <w:rFonts w:hAnsi="仿宋"/>
          <w:b/>
          <w:bCs/>
          <w:sz w:val="30"/>
          <w:szCs w:val="30"/>
        </w:rPr>
        <w:t>A12立项程序规范性</w:t>
      </w:r>
      <w:r>
        <w:rPr>
          <w:rFonts w:hint="eastAsia" w:ascii="仿宋_GB2312"/>
          <w:b/>
          <w:bCs/>
          <w:sz w:val="30"/>
          <w:szCs w:val="30"/>
        </w:rPr>
        <w:t>，权重</w:t>
      </w:r>
      <w:r>
        <w:rPr>
          <w:rFonts w:hAnsi="仿宋"/>
          <w:b/>
          <w:bCs/>
          <w:sz w:val="30"/>
          <w:szCs w:val="30"/>
        </w:rPr>
        <w:t>3</w:t>
      </w:r>
      <w:r>
        <w:rPr>
          <w:rFonts w:hint="eastAsia" w:ascii="仿宋_GB2312"/>
          <w:b/>
          <w:bCs/>
          <w:sz w:val="30"/>
          <w:szCs w:val="30"/>
        </w:rPr>
        <w:t>分，得</w:t>
      </w:r>
      <w:r>
        <w:rPr>
          <w:rFonts w:hAnsi="仿宋"/>
          <w:b/>
          <w:bCs/>
          <w:sz w:val="30"/>
          <w:szCs w:val="30"/>
        </w:rPr>
        <w:t>3</w:t>
      </w:r>
      <w:r>
        <w:rPr>
          <w:rFonts w:hint="eastAsia" w:ascii="仿宋_GB2312"/>
          <w:b/>
          <w:bCs/>
          <w:sz w:val="30"/>
          <w:szCs w:val="30"/>
        </w:rPr>
        <w:t>分。</w:t>
      </w:r>
    </w:p>
    <w:p>
      <w:pPr>
        <w:pStyle w:val="103"/>
        <w:ind w:firstLine="600"/>
        <w:jc w:val="both"/>
        <w:rPr>
          <w:rFonts w:hAnsi="仿宋"/>
          <w:sz w:val="30"/>
          <w:szCs w:val="30"/>
        </w:rPr>
      </w:pPr>
      <w:r>
        <w:rPr>
          <w:rFonts w:hAnsi="仿宋"/>
          <w:sz w:val="30"/>
          <w:szCs w:val="30"/>
        </w:rPr>
        <w:t>2022</w:t>
      </w:r>
      <w:r>
        <w:rPr>
          <w:rFonts w:hint="eastAsia" w:hAnsi="仿宋"/>
          <w:sz w:val="30"/>
          <w:szCs w:val="30"/>
        </w:rPr>
        <w:t>年成职科内涵发展经费</w:t>
      </w:r>
      <w:r>
        <w:rPr>
          <w:rFonts w:hAnsi="仿宋"/>
          <w:sz w:val="30"/>
          <w:szCs w:val="30"/>
        </w:rPr>
        <w:t>立项</w:t>
      </w:r>
      <w:r>
        <w:rPr>
          <w:rFonts w:hint="eastAsia" w:hAnsi="仿宋"/>
          <w:sz w:val="30"/>
          <w:szCs w:val="30"/>
        </w:rPr>
        <w:t>按照崇明区立项</w:t>
      </w:r>
      <w:r>
        <w:rPr>
          <w:rFonts w:hAnsi="仿宋"/>
          <w:sz w:val="30"/>
          <w:szCs w:val="30"/>
        </w:rPr>
        <w:t>申请、</w:t>
      </w:r>
      <w:r>
        <w:rPr>
          <w:rFonts w:hint="eastAsia" w:hAnsi="仿宋"/>
          <w:sz w:val="30"/>
          <w:szCs w:val="30"/>
        </w:rPr>
        <w:t>审批等程序实施，由区教育局申请，经</w:t>
      </w:r>
      <w:r>
        <w:rPr>
          <w:rFonts w:hAnsi="仿宋"/>
          <w:sz w:val="30"/>
          <w:szCs w:val="30"/>
        </w:rPr>
        <w:t>区财政局批复后纳入区教育局项目库中经常性项目，项目正式立项</w:t>
      </w:r>
      <w:r>
        <w:rPr>
          <w:rFonts w:hint="eastAsia" w:hAnsi="仿宋"/>
          <w:sz w:val="30"/>
          <w:szCs w:val="30"/>
        </w:rPr>
        <w:t>。</w:t>
      </w:r>
      <w:r>
        <w:rPr>
          <w:rFonts w:hAnsi="仿宋"/>
          <w:sz w:val="30"/>
          <w:szCs w:val="30"/>
        </w:rPr>
        <w:t>区教育局根据相关要求和规范申请</w:t>
      </w:r>
      <w:r>
        <w:rPr>
          <w:rFonts w:hint="eastAsia" w:hAnsi="仿宋"/>
          <w:sz w:val="30"/>
          <w:szCs w:val="30"/>
        </w:rPr>
        <w:t>了项目</w:t>
      </w:r>
      <w:r>
        <w:rPr>
          <w:rFonts w:hAnsi="仿宋"/>
          <w:sz w:val="30"/>
          <w:szCs w:val="30"/>
        </w:rPr>
        <w:t>预算及编制</w:t>
      </w:r>
      <w:r>
        <w:rPr>
          <w:rFonts w:hint="eastAsia" w:hAnsi="仿宋"/>
          <w:sz w:val="30"/>
          <w:szCs w:val="30"/>
        </w:rPr>
        <w:t>了项目</w:t>
      </w:r>
      <w:r>
        <w:rPr>
          <w:rFonts w:hAnsi="仿宋"/>
          <w:sz w:val="30"/>
          <w:szCs w:val="30"/>
        </w:rPr>
        <w:t>绩效目标表。项目立项程序规范，符合相关要求和规定；审批文件和材料符合要求。故根据评分标准，该项目立项程序规范，该项指标得满分3分</w:t>
      </w:r>
      <w:r>
        <w:rPr>
          <w:sz w:val="30"/>
          <w:szCs w:val="30"/>
        </w:rPr>
        <w:t>。</w:t>
      </w:r>
    </w:p>
    <w:p>
      <w:pPr>
        <w:pStyle w:val="103"/>
        <w:ind w:firstLine="602"/>
        <w:jc w:val="both"/>
        <w:rPr>
          <w:rFonts w:ascii="仿宋_GB2312"/>
          <w:b/>
          <w:bCs/>
          <w:sz w:val="30"/>
          <w:szCs w:val="30"/>
        </w:rPr>
      </w:pPr>
      <w:r>
        <w:rPr>
          <w:rFonts w:hAnsi="仿宋"/>
          <w:b/>
          <w:bCs/>
          <w:sz w:val="30"/>
          <w:szCs w:val="30"/>
        </w:rPr>
        <w:t>A21绩效目标合理性</w:t>
      </w:r>
      <w:r>
        <w:rPr>
          <w:rFonts w:hint="eastAsia" w:ascii="仿宋_GB2312"/>
          <w:b/>
          <w:bCs/>
          <w:sz w:val="30"/>
          <w:szCs w:val="30"/>
        </w:rPr>
        <w:t>，权重</w:t>
      </w:r>
      <w:r>
        <w:rPr>
          <w:rFonts w:hAnsi="仿宋"/>
          <w:b/>
          <w:bCs/>
          <w:sz w:val="30"/>
          <w:szCs w:val="30"/>
        </w:rPr>
        <w:t>3</w:t>
      </w:r>
      <w:r>
        <w:rPr>
          <w:rFonts w:hint="eastAsia" w:ascii="仿宋_GB2312"/>
          <w:b/>
          <w:bCs/>
          <w:sz w:val="30"/>
          <w:szCs w:val="30"/>
        </w:rPr>
        <w:t>分，得</w:t>
      </w:r>
      <w:r>
        <w:rPr>
          <w:rFonts w:hAnsi="仿宋"/>
          <w:b/>
          <w:bCs/>
          <w:sz w:val="30"/>
          <w:szCs w:val="30"/>
        </w:rPr>
        <w:t>2.4</w:t>
      </w:r>
      <w:r>
        <w:rPr>
          <w:rFonts w:hint="eastAsia" w:ascii="仿宋_GB2312"/>
          <w:b/>
          <w:bCs/>
          <w:sz w:val="30"/>
          <w:szCs w:val="30"/>
        </w:rPr>
        <w:t>分。</w:t>
      </w:r>
    </w:p>
    <w:p>
      <w:pPr>
        <w:pStyle w:val="103"/>
        <w:ind w:firstLine="600"/>
        <w:jc w:val="both"/>
        <w:rPr>
          <w:rFonts w:ascii="仿宋_GB2312"/>
          <w:sz w:val="30"/>
          <w:szCs w:val="30"/>
        </w:rPr>
      </w:pPr>
      <w:r>
        <w:rPr>
          <w:rFonts w:hAnsi="仿宋"/>
          <w:sz w:val="30"/>
          <w:szCs w:val="30"/>
        </w:rPr>
        <w:t>区教育局编制了</w:t>
      </w:r>
      <w:r>
        <w:rPr>
          <w:rFonts w:hint="eastAsia" w:hAnsi="仿宋"/>
          <w:sz w:val="30"/>
          <w:szCs w:val="30"/>
        </w:rPr>
        <w:t>2</w:t>
      </w:r>
      <w:r>
        <w:rPr>
          <w:rFonts w:hAnsi="仿宋"/>
          <w:sz w:val="30"/>
          <w:szCs w:val="30"/>
        </w:rPr>
        <w:t>022</w:t>
      </w:r>
      <w:r>
        <w:rPr>
          <w:rFonts w:hint="eastAsia" w:hAnsi="仿宋"/>
          <w:sz w:val="30"/>
          <w:szCs w:val="30"/>
        </w:rPr>
        <w:t>年</w:t>
      </w:r>
      <w:r>
        <w:rPr>
          <w:rFonts w:hAnsi="仿宋"/>
          <w:sz w:val="30"/>
          <w:szCs w:val="30"/>
        </w:rPr>
        <w:t>成职科内涵发展经费项目绩效目标表，</w:t>
      </w:r>
      <w:r>
        <w:rPr>
          <w:rFonts w:hint="eastAsia" w:hAnsi="仿宋"/>
          <w:sz w:val="30"/>
          <w:szCs w:val="30"/>
        </w:rPr>
        <w:t>绩效目标基本按照上海市、崇明区绩效目标要求编制，但存在以下问题：</w:t>
      </w:r>
      <w:r>
        <w:rPr>
          <w:rFonts w:hint="eastAsia" w:ascii="仿宋_GB2312" w:hAnsi="仿宋"/>
          <w:sz w:val="30"/>
          <w:szCs w:val="30"/>
        </w:rPr>
        <w:t>项目总目标和年度目标“贯彻中央关于形成全民学习、终身学习的学习型社会，促进人的全面发展的工作要求，满足市民终身学习的需求，积极发展继续教育，完善终身教育体系，促进全民学习、终身学习，加速推进本区学习型社会建设”，仅提炼了终身教育，缺少民办教育，与项目内容不符合</w:t>
      </w:r>
      <w:r>
        <w:rPr>
          <w:rFonts w:hAnsi="仿宋"/>
          <w:sz w:val="30"/>
          <w:szCs w:val="30"/>
        </w:rPr>
        <w:t>，</w:t>
      </w:r>
      <w:r>
        <w:rPr>
          <w:rFonts w:hint="eastAsia" w:hAnsi="仿宋"/>
          <w:sz w:val="30"/>
          <w:szCs w:val="30"/>
        </w:rPr>
        <w:t>根据评分标准，该指标</w:t>
      </w:r>
      <w:r>
        <w:rPr>
          <w:rFonts w:hAnsi="仿宋"/>
          <w:sz w:val="30"/>
          <w:szCs w:val="30"/>
        </w:rPr>
        <w:t>扣20</w:t>
      </w:r>
      <w:r>
        <w:rPr>
          <w:rFonts w:hint="eastAsia" w:hAnsi="仿宋"/>
          <w:sz w:val="30"/>
          <w:szCs w:val="30"/>
        </w:rPr>
        <w:t>%权重</w:t>
      </w:r>
      <w:r>
        <w:rPr>
          <w:rFonts w:hAnsi="仿宋"/>
          <w:sz w:val="30"/>
          <w:szCs w:val="30"/>
        </w:rPr>
        <w:t>分</w:t>
      </w:r>
      <w:r>
        <w:rPr>
          <w:rFonts w:hint="eastAsia" w:hAnsi="仿宋"/>
          <w:sz w:val="30"/>
          <w:szCs w:val="30"/>
        </w:rPr>
        <w:t>，</w:t>
      </w:r>
      <w:r>
        <w:rPr>
          <w:rFonts w:hAnsi="仿宋"/>
          <w:sz w:val="30"/>
          <w:szCs w:val="30"/>
        </w:rPr>
        <w:t>得2.4分</w:t>
      </w:r>
      <w:r>
        <w:rPr>
          <w:sz w:val="30"/>
          <w:szCs w:val="30"/>
        </w:rPr>
        <w:t>。</w:t>
      </w:r>
    </w:p>
    <w:p>
      <w:pPr>
        <w:pStyle w:val="103"/>
        <w:ind w:firstLine="602"/>
        <w:jc w:val="both"/>
        <w:rPr>
          <w:rFonts w:ascii="仿宋_GB2312"/>
          <w:b/>
          <w:bCs/>
          <w:sz w:val="30"/>
          <w:szCs w:val="30"/>
        </w:rPr>
      </w:pPr>
      <w:r>
        <w:rPr>
          <w:rFonts w:hAnsi="仿宋"/>
          <w:b/>
          <w:bCs/>
          <w:sz w:val="30"/>
          <w:szCs w:val="30"/>
        </w:rPr>
        <w:t>A22绩效指标明确性</w:t>
      </w:r>
      <w:r>
        <w:rPr>
          <w:rFonts w:hint="eastAsia" w:ascii="仿宋_GB2312"/>
          <w:b/>
          <w:bCs/>
          <w:sz w:val="30"/>
          <w:szCs w:val="30"/>
        </w:rPr>
        <w:t>，权重</w:t>
      </w:r>
      <w:r>
        <w:rPr>
          <w:rFonts w:hAnsi="仿宋"/>
          <w:b/>
          <w:bCs/>
          <w:sz w:val="30"/>
          <w:szCs w:val="30"/>
        </w:rPr>
        <w:t>3</w:t>
      </w:r>
      <w:r>
        <w:rPr>
          <w:rFonts w:hint="eastAsia" w:ascii="仿宋_GB2312"/>
          <w:b/>
          <w:bCs/>
          <w:sz w:val="30"/>
          <w:szCs w:val="30"/>
        </w:rPr>
        <w:t>分，得</w:t>
      </w:r>
      <w:r>
        <w:rPr>
          <w:rFonts w:hAnsi="仿宋"/>
          <w:b/>
          <w:bCs/>
          <w:sz w:val="30"/>
          <w:szCs w:val="30"/>
        </w:rPr>
        <w:t>1.5</w:t>
      </w:r>
      <w:r>
        <w:rPr>
          <w:rFonts w:hint="eastAsia" w:ascii="仿宋_GB2312"/>
          <w:b/>
          <w:bCs/>
          <w:sz w:val="30"/>
          <w:szCs w:val="30"/>
        </w:rPr>
        <w:t>分。</w:t>
      </w:r>
    </w:p>
    <w:p>
      <w:pPr>
        <w:pStyle w:val="103"/>
        <w:ind w:firstLine="600"/>
        <w:jc w:val="both"/>
        <w:rPr>
          <w:rFonts w:ascii="仿宋_GB2312"/>
          <w:sz w:val="30"/>
          <w:szCs w:val="30"/>
        </w:rPr>
      </w:pPr>
      <w:r>
        <w:rPr>
          <w:rFonts w:hAnsi="仿宋"/>
          <w:sz w:val="30"/>
          <w:szCs w:val="30"/>
        </w:rPr>
        <w:t>区教育局编制了</w:t>
      </w:r>
      <w:r>
        <w:rPr>
          <w:rFonts w:hint="eastAsia" w:hAnsi="仿宋"/>
          <w:sz w:val="30"/>
          <w:szCs w:val="30"/>
        </w:rPr>
        <w:t>2022年成职科内涵发展经费项目</w:t>
      </w:r>
      <w:r>
        <w:rPr>
          <w:rFonts w:hAnsi="仿宋"/>
          <w:sz w:val="30"/>
          <w:szCs w:val="30"/>
        </w:rPr>
        <w:t>绩效</w:t>
      </w:r>
      <w:r>
        <w:rPr>
          <w:rFonts w:hint="eastAsia" w:hAnsi="仿宋"/>
          <w:sz w:val="30"/>
          <w:szCs w:val="30"/>
        </w:rPr>
        <w:t>指标</w:t>
      </w:r>
      <w:r>
        <w:rPr>
          <w:rFonts w:hAnsi="仿宋"/>
          <w:sz w:val="30"/>
          <w:szCs w:val="30"/>
        </w:rPr>
        <w:t>，</w:t>
      </w:r>
      <w:r>
        <w:rPr>
          <w:rFonts w:hint="eastAsia" w:hAnsi="仿宋"/>
          <w:sz w:val="30"/>
          <w:szCs w:val="30"/>
        </w:rPr>
        <w:t>但存在以下问题：</w:t>
      </w:r>
      <w:r>
        <w:rPr>
          <w:rFonts w:hint="eastAsia" w:ascii="仿宋_GB2312" w:hAnsi="仿宋"/>
          <w:sz w:val="30"/>
          <w:szCs w:val="30"/>
        </w:rPr>
        <w:t>①产出</w:t>
      </w:r>
      <w:r>
        <w:rPr>
          <w:rFonts w:hint="eastAsia" w:hAnsi="仿宋"/>
          <w:sz w:val="30"/>
          <w:szCs w:val="30"/>
        </w:rPr>
        <w:t>指标不完整</w:t>
      </w:r>
      <w:r>
        <w:rPr>
          <w:rFonts w:hAnsi="仿宋"/>
          <w:sz w:val="30"/>
          <w:szCs w:val="30"/>
        </w:rPr>
        <w:t>，</w:t>
      </w:r>
      <w:r>
        <w:rPr>
          <w:rFonts w:hint="eastAsia" w:hAnsi="仿宋"/>
          <w:sz w:val="30"/>
          <w:szCs w:val="30"/>
        </w:rPr>
        <w:t>缺少成本指标；</w:t>
      </w:r>
      <w:r>
        <w:rPr>
          <w:rFonts w:hint="eastAsia" w:ascii="仿宋_GB2312" w:hAnsi="仿宋"/>
          <w:sz w:val="30"/>
          <w:szCs w:val="30"/>
        </w:rPr>
        <w:t>②</w:t>
      </w:r>
      <w:r>
        <w:rPr>
          <w:rFonts w:hint="eastAsia" w:hAnsi="仿宋"/>
          <w:sz w:val="30"/>
          <w:szCs w:val="30"/>
        </w:rPr>
        <w:t>效益指标进一个指标“提高老年学员参与度”，无法提现项目效益；</w:t>
      </w:r>
      <w:r>
        <w:rPr>
          <w:rFonts w:hint="eastAsia" w:ascii="仿宋_GB2312" w:hAnsi="仿宋"/>
          <w:sz w:val="30"/>
          <w:szCs w:val="30"/>
        </w:rPr>
        <w:t>③数量指标仅有一个指标“民办非学历教育机构评估数量”和项目内容、项目资金不匹配；</w:t>
      </w:r>
      <w:r>
        <w:rPr>
          <w:rFonts w:hint="eastAsia" w:ascii="仿宋_GB2312" w:hAnsi="宋体"/>
          <w:sz w:val="30"/>
          <w:szCs w:val="30"/>
        </w:rPr>
        <w:t>④</w:t>
      </w:r>
      <w:r>
        <w:rPr>
          <w:rFonts w:hint="eastAsia" w:ascii="仿宋_GB2312" w:hAnsi="仿宋"/>
          <w:sz w:val="30"/>
          <w:szCs w:val="30"/>
        </w:rPr>
        <w:t>质量指标仅设置了两个指标“成校及其他成人教育机构办学质量合格率”和“专款专用率”，和项目内容、项目资金不匹配；</w:t>
      </w:r>
      <w:r>
        <w:rPr>
          <w:rFonts w:hint="eastAsia" w:ascii="仿宋_GB2312" w:hAnsi="宋体"/>
          <w:sz w:val="30"/>
          <w:szCs w:val="30"/>
        </w:rPr>
        <w:t>⑤满意度指标仅设置了学生满意度和教师满意度，缺少成人学校学员满意度。</w:t>
      </w:r>
      <w:r>
        <w:rPr>
          <w:rFonts w:hint="eastAsia" w:hAnsi="仿宋"/>
          <w:sz w:val="30"/>
          <w:szCs w:val="30"/>
        </w:rPr>
        <w:t>根据评分标准，该指标</w:t>
      </w:r>
      <w:r>
        <w:rPr>
          <w:rFonts w:hAnsi="仿宋"/>
          <w:sz w:val="30"/>
          <w:szCs w:val="30"/>
        </w:rPr>
        <w:t>扣50</w:t>
      </w:r>
      <w:r>
        <w:rPr>
          <w:rFonts w:hint="eastAsia" w:hAnsi="仿宋"/>
          <w:sz w:val="30"/>
          <w:szCs w:val="30"/>
        </w:rPr>
        <w:t>%权重</w:t>
      </w:r>
      <w:r>
        <w:rPr>
          <w:rFonts w:hAnsi="仿宋"/>
          <w:sz w:val="30"/>
          <w:szCs w:val="30"/>
        </w:rPr>
        <w:t>分</w:t>
      </w:r>
      <w:r>
        <w:rPr>
          <w:rFonts w:hint="eastAsia" w:hAnsi="仿宋"/>
          <w:sz w:val="30"/>
          <w:szCs w:val="30"/>
        </w:rPr>
        <w:t>，</w:t>
      </w:r>
      <w:r>
        <w:rPr>
          <w:rFonts w:hAnsi="仿宋"/>
          <w:sz w:val="30"/>
          <w:szCs w:val="30"/>
        </w:rPr>
        <w:t>得1.5分</w:t>
      </w:r>
      <w:r>
        <w:rPr>
          <w:sz w:val="30"/>
          <w:szCs w:val="30"/>
        </w:rPr>
        <w:t>。</w:t>
      </w:r>
    </w:p>
    <w:p>
      <w:pPr>
        <w:pStyle w:val="103"/>
        <w:ind w:firstLine="602"/>
        <w:jc w:val="both"/>
        <w:rPr>
          <w:rFonts w:ascii="仿宋_GB2312"/>
          <w:b/>
          <w:bCs/>
          <w:sz w:val="30"/>
          <w:szCs w:val="30"/>
        </w:rPr>
      </w:pPr>
      <w:r>
        <w:rPr>
          <w:rFonts w:hAnsi="仿宋"/>
          <w:b/>
          <w:bCs/>
          <w:sz w:val="30"/>
          <w:szCs w:val="30"/>
        </w:rPr>
        <w:t>A31预算编制科学性</w:t>
      </w:r>
      <w:r>
        <w:rPr>
          <w:rFonts w:hint="eastAsia" w:ascii="仿宋_GB2312"/>
          <w:b/>
          <w:bCs/>
          <w:sz w:val="30"/>
          <w:szCs w:val="30"/>
        </w:rPr>
        <w:t>，权重</w:t>
      </w:r>
      <w:r>
        <w:rPr>
          <w:rFonts w:hAnsi="仿宋"/>
          <w:b/>
          <w:bCs/>
          <w:sz w:val="30"/>
          <w:szCs w:val="30"/>
        </w:rPr>
        <w:t>4</w:t>
      </w:r>
      <w:r>
        <w:rPr>
          <w:rFonts w:hint="eastAsia" w:ascii="仿宋_GB2312"/>
          <w:b/>
          <w:bCs/>
          <w:sz w:val="30"/>
          <w:szCs w:val="30"/>
        </w:rPr>
        <w:t>分，得</w:t>
      </w:r>
      <w:r>
        <w:rPr>
          <w:rFonts w:hAnsi="仿宋"/>
          <w:b/>
          <w:bCs/>
          <w:sz w:val="30"/>
          <w:szCs w:val="30"/>
        </w:rPr>
        <w:t>2.8</w:t>
      </w:r>
      <w:r>
        <w:rPr>
          <w:rFonts w:hint="eastAsia" w:ascii="仿宋_GB2312"/>
          <w:b/>
          <w:bCs/>
          <w:sz w:val="30"/>
          <w:szCs w:val="30"/>
        </w:rPr>
        <w:t>分。</w:t>
      </w:r>
    </w:p>
    <w:p>
      <w:pPr>
        <w:pStyle w:val="209"/>
        <w:spacing w:line="460" w:lineRule="exact"/>
        <w:ind w:firstLine="600"/>
        <w:rPr>
          <w:rFonts w:ascii="仿宋_GB2312"/>
          <w:sz w:val="30"/>
          <w:szCs w:val="30"/>
        </w:rPr>
      </w:pPr>
      <w:r>
        <w:rPr>
          <w:rFonts w:hint="eastAsia" w:ascii="仿宋_GB2312" w:hAnsi="仿宋"/>
          <w:sz w:val="30"/>
          <w:szCs w:val="30"/>
        </w:rPr>
        <w:t>区教育局根据崇明区预算编制要求，编制了2</w:t>
      </w:r>
      <w:r>
        <w:rPr>
          <w:rFonts w:ascii="仿宋_GB2312" w:hAnsi="仿宋"/>
          <w:sz w:val="30"/>
          <w:szCs w:val="30"/>
        </w:rPr>
        <w:t>022</w:t>
      </w:r>
      <w:r>
        <w:rPr>
          <w:rFonts w:hint="eastAsia" w:ascii="仿宋_GB2312" w:hAnsi="仿宋"/>
          <w:sz w:val="30"/>
          <w:szCs w:val="30"/>
        </w:rPr>
        <w:t>年项目预算，部分项目有明确的数量单价，编制依据较为充分，但还存在以下几方面问题</w:t>
      </w:r>
      <w:r>
        <w:rPr>
          <w:rFonts w:hint="eastAsia" w:ascii="宋体" w:hAnsi="宋体" w:eastAsia="宋体" w:cs="宋体"/>
          <w:b/>
          <w:bCs/>
          <w:sz w:val="30"/>
          <w:szCs w:val="30"/>
        </w:rPr>
        <w:t>①</w:t>
      </w:r>
      <w:r>
        <w:rPr>
          <w:rFonts w:ascii="仿宋_GB2312"/>
          <w:b/>
          <w:bCs/>
          <w:sz w:val="30"/>
          <w:szCs w:val="30"/>
        </w:rPr>
        <w:t>个别项目预算无测算明细</w:t>
      </w:r>
      <w:r>
        <w:rPr>
          <w:rFonts w:ascii="仿宋_GB2312"/>
          <w:sz w:val="30"/>
          <w:szCs w:val="30"/>
        </w:rPr>
        <w:t>，如，</w:t>
      </w:r>
      <w:r>
        <w:rPr>
          <w:rFonts w:hint="eastAsia" w:ascii="仿宋_GB2312" w:hAnsi="仿宋"/>
          <w:sz w:val="30"/>
          <w:szCs w:val="30"/>
        </w:rPr>
        <w:t>民办非学历教育机构管理经费中印刷费年初预算8</w:t>
      </w:r>
      <w:r>
        <w:rPr>
          <w:rFonts w:ascii="仿宋_GB2312" w:hAnsi="仿宋"/>
          <w:sz w:val="30"/>
          <w:szCs w:val="30"/>
        </w:rPr>
        <w:t>0000</w:t>
      </w:r>
      <w:r>
        <w:rPr>
          <w:rFonts w:hint="eastAsia" w:ascii="仿宋_GB2312" w:hAnsi="仿宋"/>
          <w:sz w:val="30"/>
          <w:szCs w:val="30"/>
        </w:rPr>
        <w:t>元</w:t>
      </w:r>
      <w:r>
        <w:rPr>
          <w:rFonts w:ascii="仿宋_GB2312"/>
          <w:sz w:val="30"/>
          <w:szCs w:val="30"/>
        </w:rPr>
        <w:t>，无具体数量和单价明细。</w:t>
      </w:r>
      <w:r>
        <w:rPr>
          <w:rFonts w:hint="eastAsia" w:ascii="宋体" w:hAnsi="宋体" w:eastAsia="宋体" w:cs="宋体"/>
          <w:b/>
          <w:bCs/>
          <w:sz w:val="30"/>
          <w:szCs w:val="30"/>
        </w:rPr>
        <w:t>②</w:t>
      </w:r>
      <w:r>
        <w:rPr>
          <w:rFonts w:ascii="仿宋_GB2312"/>
          <w:b/>
          <w:bCs/>
          <w:sz w:val="30"/>
          <w:szCs w:val="30"/>
        </w:rPr>
        <w:t>个别项目预算编制依据不充分</w:t>
      </w:r>
      <w:r>
        <w:rPr>
          <w:rFonts w:ascii="仿宋_GB2312"/>
          <w:sz w:val="30"/>
          <w:szCs w:val="30"/>
        </w:rPr>
        <w:t>，如2022年区社区学院《创意海派插花》课程建设经费项目预算测算中有管理费（服务费及税费），经调研，本项目没有委托第三方实施，以外聘专家，组织研讨的形式实施，因此，经费中安排管理费依据不充分。</w:t>
      </w:r>
      <w:r>
        <w:rPr>
          <w:rFonts w:hint="eastAsia" w:ascii="宋体" w:hAnsi="宋体" w:eastAsia="宋体" w:cs="宋体"/>
          <w:b/>
          <w:bCs/>
          <w:sz w:val="30"/>
          <w:szCs w:val="30"/>
        </w:rPr>
        <w:t>③</w:t>
      </w:r>
      <w:r>
        <w:rPr>
          <w:rFonts w:ascii="仿宋_GB2312"/>
          <w:b/>
          <w:bCs/>
          <w:sz w:val="30"/>
          <w:szCs w:val="30"/>
        </w:rPr>
        <w:t>个别项目预算编制标准不明确</w:t>
      </w:r>
      <w:r>
        <w:rPr>
          <w:rFonts w:ascii="仿宋_GB2312"/>
          <w:sz w:val="30"/>
          <w:szCs w:val="30"/>
        </w:rPr>
        <w:t>，如社区教育名师孵化室经费子项目中市级主持人2000元/次和区级主持人费用5000元/人没有明确的标准依据，参考培训标准，但</w:t>
      </w:r>
      <w:r>
        <w:rPr>
          <w:rFonts w:hint="eastAsia" w:ascii="仿宋_GB2312"/>
          <w:sz w:val="30"/>
          <w:szCs w:val="30"/>
        </w:rPr>
        <w:t>项目实际实施为会议不是培训，且市级主持人按照次数编制，而区级主持人按照人数编制，两者口径不一致。</w:t>
      </w:r>
      <w:r>
        <w:rPr>
          <w:rFonts w:hint="eastAsia" w:ascii="仿宋_GB2312"/>
          <w:b/>
          <w:bCs/>
          <w:sz w:val="30"/>
          <w:szCs w:val="30"/>
        </w:rPr>
        <w:t>④个别项目预算未按照标准编制预算，</w:t>
      </w:r>
      <w:r>
        <w:rPr>
          <w:rFonts w:hint="eastAsia" w:ascii="仿宋_GB2312"/>
          <w:sz w:val="30"/>
          <w:szCs w:val="30"/>
        </w:rPr>
        <w:t>如老年教育三类学习点建设经费子项目年初预算按照</w:t>
      </w:r>
      <w:r>
        <w:rPr>
          <w:rFonts w:ascii="仿宋_GB2312"/>
          <w:sz w:val="30"/>
          <w:szCs w:val="30"/>
        </w:rPr>
        <w:t>5000</w:t>
      </w:r>
      <w:r>
        <w:rPr>
          <w:rFonts w:hint="eastAsia" w:ascii="仿宋_GB2312"/>
          <w:sz w:val="30"/>
          <w:szCs w:val="30"/>
        </w:rPr>
        <w:t>元每个学习点，</w:t>
      </w:r>
      <w:r>
        <w:rPr>
          <w:rFonts w:ascii="仿宋_GB2312"/>
          <w:sz w:val="30"/>
          <w:szCs w:val="30"/>
        </w:rPr>
        <w:t>共67个点</w:t>
      </w:r>
      <w:r>
        <w:rPr>
          <w:rFonts w:hint="eastAsia" w:ascii="仿宋_GB2312"/>
          <w:sz w:val="30"/>
          <w:szCs w:val="30"/>
        </w:rPr>
        <w:t>编制，共3</w:t>
      </w:r>
      <w:r>
        <w:rPr>
          <w:rFonts w:ascii="仿宋_GB2312"/>
          <w:sz w:val="30"/>
          <w:szCs w:val="30"/>
        </w:rPr>
        <w:t>35000</w:t>
      </w:r>
      <w:r>
        <w:rPr>
          <w:rFonts w:hint="eastAsia" w:ascii="仿宋_GB2312"/>
          <w:sz w:val="30"/>
          <w:szCs w:val="30"/>
        </w:rPr>
        <w:t>元，没有按照补贴标准（</w:t>
      </w:r>
      <w:r>
        <w:rPr>
          <w:rFonts w:ascii="仿宋_GB2312"/>
          <w:sz w:val="30"/>
          <w:szCs w:val="30"/>
        </w:rPr>
        <w:t>已建成的学习点，每个补贴0.2万元</w:t>
      </w:r>
      <w:r>
        <w:rPr>
          <w:rFonts w:hint="eastAsia" w:ascii="仿宋_GB2312"/>
          <w:sz w:val="30"/>
          <w:szCs w:val="30"/>
        </w:rPr>
        <w:t>；</w:t>
      </w:r>
      <w:r>
        <w:rPr>
          <w:rFonts w:ascii="仿宋_GB2312"/>
          <w:sz w:val="30"/>
          <w:szCs w:val="30"/>
        </w:rPr>
        <w:t>新创建学习点</w:t>
      </w:r>
      <w:r>
        <w:rPr>
          <w:rFonts w:hint="eastAsia" w:ascii="仿宋_GB2312"/>
          <w:sz w:val="30"/>
          <w:szCs w:val="30"/>
        </w:rPr>
        <w:t>和</w:t>
      </w:r>
      <w:r>
        <w:rPr>
          <w:rFonts w:ascii="仿宋_GB2312"/>
          <w:sz w:val="30"/>
          <w:szCs w:val="30"/>
        </w:rPr>
        <w:t>升级创建学习点，每个补贴1万元</w:t>
      </w:r>
      <w:r>
        <w:rPr>
          <w:rFonts w:hint="eastAsia" w:ascii="仿宋_GB2312"/>
          <w:sz w:val="30"/>
          <w:szCs w:val="30"/>
        </w:rPr>
        <w:t>）进行预算编制，造成了年中预算的调减，实际学习点补贴发放为2</w:t>
      </w:r>
      <w:r>
        <w:rPr>
          <w:rFonts w:ascii="仿宋_GB2312"/>
          <w:sz w:val="30"/>
          <w:szCs w:val="30"/>
        </w:rPr>
        <w:t>4.4</w:t>
      </w:r>
      <w:r>
        <w:rPr>
          <w:rFonts w:hint="eastAsia" w:ascii="仿宋_GB2312"/>
          <w:sz w:val="30"/>
          <w:szCs w:val="30"/>
        </w:rPr>
        <w:t>万元。</w:t>
      </w:r>
    </w:p>
    <w:p>
      <w:pPr>
        <w:pStyle w:val="103"/>
        <w:ind w:firstLine="600"/>
        <w:jc w:val="both"/>
        <w:rPr>
          <w:sz w:val="30"/>
          <w:szCs w:val="30"/>
        </w:rPr>
      </w:pPr>
      <w:r>
        <w:rPr>
          <w:rFonts w:hint="eastAsia" w:ascii="仿宋_GB2312" w:hAnsi="仿宋"/>
          <w:sz w:val="30"/>
          <w:szCs w:val="30"/>
        </w:rPr>
        <w:t>综上，</w:t>
      </w:r>
      <w:r>
        <w:rPr>
          <w:rFonts w:ascii="仿宋_GB2312" w:hAnsi="仿宋"/>
          <w:sz w:val="30"/>
          <w:szCs w:val="30"/>
        </w:rPr>
        <w:t>根据评分标准，该项目虽然按照明细科目进行了预算测算，但</w:t>
      </w:r>
      <w:r>
        <w:rPr>
          <w:rFonts w:hAnsi="仿宋"/>
          <w:sz w:val="30"/>
          <w:szCs w:val="30"/>
        </w:rPr>
        <w:t>预算编制科学性不足，该项指标</w:t>
      </w:r>
      <w:r>
        <w:rPr>
          <w:rFonts w:hint="eastAsia" w:hAnsi="仿宋"/>
          <w:sz w:val="30"/>
          <w:szCs w:val="30"/>
        </w:rPr>
        <w:t>扣权重分</w:t>
      </w:r>
      <w:r>
        <w:rPr>
          <w:rFonts w:hAnsi="仿宋"/>
          <w:sz w:val="30"/>
          <w:szCs w:val="30"/>
        </w:rPr>
        <w:t>30</w:t>
      </w:r>
      <w:r>
        <w:rPr>
          <w:rFonts w:hint="eastAsia" w:hAnsi="仿宋"/>
          <w:sz w:val="30"/>
          <w:szCs w:val="30"/>
        </w:rPr>
        <w:t>%，</w:t>
      </w:r>
      <w:r>
        <w:rPr>
          <w:rFonts w:hAnsi="仿宋"/>
          <w:sz w:val="30"/>
          <w:szCs w:val="30"/>
        </w:rPr>
        <w:t>得2.8分</w:t>
      </w:r>
      <w:r>
        <w:rPr>
          <w:sz w:val="30"/>
          <w:szCs w:val="30"/>
        </w:rPr>
        <w:t>。</w:t>
      </w:r>
    </w:p>
    <w:p>
      <w:pPr>
        <w:pStyle w:val="103"/>
        <w:ind w:firstLine="602"/>
        <w:jc w:val="both"/>
        <w:rPr>
          <w:rFonts w:hAnsi="仿宋"/>
          <w:b/>
          <w:bCs/>
          <w:sz w:val="30"/>
          <w:szCs w:val="30"/>
        </w:rPr>
      </w:pPr>
      <w:r>
        <w:rPr>
          <w:rFonts w:hAnsi="仿宋"/>
          <w:b/>
          <w:bCs/>
          <w:sz w:val="30"/>
          <w:szCs w:val="30"/>
        </w:rPr>
        <w:t>A32资金分配合理性</w:t>
      </w:r>
      <w:r>
        <w:rPr>
          <w:rFonts w:hint="eastAsia" w:hAnsi="仿宋"/>
          <w:b/>
          <w:bCs/>
          <w:sz w:val="30"/>
          <w:szCs w:val="30"/>
        </w:rPr>
        <w:t>，权重</w:t>
      </w:r>
      <w:r>
        <w:rPr>
          <w:rFonts w:hAnsi="仿宋"/>
          <w:b/>
          <w:bCs/>
          <w:sz w:val="30"/>
          <w:szCs w:val="30"/>
        </w:rPr>
        <w:t>3</w:t>
      </w:r>
      <w:r>
        <w:rPr>
          <w:rFonts w:hint="eastAsia" w:hAnsi="仿宋"/>
          <w:b/>
          <w:bCs/>
          <w:sz w:val="30"/>
          <w:szCs w:val="30"/>
        </w:rPr>
        <w:t>分，得</w:t>
      </w:r>
      <w:r>
        <w:rPr>
          <w:rFonts w:hAnsi="仿宋"/>
          <w:b/>
          <w:bCs/>
          <w:sz w:val="30"/>
          <w:szCs w:val="30"/>
        </w:rPr>
        <w:t>2.7</w:t>
      </w:r>
      <w:r>
        <w:rPr>
          <w:rFonts w:hint="eastAsia" w:hAnsi="仿宋"/>
          <w:b/>
          <w:bCs/>
          <w:sz w:val="30"/>
          <w:szCs w:val="30"/>
        </w:rPr>
        <w:t>分。</w:t>
      </w:r>
    </w:p>
    <w:p>
      <w:pPr>
        <w:pStyle w:val="209"/>
        <w:spacing w:line="520" w:lineRule="exact"/>
        <w:ind w:firstLine="600"/>
        <w:rPr>
          <w:rFonts w:ascii="仿宋_GB2312"/>
          <w:sz w:val="30"/>
          <w:szCs w:val="30"/>
        </w:rPr>
      </w:pPr>
      <w:r>
        <w:rPr>
          <w:rFonts w:hint="eastAsia" w:ascii="仿宋_GB2312" w:hAnsi="仿宋"/>
          <w:sz w:val="30"/>
          <w:szCs w:val="30"/>
        </w:rPr>
        <w:t>本项目中老年教育三类学习点建设经费、成人教育办学经费（人头经费）、成人学校集团化办学经费、老年优质校经费、老年人学习团队活动经费、民办学校学生公用经费补助（两免一补、寄宿生生活补助和生均公用经费补助）、民办教育发展专项资金都属于分切到各学校资金，其中老年教育三类学习点建设经费、成人教育办学经费（人头经费）、成人学校集团化办学经费、老年优质校经费、老年人学习团队活动经费、民办学校学生公用经费补助（两免一补、寄宿生生活补助和生均公用经费补助）均有资金分配标准和依据，但</w:t>
      </w:r>
      <w:r>
        <w:rPr>
          <w:rFonts w:hint="eastAsia" w:ascii="仿宋_GB2312" w:hAnsi="仿宋"/>
          <w:b/>
          <w:bCs/>
          <w:sz w:val="30"/>
          <w:szCs w:val="30"/>
        </w:rPr>
        <w:t>民办教育发展专项资金参考2</w:t>
      </w:r>
      <w:r>
        <w:rPr>
          <w:rFonts w:ascii="仿宋_GB2312" w:hAnsi="仿宋"/>
          <w:b/>
          <w:bCs/>
          <w:sz w:val="30"/>
          <w:szCs w:val="30"/>
        </w:rPr>
        <w:t>020</w:t>
      </w:r>
      <w:r>
        <w:rPr>
          <w:rFonts w:hint="eastAsia" w:ascii="仿宋_GB2312" w:hAnsi="仿宋"/>
          <w:b/>
          <w:bCs/>
          <w:sz w:val="30"/>
          <w:szCs w:val="30"/>
        </w:rPr>
        <w:t>年的教育局下拨方案（</w:t>
      </w:r>
      <w:r>
        <w:rPr>
          <w:rFonts w:hint="eastAsia" w:ascii="仿宋_GB2312" w:hAnsi="仿宋"/>
          <w:sz w:val="30"/>
          <w:szCs w:val="30"/>
        </w:rPr>
        <w:t>该方案较为简略</w:t>
      </w:r>
      <w:r>
        <w:rPr>
          <w:rFonts w:hint="eastAsia" w:ascii="仿宋_GB2312" w:hAnsi="仿宋"/>
          <w:b/>
          <w:bCs/>
          <w:sz w:val="30"/>
          <w:szCs w:val="30"/>
        </w:rPr>
        <w:t>），而没有形成2</w:t>
      </w:r>
      <w:r>
        <w:rPr>
          <w:rFonts w:ascii="仿宋_GB2312" w:hAnsi="仿宋"/>
          <w:b/>
          <w:bCs/>
          <w:sz w:val="30"/>
          <w:szCs w:val="30"/>
        </w:rPr>
        <w:t>022</w:t>
      </w:r>
      <w:r>
        <w:rPr>
          <w:rFonts w:hint="eastAsia" w:ascii="仿宋_GB2312" w:hAnsi="仿宋"/>
          <w:b/>
          <w:bCs/>
          <w:sz w:val="30"/>
          <w:szCs w:val="30"/>
        </w:rPr>
        <w:t>年的分配下拨方案，且分配标准和依据不明确，</w:t>
      </w:r>
      <w:r>
        <w:rPr>
          <w:rFonts w:hint="eastAsia" w:ascii="仿宋_GB2312" w:hAnsi="仿宋"/>
          <w:sz w:val="30"/>
          <w:szCs w:val="30"/>
        </w:rPr>
        <w:t>2</w:t>
      </w:r>
      <w:r>
        <w:rPr>
          <w:rFonts w:ascii="仿宋_GB2312" w:hAnsi="仿宋"/>
          <w:sz w:val="30"/>
          <w:szCs w:val="30"/>
        </w:rPr>
        <w:t>02</w:t>
      </w:r>
      <w:r>
        <w:rPr>
          <w:rFonts w:hint="eastAsia" w:ascii="仿宋_GB2312" w:hAnsi="仿宋"/>
          <w:sz w:val="30"/>
          <w:szCs w:val="30"/>
        </w:rPr>
        <w:t>2年项目分配情况为上海新纪元双语学校</w:t>
      </w:r>
      <w:r>
        <w:rPr>
          <w:rFonts w:ascii="仿宋_GB2312" w:hAnsi="仿宋"/>
          <w:sz w:val="30"/>
          <w:szCs w:val="30"/>
        </w:rPr>
        <w:t>45万元、上海民办民一中学200万元、上海盛源幼儿园45万元、上海露凝幼儿园有限公司10万元</w:t>
      </w:r>
      <w:r>
        <w:rPr>
          <w:rFonts w:hint="eastAsia" w:ascii="仿宋_GB2312" w:hAnsi="仿宋"/>
          <w:sz w:val="30"/>
          <w:szCs w:val="30"/>
        </w:rPr>
        <w:t>，分配金额差异较大，区教育局主要根据学校申请情况，</w:t>
      </w:r>
      <w:r>
        <w:rPr>
          <w:rFonts w:ascii="仿宋_GB2312"/>
          <w:sz w:val="30"/>
          <w:szCs w:val="30"/>
        </w:rPr>
        <w:t>参照</w:t>
      </w:r>
      <w:r>
        <w:rPr>
          <w:rFonts w:hint="eastAsia" w:ascii="仿宋_GB2312"/>
          <w:sz w:val="30"/>
          <w:szCs w:val="30"/>
        </w:rPr>
        <w:t>2</w:t>
      </w:r>
      <w:r>
        <w:rPr>
          <w:rFonts w:ascii="仿宋_GB2312"/>
          <w:sz w:val="30"/>
          <w:szCs w:val="30"/>
        </w:rPr>
        <w:t>020年分配方案例进行分配，</w:t>
      </w:r>
      <w:r>
        <w:rPr>
          <w:rFonts w:hint="eastAsia" w:ascii="仿宋_GB2312"/>
          <w:sz w:val="30"/>
          <w:szCs w:val="30"/>
        </w:rPr>
        <w:t>2</w:t>
      </w:r>
      <w:r>
        <w:rPr>
          <w:rFonts w:ascii="仿宋_GB2312"/>
          <w:sz w:val="30"/>
          <w:szCs w:val="30"/>
        </w:rPr>
        <w:t>022年没有形成具体的分配方案</w:t>
      </w:r>
      <w:r>
        <w:rPr>
          <w:rFonts w:ascii="仿宋_GB2312" w:hAnsi="仿宋"/>
          <w:sz w:val="30"/>
          <w:szCs w:val="30"/>
        </w:rPr>
        <w:t>。主要是没有建立管理办法，该内容在业务制度建设指标中扣分，故该指标不扣分。根据评分标准，该指标扣10%权重分，得2.7分。</w:t>
      </w:r>
    </w:p>
    <w:p>
      <w:pPr>
        <w:pStyle w:val="195"/>
        <w:spacing w:line="520" w:lineRule="exact"/>
        <w:outlineLvl w:val="2"/>
      </w:pPr>
      <w:r>
        <w:t>2.</w:t>
      </w:r>
      <w:r>
        <w:rPr>
          <w:rFonts w:hint="eastAsia"/>
        </w:rPr>
        <w:t xml:space="preserve"> 项目过程分析</w:t>
      </w:r>
    </w:p>
    <w:p>
      <w:pPr>
        <w:pStyle w:val="103"/>
        <w:ind w:firstLine="602"/>
        <w:rPr>
          <w:rFonts w:ascii="仿宋_GB2312" w:hAnsi="仿宋"/>
          <w:b/>
          <w:bCs/>
          <w:sz w:val="30"/>
          <w:szCs w:val="30"/>
        </w:rPr>
      </w:pPr>
      <w:r>
        <w:rPr>
          <w:rFonts w:hint="eastAsia" w:ascii="仿宋_GB2312" w:hAnsi="仿宋"/>
          <w:b/>
          <w:bCs/>
          <w:sz w:val="30"/>
          <w:szCs w:val="30"/>
        </w:rPr>
        <w:t>B11预算执行率，权重2分，得1分。</w:t>
      </w:r>
    </w:p>
    <w:p>
      <w:pPr>
        <w:pStyle w:val="103"/>
        <w:ind w:firstLine="602"/>
        <w:jc w:val="both"/>
        <w:rPr>
          <w:rFonts w:ascii="仿宋_GB2312" w:hAnsi="仿宋"/>
          <w:sz w:val="30"/>
          <w:szCs w:val="30"/>
        </w:rPr>
      </w:pPr>
      <w:r>
        <w:rPr>
          <w:rFonts w:hint="eastAsia" w:ascii="仿宋_GB2312" w:hAnsi="仿宋"/>
          <w:b/>
          <w:bCs/>
          <w:sz w:val="30"/>
          <w:szCs w:val="30"/>
        </w:rPr>
        <w:t>区教育局预算执行情况：</w:t>
      </w:r>
      <w:r>
        <w:rPr>
          <w:rFonts w:hint="eastAsia" w:ascii="仿宋_GB2312" w:hAnsi="仿宋"/>
          <w:sz w:val="30"/>
          <w:szCs w:val="30"/>
        </w:rPr>
        <w:t>2022年成职科内涵发展经费项目年初预算金额为1138.08万元，年中调增预算9.42万元，调整后预算数为1147.50万元，实际支出数为1147.50万元，预算执行率为100%，得权重分50%，得1分。</w:t>
      </w:r>
    </w:p>
    <w:p>
      <w:pPr>
        <w:pStyle w:val="103"/>
        <w:ind w:firstLine="602"/>
        <w:jc w:val="both"/>
        <w:rPr>
          <w:rFonts w:ascii="仿宋_GB2312"/>
          <w:sz w:val="30"/>
          <w:szCs w:val="30"/>
        </w:rPr>
      </w:pPr>
      <w:r>
        <w:rPr>
          <w:rFonts w:hint="eastAsia" w:ascii="仿宋_GB2312" w:hAnsi="仿宋"/>
          <w:b/>
          <w:bCs/>
          <w:sz w:val="30"/>
          <w:szCs w:val="30"/>
        </w:rPr>
        <w:t>各类学校资金执行情况：</w:t>
      </w:r>
      <w:r>
        <w:rPr>
          <w:rFonts w:hint="eastAsia" w:ascii="仿宋_GB2312" w:hAnsi="仿宋"/>
          <w:sz w:val="30"/>
          <w:szCs w:val="30"/>
        </w:rPr>
        <w:t>经数据采集和现场核查，经数据采集和现场核查，上海新纪元双语学校下拨资金执行率为</w:t>
      </w:r>
      <w:r>
        <w:rPr>
          <w:rFonts w:ascii="仿宋_GB2312" w:hAnsi="仿宋"/>
          <w:sz w:val="30"/>
          <w:szCs w:val="30"/>
        </w:rPr>
        <w:t>98.3%，结存4.4万元。上海民办民一中学下拨资金执行率为0%，本年结存200万元，历年结存88.12万元，共计结存288.12万元。上海盛源幼儿园下拨资金执行率为47%，结存24.0931万元</w:t>
      </w:r>
      <w:r>
        <w:rPr>
          <w:rFonts w:hint="eastAsia" w:ascii="仿宋_GB2312" w:hAnsi="仿宋"/>
          <w:sz w:val="30"/>
          <w:szCs w:val="30"/>
        </w:rPr>
        <w:t>。上海露凝幼儿园下拨资金执行率100%。各类学校平均资金执行率为</w:t>
      </w:r>
      <w:r>
        <w:rPr>
          <w:rFonts w:ascii="仿宋_GB2312" w:hAnsi="仿宋"/>
          <w:sz w:val="30"/>
          <w:szCs w:val="30"/>
        </w:rPr>
        <w:t>61.32</w:t>
      </w:r>
      <w:r>
        <w:rPr>
          <w:rFonts w:hint="eastAsia" w:ascii="仿宋_GB2312" w:hAnsi="仿宋"/>
          <w:sz w:val="30"/>
          <w:szCs w:val="30"/>
        </w:rPr>
        <w:t>%，故根据评分标准，扣权重分50%，得0分</w:t>
      </w:r>
      <w:r>
        <w:rPr>
          <w:rFonts w:hint="eastAsia" w:ascii="仿宋_GB2312"/>
          <w:sz w:val="30"/>
          <w:szCs w:val="30"/>
        </w:rPr>
        <w:t>。</w:t>
      </w:r>
    </w:p>
    <w:p>
      <w:pPr>
        <w:pStyle w:val="103"/>
        <w:ind w:firstLine="600"/>
        <w:jc w:val="both"/>
        <w:rPr>
          <w:rFonts w:ascii="仿宋_GB2312"/>
          <w:sz w:val="30"/>
          <w:szCs w:val="30"/>
        </w:rPr>
      </w:pPr>
      <w:r>
        <w:rPr>
          <w:rFonts w:hint="eastAsia" w:ascii="仿宋_GB2312"/>
          <w:sz w:val="30"/>
          <w:szCs w:val="30"/>
        </w:rPr>
        <w:t>综上，该指标得1分。</w:t>
      </w:r>
    </w:p>
    <w:p>
      <w:pPr>
        <w:pStyle w:val="103"/>
        <w:ind w:firstLine="602"/>
        <w:rPr>
          <w:rFonts w:ascii="仿宋_GB2312"/>
          <w:b/>
          <w:bCs/>
          <w:sz w:val="30"/>
          <w:szCs w:val="30"/>
        </w:rPr>
      </w:pPr>
      <w:r>
        <w:rPr>
          <w:rFonts w:hint="eastAsia" w:ascii="仿宋_GB2312" w:hAnsi="仿宋"/>
          <w:b/>
          <w:bCs/>
          <w:sz w:val="30"/>
          <w:szCs w:val="30"/>
        </w:rPr>
        <w:t>B12预算调整率</w:t>
      </w:r>
      <w:r>
        <w:rPr>
          <w:rFonts w:hint="eastAsia" w:ascii="仿宋_GB2312"/>
          <w:b/>
          <w:bCs/>
          <w:sz w:val="30"/>
          <w:szCs w:val="30"/>
        </w:rPr>
        <w:t>，权重</w:t>
      </w:r>
      <w:r>
        <w:rPr>
          <w:rFonts w:hint="eastAsia" w:ascii="仿宋_GB2312" w:hAnsi="仿宋"/>
          <w:b/>
          <w:bCs/>
          <w:sz w:val="30"/>
          <w:szCs w:val="30"/>
        </w:rPr>
        <w:t>2</w:t>
      </w:r>
      <w:r>
        <w:rPr>
          <w:rFonts w:hint="eastAsia" w:ascii="仿宋_GB2312"/>
          <w:b/>
          <w:bCs/>
          <w:sz w:val="30"/>
          <w:szCs w:val="30"/>
        </w:rPr>
        <w:t>分，得</w:t>
      </w:r>
      <w:r>
        <w:rPr>
          <w:rFonts w:hint="eastAsia" w:ascii="仿宋_GB2312" w:hAnsi="仿宋"/>
          <w:b/>
          <w:bCs/>
          <w:sz w:val="30"/>
          <w:szCs w:val="30"/>
        </w:rPr>
        <w:t>2</w:t>
      </w:r>
      <w:r>
        <w:rPr>
          <w:rFonts w:hint="eastAsia" w:ascii="仿宋_GB2312"/>
          <w:b/>
          <w:bCs/>
          <w:sz w:val="30"/>
          <w:szCs w:val="30"/>
        </w:rPr>
        <w:t>分。</w:t>
      </w:r>
    </w:p>
    <w:p>
      <w:pPr>
        <w:pStyle w:val="103"/>
        <w:ind w:firstLine="600"/>
        <w:jc w:val="both"/>
        <w:rPr>
          <w:rFonts w:ascii="仿宋_GB2312"/>
          <w:sz w:val="30"/>
          <w:szCs w:val="30"/>
        </w:rPr>
      </w:pPr>
      <w:r>
        <w:rPr>
          <w:rFonts w:hint="eastAsia" w:ascii="仿宋_GB2312" w:hAnsi="仿宋"/>
          <w:sz w:val="30"/>
          <w:szCs w:val="30"/>
        </w:rPr>
        <w:t>2022年成职科内涵发展经费项目年初预算金额为1138.08万元，年中调增预算9.42万元，预算调整率为0.82%，小于5%，故根据评分标准，该项指标得2分</w:t>
      </w:r>
      <w:r>
        <w:rPr>
          <w:rFonts w:hint="eastAsia" w:ascii="仿宋_GB2312"/>
          <w:sz w:val="30"/>
          <w:szCs w:val="30"/>
        </w:rPr>
        <w:t>。</w:t>
      </w:r>
    </w:p>
    <w:p>
      <w:pPr>
        <w:pStyle w:val="103"/>
        <w:ind w:firstLine="602"/>
        <w:rPr>
          <w:rFonts w:ascii="仿宋_GB2312"/>
          <w:b/>
          <w:bCs/>
          <w:sz w:val="30"/>
          <w:szCs w:val="30"/>
        </w:rPr>
      </w:pPr>
      <w:r>
        <w:rPr>
          <w:rFonts w:hint="eastAsia" w:ascii="仿宋_GB2312" w:hAnsi="仿宋"/>
          <w:b/>
          <w:bCs/>
          <w:sz w:val="30"/>
          <w:szCs w:val="30"/>
        </w:rPr>
        <w:t>B13资金使用合规性</w:t>
      </w:r>
      <w:r>
        <w:rPr>
          <w:rFonts w:hint="eastAsia" w:ascii="仿宋_GB2312"/>
          <w:b/>
          <w:bCs/>
          <w:sz w:val="30"/>
          <w:szCs w:val="30"/>
        </w:rPr>
        <w:t>，权重</w:t>
      </w:r>
      <w:r>
        <w:rPr>
          <w:rFonts w:hint="eastAsia" w:ascii="仿宋_GB2312" w:hAnsi="仿宋"/>
          <w:b/>
          <w:bCs/>
          <w:sz w:val="30"/>
          <w:szCs w:val="30"/>
        </w:rPr>
        <w:t>3</w:t>
      </w:r>
      <w:r>
        <w:rPr>
          <w:rFonts w:hint="eastAsia" w:ascii="仿宋_GB2312"/>
          <w:b/>
          <w:bCs/>
          <w:sz w:val="30"/>
          <w:szCs w:val="30"/>
        </w:rPr>
        <w:t>分，得</w:t>
      </w:r>
      <w:r>
        <w:rPr>
          <w:rFonts w:ascii="仿宋_GB2312" w:hAnsi="仿宋"/>
          <w:b/>
          <w:bCs/>
          <w:sz w:val="30"/>
          <w:szCs w:val="30"/>
        </w:rPr>
        <w:t>2.4</w:t>
      </w:r>
      <w:r>
        <w:rPr>
          <w:rFonts w:hint="eastAsia" w:ascii="仿宋_GB2312"/>
          <w:b/>
          <w:bCs/>
          <w:sz w:val="30"/>
          <w:szCs w:val="30"/>
        </w:rPr>
        <w:t>分。</w:t>
      </w:r>
    </w:p>
    <w:p>
      <w:pPr>
        <w:pStyle w:val="200"/>
        <w:spacing w:line="520" w:lineRule="exact"/>
        <w:ind w:firstLine="600"/>
        <w:rPr>
          <w:rFonts w:ascii="仿宋_GB2312" w:hAnsi="仿宋"/>
          <w:sz w:val="30"/>
          <w:szCs w:val="30"/>
        </w:rPr>
      </w:pPr>
      <w:r>
        <w:rPr>
          <w:rFonts w:hint="eastAsia" w:ascii="仿宋_GB2312" w:hAnsi="仿宋"/>
          <w:sz w:val="30"/>
          <w:szCs w:val="30"/>
        </w:rPr>
        <w:t>2022年成职科内涵发展经费项目实际支出1147.50万元，审核区教育</w:t>
      </w:r>
      <w:r>
        <w:rPr>
          <w:rFonts w:hint="eastAsia" w:ascii="仿宋_GB2312" w:hAnsi="微软雅黑" w:cs="微软雅黑"/>
          <w:sz w:val="30"/>
          <w:szCs w:val="30"/>
        </w:rPr>
        <w:t>局</w:t>
      </w:r>
      <w:r>
        <w:rPr>
          <w:rFonts w:hint="eastAsia" w:ascii="仿宋_GB2312" w:hAnsi="仿宋"/>
          <w:sz w:val="30"/>
          <w:szCs w:val="30"/>
        </w:rPr>
        <w:t>72笔支出及凭证，审核社区学院、成校和民办学校共216笔支出及凭证，核对资金使用审批单等相关资料，资金支出基本符合崇明区财经法规和财务管理制度以及有关专项资金管理办法的规定；资金支付经过相关领导签字，保留完整的审批程序和手续资料，</w:t>
      </w:r>
      <w:r>
        <w:rPr>
          <w:rFonts w:hint="eastAsia" w:ascii="仿宋_GB2312" w:hAnsi="仿宋"/>
          <w:b/>
          <w:bCs/>
          <w:sz w:val="30"/>
          <w:szCs w:val="30"/>
        </w:rPr>
        <w:t>但存在以下问题：①区教育局：</w:t>
      </w:r>
      <w:r>
        <w:rPr>
          <w:rFonts w:hint="eastAsia" w:ascii="仿宋_GB2312" w:hAnsi="仿宋"/>
          <w:sz w:val="30"/>
          <w:szCs w:val="30"/>
        </w:rPr>
        <w:t>支付老年三类学习点建设工作人员劳务费每人800元，包含10个居村委学习点工作人员和6个社会学习点工作人员劳务费，16人，共12800元。支付人员劳务费无相关依据，支出不够合理。</w:t>
      </w:r>
      <w:r>
        <w:rPr>
          <w:rFonts w:hint="eastAsia" w:ascii="仿宋_GB2312" w:hAnsi="仿宋"/>
          <w:b/>
          <w:bCs/>
          <w:sz w:val="30"/>
          <w:szCs w:val="30"/>
        </w:rPr>
        <w:t>②成校：</w:t>
      </w:r>
      <w:r>
        <w:rPr>
          <w:rFonts w:hint="eastAsia" w:ascii="仿宋_GB2312" w:hAnsi="仿宋"/>
          <w:sz w:val="30"/>
          <w:szCs w:val="30"/>
        </w:rPr>
        <w:t>城桥镇成校使用项目经费订阅党报党刊、慰问困难党员不够合理。因此，根据评分标准，扣2</w:t>
      </w:r>
      <w:r>
        <w:rPr>
          <w:rFonts w:ascii="仿宋_GB2312" w:hAnsi="仿宋"/>
          <w:sz w:val="30"/>
          <w:szCs w:val="30"/>
        </w:rPr>
        <w:t>0</w:t>
      </w:r>
      <w:r>
        <w:rPr>
          <w:rFonts w:hint="eastAsia" w:ascii="仿宋_GB2312" w:hAnsi="仿宋"/>
          <w:sz w:val="30"/>
          <w:szCs w:val="30"/>
        </w:rPr>
        <w:t>%，得2</w:t>
      </w:r>
      <w:r>
        <w:rPr>
          <w:rFonts w:ascii="仿宋_GB2312" w:hAnsi="仿宋"/>
          <w:sz w:val="30"/>
          <w:szCs w:val="30"/>
        </w:rPr>
        <w:t>.4</w:t>
      </w:r>
      <w:r>
        <w:rPr>
          <w:rFonts w:hint="eastAsia" w:ascii="仿宋_GB2312" w:hAnsi="仿宋"/>
          <w:sz w:val="30"/>
          <w:szCs w:val="30"/>
        </w:rPr>
        <w:t>分。</w:t>
      </w:r>
    </w:p>
    <w:p>
      <w:pPr>
        <w:pStyle w:val="103"/>
        <w:ind w:firstLine="602"/>
        <w:rPr>
          <w:rFonts w:ascii="仿宋_GB2312"/>
          <w:b/>
          <w:bCs/>
          <w:sz w:val="30"/>
          <w:szCs w:val="30"/>
        </w:rPr>
      </w:pPr>
      <w:r>
        <w:rPr>
          <w:rFonts w:hAnsi="仿宋"/>
          <w:b/>
          <w:bCs/>
          <w:sz w:val="30"/>
          <w:szCs w:val="30"/>
        </w:rPr>
        <w:t>B211财务管理制度健全性</w:t>
      </w:r>
      <w:r>
        <w:rPr>
          <w:rFonts w:hint="eastAsia" w:ascii="仿宋_GB2312"/>
          <w:b/>
          <w:bCs/>
          <w:sz w:val="30"/>
          <w:szCs w:val="30"/>
        </w:rPr>
        <w:t>，权重</w:t>
      </w:r>
      <w:r>
        <w:rPr>
          <w:rFonts w:hAnsi="仿宋"/>
          <w:b/>
          <w:bCs/>
          <w:sz w:val="30"/>
          <w:szCs w:val="30"/>
        </w:rPr>
        <w:t>1</w:t>
      </w:r>
      <w:r>
        <w:rPr>
          <w:rFonts w:hint="eastAsia" w:ascii="仿宋_GB2312"/>
          <w:b/>
          <w:bCs/>
          <w:sz w:val="30"/>
          <w:szCs w:val="30"/>
        </w:rPr>
        <w:t>分，得</w:t>
      </w:r>
      <w:r>
        <w:rPr>
          <w:rFonts w:hAnsi="仿宋"/>
          <w:b/>
          <w:bCs/>
          <w:sz w:val="30"/>
          <w:szCs w:val="30"/>
        </w:rPr>
        <w:t>1</w:t>
      </w:r>
      <w:r>
        <w:rPr>
          <w:rFonts w:hint="eastAsia" w:ascii="仿宋_GB2312"/>
          <w:b/>
          <w:bCs/>
          <w:sz w:val="30"/>
          <w:szCs w:val="30"/>
        </w:rPr>
        <w:t>分。</w:t>
      </w:r>
    </w:p>
    <w:p>
      <w:pPr>
        <w:pStyle w:val="103"/>
        <w:ind w:firstLine="600"/>
        <w:jc w:val="both"/>
        <w:rPr>
          <w:rFonts w:ascii="仿宋_GB2312"/>
          <w:sz w:val="30"/>
          <w:szCs w:val="30"/>
        </w:rPr>
      </w:pPr>
      <w:r>
        <w:rPr>
          <w:rFonts w:hint="eastAsia" w:hAnsi="仿宋"/>
          <w:sz w:val="30"/>
          <w:szCs w:val="30"/>
        </w:rPr>
        <w:t>区教育局财务管理</w:t>
      </w:r>
      <w:r>
        <w:rPr>
          <w:rFonts w:hAnsi="仿宋"/>
          <w:sz w:val="30"/>
          <w:szCs w:val="30"/>
        </w:rPr>
        <w:t>依据上海市、崇明区相关财经法律法规</w:t>
      </w:r>
      <w:r>
        <w:rPr>
          <w:rFonts w:hint="eastAsia" w:hAnsi="仿宋"/>
          <w:sz w:val="30"/>
          <w:szCs w:val="30"/>
        </w:rPr>
        <w:t>执行</w:t>
      </w:r>
      <w:r>
        <w:rPr>
          <w:rFonts w:hAnsi="仿宋"/>
          <w:sz w:val="30"/>
          <w:szCs w:val="30"/>
        </w:rPr>
        <w:t>，同时制定了内部控制规范手册，包含了</w:t>
      </w:r>
      <w:r>
        <w:rPr>
          <w:rFonts w:hint="eastAsia" w:hAnsi="仿宋"/>
          <w:sz w:val="30"/>
          <w:szCs w:val="30"/>
        </w:rPr>
        <w:t>预算管理的内部控制、收入支出的内部控制</w:t>
      </w:r>
      <w:r>
        <w:rPr>
          <w:rFonts w:hAnsi="仿宋"/>
          <w:sz w:val="30"/>
          <w:szCs w:val="30"/>
        </w:rPr>
        <w:t>，制度合法、合规、完整；</w:t>
      </w:r>
      <w:r>
        <w:rPr>
          <w:rFonts w:hint="eastAsia" w:hAnsi="仿宋"/>
          <w:sz w:val="30"/>
          <w:szCs w:val="30"/>
        </w:rPr>
        <w:t>本次评价实地调查了2所成校、社区学院和4所民办学校，7所学校均</w:t>
      </w:r>
      <w:r>
        <w:rPr>
          <w:rFonts w:hAnsi="仿宋"/>
          <w:sz w:val="30"/>
          <w:szCs w:val="30"/>
        </w:rPr>
        <w:t>制定了内部财务管理制度，包含了支出申请、审批、入账、归档等内容。故根据评分标准，该项目财务制度健全，该项指标得满分1分</w:t>
      </w:r>
      <w:r>
        <w:rPr>
          <w:sz w:val="30"/>
          <w:szCs w:val="30"/>
        </w:rPr>
        <w:t>。</w:t>
      </w:r>
    </w:p>
    <w:p>
      <w:pPr>
        <w:pStyle w:val="103"/>
        <w:ind w:firstLine="602"/>
        <w:rPr>
          <w:rFonts w:ascii="仿宋_GB2312"/>
          <w:b/>
          <w:bCs/>
          <w:sz w:val="30"/>
          <w:szCs w:val="30"/>
        </w:rPr>
      </w:pPr>
      <w:r>
        <w:rPr>
          <w:rFonts w:hAnsi="仿宋"/>
          <w:b/>
          <w:bCs/>
          <w:sz w:val="30"/>
          <w:szCs w:val="30"/>
        </w:rPr>
        <w:t>B212工作计划完整性</w:t>
      </w:r>
      <w:r>
        <w:rPr>
          <w:rFonts w:hint="eastAsia" w:ascii="仿宋_GB2312"/>
          <w:b/>
          <w:bCs/>
          <w:sz w:val="30"/>
          <w:szCs w:val="30"/>
        </w:rPr>
        <w:t>，权重</w:t>
      </w:r>
      <w:r>
        <w:rPr>
          <w:rFonts w:hAnsi="仿宋"/>
          <w:b/>
          <w:bCs/>
          <w:sz w:val="30"/>
          <w:szCs w:val="30"/>
        </w:rPr>
        <w:t>1</w:t>
      </w:r>
      <w:r>
        <w:rPr>
          <w:rFonts w:hint="eastAsia" w:ascii="仿宋_GB2312"/>
          <w:b/>
          <w:bCs/>
          <w:sz w:val="30"/>
          <w:szCs w:val="30"/>
        </w:rPr>
        <w:t>分，得</w:t>
      </w:r>
      <w:r>
        <w:rPr>
          <w:rFonts w:hAnsi="仿宋"/>
          <w:b/>
          <w:bCs/>
          <w:sz w:val="30"/>
          <w:szCs w:val="30"/>
        </w:rPr>
        <w:t>1</w:t>
      </w:r>
      <w:r>
        <w:rPr>
          <w:rFonts w:hint="eastAsia" w:ascii="仿宋_GB2312"/>
          <w:b/>
          <w:bCs/>
          <w:sz w:val="30"/>
          <w:szCs w:val="30"/>
        </w:rPr>
        <w:t>分。</w:t>
      </w:r>
    </w:p>
    <w:p>
      <w:pPr>
        <w:pStyle w:val="103"/>
        <w:ind w:firstLine="600"/>
        <w:rPr>
          <w:sz w:val="30"/>
          <w:szCs w:val="30"/>
        </w:rPr>
      </w:pPr>
      <w:r>
        <w:rPr>
          <w:rFonts w:hint="eastAsia" w:hAnsi="仿宋"/>
          <w:sz w:val="30"/>
          <w:szCs w:val="30"/>
        </w:rPr>
        <w:t>区教育局成职科制定了终身教育和民办教育工作的工作要点及工作计划，并对各类子项目制定了相关的实施方案，方案计划较为明确。实地调查的7所学校均</w:t>
      </w:r>
      <w:r>
        <w:rPr>
          <w:rFonts w:hAnsi="仿宋"/>
          <w:sz w:val="30"/>
          <w:szCs w:val="30"/>
        </w:rPr>
        <w:t>制定了</w:t>
      </w:r>
      <w:r>
        <w:rPr>
          <w:rFonts w:hint="eastAsia" w:hAnsi="仿宋"/>
          <w:sz w:val="30"/>
          <w:szCs w:val="30"/>
        </w:rPr>
        <w:t>2</w:t>
      </w:r>
      <w:r>
        <w:rPr>
          <w:rFonts w:hAnsi="仿宋"/>
          <w:sz w:val="30"/>
          <w:szCs w:val="30"/>
        </w:rPr>
        <w:t>022</w:t>
      </w:r>
      <w:r>
        <w:rPr>
          <w:rFonts w:hint="eastAsia" w:hAnsi="仿宋"/>
          <w:sz w:val="30"/>
          <w:szCs w:val="30"/>
        </w:rPr>
        <w:t>年学校工作要点，并对各类项目制定了相应了方案和计划，如培训计划、活动计划、课程开发计划、设备采购计划等。根据评分标准，</w:t>
      </w:r>
      <w:r>
        <w:rPr>
          <w:rFonts w:hAnsi="仿宋"/>
          <w:sz w:val="30"/>
          <w:szCs w:val="30"/>
        </w:rPr>
        <w:t>该指标得1分</w:t>
      </w:r>
      <w:r>
        <w:rPr>
          <w:sz w:val="30"/>
          <w:szCs w:val="30"/>
        </w:rPr>
        <w:t>。</w:t>
      </w:r>
    </w:p>
    <w:p>
      <w:pPr>
        <w:pStyle w:val="103"/>
        <w:ind w:firstLine="602"/>
        <w:rPr>
          <w:b/>
          <w:bCs/>
          <w:sz w:val="30"/>
          <w:szCs w:val="30"/>
        </w:rPr>
      </w:pPr>
      <w:r>
        <w:rPr>
          <w:b/>
          <w:bCs/>
          <w:sz w:val="30"/>
          <w:szCs w:val="30"/>
        </w:rPr>
        <w:t>B213合同管理制度健全性</w:t>
      </w:r>
      <w:r>
        <w:rPr>
          <w:rFonts w:hint="eastAsia"/>
          <w:b/>
          <w:bCs/>
          <w:sz w:val="30"/>
          <w:szCs w:val="30"/>
        </w:rPr>
        <w:t>，权重1分，得</w:t>
      </w:r>
      <w:r>
        <w:rPr>
          <w:b/>
          <w:bCs/>
          <w:sz w:val="30"/>
          <w:szCs w:val="30"/>
        </w:rPr>
        <w:t>0.7</w:t>
      </w:r>
      <w:r>
        <w:rPr>
          <w:rFonts w:hint="eastAsia"/>
          <w:b/>
          <w:bCs/>
          <w:sz w:val="30"/>
          <w:szCs w:val="30"/>
        </w:rPr>
        <w:t>分。</w:t>
      </w:r>
    </w:p>
    <w:p>
      <w:pPr>
        <w:pStyle w:val="103"/>
        <w:ind w:firstLine="600"/>
        <w:rPr>
          <w:rFonts w:hAnsi="仿宋"/>
          <w:sz w:val="30"/>
          <w:szCs w:val="30"/>
        </w:rPr>
      </w:pPr>
      <w:r>
        <w:rPr>
          <w:rFonts w:hint="eastAsia" w:hAnsi="仿宋"/>
          <w:sz w:val="30"/>
          <w:szCs w:val="30"/>
        </w:rPr>
        <w:t>区教育局制定了合同管理制度，包括合同制定的原则、合同拟定、合同审核、合同执行、合同验收等，制度健全。实地调查的7所学校中有个别学校没有建立合同管理制度。根据评分标准，扣0</w:t>
      </w:r>
      <w:r>
        <w:rPr>
          <w:rFonts w:hAnsi="仿宋"/>
          <w:sz w:val="30"/>
          <w:szCs w:val="30"/>
        </w:rPr>
        <w:t>.3</w:t>
      </w:r>
      <w:r>
        <w:rPr>
          <w:rFonts w:hint="eastAsia" w:hAnsi="仿宋"/>
          <w:sz w:val="30"/>
          <w:szCs w:val="30"/>
        </w:rPr>
        <w:t>，得0</w:t>
      </w:r>
      <w:r>
        <w:rPr>
          <w:rFonts w:hAnsi="仿宋"/>
          <w:sz w:val="30"/>
          <w:szCs w:val="30"/>
        </w:rPr>
        <w:t>.7</w:t>
      </w:r>
      <w:r>
        <w:rPr>
          <w:rFonts w:hint="eastAsia" w:hAnsi="仿宋"/>
          <w:sz w:val="30"/>
          <w:szCs w:val="30"/>
        </w:rPr>
        <w:t>分。</w:t>
      </w:r>
    </w:p>
    <w:p>
      <w:pPr>
        <w:pStyle w:val="103"/>
        <w:ind w:firstLine="602"/>
        <w:rPr>
          <w:b/>
          <w:bCs/>
          <w:sz w:val="30"/>
          <w:szCs w:val="30"/>
        </w:rPr>
      </w:pPr>
      <w:r>
        <w:rPr>
          <w:b/>
          <w:bCs/>
          <w:sz w:val="30"/>
          <w:szCs w:val="30"/>
        </w:rPr>
        <w:t>B214项目招标及监督验收管理制度健全性</w:t>
      </w:r>
      <w:r>
        <w:rPr>
          <w:rFonts w:hint="eastAsia"/>
          <w:b/>
          <w:bCs/>
          <w:sz w:val="30"/>
          <w:szCs w:val="30"/>
        </w:rPr>
        <w:t>，权重2分，得1</w:t>
      </w:r>
      <w:r>
        <w:rPr>
          <w:b/>
          <w:bCs/>
          <w:sz w:val="30"/>
          <w:szCs w:val="30"/>
        </w:rPr>
        <w:t>.6</w:t>
      </w:r>
      <w:r>
        <w:rPr>
          <w:rFonts w:hint="eastAsia"/>
          <w:b/>
          <w:bCs/>
          <w:sz w:val="30"/>
          <w:szCs w:val="30"/>
        </w:rPr>
        <w:t>分。</w:t>
      </w:r>
    </w:p>
    <w:p>
      <w:pPr>
        <w:pStyle w:val="103"/>
        <w:ind w:firstLine="602"/>
        <w:jc w:val="both"/>
        <w:rPr>
          <w:rFonts w:ascii="仿宋_GB2312" w:hAnsi="仿宋"/>
          <w:sz w:val="30"/>
          <w:szCs w:val="30"/>
        </w:rPr>
      </w:pPr>
      <w:r>
        <w:rPr>
          <w:rFonts w:hint="eastAsia" w:hAnsi="仿宋"/>
          <w:b/>
          <w:bCs/>
          <w:sz w:val="30"/>
          <w:szCs w:val="30"/>
        </w:rPr>
        <w:t>区教育局：</w:t>
      </w:r>
      <w:r>
        <w:rPr>
          <w:rFonts w:hint="eastAsia" w:hAnsi="仿宋"/>
          <w:sz w:val="30"/>
          <w:szCs w:val="30"/>
        </w:rPr>
        <w:t>制定了政府采购规范，明确了采购流程，采购组织和实施等，并明确了采购项目的验收要求，验收程序。但存在以下问题：</w:t>
      </w:r>
      <w:r>
        <w:rPr>
          <w:rFonts w:hint="eastAsia" w:ascii="仿宋_GB2312"/>
          <w:sz w:val="30"/>
          <w:szCs w:val="30"/>
        </w:rPr>
        <w:t>①</w:t>
      </w:r>
      <w:r>
        <w:rPr>
          <w:rFonts w:ascii="仿宋_GB2312"/>
          <w:b/>
          <w:bCs/>
          <w:sz w:val="30"/>
          <w:szCs w:val="30"/>
        </w:rPr>
        <w:t>民办教育发展专项资金缺少管理办法</w:t>
      </w:r>
      <w:r>
        <w:rPr>
          <w:rFonts w:ascii="仿宋_GB2312"/>
          <w:sz w:val="30"/>
          <w:szCs w:val="30"/>
        </w:rPr>
        <w:t>。根据《上海市促进民办教育发展专项资金管理办法》“各区县政府可以根据本地区实际情况，设立区县级民办教育发展专项资金，支持本区域内民办教育发展，并制定相关管理办法”，但崇明区教育局未制定民办教育发展管理办法，没有明确对项目的管理要求。</w:t>
      </w:r>
      <w:r>
        <w:rPr>
          <w:rFonts w:hint="eastAsia" w:ascii="仿宋_GB2312"/>
          <w:b/>
          <w:bCs/>
          <w:sz w:val="30"/>
          <w:szCs w:val="30"/>
        </w:rPr>
        <w:t>②民办生均公用经费补贴未按要求制定相关管理办法</w:t>
      </w:r>
      <w:r>
        <w:rPr>
          <w:rFonts w:hint="eastAsia" w:ascii="仿宋_GB2312"/>
          <w:sz w:val="30"/>
          <w:szCs w:val="30"/>
        </w:rPr>
        <w:t>。根据《上海市政府关于进一步完善本市城乡义务教育经费保障机制的通知》（沪府发〔</w:t>
      </w:r>
      <w:r>
        <w:rPr>
          <w:rFonts w:ascii="仿宋_GB2312"/>
          <w:sz w:val="30"/>
          <w:szCs w:val="30"/>
        </w:rPr>
        <w:t>2016〕35号）“各区县实际补助民办学校公用经费水平高于本市基本标准的，要制定管理办法，明确扶持条件”，崇明区民办公用经费补助高于上海市基本标准，但是没有台相关管理办法。</w:t>
      </w:r>
      <w:r>
        <w:rPr>
          <w:rFonts w:hint="eastAsia" w:ascii="宋体" w:hAnsi="宋体" w:eastAsia="宋体" w:cs="宋体"/>
          <w:b/>
          <w:bCs/>
          <w:sz w:val="30"/>
          <w:szCs w:val="30"/>
        </w:rPr>
        <w:t>③</w:t>
      </w:r>
      <w:r>
        <w:rPr>
          <w:rFonts w:ascii="仿宋_GB2312"/>
          <w:b/>
          <w:bCs/>
          <w:sz w:val="30"/>
          <w:szCs w:val="30"/>
        </w:rPr>
        <w:t>终身教育经费中课程建设类和活动类项目没有结项规定</w:t>
      </w:r>
      <w:r>
        <w:rPr>
          <w:rFonts w:ascii="仿宋_GB2312"/>
          <w:sz w:val="30"/>
          <w:szCs w:val="30"/>
        </w:rPr>
        <w:t>，如区社区学院《创意海派插花》课程建设经费项目、“我心目中的最美老年学员”主题征文讲述活动经费项目、涉农课程培训经费项目等。</w:t>
      </w:r>
      <w:r>
        <w:rPr>
          <w:rFonts w:hint="eastAsia" w:ascii="仿宋_GB2312" w:hAnsi="仿宋"/>
          <w:sz w:val="30"/>
          <w:szCs w:val="30"/>
        </w:rPr>
        <w:t>根据评分标准，得0</w:t>
      </w:r>
      <w:r>
        <w:rPr>
          <w:rFonts w:ascii="仿宋_GB2312" w:hAnsi="仿宋"/>
          <w:sz w:val="30"/>
          <w:szCs w:val="30"/>
        </w:rPr>
        <w:t>.8</w:t>
      </w:r>
      <w:r>
        <w:rPr>
          <w:rFonts w:hint="eastAsia" w:ascii="仿宋_GB2312" w:hAnsi="仿宋"/>
          <w:sz w:val="30"/>
          <w:szCs w:val="30"/>
        </w:rPr>
        <w:t>分。</w:t>
      </w:r>
    </w:p>
    <w:p>
      <w:pPr>
        <w:pStyle w:val="103"/>
        <w:ind w:firstLine="602"/>
        <w:jc w:val="both"/>
        <w:rPr>
          <w:rFonts w:ascii="仿宋_GB2312" w:hAnsi="仿宋"/>
          <w:sz w:val="30"/>
          <w:szCs w:val="30"/>
        </w:rPr>
      </w:pPr>
      <w:r>
        <w:rPr>
          <w:rFonts w:hint="eastAsia" w:ascii="仿宋_GB2312" w:hAnsi="仿宋"/>
          <w:b/>
          <w:bCs/>
          <w:sz w:val="30"/>
          <w:szCs w:val="30"/>
        </w:rPr>
        <w:t>各学校：</w:t>
      </w:r>
      <w:r>
        <w:rPr>
          <w:rFonts w:hint="eastAsia" w:ascii="仿宋_GB2312" w:hAnsi="仿宋"/>
          <w:sz w:val="30"/>
          <w:szCs w:val="30"/>
        </w:rPr>
        <w:t>调研的7所学校均制定了政府采购的相关管理要求，但在项目监督检查、验收方面缺失。根据评分标准，得</w:t>
      </w:r>
      <w:r>
        <w:rPr>
          <w:rFonts w:ascii="仿宋_GB2312" w:hAnsi="仿宋"/>
          <w:sz w:val="30"/>
          <w:szCs w:val="30"/>
        </w:rPr>
        <w:t>0.8</w:t>
      </w:r>
      <w:r>
        <w:rPr>
          <w:rFonts w:hint="eastAsia" w:ascii="仿宋_GB2312" w:hAnsi="仿宋"/>
          <w:sz w:val="30"/>
          <w:szCs w:val="30"/>
        </w:rPr>
        <w:t>分。</w:t>
      </w:r>
    </w:p>
    <w:p>
      <w:pPr>
        <w:pStyle w:val="103"/>
        <w:ind w:firstLine="600"/>
        <w:jc w:val="both"/>
        <w:rPr>
          <w:rFonts w:ascii="仿宋_GB2312"/>
          <w:sz w:val="30"/>
          <w:szCs w:val="30"/>
        </w:rPr>
      </w:pPr>
      <w:r>
        <w:rPr>
          <w:rFonts w:hint="eastAsia" w:ascii="仿宋_GB2312"/>
          <w:sz w:val="30"/>
          <w:szCs w:val="30"/>
        </w:rPr>
        <w:t>综上，该指标得1.</w:t>
      </w:r>
      <w:r>
        <w:rPr>
          <w:rFonts w:ascii="仿宋_GB2312"/>
          <w:sz w:val="30"/>
          <w:szCs w:val="30"/>
        </w:rPr>
        <w:t>6</w:t>
      </w:r>
      <w:r>
        <w:rPr>
          <w:rFonts w:hint="eastAsia" w:ascii="仿宋_GB2312"/>
          <w:sz w:val="30"/>
          <w:szCs w:val="30"/>
        </w:rPr>
        <w:t>分。</w:t>
      </w:r>
    </w:p>
    <w:p>
      <w:pPr>
        <w:pStyle w:val="103"/>
        <w:ind w:firstLine="602"/>
        <w:rPr>
          <w:b/>
          <w:bCs/>
          <w:sz w:val="30"/>
          <w:szCs w:val="30"/>
        </w:rPr>
      </w:pPr>
      <w:r>
        <w:rPr>
          <w:b/>
          <w:bCs/>
          <w:sz w:val="30"/>
          <w:szCs w:val="30"/>
        </w:rPr>
        <w:t>B215项目档案管理制度健全性</w:t>
      </w:r>
      <w:r>
        <w:rPr>
          <w:rFonts w:hint="eastAsia"/>
          <w:b/>
          <w:bCs/>
          <w:sz w:val="30"/>
          <w:szCs w:val="30"/>
        </w:rPr>
        <w:t>，权重1分，得1分。</w:t>
      </w:r>
    </w:p>
    <w:p>
      <w:pPr>
        <w:pStyle w:val="103"/>
        <w:ind w:firstLine="600"/>
        <w:rPr>
          <w:sz w:val="30"/>
          <w:szCs w:val="30"/>
        </w:rPr>
      </w:pPr>
      <w:r>
        <w:rPr>
          <w:rFonts w:hint="eastAsia"/>
          <w:sz w:val="30"/>
          <w:szCs w:val="30"/>
        </w:rPr>
        <w:t>区教育局和各学校根据</w:t>
      </w:r>
      <w:r>
        <w:rPr>
          <w:rFonts w:hint="eastAsia" w:hAnsi="仿宋"/>
          <w:sz w:val="30"/>
          <w:szCs w:val="30"/>
        </w:rPr>
        <w:t>《上海市档案条例》《电子文件管理暂行办法》和《上海市电子档案和数字化档案备份办法》要求，</w:t>
      </w:r>
      <w:r>
        <w:rPr>
          <w:rFonts w:hint="eastAsia"/>
          <w:sz w:val="30"/>
          <w:szCs w:val="30"/>
        </w:rPr>
        <w:t>均建立了项目档案管理的相关制度，明确了档案的要求和规定，根据评分标准，该指标得满分1分。</w:t>
      </w:r>
    </w:p>
    <w:p>
      <w:pPr>
        <w:pStyle w:val="103"/>
        <w:ind w:firstLine="602"/>
        <w:rPr>
          <w:rFonts w:ascii="仿宋_GB2312"/>
          <w:b/>
          <w:bCs/>
          <w:sz w:val="30"/>
          <w:szCs w:val="30"/>
        </w:rPr>
      </w:pPr>
      <w:r>
        <w:rPr>
          <w:rFonts w:hAnsi="仿宋"/>
          <w:b/>
          <w:bCs/>
          <w:sz w:val="30"/>
          <w:szCs w:val="30"/>
        </w:rPr>
        <w:t>B221财务管理制度执行规范性</w:t>
      </w:r>
      <w:r>
        <w:rPr>
          <w:rFonts w:hint="eastAsia" w:ascii="仿宋_GB2312"/>
          <w:b/>
          <w:bCs/>
          <w:sz w:val="30"/>
          <w:szCs w:val="30"/>
        </w:rPr>
        <w:t>，权重</w:t>
      </w:r>
      <w:r>
        <w:rPr>
          <w:rFonts w:hAnsi="仿宋"/>
          <w:b/>
          <w:bCs/>
          <w:sz w:val="30"/>
          <w:szCs w:val="30"/>
        </w:rPr>
        <w:t>1</w:t>
      </w:r>
      <w:r>
        <w:rPr>
          <w:rFonts w:hint="eastAsia" w:ascii="仿宋_GB2312"/>
          <w:b/>
          <w:bCs/>
          <w:sz w:val="30"/>
          <w:szCs w:val="30"/>
        </w:rPr>
        <w:t>分，得</w:t>
      </w:r>
      <w:r>
        <w:rPr>
          <w:rFonts w:hAnsi="仿宋"/>
          <w:b/>
          <w:bCs/>
          <w:sz w:val="30"/>
          <w:szCs w:val="30"/>
        </w:rPr>
        <w:t>1</w:t>
      </w:r>
      <w:r>
        <w:rPr>
          <w:rFonts w:hint="eastAsia" w:ascii="仿宋_GB2312"/>
          <w:b/>
          <w:bCs/>
          <w:sz w:val="30"/>
          <w:szCs w:val="30"/>
        </w:rPr>
        <w:t>分。</w:t>
      </w:r>
    </w:p>
    <w:p>
      <w:pPr>
        <w:pStyle w:val="103"/>
        <w:ind w:firstLine="600"/>
        <w:jc w:val="both"/>
        <w:rPr>
          <w:rFonts w:hAnsi="仿宋"/>
          <w:sz w:val="30"/>
          <w:szCs w:val="30"/>
        </w:rPr>
      </w:pPr>
      <w:r>
        <w:rPr>
          <w:rFonts w:hAnsi="仿宋"/>
          <w:sz w:val="30"/>
          <w:szCs w:val="30"/>
        </w:rPr>
        <w:t>通过查阅会计凭证和</w:t>
      </w:r>
      <w:r>
        <w:rPr>
          <w:rFonts w:hint="eastAsia" w:hAnsi="仿宋"/>
          <w:sz w:val="30"/>
          <w:szCs w:val="30"/>
        </w:rPr>
        <w:t>财务账册</w:t>
      </w:r>
      <w:r>
        <w:rPr>
          <w:rFonts w:hAnsi="仿宋"/>
          <w:sz w:val="30"/>
          <w:szCs w:val="30"/>
        </w:rPr>
        <w:t>，</w:t>
      </w:r>
      <w:r>
        <w:rPr>
          <w:rFonts w:hint="eastAsia" w:hAnsi="仿宋"/>
          <w:sz w:val="30"/>
          <w:szCs w:val="30"/>
        </w:rPr>
        <w:t>区教育局和各学校</w:t>
      </w:r>
      <w:r>
        <w:rPr>
          <w:rFonts w:hAnsi="仿宋"/>
          <w:sz w:val="30"/>
          <w:szCs w:val="30"/>
        </w:rPr>
        <w:t>财务流程基本按照相关财经法规执行，费用支出均填写审批表，并</w:t>
      </w:r>
      <w:r>
        <w:rPr>
          <w:rFonts w:hint="eastAsia" w:hAnsi="仿宋"/>
          <w:sz w:val="30"/>
          <w:szCs w:val="30"/>
        </w:rPr>
        <w:t>由</w:t>
      </w:r>
      <w:r>
        <w:rPr>
          <w:rFonts w:hAnsi="仿宋"/>
          <w:sz w:val="30"/>
          <w:szCs w:val="30"/>
        </w:rPr>
        <w:t>相关领导签字，符合管理制度要求</w:t>
      </w:r>
      <w:r>
        <w:rPr>
          <w:rFonts w:hint="eastAsia" w:hAnsi="仿宋"/>
          <w:sz w:val="30"/>
          <w:szCs w:val="30"/>
        </w:rPr>
        <w:t>，</w:t>
      </w:r>
      <w:r>
        <w:rPr>
          <w:rFonts w:hAnsi="仿宋"/>
          <w:sz w:val="30"/>
          <w:szCs w:val="30"/>
        </w:rPr>
        <w:t>故该项指标得1分。</w:t>
      </w:r>
    </w:p>
    <w:p>
      <w:pPr>
        <w:pStyle w:val="103"/>
        <w:ind w:firstLine="602"/>
        <w:rPr>
          <w:rFonts w:ascii="仿宋_GB2312"/>
          <w:b/>
          <w:bCs/>
          <w:sz w:val="30"/>
          <w:szCs w:val="30"/>
        </w:rPr>
      </w:pPr>
      <w:r>
        <w:rPr>
          <w:rFonts w:hAnsi="仿宋"/>
          <w:b/>
          <w:bCs/>
          <w:sz w:val="30"/>
          <w:szCs w:val="30"/>
        </w:rPr>
        <w:t>B222合同管理制度执行规范性</w:t>
      </w:r>
      <w:r>
        <w:rPr>
          <w:rFonts w:hint="eastAsia" w:ascii="仿宋_GB2312"/>
          <w:b/>
          <w:bCs/>
          <w:sz w:val="30"/>
          <w:szCs w:val="30"/>
        </w:rPr>
        <w:t>，权重</w:t>
      </w:r>
      <w:r>
        <w:rPr>
          <w:rFonts w:hAnsi="仿宋"/>
          <w:b/>
          <w:bCs/>
          <w:sz w:val="30"/>
          <w:szCs w:val="30"/>
        </w:rPr>
        <w:t>2</w:t>
      </w:r>
      <w:r>
        <w:rPr>
          <w:rFonts w:hint="eastAsia" w:ascii="仿宋_GB2312"/>
          <w:b/>
          <w:bCs/>
          <w:sz w:val="30"/>
          <w:szCs w:val="30"/>
        </w:rPr>
        <w:t>分，得</w:t>
      </w:r>
      <w:r>
        <w:rPr>
          <w:rFonts w:hAnsi="仿宋"/>
          <w:b/>
          <w:bCs/>
          <w:sz w:val="30"/>
          <w:szCs w:val="30"/>
        </w:rPr>
        <w:t>1</w:t>
      </w:r>
      <w:r>
        <w:rPr>
          <w:rFonts w:hint="eastAsia" w:ascii="仿宋_GB2312"/>
          <w:b/>
          <w:bCs/>
          <w:sz w:val="30"/>
          <w:szCs w:val="30"/>
        </w:rPr>
        <w:t>分。</w:t>
      </w:r>
    </w:p>
    <w:p>
      <w:pPr>
        <w:pStyle w:val="103"/>
        <w:ind w:firstLine="602"/>
        <w:jc w:val="both"/>
        <w:rPr>
          <w:rFonts w:hAnsi="仿宋"/>
          <w:sz w:val="30"/>
          <w:szCs w:val="30"/>
        </w:rPr>
      </w:pPr>
      <w:r>
        <w:rPr>
          <w:rFonts w:hint="eastAsia" w:hAnsi="仿宋"/>
          <w:b/>
          <w:bCs/>
          <w:sz w:val="30"/>
          <w:szCs w:val="30"/>
        </w:rPr>
        <w:t>区教育局：</w:t>
      </w:r>
      <w:r>
        <w:rPr>
          <w:rFonts w:hAnsi="仿宋"/>
          <w:sz w:val="30"/>
          <w:szCs w:val="30"/>
        </w:rPr>
        <w:t>通过查阅会计凭证附件资料中的合同</w:t>
      </w:r>
      <w:r>
        <w:rPr>
          <w:rFonts w:hint="eastAsia" w:hAnsi="仿宋"/>
          <w:sz w:val="30"/>
          <w:szCs w:val="30"/>
        </w:rPr>
        <w:t>文本</w:t>
      </w:r>
      <w:r>
        <w:rPr>
          <w:rFonts w:hAnsi="仿宋"/>
          <w:sz w:val="30"/>
          <w:szCs w:val="30"/>
        </w:rPr>
        <w:t>，</w:t>
      </w:r>
      <w:r>
        <w:rPr>
          <w:rFonts w:hint="eastAsia" w:hAnsi="仿宋"/>
          <w:sz w:val="30"/>
          <w:szCs w:val="30"/>
        </w:rPr>
        <w:t>条款</w:t>
      </w:r>
      <w:r>
        <w:rPr>
          <w:rFonts w:hAnsi="仿宋"/>
          <w:sz w:val="30"/>
          <w:szCs w:val="30"/>
        </w:rPr>
        <w:t>内容</w:t>
      </w:r>
      <w:r>
        <w:rPr>
          <w:rFonts w:hint="eastAsia" w:hAnsi="仿宋"/>
          <w:sz w:val="30"/>
          <w:szCs w:val="30"/>
        </w:rPr>
        <w:t>基本</w:t>
      </w:r>
      <w:r>
        <w:rPr>
          <w:rFonts w:hAnsi="仿宋"/>
          <w:sz w:val="30"/>
          <w:szCs w:val="30"/>
        </w:rPr>
        <w:t>完备、要素</w:t>
      </w:r>
      <w:r>
        <w:rPr>
          <w:rFonts w:hint="eastAsia" w:hAnsi="仿宋"/>
          <w:sz w:val="30"/>
          <w:szCs w:val="30"/>
        </w:rPr>
        <w:t>基本</w:t>
      </w:r>
      <w:r>
        <w:rPr>
          <w:rFonts w:hAnsi="仿宋"/>
          <w:sz w:val="30"/>
          <w:szCs w:val="30"/>
        </w:rPr>
        <w:t>完整，且受托方按照合同</w:t>
      </w:r>
      <w:r>
        <w:rPr>
          <w:rFonts w:hint="eastAsia" w:hAnsi="仿宋"/>
          <w:sz w:val="30"/>
          <w:szCs w:val="30"/>
        </w:rPr>
        <w:t>要求</w:t>
      </w:r>
      <w:r>
        <w:rPr>
          <w:rFonts w:hAnsi="仿宋"/>
          <w:sz w:val="30"/>
          <w:szCs w:val="30"/>
        </w:rPr>
        <w:t>实施</w:t>
      </w:r>
      <w:r>
        <w:rPr>
          <w:rFonts w:hint="eastAsia" w:hAnsi="仿宋"/>
          <w:sz w:val="30"/>
          <w:szCs w:val="30"/>
        </w:rPr>
        <w:t>了</w:t>
      </w:r>
      <w:r>
        <w:rPr>
          <w:rFonts w:hAnsi="仿宋"/>
          <w:sz w:val="30"/>
          <w:szCs w:val="30"/>
        </w:rPr>
        <w:t>评估工作。</w:t>
      </w:r>
      <w:r>
        <w:rPr>
          <w:rFonts w:hint="eastAsia" w:hAnsi="仿宋"/>
          <w:sz w:val="30"/>
          <w:szCs w:val="30"/>
        </w:rPr>
        <w:t>但部分合同还不够规范，与上海崇明教育评估中心、上海平协教育研究与评估事务所签订的合同不够完整，缺少付款方式，甲乙方权利与义务，保密规定、服务期限、签订日期等要素，此外，委托年度检查1</w:t>
      </w:r>
      <w:r>
        <w:rPr>
          <w:rFonts w:hAnsi="仿宋"/>
          <w:sz w:val="30"/>
          <w:szCs w:val="30"/>
        </w:rPr>
        <w:t>9</w:t>
      </w:r>
      <w:r>
        <w:rPr>
          <w:rFonts w:hint="eastAsia" w:hAnsi="仿宋"/>
          <w:sz w:val="30"/>
          <w:szCs w:val="30"/>
        </w:rPr>
        <w:t>家机构，实际完成1</w:t>
      </w:r>
      <w:r>
        <w:rPr>
          <w:rFonts w:hAnsi="仿宋"/>
          <w:sz w:val="30"/>
          <w:szCs w:val="30"/>
        </w:rPr>
        <w:t>8</w:t>
      </w:r>
      <w:r>
        <w:rPr>
          <w:rFonts w:hint="eastAsia" w:hAnsi="仿宋"/>
          <w:sz w:val="30"/>
          <w:szCs w:val="30"/>
        </w:rPr>
        <w:t>家，有1家地址变更没有核查，但实际结算时全额支付，没有按时结算，主要原因是合同中没有约定“按实结算”的要求，根据评分标准，该指标得0</w:t>
      </w:r>
      <w:r>
        <w:rPr>
          <w:rFonts w:hAnsi="仿宋"/>
          <w:sz w:val="30"/>
          <w:szCs w:val="30"/>
        </w:rPr>
        <w:t>.5</w:t>
      </w:r>
      <w:r>
        <w:rPr>
          <w:rFonts w:hint="eastAsia" w:hAnsi="仿宋"/>
          <w:sz w:val="30"/>
          <w:szCs w:val="30"/>
        </w:rPr>
        <w:t>分。</w:t>
      </w:r>
    </w:p>
    <w:p>
      <w:pPr>
        <w:pStyle w:val="103"/>
        <w:ind w:firstLine="602"/>
        <w:jc w:val="both"/>
        <w:rPr>
          <w:rFonts w:hAnsi="仿宋"/>
          <w:sz w:val="30"/>
          <w:szCs w:val="30"/>
        </w:rPr>
      </w:pPr>
      <w:r>
        <w:rPr>
          <w:rFonts w:hint="eastAsia" w:hAnsi="仿宋"/>
          <w:b/>
          <w:bCs/>
          <w:sz w:val="30"/>
          <w:szCs w:val="30"/>
        </w:rPr>
        <w:t>各学校：</w:t>
      </w:r>
      <w:r>
        <w:rPr>
          <w:rFonts w:hAnsi="仿宋"/>
          <w:sz w:val="30"/>
          <w:szCs w:val="30"/>
        </w:rPr>
        <w:t>通过查阅</w:t>
      </w:r>
      <w:r>
        <w:rPr>
          <w:rFonts w:hint="eastAsia" w:hAnsi="仿宋"/>
          <w:sz w:val="30"/>
          <w:szCs w:val="30"/>
        </w:rPr>
        <w:t>7所学校各类采购和委托</w:t>
      </w:r>
      <w:r>
        <w:rPr>
          <w:rFonts w:hAnsi="仿宋"/>
          <w:sz w:val="30"/>
          <w:szCs w:val="30"/>
        </w:rPr>
        <w:t>合同</w:t>
      </w:r>
      <w:r>
        <w:rPr>
          <w:rFonts w:hint="eastAsia" w:hAnsi="仿宋"/>
          <w:sz w:val="30"/>
          <w:szCs w:val="30"/>
        </w:rPr>
        <w:t>文本</w:t>
      </w:r>
      <w:r>
        <w:rPr>
          <w:rFonts w:hAnsi="仿宋"/>
          <w:sz w:val="30"/>
          <w:szCs w:val="30"/>
        </w:rPr>
        <w:t>，</w:t>
      </w:r>
      <w:r>
        <w:rPr>
          <w:rFonts w:hint="eastAsia" w:hAnsi="仿宋"/>
          <w:sz w:val="30"/>
          <w:szCs w:val="30"/>
        </w:rPr>
        <w:t>条款</w:t>
      </w:r>
      <w:r>
        <w:rPr>
          <w:rFonts w:hAnsi="仿宋"/>
          <w:sz w:val="30"/>
          <w:szCs w:val="30"/>
        </w:rPr>
        <w:t>内容</w:t>
      </w:r>
      <w:r>
        <w:rPr>
          <w:rFonts w:hint="eastAsia" w:hAnsi="仿宋"/>
          <w:sz w:val="30"/>
          <w:szCs w:val="30"/>
        </w:rPr>
        <w:t>基本</w:t>
      </w:r>
      <w:r>
        <w:rPr>
          <w:rFonts w:hAnsi="仿宋"/>
          <w:sz w:val="30"/>
          <w:szCs w:val="30"/>
        </w:rPr>
        <w:t>完备、要素</w:t>
      </w:r>
      <w:r>
        <w:rPr>
          <w:rFonts w:hint="eastAsia" w:hAnsi="仿宋"/>
          <w:sz w:val="30"/>
          <w:szCs w:val="30"/>
        </w:rPr>
        <w:t>基本</w:t>
      </w:r>
      <w:r>
        <w:rPr>
          <w:rFonts w:hAnsi="仿宋"/>
          <w:sz w:val="30"/>
          <w:szCs w:val="30"/>
        </w:rPr>
        <w:t>完整，且受托方按照合同</w:t>
      </w:r>
      <w:r>
        <w:rPr>
          <w:rFonts w:hint="eastAsia" w:hAnsi="仿宋"/>
          <w:sz w:val="30"/>
          <w:szCs w:val="30"/>
        </w:rPr>
        <w:t>要求</w:t>
      </w:r>
      <w:r>
        <w:rPr>
          <w:rFonts w:hAnsi="仿宋"/>
          <w:sz w:val="30"/>
          <w:szCs w:val="30"/>
        </w:rPr>
        <w:t>实施</w:t>
      </w:r>
      <w:r>
        <w:rPr>
          <w:rFonts w:hint="eastAsia" w:hAnsi="仿宋"/>
          <w:sz w:val="30"/>
          <w:szCs w:val="30"/>
        </w:rPr>
        <w:t>了</w:t>
      </w:r>
      <w:r>
        <w:rPr>
          <w:rFonts w:hAnsi="仿宋"/>
          <w:sz w:val="30"/>
          <w:szCs w:val="30"/>
        </w:rPr>
        <w:t>评估工作。</w:t>
      </w:r>
      <w:r>
        <w:rPr>
          <w:rFonts w:hint="eastAsia" w:hAnsi="仿宋"/>
          <w:sz w:val="30"/>
          <w:szCs w:val="30"/>
        </w:rPr>
        <w:t>但部分合同还不够规范，如社区学院与上海风河科技信息有限公司签订的视频制作的合同中付款方式为合同签订后一次性支付，不够合理；成桥镇成校和上海惠秀环境科技中心签订的合同中支付方式为转账或现金，约定现金支付不符合规定（注：2</w:t>
      </w:r>
      <w:r>
        <w:rPr>
          <w:rFonts w:hAnsi="仿宋"/>
          <w:sz w:val="30"/>
          <w:szCs w:val="30"/>
        </w:rPr>
        <w:t>022</w:t>
      </w:r>
      <w:r>
        <w:rPr>
          <w:rFonts w:hint="eastAsia" w:hAnsi="仿宋"/>
          <w:sz w:val="30"/>
          <w:szCs w:val="30"/>
        </w:rPr>
        <w:t>年实际支付为转账）；庙镇成校和上海煊昂建设工程服务中心签订的合同中付款方式为一次性付款，没有明确是完成前还是完成后支付，约定要素不完整（注：2</w:t>
      </w:r>
      <w:r>
        <w:rPr>
          <w:rFonts w:hAnsi="仿宋"/>
          <w:sz w:val="30"/>
          <w:szCs w:val="30"/>
        </w:rPr>
        <w:t>022</w:t>
      </w:r>
      <w:r>
        <w:rPr>
          <w:rFonts w:hint="eastAsia" w:hAnsi="仿宋"/>
          <w:sz w:val="30"/>
          <w:szCs w:val="30"/>
        </w:rPr>
        <w:t>年实际付款为工程完工后）。根据评分标准，该指标得0</w:t>
      </w:r>
      <w:r>
        <w:rPr>
          <w:rFonts w:hAnsi="仿宋"/>
          <w:sz w:val="30"/>
          <w:szCs w:val="30"/>
        </w:rPr>
        <w:t>.5</w:t>
      </w:r>
      <w:r>
        <w:rPr>
          <w:rFonts w:hint="eastAsia" w:hAnsi="仿宋"/>
          <w:sz w:val="30"/>
          <w:szCs w:val="30"/>
        </w:rPr>
        <w:t>分。</w:t>
      </w:r>
    </w:p>
    <w:p>
      <w:pPr>
        <w:pStyle w:val="103"/>
        <w:ind w:firstLine="600"/>
        <w:jc w:val="both"/>
        <w:rPr>
          <w:rFonts w:ascii="仿宋_GB2312"/>
          <w:sz w:val="30"/>
          <w:szCs w:val="30"/>
        </w:rPr>
      </w:pPr>
      <w:r>
        <w:rPr>
          <w:rFonts w:hAnsi="仿宋"/>
          <w:sz w:val="30"/>
          <w:szCs w:val="30"/>
        </w:rPr>
        <w:t>故根据评分标准，该项指标得</w:t>
      </w:r>
      <w:r>
        <w:rPr>
          <w:rFonts w:hint="eastAsia" w:hAnsi="仿宋"/>
          <w:sz w:val="30"/>
          <w:szCs w:val="30"/>
        </w:rPr>
        <w:t>1</w:t>
      </w:r>
      <w:r>
        <w:rPr>
          <w:rFonts w:hAnsi="仿宋"/>
          <w:sz w:val="30"/>
          <w:szCs w:val="30"/>
        </w:rPr>
        <w:t>分</w:t>
      </w:r>
      <w:r>
        <w:rPr>
          <w:sz w:val="30"/>
          <w:szCs w:val="30"/>
        </w:rPr>
        <w:t>。</w:t>
      </w:r>
    </w:p>
    <w:p>
      <w:pPr>
        <w:pStyle w:val="103"/>
        <w:ind w:firstLine="602"/>
        <w:rPr>
          <w:rFonts w:hAnsi="仿宋"/>
          <w:b/>
          <w:bCs/>
          <w:sz w:val="30"/>
          <w:szCs w:val="30"/>
        </w:rPr>
      </w:pPr>
      <w:r>
        <w:rPr>
          <w:rFonts w:hAnsi="仿宋"/>
          <w:b/>
          <w:bCs/>
          <w:sz w:val="30"/>
          <w:szCs w:val="30"/>
        </w:rPr>
        <w:t>B223项目招标及监督验收管理制度执行规范性</w:t>
      </w:r>
      <w:r>
        <w:rPr>
          <w:rFonts w:hint="eastAsia" w:hAnsi="仿宋"/>
          <w:b/>
          <w:bCs/>
          <w:sz w:val="30"/>
          <w:szCs w:val="30"/>
        </w:rPr>
        <w:t>，权重3分，得</w:t>
      </w:r>
      <w:r>
        <w:rPr>
          <w:rFonts w:hAnsi="仿宋"/>
          <w:b/>
          <w:bCs/>
          <w:sz w:val="30"/>
          <w:szCs w:val="30"/>
        </w:rPr>
        <w:t>2.4</w:t>
      </w:r>
      <w:r>
        <w:rPr>
          <w:rFonts w:hint="eastAsia" w:hAnsi="仿宋"/>
          <w:b/>
          <w:bCs/>
          <w:sz w:val="30"/>
          <w:szCs w:val="30"/>
        </w:rPr>
        <w:t>分</w:t>
      </w:r>
    </w:p>
    <w:p>
      <w:pPr>
        <w:pStyle w:val="103"/>
        <w:ind w:firstLine="602"/>
        <w:jc w:val="both"/>
        <w:rPr>
          <w:rFonts w:ascii="仿宋_GB2312" w:hAnsi="仿宋"/>
          <w:sz w:val="30"/>
          <w:szCs w:val="30"/>
        </w:rPr>
      </w:pPr>
      <w:r>
        <w:rPr>
          <w:rFonts w:hint="eastAsia" w:hAnsi="仿宋"/>
          <w:b/>
          <w:bCs/>
          <w:sz w:val="30"/>
          <w:szCs w:val="30"/>
        </w:rPr>
        <w:t>区教育局：</w:t>
      </w:r>
      <w:r>
        <w:rPr>
          <w:rFonts w:hint="eastAsia" w:hAnsi="仿宋"/>
          <w:sz w:val="30"/>
          <w:szCs w:val="30"/>
        </w:rPr>
        <w:t>按照政府采购规范要求，实施了政府采购，并对项目进行了监督和验收，但</w:t>
      </w:r>
      <w:r>
        <w:rPr>
          <w:rFonts w:hint="eastAsia" w:ascii="仿宋_GB2312" w:hAnsi="仿宋"/>
          <w:sz w:val="30"/>
          <w:szCs w:val="30"/>
        </w:rPr>
        <w:t>对民办教育发展专项资金和活动类项目缺少监督和验收结项管理。根据评分标准，得</w:t>
      </w:r>
      <w:r>
        <w:rPr>
          <w:rFonts w:ascii="仿宋_GB2312" w:hAnsi="仿宋"/>
          <w:sz w:val="30"/>
          <w:szCs w:val="30"/>
        </w:rPr>
        <w:t>1.2</w:t>
      </w:r>
      <w:r>
        <w:rPr>
          <w:rFonts w:hint="eastAsia" w:ascii="仿宋_GB2312" w:hAnsi="仿宋"/>
          <w:sz w:val="30"/>
          <w:szCs w:val="30"/>
        </w:rPr>
        <w:t>分。</w:t>
      </w:r>
    </w:p>
    <w:p>
      <w:pPr>
        <w:pStyle w:val="103"/>
        <w:ind w:firstLine="602"/>
        <w:jc w:val="both"/>
        <w:rPr>
          <w:rFonts w:ascii="仿宋_GB2312" w:hAnsi="仿宋"/>
          <w:sz w:val="30"/>
          <w:szCs w:val="30"/>
        </w:rPr>
      </w:pPr>
      <w:r>
        <w:rPr>
          <w:rFonts w:hint="eastAsia" w:ascii="仿宋_GB2312" w:hAnsi="仿宋"/>
          <w:b/>
          <w:bCs/>
          <w:sz w:val="30"/>
          <w:szCs w:val="30"/>
        </w:rPr>
        <w:t>各学校：</w:t>
      </w:r>
      <w:r>
        <w:rPr>
          <w:rFonts w:hint="eastAsia" w:ascii="仿宋_GB2312" w:hAnsi="仿宋"/>
          <w:sz w:val="30"/>
          <w:szCs w:val="30"/>
        </w:rPr>
        <w:t>调研的7所学校均按照政府采购的相关管理要求执行，并对采购设备、货物进行了入库验收，但对活动类项目缺少验收和结项管理。根据评分标准，得</w:t>
      </w:r>
      <w:r>
        <w:rPr>
          <w:rFonts w:ascii="仿宋_GB2312" w:hAnsi="仿宋"/>
          <w:sz w:val="30"/>
          <w:szCs w:val="30"/>
        </w:rPr>
        <w:t>1.2</w:t>
      </w:r>
      <w:r>
        <w:rPr>
          <w:rFonts w:hint="eastAsia" w:ascii="仿宋_GB2312" w:hAnsi="仿宋"/>
          <w:sz w:val="30"/>
          <w:szCs w:val="30"/>
        </w:rPr>
        <w:t>分。</w:t>
      </w:r>
    </w:p>
    <w:p>
      <w:pPr>
        <w:pStyle w:val="103"/>
        <w:ind w:firstLine="600"/>
        <w:jc w:val="both"/>
        <w:rPr>
          <w:rFonts w:ascii="仿宋_GB2312" w:hAnsi="仿宋"/>
          <w:sz w:val="30"/>
          <w:szCs w:val="30"/>
        </w:rPr>
      </w:pPr>
      <w:r>
        <w:rPr>
          <w:rFonts w:hint="eastAsia" w:ascii="仿宋_GB2312" w:hAnsi="仿宋"/>
          <w:sz w:val="30"/>
          <w:szCs w:val="30"/>
        </w:rPr>
        <w:t>综上，该指标得2</w:t>
      </w:r>
      <w:r>
        <w:rPr>
          <w:rFonts w:ascii="仿宋_GB2312" w:hAnsi="仿宋"/>
          <w:sz w:val="30"/>
          <w:szCs w:val="30"/>
        </w:rPr>
        <w:t>.4</w:t>
      </w:r>
      <w:r>
        <w:rPr>
          <w:rFonts w:hint="eastAsia" w:ascii="仿宋_GB2312" w:hAnsi="仿宋"/>
          <w:sz w:val="30"/>
          <w:szCs w:val="30"/>
        </w:rPr>
        <w:t>分。</w:t>
      </w:r>
    </w:p>
    <w:p>
      <w:pPr>
        <w:pStyle w:val="103"/>
        <w:ind w:firstLine="602"/>
        <w:rPr>
          <w:rFonts w:ascii="仿宋_GB2312"/>
          <w:b/>
          <w:bCs/>
          <w:sz w:val="30"/>
          <w:szCs w:val="30"/>
        </w:rPr>
      </w:pPr>
      <w:r>
        <w:rPr>
          <w:rFonts w:hAnsi="仿宋"/>
          <w:b/>
          <w:bCs/>
          <w:sz w:val="30"/>
          <w:szCs w:val="30"/>
        </w:rPr>
        <w:t>B224档案管理制度执行规范性</w:t>
      </w:r>
      <w:r>
        <w:rPr>
          <w:rFonts w:hint="eastAsia" w:ascii="仿宋_GB2312"/>
          <w:b/>
          <w:bCs/>
          <w:sz w:val="30"/>
          <w:szCs w:val="30"/>
        </w:rPr>
        <w:t>，权重</w:t>
      </w:r>
      <w:r>
        <w:rPr>
          <w:rFonts w:hAnsi="仿宋"/>
          <w:b/>
          <w:bCs/>
          <w:sz w:val="30"/>
          <w:szCs w:val="30"/>
        </w:rPr>
        <w:t>1</w:t>
      </w:r>
      <w:r>
        <w:rPr>
          <w:rFonts w:hint="eastAsia" w:ascii="仿宋_GB2312"/>
          <w:b/>
          <w:bCs/>
          <w:sz w:val="30"/>
          <w:szCs w:val="30"/>
        </w:rPr>
        <w:t>分，得</w:t>
      </w:r>
      <w:r>
        <w:rPr>
          <w:rFonts w:hAnsi="仿宋"/>
          <w:b/>
          <w:bCs/>
          <w:sz w:val="30"/>
          <w:szCs w:val="30"/>
        </w:rPr>
        <w:t>1</w:t>
      </w:r>
      <w:r>
        <w:rPr>
          <w:rFonts w:hint="eastAsia" w:ascii="仿宋_GB2312"/>
          <w:b/>
          <w:bCs/>
          <w:sz w:val="30"/>
          <w:szCs w:val="30"/>
        </w:rPr>
        <w:t>分。</w:t>
      </w:r>
    </w:p>
    <w:p>
      <w:pPr>
        <w:pStyle w:val="103"/>
        <w:ind w:firstLine="600"/>
        <w:jc w:val="both"/>
        <w:rPr>
          <w:sz w:val="30"/>
          <w:szCs w:val="30"/>
        </w:rPr>
      </w:pPr>
      <w:r>
        <w:rPr>
          <w:rFonts w:hint="eastAsia" w:hAnsi="仿宋"/>
          <w:sz w:val="30"/>
          <w:szCs w:val="30"/>
        </w:rPr>
        <w:t>区教育和各学校均根据《上海市档案条例》《电子文件管理暂行办法》和《上海市电子档案和数字化档案备份办法》和本单位档案管理要求，对财务档案和业务档案均进行了纸质和电子归档，档案管理规范。根据评分标准，该指标得满分1分。</w:t>
      </w:r>
    </w:p>
    <w:p>
      <w:pPr>
        <w:pStyle w:val="195"/>
        <w:spacing w:line="560" w:lineRule="exact"/>
        <w:ind w:firstLine="643"/>
        <w:outlineLvl w:val="2"/>
        <w:rPr>
          <w:sz w:val="32"/>
          <w:szCs w:val="32"/>
        </w:rPr>
      </w:pPr>
      <w:r>
        <w:rPr>
          <w:sz w:val="32"/>
          <w:szCs w:val="32"/>
        </w:rPr>
        <w:t>3.</w:t>
      </w:r>
      <w:r>
        <w:rPr>
          <w:rFonts w:hint="eastAsia"/>
        </w:rPr>
        <w:t xml:space="preserve"> </w:t>
      </w:r>
      <w:r>
        <w:rPr>
          <w:rFonts w:hint="eastAsia"/>
          <w:sz w:val="32"/>
          <w:szCs w:val="32"/>
        </w:rPr>
        <w:t>项目产出情况</w:t>
      </w:r>
    </w:p>
    <w:p>
      <w:pPr>
        <w:pStyle w:val="103"/>
        <w:ind w:firstLine="602"/>
        <w:jc w:val="both"/>
        <w:rPr>
          <w:b/>
          <w:bCs/>
          <w:sz w:val="30"/>
          <w:szCs w:val="30"/>
        </w:rPr>
      </w:pPr>
      <w:r>
        <w:rPr>
          <w:b/>
          <w:bCs/>
          <w:sz w:val="30"/>
          <w:szCs w:val="30"/>
        </w:rPr>
        <w:t>C111老年教育三类学习点建设完成率</w:t>
      </w:r>
      <w:r>
        <w:rPr>
          <w:rFonts w:hint="eastAsia"/>
          <w:b/>
          <w:bCs/>
          <w:sz w:val="30"/>
          <w:szCs w:val="30"/>
        </w:rPr>
        <w:t>，权重1分，满分1分。</w:t>
      </w:r>
    </w:p>
    <w:p>
      <w:pPr>
        <w:pStyle w:val="103"/>
        <w:ind w:firstLine="600"/>
        <w:jc w:val="both"/>
        <w:rPr>
          <w:rFonts w:hAnsi="仿宋"/>
          <w:sz w:val="30"/>
          <w:szCs w:val="30"/>
        </w:rPr>
      </w:pPr>
      <w:r>
        <w:rPr>
          <w:rFonts w:hAnsi="仿宋"/>
          <w:sz w:val="30"/>
          <w:szCs w:val="30"/>
        </w:rPr>
        <w:t>2022年，</w:t>
      </w:r>
      <w:r>
        <w:rPr>
          <w:rFonts w:hint="eastAsia" w:hAnsi="仿宋"/>
          <w:sz w:val="30"/>
          <w:szCs w:val="30"/>
        </w:rPr>
        <w:t>计划</w:t>
      </w:r>
      <w:r>
        <w:rPr>
          <w:rFonts w:hAnsi="仿宋"/>
          <w:sz w:val="30"/>
          <w:szCs w:val="30"/>
        </w:rPr>
        <w:t>完成居村委示范学习点（新建）1-3个，居村委特色学习点（升级）2-3个，社会学习点（新建）2个，优秀社会学习点（升级）2个，养教结合学习点（新建）1个，养教结合标准化学习点（新建）1个。</w:t>
      </w:r>
    </w:p>
    <w:p>
      <w:pPr>
        <w:pStyle w:val="103"/>
        <w:ind w:firstLine="602"/>
        <w:jc w:val="both"/>
        <w:rPr>
          <w:rFonts w:hAnsi="仿宋"/>
          <w:sz w:val="30"/>
          <w:szCs w:val="30"/>
        </w:rPr>
      </w:pPr>
      <w:r>
        <w:rPr>
          <w:rFonts w:hint="eastAsia" w:hAnsi="仿宋"/>
          <w:b/>
          <w:bCs/>
          <w:sz w:val="30"/>
          <w:szCs w:val="30"/>
        </w:rPr>
        <w:t>实际完成新创建学习点</w:t>
      </w:r>
      <w:r>
        <w:rPr>
          <w:rFonts w:hAnsi="仿宋"/>
          <w:b/>
          <w:bCs/>
          <w:sz w:val="30"/>
          <w:szCs w:val="30"/>
        </w:rPr>
        <w:t>5个</w:t>
      </w:r>
      <w:r>
        <w:rPr>
          <w:rFonts w:hint="eastAsia" w:hAnsi="仿宋"/>
          <w:sz w:val="30"/>
          <w:szCs w:val="30"/>
        </w:rPr>
        <w:t>：</w:t>
      </w:r>
      <w:r>
        <w:rPr>
          <w:rFonts w:hAnsi="仿宋"/>
          <w:sz w:val="30"/>
          <w:szCs w:val="30"/>
        </w:rPr>
        <w:t>居村委示范学习点1个（永丰村示范学习点）</w:t>
      </w:r>
      <w:r>
        <w:rPr>
          <w:rFonts w:hint="eastAsia" w:hAnsi="仿宋"/>
          <w:sz w:val="30"/>
          <w:szCs w:val="30"/>
        </w:rPr>
        <w:t>，</w:t>
      </w:r>
      <w:r>
        <w:rPr>
          <w:rFonts w:hAnsi="仿宋"/>
          <w:sz w:val="30"/>
          <w:szCs w:val="30"/>
        </w:rPr>
        <w:t>社会学习点2个（墨略文化艺术中心、农联西红花研究发展中心），养教结合学习点1个（江合养老院），养教结合标准化学习点1个（绿华镇日间照料）。</w:t>
      </w:r>
      <w:r>
        <w:rPr>
          <w:rFonts w:hint="eastAsia" w:hAnsi="仿宋"/>
          <w:b/>
          <w:bCs/>
          <w:sz w:val="30"/>
          <w:szCs w:val="30"/>
        </w:rPr>
        <w:t>实际</w:t>
      </w:r>
      <w:r>
        <w:rPr>
          <w:rFonts w:hAnsi="仿宋"/>
          <w:b/>
          <w:bCs/>
          <w:sz w:val="30"/>
          <w:szCs w:val="30"/>
        </w:rPr>
        <w:t>升级创建学习点6个</w:t>
      </w:r>
      <w:r>
        <w:rPr>
          <w:rFonts w:hint="eastAsia" w:hAnsi="仿宋"/>
          <w:sz w:val="30"/>
          <w:szCs w:val="30"/>
        </w:rPr>
        <w:t>：</w:t>
      </w:r>
      <w:r>
        <w:rPr>
          <w:rFonts w:hAnsi="仿宋"/>
          <w:sz w:val="30"/>
          <w:szCs w:val="30"/>
        </w:rPr>
        <w:t>居村委特色学习点4个（兴安村特色学习点、北双村特色学习点、凤辰居委特色学习点、合兴村特色学习点），优秀社会学习点2个（怡心养老院、黄老师社区服务社）。</w:t>
      </w:r>
    </w:p>
    <w:p>
      <w:pPr>
        <w:pStyle w:val="103"/>
        <w:ind w:firstLine="600"/>
        <w:jc w:val="both"/>
        <w:rPr>
          <w:rFonts w:hAnsi="仿宋"/>
          <w:sz w:val="30"/>
          <w:szCs w:val="30"/>
        </w:rPr>
      </w:pPr>
      <w:r>
        <w:rPr>
          <w:rFonts w:hint="eastAsia" w:hAnsi="仿宋"/>
          <w:sz w:val="30"/>
          <w:szCs w:val="30"/>
        </w:rPr>
        <w:t>因此，老年教育三类学习点建设完成率1</w:t>
      </w:r>
      <w:r>
        <w:rPr>
          <w:rFonts w:hAnsi="仿宋"/>
          <w:sz w:val="30"/>
          <w:szCs w:val="30"/>
        </w:rPr>
        <w:t>00</w:t>
      </w:r>
      <w:r>
        <w:rPr>
          <w:rFonts w:hint="eastAsia" w:hAnsi="仿宋"/>
          <w:sz w:val="30"/>
          <w:szCs w:val="30"/>
        </w:rPr>
        <w:t>%，根据评分标准，该指标得满分1分。</w:t>
      </w:r>
    </w:p>
    <w:p>
      <w:pPr>
        <w:pStyle w:val="103"/>
        <w:ind w:firstLine="602"/>
        <w:jc w:val="both"/>
        <w:rPr>
          <w:b/>
          <w:bCs/>
          <w:sz w:val="30"/>
          <w:szCs w:val="30"/>
        </w:rPr>
      </w:pPr>
      <w:r>
        <w:rPr>
          <w:b/>
          <w:bCs/>
          <w:sz w:val="30"/>
          <w:szCs w:val="30"/>
        </w:rPr>
        <w:t>C112终身教育工作计划完成率</w:t>
      </w:r>
      <w:r>
        <w:rPr>
          <w:rFonts w:hint="eastAsia"/>
          <w:b/>
          <w:bCs/>
          <w:sz w:val="30"/>
          <w:szCs w:val="30"/>
        </w:rPr>
        <w:t>，权重</w:t>
      </w:r>
      <w:r>
        <w:rPr>
          <w:b/>
          <w:bCs/>
          <w:sz w:val="30"/>
          <w:szCs w:val="30"/>
        </w:rPr>
        <w:t>3</w:t>
      </w:r>
      <w:r>
        <w:rPr>
          <w:rFonts w:hint="eastAsia"/>
          <w:b/>
          <w:bCs/>
          <w:sz w:val="30"/>
          <w:szCs w:val="30"/>
        </w:rPr>
        <w:t>分，满分</w:t>
      </w:r>
      <w:r>
        <w:rPr>
          <w:b/>
          <w:bCs/>
          <w:sz w:val="30"/>
          <w:szCs w:val="30"/>
        </w:rPr>
        <w:t>3</w:t>
      </w:r>
      <w:r>
        <w:rPr>
          <w:rFonts w:hint="eastAsia"/>
          <w:b/>
          <w:bCs/>
          <w:sz w:val="30"/>
          <w:szCs w:val="30"/>
        </w:rPr>
        <w:t>分。</w:t>
      </w:r>
    </w:p>
    <w:p>
      <w:pPr>
        <w:pStyle w:val="103"/>
        <w:ind w:firstLine="600"/>
        <w:jc w:val="both"/>
        <w:rPr>
          <w:sz w:val="30"/>
          <w:szCs w:val="30"/>
        </w:rPr>
      </w:pPr>
      <w:r>
        <w:rPr>
          <w:rFonts w:hint="eastAsia" w:ascii="宋体" w:hAnsi="宋体" w:eastAsia="宋体" w:cs="宋体"/>
          <w:sz w:val="30"/>
          <w:szCs w:val="30"/>
        </w:rPr>
        <w:t>①</w:t>
      </w:r>
      <w:r>
        <w:rPr>
          <w:sz w:val="30"/>
          <w:szCs w:val="30"/>
        </w:rPr>
        <w:t>2022年完成</w:t>
      </w:r>
      <w:r>
        <w:rPr>
          <w:rFonts w:hint="eastAsia"/>
          <w:sz w:val="30"/>
          <w:szCs w:val="30"/>
        </w:rPr>
        <w:t>了</w:t>
      </w:r>
      <w:r>
        <w:rPr>
          <w:sz w:val="30"/>
          <w:szCs w:val="30"/>
        </w:rPr>
        <w:t>对6所成人教育学校根据区域实际人口数进行成人教育人头经费补贴。</w:t>
      </w:r>
      <w:r>
        <w:rPr>
          <w:rFonts w:hint="eastAsia" w:ascii="宋体" w:hAnsi="宋体" w:eastAsia="宋体" w:cs="宋体"/>
          <w:sz w:val="30"/>
          <w:szCs w:val="30"/>
        </w:rPr>
        <w:t>②</w:t>
      </w:r>
      <w:r>
        <w:rPr>
          <w:sz w:val="30"/>
          <w:szCs w:val="30"/>
        </w:rPr>
        <w:t>2022年完成</w:t>
      </w:r>
      <w:r>
        <w:rPr>
          <w:rFonts w:hint="eastAsia"/>
          <w:sz w:val="30"/>
          <w:szCs w:val="30"/>
        </w:rPr>
        <w:t>了</w:t>
      </w:r>
      <w:r>
        <w:rPr>
          <w:sz w:val="30"/>
          <w:szCs w:val="30"/>
        </w:rPr>
        <w:t>对6所成人教育学校按校区数进行补贴。</w:t>
      </w:r>
      <w:r>
        <w:rPr>
          <w:rFonts w:hint="eastAsia" w:ascii="宋体" w:hAnsi="宋体" w:eastAsia="宋体" w:cs="宋体"/>
          <w:sz w:val="30"/>
          <w:szCs w:val="30"/>
        </w:rPr>
        <w:t>③</w:t>
      </w:r>
      <w:r>
        <w:rPr>
          <w:sz w:val="30"/>
          <w:szCs w:val="30"/>
        </w:rPr>
        <w:t>2022年完成</w:t>
      </w:r>
      <w:r>
        <w:rPr>
          <w:rFonts w:hint="eastAsia"/>
          <w:sz w:val="30"/>
          <w:szCs w:val="30"/>
        </w:rPr>
        <w:t>了</w:t>
      </w:r>
      <w:r>
        <w:rPr>
          <w:sz w:val="30"/>
          <w:szCs w:val="30"/>
        </w:rPr>
        <w:t>对2021学年度6所成人教育学校进行考核奖励。</w:t>
      </w:r>
      <w:r>
        <w:rPr>
          <w:rFonts w:hint="eastAsia" w:ascii="宋体" w:hAnsi="宋体" w:eastAsia="宋体" w:cs="宋体"/>
          <w:sz w:val="30"/>
          <w:szCs w:val="30"/>
        </w:rPr>
        <w:t>④</w:t>
      </w:r>
      <w:r>
        <w:rPr>
          <w:sz w:val="30"/>
          <w:szCs w:val="30"/>
        </w:rPr>
        <w:t>2022年完成</w:t>
      </w:r>
      <w:r>
        <w:rPr>
          <w:rFonts w:hint="eastAsia"/>
          <w:sz w:val="30"/>
          <w:szCs w:val="30"/>
        </w:rPr>
        <w:t>了</w:t>
      </w:r>
      <w:r>
        <w:rPr>
          <w:sz w:val="30"/>
          <w:szCs w:val="30"/>
        </w:rPr>
        <w:t>优质校建设评估工作。</w:t>
      </w:r>
      <w:r>
        <w:rPr>
          <w:rFonts w:hint="eastAsia" w:ascii="宋体" w:hAnsi="宋体" w:eastAsia="宋体" w:cs="宋体"/>
          <w:sz w:val="30"/>
          <w:szCs w:val="30"/>
        </w:rPr>
        <w:t>⑤</w:t>
      </w:r>
      <w:r>
        <w:rPr>
          <w:sz w:val="30"/>
          <w:szCs w:val="30"/>
        </w:rPr>
        <w:t>完成</w:t>
      </w:r>
      <w:r>
        <w:rPr>
          <w:rFonts w:hint="eastAsia"/>
          <w:sz w:val="30"/>
          <w:szCs w:val="30"/>
        </w:rPr>
        <w:t>了</w:t>
      </w:r>
      <w:r>
        <w:rPr>
          <w:sz w:val="30"/>
          <w:szCs w:val="30"/>
        </w:rPr>
        <w:t>对学习团队工作室、一至五星团队活动扶持。</w:t>
      </w:r>
      <w:r>
        <w:rPr>
          <w:rFonts w:hint="eastAsia" w:ascii="宋体" w:hAnsi="宋体" w:eastAsia="宋体" w:cs="宋体"/>
          <w:sz w:val="30"/>
          <w:szCs w:val="30"/>
        </w:rPr>
        <w:t>⑥</w:t>
      </w:r>
      <w:r>
        <w:rPr>
          <w:sz w:val="30"/>
          <w:szCs w:val="30"/>
        </w:rPr>
        <w:t>完成</w:t>
      </w:r>
      <w:r>
        <w:rPr>
          <w:rFonts w:hint="eastAsia"/>
          <w:sz w:val="30"/>
          <w:szCs w:val="30"/>
        </w:rPr>
        <w:t>了</w:t>
      </w:r>
      <w:r>
        <w:rPr>
          <w:sz w:val="30"/>
          <w:szCs w:val="30"/>
        </w:rPr>
        <w:t>农课程培训。</w:t>
      </w:r>
      <w:r>
        <w:rPr>
          <w:rFonts w:hint="eastAsia" w:ascii="宋体" w:hAnsi="宋体" w:eastAsia="宋体" w:cs="宋体"/>
          <w:sz w:val="30"/>
          <w:szCs w:val="30"/>
        </w:rPr>
        <w:t>⑦</w:t>
      </w:r>
      <w:r>
        <w:rPr>
          <w:sz w:val="30"/>
          <w:szCs w:val="30"/>
        </w:rPr>
        <w:t>完成</w:t>
      </w:r>
      <w:r>
        <w:rPr>
          <w:rFonts w:hint="eastAsia"/>
          <w:sz w:val="30"/>
          <w:szCs w:val="30"/>
        </w:rPr>
        <w:t>了</w:t>
      </w:r>
      <w:r>
        <w:rPr>
          <w:sz w:val="30"/>
          <w:szCs w:val="30"/>
        </w:rPr>
        <w:t>社区教育课程创意海派插花</w:t>
      </w:r>
      <w:r>
        <w:rPr>
          <w:rFonts w:hint="eastAsia"/>
          <w:sz w:val="30"/>
          <w:szCs w:val="30"/>
        </w:rPr>
        <w:t>建设</w:t>
      </w:r>
      <w:r>
        <w:rPr>
          <w:sz w:val="30"/>
          <w:szCs w:val="30"/>
        </w:rPr>
        <w:t>。</w:t>
      </w:r>
      <w:r>
        <w:rPr>
          <w:rFonts w:hint="eastAsia" w:ascii="宋体" w:hAnsi="宋体" w:eastAsia="宋体" w:cs="宋体"/>
          <w:sz w:val="30"/>
          <w:szCs w:val="30"/>
        </w:rPr>
        <w:t>⑧</w:t>
      </w:r>
      <w:r>
        <w:rPr>
          <w:sz w:val="30"/>
          <w:szCs w:val="30"/>
        </w:rPr>
        <w:t>完成</w:t>
      </w:r>
      <w:r>
        <w:rPr>
          <w:rFonts w:hint="eastAsia"/>
          <w:sz w:val="30"/>
          <w:szCs w:val="30"/>
        </w:rPr>
        <w:t>了</w:t>
      </w:r>
      <w:r>
        <w:rPr>
          <w:sz w:val="30"/>
          <w:szCs w:val="30"/>
        </w:rPr>
        <w:t>社区教育名师孵化室</w:t>
      </w:r>
      <w:r>
        <w:rPr>
          <w:rFonts w:hint="eastAsia"/>
          <w:sz w:val="30"/>
          <w:szCs w:val="30"/>
        </w:rPr>
        <w:t>扶持</w:t>
      </w:r>
      <w:r>
        <w:rPr>
          <w:sz w:val="30"/>
          <w:szCs w:val="30"/>
        </w:rPr>
        <w:t>。</w:t>
      </w:r>
      <w:r>
        <w:rPr>
          <w:rFonts w:hint="eastAsia" w:ascii="宋体" w:hAnsi="宋体" w:eastAsia="宋体" w:cs="宋体"/>
          <w:sz w:val="30"/>
          <w:szCs w:val="30"/>
        </w:rPr>
        <w:t>⑨</w:t>
      </w:r>
      <w:r>
        <w:rPr>
          <w:sz w:val="30"/>
          <w:szCs w:val="30"/>
        </w:rPr>
        <w:t>完成</w:t>
      </w:r>
      <w:r>
        <w:rPr>
          <w:rFonts w:hint="eastAsia"/>
          <w:sz w:val="30"/>
          <w:szCs w:val="30"/>
        </w:rPr>
        <w:t>了</w:t>
      </w:r>
      <w:r>
        <w:rPr>
          <w:sz w:val="30"/>
          <w:szCs w:val="30"/>
        </w:rPr>
        <w:t>“我心目中的最美老年学员”主题征文讲述评选活动。</w:t>
      </w:r>
      <w:r>
        <w:rPr>
          <w:rFonts w:hint="eastAsia" w:ascii="宋体" w:hAnsi="宋体" w:eastAsia="宋体" w:cs="宋体"/>
          <w:sz w:val="30"/>
          <w:szCs w:val="30"/>
        </w:rPr>
        <w:t>⑩</w:t>
      </w:r>
      <w:r>
        <w:rPr>
          <w:sz w:val="30"/>
          <w:szCs w:val="30"/>
        </w:rPr>
        <w:t>完成对</w:t>
      </w:r>
      <w:r>
        <w:rPr>
          <w:rFonts w:hint="eastAsia"/>
          <w:sz w:val="30"/>
          <w:szCs w:val="30"/>
        </w:rPr>
        <w:t>各项终身教育的各项工作。具体完成内容详见“项目实施计划及完成情况”。根据评分标准，该指标得满分3分。</w:t>
      </w:r>
    </w:p>
    <w:p>
      <w:pPr>
        <w:pStyle w:val="103"/>
        <w:ind w:firstLine="602"/>
        <w:jc w:val="both"/>
        <w:rPr>
          <w:b/>
          <w:bCs/>
          <w:sz w:val="30"/>
          <w:szCs w:val="30"/>
        </w:rPr>
      </w:pPr>
      <w:r>
        <w:rPr>
          <w:b/>
          <w:bCs/>
          <w:sz w:val="30"/>
          <w:szCs w:val="30"/>
        </w:rPr>
        <w:t>C113学促办工作计划完成率</w:t>
      </w:r>
      <w:r>
        <w:rPr>
          <w:rFonts w:hint="eastAsia"/>
          <w:b/>
          <w:bCs/>
          <w:sz w:val="30"/>
          <w:szCs w:val="30"/>
        </w:rPr>
        <w:t>，权重1分，得0</w:t>
      </w:r>
      <w:r>
        <w:rPr>
          <w:b/>
          <w:bCs/>
          <w:sz w:val="30"/>
          <w:szCs w:val="30"/>
        </w:rPr>
        <w:t>.8</w:t>
      </w:r>
      <w:r>
        <w:rPr>
          <w:rFonts w:hint="eastAsia"/>
          <w:b/>
          <w:bCs/>
          <w:sz w:val="30"/>
          <w:szCs w:val="30"/>
        </w:rPr>
        <w:t>分。</w:t>
      </w:r>
    </w:p>
    <w:p>
      <w:pPr>
        <w:pStyle w:val="103"/>
        <w:ind w:firstLine="600"/>
        <w:jc w:val="both"/>
        <w:rPr>
          <w:rFonts w:ascii="仿宋_GB2312" w:hAnsi="宋体" w:cs="宋体"/>
          <w:sz w:val="30"/>
          <w:szCs w:val="30"/>
        </w:rPr>
      </w:pPr>
      <w:r>
        <w:rPr>
          <w:rFonts w:hint="eastAsia" w:ascii="仿宋_GB2312" w:hAnsi="宋体" w:cs="宋体"/>
          <w:sz w:val="30"/>
          <w:szCs w:val="30"/>
        </w:rPr>
        <w:t>按照2022年上海市学习型城区建设监测指标，完成了学习型城区监测数据线上资料和数据的全面统整，组织并开展了2022年成教系统“学习型组织申报与评选活动”。由于受疫情原因，学习型城区创建资源建设的线下活动未实施开展，属于客观情况导致未完成，本指标扣分，但不作为问题提出。因此，该项目工作共包括培训、指导、监测、活动、检查验收5项工作，有一项目未完成，故根据评分标准，扣2</w:t>
      </w:r>
      <w:r>
        <w:rPr>
          <w:rFonts w:ascii="仿宋_GB2312" w:hAnsi="宋体" w:cs="宋体"/>
          <w:sz w:val="30"/>
          <w:szCs w:val="30"/>
        </w:rPr>
        <w:t>0</w:t>
      </w:r>
      <w:r>
        <w:rPr>
          <w:rFonts w:hint="eastAsia" w:ascii="仿宋_GB2312" w:hAnsi="宋体" w:cs="宋体"/>
          <w:sz w:val="30"/>
          <w:szCs w:val="30"/>
        </w:rPr>
        <w:t>%，得0</w:t>
      </w:r>
      <w:r>
        <w:rPr>
          <w:rFonts w:ascii="仿宋_GB2312" w:hAnsi="宋体" w:cs="宋体"/>
          <w:sz w:val="30"/>
          <w:szCs w:val="30"/>
        </w:rPr>
        <w:t>.8</w:t>
      </w:r>
      <w:r>
        <w:rPr>
          <w:rFonts w:hint="eastAsia" w:ascii="仿宋_GB2312" w:hAnsi="宋体" w:cs="宋体"/>
          <w:sz w:val="30"/>
          <w:szCs w:val="30"/>
        </w:rPr>
        <w:t>分。</w:t>
      </w:r>
    </w:p>
    <w:p>
      <w:pPr>
        <w:pStyle w:val="103"/>
        <w:ind w:firstLine="602"/>
        <w:jc w:val="both"/>
        <w:rPr>
          <w:b/>
          <w:bCs/>
          <w:sz w:val="30"/>
          <w:szCs w:val="30"/>
        </w:rPr>
      </w:pPr>
      <w:r>
        <w:rPr>
          <w:b/>
          <w:bCs/>
          <w:sz w:val="30"/>
          <w:szCs w:val="30"/>
        </w:rPr>
        <w:t>C121民办学校学生公用经费应补尽补率</w:t>
      </w:r>
      <w:r>
        <w:rPr>
          <w:rFonts w:hint="eastAsia"/>
          <w:b/>
          <w:bCs/>
          <w:sz w:val="30"/>
          <w:szCs w:val="30"/>
        </w:rPr>
        <w:t>，权重3分，得3分。</w:t>
      </w:r>
    </w:p>
    <w:p>
      <w:pPr>
        <w:pStyle w:val="103"/>
        <w:ind w:firstLine="600"/>
        <w:jc w:val="both"/>
        <w:rPr>
          <w:rFonts w:ascii="仿宋_GB2312" w:hAnsi="宋体" w:cs="宋体"/>
          <w:sz w:val="30"/>
          <w:szCs w:val="30"/>
        </w:rPr>
      </w:pPr>
      <w:r>
        <w:rPr>
          <w:rFonts w:hint="eastAsia" w:ascii="仿宋_GB2312" w:hAnsi="宋体" w:cs="宋体"/>
          <w:sz w:val="30"/>
          <w:szCs w:val="30"/>
        </w:rPr>
        <w:t>2</w:t>
      </w:r>
      <w:r>
        <w:rPr>
          <w:rFonts w:ascii="仿宋_GB2312" w:hAnsi="宋体" w:cs="宋体"/>
          <w:sz w:val="30"/>
          <w:szCs w:val="30"/>
        </w:rPr>
        <w:t>022</w:t>
      </w:r>
      <w:r>
        <w:rPr>
          <w:rFonts w:hint="eastAsia" w:ascii="仿宋_GB2312" w:hAnsi="宋体" w:cs="宋体"/>
          <w:sz w:val="30"/>
          <w:szCs w:val="30"/>
        </w:rPr>
        <w:t>年民办学校学生公用经费应补尽补率为1</w:t>
      </w:r>
      <w:r>
        <w:rPr>
          <w:rFonts w:ascii="仿宋_GB2312" w:hAnsi="宋体" w:cs="宋体"/>
          <w:sz w:val="30"/>
          <w:szCs w:val="30"/>
        </w:rPr>
        <w:t>00</w:t>
      </w:r>
      <w:r>
        <w:rPr>
          <w:rFonts w:hint="eastAsia" w:ascii="仿宋_GB2312" w:hAnsi="宋体" w:cs="宋体"/>
          <w:sz w:val="30"/>
          <w:szCs w:val="30"/>
        </w:rPr>
        <w:t>%，</w:t>
      </w:r>
      <w:r>
        <w:rPr>
          <w:rFonts w:hint="eastAsia"/>
          <w:sz w:val="30"/>
          <w:szCs w:val="30"/>
        </w:rPr>
        <w:t>具体完成内容详见“项目实施计划及完成情况”，根据评分标准，该指标得满分，得3分。</w:t>
      </w:r>
    </w:p>
    <w:p>
      <w:pPr>
        <w:pStyle w:val="103"/>
        <w:ind w:firstLine="602"/>
        <w:jc w:val="both"/>
        <w:rPr>
          <w:b/>
          <w:bCs/>
          <w:sz w:val="30"/>
          <w:szCs w:val="30"/>
        </w:rPr>
      </w:pPr>
      <w:r>
        <w:rPr>
          <w:b/>
          <w:bCs/>
          <w:sz w:val="30"/>
          <w:szCs w:val="30"/>
        </w:rPr>
        <w:t>C122民办教育发展工作完成率</w:t>
      </w:r>
      <w:r>
        <w:rPr>
          <w:rFonts w:hint="eastAsia"/>
          <w:b/>
          <w:bCs/>
          <w:sz w:val="30"/>
          <w:szCs w:val="30"/>
        </w:rPr>
        <w:t>，权重3分，得1</w:t>
      </w:r>
      <w:r>
        <w:rPr>
          <w:b/>
          <w:bCs/>
          <w:sz w:val="30"/>
          <w:szCs w:val="30"/>
        </w:rPr>
        <w:t>.13</w:t>
      </w:r>
      <w:r>
        <w:rPr>
          <w:rFonts w:hint="eastAsia"/>
          <w:b/>
          <w:bCs/>
          <w:sz w:val="30"/>
          <w:szCs w:val="30"/>
        </w:rPr>
        <w:t>分。</w:t>
      </w:r>
    </w:p>
    <w:p>
      <w:pPr>
        <w:pStyle w:val="103"/>
        <w:ind w:firstLine="600"/>
        <w:jc w:val="both"/>
        <w:rPr>
          <w:sz w:val="30"/>
          <w:szCs w:val="30"/>
        </w:rPr>
      </w:pPr>
      <w:r>
        <w:rPr>
          <w:rFonts w:hint="eastAsia"/>
          <w:sz w:val="30"/>
          <w:szCs w:val="30"/>
        </w:rPr>
        <w:t>一是区教育完成了对民办学校教育发展的扶持工作，得权重分0</w:t>
      </w:r>
      <w:r>
        <w:rPr>
          <w:sz w:val="30"/>
          <w:szCs w:val="30"/>
        </w:rPr>
        <w:t>.5</w:t>
      </w:r>
      <w:r>
        <w:rPr>
          <w:rFonts w:hint="eastAsia"/>
          <w:sz w:val="30"/>
          <w:szCs w:val="30"/>
        </w:rPr>
        <w:t>。二是民办学校部分工作未完成，具体为：①</w:t>
      </w:r>
      <w:r>
        <w:rPr>
          <w:sz w:val="30"/>
          <w:szCs w:val="30"/>
        </w:rPr>
        <w:t>上海新纪元双语学校基本完成师资培训（“十四五”教育发展规划背景下教师素养提升）、特色项目（基于劳动教育、生命教育、美育基础上的森林课程建设）和设施设备（关注学生健康与幸福的货物与设备改善项目），</w:t>
      </w:r>
      <w:r>
        <w:rPr>
          <w:rFonts w:hint="eastAsia"/>
          <w:sz w:val="30"/>
          <w:szCs w:val="30"/>
        </w:rPr>
        <w:t>但</w:t>
      </w:r>
      <w:r>
        <w:rPr>
          <w:sz w:val="30"/>
          <w:szCs w:val="30"/>
        </w:rPr>
        <w:t>空调还未采购到位。</w:t>
      </w:r>
      <w:r>
        <w:rPr>
          <w:rFonts w:hint="eastAsia"/>
          <w:sz w:val="30"/>
          <w:szCs w:val="30"/>
        </w:rPr>
        <w:t>②上海民办民一中学没有完成。③上海盛源幼儿园完成了特色创建项目和设备经采购，但受疫情影响，线下培训未完成。④上海露凝幼儿园完成了保教装备购置。得权重分2</w:t>
      </w:r>
      <w:r>
        <w:rPr>
          <w:sz w:val="30"/>
          <w:szCs w:val="30"/>
        </w:rPr>
        <w:t>5</w:t>
      </w:r>
      <w:r>
        <w:rPr>
          <w:rFonts w:hint="eastAsia"/>
          <w:sz w:val="30"/>
          <w:szCs w:val="30"/>
        </w:rPr>
        <w:t>%，得0</w:t>
      </w:r>
      <w:r>
        <w:rPr>
          <w:sz w:val="30"/>
          <w:szCs w:val="30"/>
        </w:rPr>
        <w:t>.63</w:t>
      </w:r>
      <w:r>
        <w:rPr>
          <w:rFonts w:hint="eastAsia"/>
          <w:sz w:val="30"/>
          <w:szCs w:val="30"/>
        </w:rPr>
        <w:t>分。</w:t>
      </w:r>
    </w:p>
    <w:p>
      <w:pPr>
        <w:pStyle w:val="103"/>
        <w:ind w:firstLine="600"/>
        <w:jc w:val="both"/>
        <w:rPr>
          <w:sz w:val="30"/>
          <w:szCs w:val="30"/>
        </w:rPr>
      </w:pPr>
      <w:r>
        <w:rPr>
          <w:rFonts w:hint="eastAsia"/>
          <w:sz w:val="30"/>
          <w:szCs w:val="30"/>
        </w:rPr>
        <w:t>综上，该指标得1</w:t>
      </w:r>
      <w:r>
        <w:rPr>
          <w:sz w:val="30"/>
          <w:szCs w:val="30"/>
        </w:rPr>
        <w:t>.13</w:t>
      </w:r>
      <w:r>
        <w:rPr>
          <w:rFonts w:hint="eastAsia"/>
          <w:sz w:val="30"/>
          <w:szCs w:val="30"/>
        </w:rPr>
        <w:t>分。</w:t>
      </w:r>
    </w:p>
    <w:p>
      <w:pPr>
        <w:pStyle w:val="103"/>
        <w:ind w:firstLine="602"/>
        <w:jc w:val="both"/>
        <w:rPr>
          <w:b/>
          <w:bCs/>
          <w:sz w:val="30"/>
          <w:szCs w:val="30"/>
        </w:rPr>
      </w:pPr>
      <w:r>
        <w:rPr>
          <w:b/>
          <w:bCs/>
          <w:sz w:val="30"/>
          <w:szCs w:val="30"/>
        </w:rPr>
        <w:t>C123民办非学历教育机构监管完成率</w:t>
      </w:r>
      <w:r>
        <w:rPr>
          <w:rFonts w:hint="eastAsia"/>
          <w:b/>
          <w:bCs/>
          <w:sz w:val="30"/>
          <w:szCs w:val="30"/>
        </w:rPr>
        <w:t>，权重1分，得</w:t>
      </w:r>
      <w:r>
        <w:rPr>
          <w:b/>
          <w:bCs/>
          <w:sz w:val="30"/>
          <w:szCs w:val="30"/>
        </w:rPr>
        <w:t>0.9</w:t>
      </w:r>
      <w:r>
        <w:rPr>
          <w:rFonts w:hint="eastAsia"/>
          <w:b/>
          <w:bCs/>
          <w:sz w:val="30"/>
          <w:szCs w:val="30"/>
        </w:rPr>
        <w:t>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年，区教育局基本完成了对民办学校的各类监管，但年检工作有1家由于地址变更，没有核查。具体完成内容详见“项目实施计划及完成情况”。根据评分标准，扣权重分1</w:t>
      </w:r>
      <w:r>
        <w:rPr>
          <w:sz w:val="30"/>
          <w:szCs w:val="30"/>
        </w:rPr>
        <w:t>0</w:t>
      </w:r>
      <w:r>
        <w:rPr>
          <w:rFonts w:hint="eastAsia"/>
          <w:sz w:val="30"/>
          <w:szCs w:val="30"/>
        </w:rPr>
        <w:t>%，该指标得</w:t>
      </w:r>
      <w:r>
        <w:rPr>
          <w:sz w:val="30"/>
          <w:szCs w:val="30"/>
        </w:rPr>
        <w:t>0.9</w:t>
      </w:r>
      <w:r>
        <w:rPr>
          <w:rFonts w:hint="eastAsia"/>
          <w:sz w:val="30"/>
          <w:szCs w:val="30"/>
        </w:rPr>
        <w:t>分。</w:t>
      </w:r>
    </w:p>
    <w:p>
      <w:pPr>
        <w:pStyle w:val="103"/>
        <w:ind w:firstLine="602"/>
        <w:jc w:val="both"/>
        <w:rPr>
          <w:b/>
          <w:bCs/>
          <w:sz w:val="30"/>
          <w:szCs w:val="30"/>
        </w:rPr>
      </w:pPr>
      <w:r>
        <w:rPr>
          <w:b/>
          <w:bCs/>
          <w:sz w:val="30"/>
          <w:szCs w:val="30"/>
        </w:rPr>
        <w:t>C211</w:t>
      </w:r>
      <w:bookmarkStart w:id="60" w:name="_Hlk137643163"/>
      <w:r>
        <w:rPr>
          <w:b/>
          <w:bCs/>
          <w:sz w:val="30"/>
          <w:szCs w:val="30"/>
        </w:rPr>
        <w:t>老年教育三类学习点建设</w:t>
      </w:r>
      <w:bookmarkEnd w:id="60"/>
      <w:r>
        <w:rPr>
          <w:b/>
          <w:bCs/>
          <w:sz w:val="30"/>
          <w:szCs w:val="30"/>
        </w:rPr>
        <w:t>验收通过率</w:t>
      </w:r>
      <w:r>
        <w:rPr>
          <w:rFonts w:hint="eastAsia"/>
          <w:b/>
          <w:bCs/>
          <w:sz w:val="30"/>
          <w:szCs w:val="30"/>
        </w:rPr>
        <w:t>，权重1分，得1分。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年，老年教育三类学习点建设均通过了市级验收，验收通过率为1</w:t>
      </w:r>
      <w:r>
        <w:rPr>
          <w:sz w:val="30"/>
          <w:szCs w:val="30"/>
        </w:rPr>
        <w:t>00</w:t>
      </w:r>
      <w:r>
        <w:rPr>
          <w:rFonts w:hint="eastAsia"/>
          <w:sz w:val="30"/>
          <w:szCs w:val="30"/>
        </w:rPr>
        <w:t>%，根据评分标准，该指标得满分1分。</w:t>
      </w:r>
    </w:p>
    <w:p>
      <w:pPr>
        <w:pStyle w:val="103"/>
        <w:ind w:firstLine="602"/>
        <w:jc w:val="both"/>
        <w:rPr>
          <w:b/>
          <w:bCs/>
          <w:sz w:val="30"/>
          <w:szCs w:val="30"/>
        </w:rPr>
      </w:pPr>
      <w:r>
        <w:rPr>
          <w:b/>
          <w:bCs/>
          <w:sz w:val="30"/>
          <w:szCs w:val="30"/>
        </w:rPr>
        <w:t>C212终身教育经费发放准确率</w:t>
      </w:r>
      <w:r>
        <w:rPr>
          <w:rFonts w:hint="eastAsia"/>
          <w:b/>
          <w:bCs/>
          <w:sz w:val="30"/>
          <w:szCs w:val="30"/>
        </w:rPr>
        <w:t>，，权重</w:t>
      </w:r>
      <w:r>
        <w:rPr>
          <w:b/>
          <w:bCs/>
          <w:sz w:val="30"/>
          <w:szCs w:val="30"/>
        </w:rPr>
        <w:t>2</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sz w:val="30"/>
          <w:szCs w:val="30"/>
        </w:rPr>
      </w:pPr>
      <w:r>
        <w:rPr>
          <w:rFonts w:hint="eastAsia"/>
          <w:sz w:val="30"/>
          <w:szCs w:val="30"/>
        </w:rPr>
        <w:t>经评价，2</w:t>
      </w:r>
      <w:r>
        <w:rPr>
          <w:sz w:val="30"/>
          <w:szCs w:val="30"/>
        </w:rPr>
        <w:t>022</w:t>
      </w:r>
      <w:r>
        <w:rPr>
          <w:rFonts w:hint="eastAsia"/>
          <w:sz w:val="30"/>
          <w:szCs w:val="30"/>
        </w:rPr>
        <w:t>年终身教育经费发放准确，未见发放不准确的情况，终身教育经费发放准确率为1</w:t>
      </w:r>
      <w:r>
        <w:rPr>
          <w:sz w:val="30"/>
          <w:szCs w:val="30"/>
        </w:rPr>
        <w:t>00</w:t>
      </w:r>
      <w:r>
        <w:rPr>
          <w:rFonts w:hint="eastAsia"/>
          <w:sz w:val="30"/>
          <w:szCs w:val="30"/>
        </w:rPr>
        <w:t>%，根据评分标准，该指标得满分</w:t>
      </w:r>
      <w:r>
        <w:rPr>
          <w:sz w:val="30"/>
          <w:szCs w:val="30"/>
        </w:rPr>
        <w:t>2</w:t>
      </w:r>
      <w:r>
        <w:rPr>
          <w:rFonts w:hint="eastAsia"/>
          <w:sz w:val="30"/>
          <w:szCs w:val="30"/>
        </w:rPr>
        <w:t>分。</w:t>
      </w:r>
    </w:p>
    <w:p>
      <w:pPr>
        <w:pStyle w:val="103"/>
        <w:ind w:firstLine="602"/>
        <w:jc w:val="both"/>
        <w:rPr>
          <w:b/>
          <w:bCs/>
          <w:sz w:val="30"/>
          <w:szCs w:val="30"/>
        </w:rPr>
      </w:pPr>
      <w:r>
        <w:rPr>
          <w:b/>
          <w:bCs/>
          <w:sz w:val="30"/>
          <w:szCs w:val="30"/>
        </w:rPr>
        <w:t>C213</w:t>
      </w:r>
      <w:bookmarkStart w:id="61" w:name="_Hlk137643372"/>
      <w:r>
        <w:rPr>
          <w:b/>
          <w:bCs/>
          <w:sz w:val="30"/>
          <w:szCs w:val="30"/>
        </w:rPr>
        <w:t>成校及社区学院办学质量考核合格率</w:t>
      </w:r>
      <w:bookmarkEnd w:id="61"/>
      <w:r>
        <w:rPr>
          <w:rFonts w:hint="eastAsia"/>
          <w:b/>
          <w:bCs/>
          <w:sz w:val="30"/>
          <w:szCs w:val="30"/>
        </w:rPr>
        <w:t>，权重</w:t>
      </w:r>
      <w:r>
        <w:rPr>
          <w:b/>
          <w:bCs/>
          <w:sz w:val="30"/>
          <w:szCs w:val="30"/>
        </w:rPr>
        <w:t>2</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年成校及社区学校办学质量考核均为合格，因此，成校及社区学院办学质量考核合格率为1</w:t>
      </w:r>
      <w:r>
        <w:rPr>
          <w:sz w:val="30"/>
          <w:szCs w:val="30"/>
        </w:rPr>
        <w:t>00</w:t>
      </w:r>
      <w:r>
        <w:rPr>
          <w:rFonts w:hint="eastAsia"/>
          <w:sz w:val="30"/>
          <w:szCs w:val="30"/>
        </w:rPr>
        <w:t>%，根据评分标准，该指标得满分</w:t>
      </w:r>
      <w:r>
        <w:rPr>
          <w:sz w:val="30"/>
          <w:szCs w:val="30"/>
        </w:rPr>
        <w:t>2</w:t>
      </w:r>
      <w:r>
        <w:rPr>
          <w:rFonts w:hint="eastAsia"/>
          <w:sz w:val="30"/>
          <w:szCs w:val="30"/>
        </w:rPr>
        <w:t>分。</w:t>
      </w:r>
    </w:p>
    <w:p>
      <w:pPr>
        <w:pStyle w:val="103"/>
        <w:ind w:firstLine="602"/>
        <w:jc w:val="both"/>
        <w:rPr>
          <w:b/>
          <w:bCs/>
          <w:sz w:val="30"/>
          <w:szCs w:val="30"/>
        </w:rPr>
      </w:pPr>
      <w:r>
        <w:rPr>
          <w:b/>
          <w:bCs/>
          <w:sz w:val="30"/>
          <w:szCs w:val="30"/>
        </w:rPr>
        <w:t>C214</w:t>
      </w:r>
      <w:bookmarkStart w:id="62" w:name="_Hlk137643394"/>
      <w:r>
        <w:rPr>
          <w:b/>
          <w:bCs/>
          <w:sz w:val="30"/>
          <w:szCs w:val="30"/>
        </w:rPr>
        <w:t>学习型数据监测系统数据填报</w:t>
      </w:r>
      <w:bookmarkEnd w:id="62"/>
      <w:r>
        <w:rPr>
          <w:b/>
          <w:bCs/>
          <w:sz w:val="30"/>
          <w:szCs w:val="30"/>
        </w:rPr>
        <w:t>的准确率</w:t>
      </w:r>
      <w:r>
        <w:rPr>
          <w:rFonts w:hint="eastAsia"/>
          <w:b/>
          <w:bCs/>
          <w:sz w:val="30"/>
          <w:szCs w:val="30"/>
        </w:rPr>
        <w:t>，权重1分，得1分。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年，按照市级要求，填报了学习型数据监测系统数据，填报准确率为1</w:t>
      </w:r>
      <w:r>
        <w:rPr>
          <w:sz w:val="30"/>
          <w:szCs w:val="30"/>
        </w:rPr>
        <w:t>00</w:t>
      </w:r>
      <w:r>
        <w:rPr>
          <w:rFonts w:hint="eastAsia"/>
          <w:sz w:val="30"/>
          <w:szCs w:val="30"/>
        </w:rPr>
        <w:t>%，根据评分标准，该指标得满分</w:t>
      </w:r>
      <w:r>
        <w:rPr>
          <w:sz w:val="30"/>
          <w:szCs w:val="30"/>
        </w:rPr>
        <w:t>1</w:t>
      </w:r>
      <w:r>
        <w:rPr>
          <w:rFonts w:hint="eastAsia"/>
          <w:sz w:val="30"/>
          <w:szCs w:val="30"/>
        </w:rPr>
        <w:t>分。</w:t>
      </w:r>
    </w:p>
    <w:p>
      <w:pPr>
        <w:pStyle w:val="103"/>
        <w:ind w:firstLine="602"/>
        <w:jc w:val="both"/>
        <w:rPr>
          <w:b/>
          <w:bCs/>
          <w:sz w:val="30"/>
          <w:szCs w:val="30"/>
        </w:rPr>
      </w:pPr>
      <w:r>
        <w:rPr>
          <w:b/>
          <w:bCs/>
          <w:sz w:val="30"/>
          <w:szCs w:val="30"/>
        </w:rPr>
        <w:t>C221民办学校补助</w:t>
      </w:r>
      <w:r>
        <w:rPr>
          <w:rFonts w:hint="eastAsia"/>
          <w:b/>
          <w:bCs/>
          <w:sz w:val="30"/>
          <w:szCs w:val="30"/>
        </w:rPr>
        <w:t>经费</w:t>
      </w:r>
      <w:r>
        <w:rPr>
          <w:b/>
          <w:bCs/>
          <w:sz w:val="30"/>
          <w:szCs w:val="30"/>
        </w:rPr>
        <w:t>发放准确率</w:t>
      </w:r>
      <w:r>
        <w:rPr>
          <w:rFonts w:hint="eastAsia"/>
          <w:b/>
          <w:bCs/>
          <w:sz w:val="30"/>
          <w:szCs w:val="30"/>
        </w:rPr>
        <w:t>，权重</w:t>
      </w:r>
      <w:r>
        <w:rPr>
          <w:b/>
          <w:bCs/>
          <w:sz w:val="30"/>
          <w:szCs w:val="30"/>
        </w:rPr>
        <w:t>2</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年，区教育局下拨了各项民办学校补助经费，“两免一补”经费发放准确率</w:t>
      </w:r>
      <w:r>
        <w:rPr>
          <w:sz w:val="30"/>
          <w:szCs w:val="30"/>
        </w:rPr>
        <w:t>+寄宿生生活补助发放准确率+生均公用经费补助</w:t>
      </w:r>
      <w:r>
        <w:rPr>
          <w:rFonts w:hint="eastAsia"/>
          <w:sz w:val="30"/>
          <w:szCs w:val="30"/>
        </w:rPr>
        <w:t>发放的金额标准、发放对象与计划要求一致。民办学校补助经费发放准确率为1</w:t>
      </w:r>
      <w:r>
        <w:rPr>
          <w:sz w:val="30"/>
          <w:szCs w:val="30"/>
        </w:rPr>
        <w:t>00</w:t>
      </w:r>
      <w:r>
        <w:rPr>
          <w:rFonts w:hint="eastAsia"/>
          <w:sz w:val="30"/>
          <w:szCs w:val="30"/>
        </w:rPr>
        <w:t>%，根据评分标准，该指标得满分</w:t>
      </w:r>
      <w:r>
        <w:rPr>
          <w:sz w:val="30"/>
          <w:szCs w:val="30"/>
        </w:rPr>
        <w:t>2</w:t>
      </w:r>
      <w:r>
        <w:rPr>
          <w:rFonts w:hint="eastAsia"/>
          <w:sz w:val="30"/>
          <w:szCs w:val="30"/>
        </w:rPr>
        <w:t>分。</w:t>
      </w:r>
    </w:p>
    <w:p>
      <w:pPr>
        <w:pStyle w:val="103"/>
        <w:ind w:firstLine="602"/>
        <w:jc w:val="both"/>
        <w:rPr>
          <w:b/>
          <w:bCs/>
          <w:sz w:val="30"/>
          <w:szCs w:val="30"/>
        </w:rPr>
      </w:pPr>
      <w:r>
        <w:rPr>
          <w:b/>
          <w:bCs/>
          <w:sz w:val="30"/>
          <w:szCs w:val="30"/>
        </w:rPr>
        <w:t>C222</w:t>
      </w:r>
      <w:bookmarkStart w:id="63" w:name="_Hlk137643869"/>
      <w:r>
        <w:rPr>
          <w:b/>
          <w:bCs/>
          <w:sz w:val="30"/>
          <w:szCs w:val="30"/>
        </w:rPr>
        <w:t>民办教育发展专项资金项目补贴发放准确率</w:t>
      </w:r>
      <w:bookmarkEnd w:id="63"/>
      <w:r>
        <w:rPr>
          <w:rFonts w:hint="eastAsia"/>
          <w:b/>
          <w:bCs/>
          <w:sz w:val="30"/>
          <w:szCs w:val="30"/>
        </w:rPr>
        <w:t>，权重</w:t>
      </w:r>
      <w:r>
        <w:rPr>
          <w:b/>
          <w:bCs/>
          <w:sz w:val="30"/>
          <w:szCs w:val="30"/>
        </w:rPr>
        <w:t>2</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年，区教育局下拨了民办教育发展专项资金项目补贴，发放准确，金额标准、发放对象与计划要求一致，民办教育发展专项资金项目补贴发放准确率1</w:t>
      </w:r>
      <w:r>
        <w:rPr>
          <w:sz w:val="30"/>
          <w:szCs w:val="30"/>
        </w:rPr>
        <w:t>00</w:t>
      </w:r>
      <w:r>
        <w:rPr>
          <w:rFonts w:hint="eastAsia"/>
          <w:sz w:val="30"/>
          <w:szCs w:val="30"/>
        </w:rPr>
        <w:t>%，根据评分标准，该指标得满分</w:t>
      </w:r>
      <w:r>
        <w:rPr>
          <w:sz w:val="30"/>
          <w:szCs w:val="30"/>
        </w:rPr>
        <w:t>2</w:t>
      </w:r>
      <w:r>
        <w:rPr>
          <w:rFonts w:hint="eastAsia"/>
          <w:sz w:val="30"/>
          <w:szCs w:val="30"/>
        </w:rPr>
        <w:t>分。</w:t>
      </w:r>
    </w:p>
    <w:p>
      <w:pPr>
        <w:pStyle w:val="103"/>
        <w:ind w:firstLine="602"/>
        <w:jc w:val="both"/>
        <w:rPr>
          <w:b/>
          <w:bCs/>
          <w:sz w:val="30"/>
          <w:szCs w:val="30"/>
        </w:rPr>
      </w:pPr>
      <w:r>
        <w:rPr>
          <w:b/>
          <w:bCs/>
          <w:sz w:val="30"/>
          <w:szCs w:val="30"/>
        </w:rPr>
        <w:t>C223民办</w:t>
      </w:r>
      <w:r>
        <w:rPr>
          <w:rFonts w:hint="eastAsia" w:ascii="仿宋_GB2312" w:hAnsi="仿宋_GB2312" w:cs="仿宋_GB2312"/>
          <w:b/>
          <w:bCs/>
          <w:sz w:val="30"/>
          <w:szCs w:val="30"/>
        </w:rPr>
        <w:t>培训市场综合治理工作</w:t>
      </w:r>
      <w:r>
        <w:rPr>
          <w:b/>
          <w:bCs/>
          <w:sz w:val="30"/>
          <w:szCs w:val="30"/>
        </w:rPr>
        <w:t>达标率</w:t>
      </w:r>
      <w:r>
        <w:rPr>
          <w:rFonts w:hint="eastAsia"/>
          <w:b/>
          <w:bCs/>
          <w:sz w:val="30"/>
          <w:szCs w:val="30"/>
        </w:rPr>
        <w:t>，权重1分，得1分。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年培训市场综合治理工作均按照市级部署和要求，进行了监督检查，除培训材料及人员检查，</w:t>
      </w:r>
      <w:r>
        <w:rPr>
          <w:sz w:val="30"/>
          <w:szCs w:val="30"/>
        </w:rPr>
        <w:t>发现有1人，因故意伤害案被行政拘留</w:t>
      </w:r>
      <w:r>
        <w:rPr>
          <w:rFonts w:hint="eastAsia"/>
          <w:sz w:val="30"/>
          <w:szCs w:val="30"/>
        </w:rPr>
        <w:t>，</w:t>
      </w:r>
      <w:r>
        <w:rPr>
          <w:sz w:val="30"/>
          <w:szCs w:val="30"/>
        </w:rPr>
        <w:t>已落实整改</w:t>
      </w:r>
      <w:r>
        <w:rPr>
          <w:rFonts w:hint="eastAsia"/>
          <w:sz w:val="30"/>
          <w:szCs w:val="30"/>
        </w:rPr>
        <w:t>以外，其余均达标，民办培训市场综合治理工作达标率1</w:t>
      </w:r>
      <w:r>
        <w:rPr>
          <w:sz w:val="30"/>
          <w:szCs w:val="30"/>
        </w:rPr>
        <w:t>00</w:t>
      </w:r>
      <w:r>
        <w:rPr>
          <w:rFonts w:hint="eastAsia"/>
          <w:sz w:val="30"/>
          <w:szCs w:val="30"/>
        </w:rPr>
        <w:t>%，根据评分标准，该指标得满分</w:t>
      </w:r>
      <w:r>
        <w:rPr>
          <w:sz w:val="30"/>
          <w:szCs w:val="30"/>
        </w:rPr>
        <w:t>1</w:t>
      </w:r>
      <w:r>
        <w:rPr>
          <w:rFonts w:hint="eastAsia"/>
          <w:sz w:val="30"/>
          <w:szCs w:val="30"/>
        </w:rPr>
        <w:t>分。</w:t>
      </w:r>
    </w:p>
    <w:p>
      <w:pPr>
        <w:pStyle w:val="103"/>
        <w:ind w:firstLine="602"/>
        <w:jc w:val="both"/>
        <w:rPr>
          <w:b/>
          <w:bCs/>
          <w:sz w:val="30"/>
          <w:szCs w:val="30"/>
        </w:rPr>
      </w:pPr>
      <w:r>
        <w:rPr>
          <w:b/>
          <w:bCs/>
          <w:sz w:val="30"/>
          <w:szCs w:val="30"/>
        </w:rPr>
        <w:t>C224民办非学历教育机构年检通过率</w:t>
      </w:r>
      <w:r>
        <w:rPr>
          <w:rFonts w:hint="eastAsia"/>
          <w:b/>
          <w:bCs/>
          <w:sz w:val="30"/>
          <w:szCs w:val="30"/>
        </w:rPr>
        <w:t>，权重1分，得1分。</w:t>
      </w:r>
    </w:p>
    <w:p>
      <w:pPr>
        <w:pStyle w:val="103"/>
        <w:ind w:firstLine="600"/>
        <w:jc w:val="both"/>
        <w:rPr>
          <w:sz w:val="30"/>
          <w:szCs w:val="30"/>
        </w:rPr>
      </w:pPr>
      <w:r>
        <w:rPr>
          <w:rFonts w:hint="eastAsia"/>
          <w:sz w:val="30"/>
          <w:szCs w:val="30"/>
        </w:rPr>
        <w:t>2</w:t>
      </w:r>
      <w:r>
        <w:rPr>
          <w:sz w:val="30"/>
          <w:szCs w:val="30"/>
        </w:rPr>
        <w:t>022</w:t>
      </w:r>
      <w:r>
        <w:rPr>
          <w:rFonts w:hint="eastAsia"/>
          <w:sz w:val="30"/>
          <w:szCs w:val="30"/>
        </w:rPr>
        <w:t>年，计划检查1</w:t>
      </w:r>
      <w:r>
        <w:rPr>
          <w:sz w:val="30"/>
          <w:szCs w:val="30"/>
        </w:rPr>
        <w:t>9</w:t>
      </w:r>
      <w:r>
        <w:rPr>
          <w:rFonts w:hint="eastAsia"/>
          <w:sz w:val="30"/>
          <w:szCs w:val="30"/>
        </w:rPr>
        <w:t>家，实际检查1</w:t>
      </w:r>
      <w:r>
        <w:rPr>
          <w:sz w:val="30"/>
          <w:szCs w:val="30"/>
        </w:rPr>
        <w:t>8</w:t>
      </w:r>
      <w:r>
        <w:rPr>
          <w:rFonts w:hint="eastAsia"/>
          <w:sz w:val="30"/>
          <w:szCs w:val="30"/>
        </w:rPr>
        <w:t>家，审查结果为</w:t>
      </w:r>
      <w:r>
        <w:rPr>
          <w:sz w:val="30"/>
          <w:szCs w:val="30"/>
        </w:rPr>
        <w:t>12家合格，6家运行情况不佳</w:t>
      </w:r>
      <w:r>
        <w:rPr>
          <w:rFonts w:hint="eastAsia"/>
          <w:sz w:val="30"/>
          <w:szCs w:val="30"/>
        </w:rPr>
        <w:t>，年检通过率为6</w:t>
      </w:r>
      <w:r>
        <w:rPr>
          <w:sz w:val="30"/>
          <w:szCs w:val="30"/>
        </w:rPr>
        <w:t>7</w:t>
      </w:r>
      <w:r>
        <w:rPr>
          <w:rFonts w:hint="eastAsia"/>
          <w:sz w:val="30"/>
          <w:szCs w:val="30"/>
        </w:rPr>
        <w:t>%，根据评分标准，该指标得</w:t>
      </w:r>
      <w:r>
        <w:rPr>
          <w:sz w:val="30"/>
          <w:szCs w:val="30"/>
        </w:rPr>
        <w:t>0.67</w:t>
      </w:r>
      <w:r>
        <w:rPr>
          <w:rFonts w:hint="eastAsia"/>
          <w:sz w:val="30"/>
          <w:szCs w:val="30"/>
        </w:rPr>
        <w:t>分。</w:t>
      </w:r>
    </w:p>
    <w:p>
      <w:pPr>
        <w:pStyle w:val="103"/>
        <w:ind w:firstLine="602"/>
        <w:jc w:val="both"/>
        <w:rPr>
          <w:b/>
          <w:bCs/>
          <w:sz w:val="30"/>
          <w:szCs w:val="30"/>
        </w:rPr>
      </w:pPr>
      <w:r>
        <w:rPr>
          <w:b/>
          <w:bCs/>
          <w:sz w:val="30"/>
          <w:szCs w:val="30"/>
        </w:rPr>
        <w:t>C31各项工作完成及时率</w:t>
      </w:r>
      <w:r>
        <w:rPr>
          <w:rFonts w:hint="eastAsia"/>
          <w:b/>
          <w:bCs/>
          <w:sz w:val="30"/>
          <w:szCs w:val="30"/>
        </w:rPr>
        <w:t>，权重</w:t>
      </w:r>
      <w:r>
        <w:rPr>
          <w:b/>
          <w:bCs/>
          <w:sz w:val="30"/>
          <w:szCs w:val="30"/>
        </w:rPr>
        <w:t>3</w:t>
      </w:r>
      <w:r>
        <w:rPr>
          <w:rFonts w:hint="eastAsia"/>
          <w:b/>
          <w:bCs/>
          <w:sz w:val="30"/>
          <w:szCs w:val="30"/>
        </w:rPr>
        <w:t>分，得</w:t>
      </w:r>
      <w:r>
        <w:rPr>
          <w:b/>
          <w:bCs/>
          <w:sz w:val="30"/>
          <w:szCs w:val="30"/>
        </w:rPr>
        <w:t>1.5</w:t>
      </w:r>
      <w:r>
        <w:rPr>
          <w:rFonts w:hint="eastAsia"/>
          <w:b/>
          <w:bCs/>
          <w:sz w:val="30"/>
          <w:szCs w:val="30"/>
        </w:rPr>
        <w:t>分。</w:t>
      </w:r>
    </w:p>
    <w:p>
      <w:pPr>
        <w:pStyle w:val="103"/>
        <w:ind w:firstLine="600"/>
        <w:jc w:val="both"/>
        <w:rPr>
          <w:b/>
          <w:bCs/>
          <w:sz w:val="30"/>
          <w:szCs w:val="30"/>
        </w:rPr>
      </w:pPr>
      <w:r>
        <w:rPr>
          <w:rFonts w:hint="eastAsia"/>
          <w:sz w:val="30"/>
          <w:szCs w:val="30"/>
        </w:rPr>
        <w:t>2</w:t>
      </w:r>
      <w:r>
        <w:rPr>
          <w:sz w:val="30"/>
          <w:szCs w:val="30"/>
        </w:rPr>
        <w:t>022</w:t>
      </w:r>
      <w:r>
        <w:rPr>
          <w:rFonts w:hint="eastAsia"/>
          <w:sz w:val="30"/>
          <w:szCs w:val="30"/>
        </w:rPr>
        <w:t>年</w:t>
      </w:r>
      <w:r>
        <w:rPr>
          <w:sz w:val="30"/>
          <w:szCs w:val="30"/>
        </w:rPr>
        <w:t>老年教育三类学习点建设</w:t>
      </w:r>
      <w:r>
        <w:rPr>
          <w:rFonts w:hint="eastAsia"/>
          <w:sz w:val="30"/>
          <w:szCs w:val="30"/>
        </w:rPr>
        <w:t>、</w:t>
      </w:r>
      <w:r>
        <w:rPr>
          <w:sz w:val="30"/>
          <w:szCs w:val="30"/>
        </w:rPr>
        <w:t>终身教育</w:t>
      </w:r>
      <w:r>
        <w:rPr>
          <w:rFonts w:hint="eastAsia"/>
          <w:sz w:val="30"/>
          <w:szCs w:val="30"/>
        </w:rPr>
        <w:t>工作、</w:t>
      </w:r>
      <w:r>
        <w:rPr>
          <w:sz w:val="30"/>
          <w:szCs w:val="30"/>
        </w:rPr>
        <w:t>民办学校学生公用经费补助</w:t>
      </w:r>
      <w:r>
        <w:rPr>
          <w:rFonts w:hint="eastAsia"/>
          <w:sz w:val="30"/>
          <w:szCs w:val="30"/>
        </w:rPr>
        <w:t>工作均按时完成，</w:t>
      </w:r>
      <w:r>
        <w:rPr>
          <w:sz w:val="30"/>
          <w:szCs w:val="30"/>
        </w:rPr>
        <w:t>学促办工作</w:t>
      </w:r>
      <w:r>
        <w:rPr>
          <w:rFonts w:hint="eastAsia"/>
          <w:sz w:val="30"/>
          <w:szCs w:val="30"/>
        </w:rPr>
        <w:t>计划2</w:t>
      </w:r>
      <w:r>
        <w:rPr>
          <w:sz w:val="30"/>
          <w:szCs w:val="30"/>
        </w:rPr>
        <w:t>022</w:t>
      </w:r>
      <w:r>
        <w:rPr>
          <w:rFonts w:hint="eastAsia"/>
          <w:sz w:val="30"/>
          <w:szCs w:val="30"/>
        </w:rPr>
        <w:t>年1</w:t>
      </w:r>
      <w:r>
        <w:rPr>
          <w:sz w:val="30"/>
          <w:szCs w:val="30"/>
        </w:rPr>
        <w:t>2</w:t>
      </w:r>
      <w:r>
        <w:rPr>
          <w:rFonts w:hint="eastAsia"/>
          <w:sz w:val="30"/>
          <w:szCs w:val="30"/>
        </w:rPr>
        <w:t>月3</w:t>
      </w:r>
      <w:r>
        <w:rPr>
          <w:sz w:val="30"/>
          <w:szCs w:val="30"/>
        </w:rPr>
        <w:t>1</w:t>
      </w:r>
      <w:r>
        <w:rPr>
          <w:rFonts w:hint="eastAsia"/>
          <w:sz w:val="30"/>
          <w:szCs w:val="30"/>
        </w:rPr>
        <w:t>日前完成（受疫情影响，线下活动未开展）、</w:t>
      </w:r>
      <w:r>
        <w:rPr>
          <w:sz w:val="30"/>
          <w:szCs w:val="30"/>
        </w:rPr>
        <w:t>民办教育发展专项资金</w:t>
      </w:r>
      <w:r>
        <w:rPr>
          <w:rFonts w:hint="eastAsia"/>
          <w:sz w:val="30"/>
          <w:szCs w:val="30"/>
        </w:rPr>
        <w:t>工作计划2</w:t>
      </w:r>
      <w:r>
        <w:rPr>
          <w:sz w:val="30"/>
          <w:szCs w:val="30"/>
        </w:rPr>
        <w:t>022</w:t>
      </w:r>
      <w:r>
        <w:rPr>
          <w:rFonts w:hint="eastAsia"/>
          <w:sz w:val="30"/>
          <w:szCs w:val="30"/>
        </w:rPr>
        <w:t>年1</w:t>
      </w:r>
      <w:r>
        <w:rPr>
          <w:sz w:val="30"/>
          <w:szCs w:val="30"/>
        </w:rPr>
        <w:t>2</w:t>
      </w:r>
      <w:r>
        <w:rPr>
          <w:rFonts w:hint="eastAsia"/>
          <w:sz w:val="30"/>
          <w:szCs w:val="30"/>
        </w:rPr>
        <w:t>月3</w:t>
      </w:r>
      <w:r>
        <w:rPr>
          <w:sz w:val="30"/>
          <w:szCs w:val="30"/>
        </w:rPr>
        <w:t>1</w:t>
      </w:r>
      <w:r>
        <w:rPr>
          <w:rFonts w:hint="eastAsia"/>
          <w:sz w:val="30"/>
          <w:szCs w:val="30"/>
        </w:rPr>
        <w:t>日前完成（各学校部分工作未开展）和</w:t>
      </w:r>
      <w:r>
        <w:rPr>
          <w:sz w:val="30"/>
          <w:szCs w:val="30"/>
        </w:rPr>
        <w:t>民办非学历教育机构管理</w:t>
      </w:r>
      <w:r>
        <w:rPr>
          <w:rFonts w:hint="eastAsia"/>
          <w:sz w:val="30"/>
          <w:szCs w:val="30"/>
        </w:rPr>
        <w:t>工作计划2</w:t>
      </w:r>
      <w:r>
        <w:rPr>
          <w:sz w:val="30"/>
          <w:szCs w:val="30"/>
        </w:rPr>
        <w:t>022</w:t>
      </w:r>
      <w:r>
        <w:rPr>
          <w:rFonts w:hint="eastAsia"/>
          <w:sz w:val="30"/>
          <w:szCs w:val="30"/>
        </w:rPr>
        <w:t>年1</w:t>
      </w:r>
      <w:r>
        <w:rPr>
          <w:sz w:val="30"/>
          <w:szCs w:val="30"/>
        </w:rPr>
        <w:t>2</w:t>
      </w:r>
      <w:r>
        <w:rPr>
          <w:rFonts w:hint="eastAsia"/>
          <w:sz w:val="30"/>
          <w:szCs w:val="30"/>
        </w:rPr>
        <w:t>月3</w:t>
      </w:r>
      <w:r>
        <w:rPr>
          <w:sz w:val="30"/>
          <w:szCs w:val="30"/>
        </w:rPr>
        <w:t>1</w:t>
      </w:r>
      <w:r>
        <w:rPr>
          <w:rFonts w:hint="eastAsia"/>
          <w:sz w:val="30"/>
          <w:szCs w:val="30"/>
        </w:rPr>
        <w:t>日前完成（1家机构未检查）部分完成不及时（未在2</w:t>
      </w:r>
      <w:r>
        <w:rPr>
          <w:sz w:val="30"/>
          <w:szCs w:val="30"/>
        </w:rPr>
        <w:t>022</w:t>
      </w:r>
      <w:r>
        <w:rPr>
          <w:rFonts w:hint="eastAsia"/>
          <w:sz w:val="30"/>
          <w:szCs w:val="30"/>
        </w:rPr>
        <w:t>年1</w:t>
      </w:r>
      <w:r>
        <w:rPr>
          <w:sz w:val="30"/>
          <w:szCs w:val="30"/>
        </w:rPr>
        <w:t>2</w:t>
      </w:r>
      <w:r>
        <w:rPr>
          <w:rFonts w:hint="eastAsia"/>
          <w:sz w:val="30"/>
          <w:szCs w:val="30"/>
        </w:rPr>
        <w:t>月3</w:t>
      </w:r>
      <w:r>
        <w:rPr>
          <w:sz w:val="30"/>
          <w:szCs w:val="30"/>
        </w:rPr>
        <w:t>1</w:t>
      </w:r>
      <w:r>
        <w:rPr>
          <w:rFonts w:hint="eastAsia"/>
          <w:sz w:val="30"/>
          <w:szCs w:val="30"/>
        </w:rPr>
        <w:t>日前完成），根据评分标准，该指标扣</w:t>
      </w:r>
      <w:r>
        <w:rPr>
          <w:sz w:val="30"/>
          <w:szCs w:val="30"/>
        </w:rPr>
        <w:t>50</w:t>
      </w:r>
      <w:r>
        <w:rPr>
          <w:rFonts w:hint="eastAsia"/>
          <w:sz w:val="30"/>
          <w:szCs w:val="30"/>
        </w:rPr>
        <w:t>%权重，得1</w:t>
      </w:r>
      <w:r>
        <w:rPr>
          <w:sz w:val="30"/>
          <w:szCs w:val="30"/>
        </w:rPr>
        <w:t>.5</w:t>
      </w:r>
      <w:r>
        <w:rPr>
          <w:rFonts w:hint="eastAsia"/>
          <w:sz w:val="30"/>
          <w:szCs w:val="30"/>
        </w:rPr>
        <w:t>分。</w:t>
      </w:r>
    </w:p>
    <w:p>
      <w:pPr>
        <w:pStyle w:val="103"/>
        <w:ind w:firstLine="602"/>
        <w:jc w:val="both"/>
        <w:rPr>
          <w:b/>
          <w:bCs/>
          <w:sz w:val="30"/>
          <w:szCs w:val="30"/>
        </w:rPr>
      </w:pPr>
      <w:r>
        <w:rPr>
          <w:b/>
          <w:bCs/>
          <w:sz w:val="30"/>
          <w:szCs w:val="30"/>
        </w:rPr>
        <w:t>C41成本控制情况</w:t>
      </w:r>
      <w:r>
        <w:rPr>
          <w:rFonts w:hint="eastAsia"/>
          <w:b/>
          <w:bCs/>
          <w:sz w:val="30"/>
          <w:szCs w:val="30"/>
        </w:rPr>
        <w:t>，权重</w:t>
      </w:r>
      <w:r>
        <w:rPr>
          <w:b/>
          <w:bCs/>
          <w:sz w:val="30"/>
          <w:szCs w:val="30"/>
        </w:rPr>
        <w:t>3</w:t>
      </w:r>
      <w:r>
        <w:rPr>
          <w:rFonts w:hint="eastAsia"/>
          <w:b/>
          <w:bCs/>
          <w:sz w:val="30"/>
          <w:szCs w:val="30"/>
        </w:rPr>
        <w:t>分，得</w:t>
      </w:r>
      <w:r>
        <w:rPr>
          <w:b/>
          <w:bCs/>
          <w:sz w:val="30"/>
          <w:szCs w:val="30"/>
        </w:rPr>
        <w:t>2.7</w:t>
      </w:r>
      <w:r>
        <w:rPr>
          <w:rFonts w:hint="eastAsia"/>
          <w:b/>
          <w:bCs/>
          <w:sz w:val="30"/>
          <w:szCs w:val="30"/>
        </w:rPr>
        <w:t>分。</w:t>
      </w:r>
    </w:p>
    <w:p>
      <w:pPr>
        <w:pStyle w:val="209"/>
        <w:spacing w:line="520" w:lineRule="exact"/>
        <w:ind w:firstLine="600"/>
        <w:rPr>
          <w:sz w:val="30"/>
          <w:szCs w:val="30"/>
        </w:rPr>
      </w:pPr>
      <w:r>
        <w:rPr>
          <w:sz w:val="30"/>
          <w:szCs w:val="30"/>
        </w:rPr>
        <w:t>2022</w:t>
      </w:r>
      <w:r>
        <w:rPr>
          <w:rFonts w:hint="eastAsia"/>
          <w:sz w:val="30"/>
          <w:szCs w:val="30"/>
        </w:rPr>
        <w:t>年项目成本控制在了项目预算中，其中有文件明确规定的补贴准，实际均按照标准执行。但部分项目成本标准偏高，如名师孵化室市级主持人</w:t>
      </w:r>
      <w:r>
        <w:rPr>
          <w:sz w:val="30"/>
          <w:szCs w:val="30"/>
        </w:rPr>
        <w:t>2000元/次，参照的是崇明区培训费 “正高级技术职称专业人员每学时最高不超过1000元”标准，实际不是开展培训，而研讨会议，一般会议邀请专家费用为1000元/次，当前标准偏高</w:t>
      </w:r>
      <w:r>
        <w:rPr>
          <w:rFonts w:hint="eastAsia"/>
          <w:sz w:val="30"/>
          <w:szCs w:val="30"/>
        </w:rPr>
        <w:t>。因此，根据评分标准，扣权重分1</w:t>
      </w:r>
      <w:r>
        <w:rPr>
          <w:sz w:val="30"/>
          <w:szCs w:val="30"/>
        </w:rPr>
        <w:t>0</w:t>
      </w:r>
      <w:r>
        <w:rPr>
          <w:rFonts w:hint="eastAsia"/>
          <w:sz w:val="30"/>
          <w:szCs w:val="30"/>
        </w:rPr>
        <w:t>%，得2</w:t>
      </w:r>
      <w:r>
        <w:rPr>
          <w:sz w:val="30"/>
          <w:szCs w:val="30"/>
        </w:rPr>
        <w:t>.7</w:t>
      </w:r>
      <w:r>
        <w:rPr>
          <w:rFonts w:hint="eastAsia"/>
          <w:sz w:val="30"/>
          <w:szCs w:val="30"/>
        </w:rPr>
        <w:t>分。</w:t>
      </w:r>
    </w:p>
    <w:p>
      <w:pPr>
        <w:pStyle w:val="195"/>
        <w:spacing w:line="560" w:lineRule="exact"/>
        <w:ind w:firstLine="643"/>
        <w:outlineLvl w:val="2"/>
        <w:rPr>
          <w:sz w:val="32"/>
          <w:szCs w:val="32"/>
        </w:rPr>
      </w:pPr>
      <w:r>
        <w:rPr>
          <w:sz w:val="32"/>
          <w:szCs w:val="32"/>
        </w:rPr>
        <w:t>4.</w:t>
      </w:r>
      <w:r>
        <w:rPr>
          <w:rFonts w:hint="eastAsia"/>
        </w:rPr>
        <w:t xml:space="preserve"> </w:t>
      </w:r>
      <w:r>
        <w:rPr>
          <w:rFonts w:hint="eastAsia"/>
          <w:sz w:val="32"/>
          <w:szCs w:val="32"/>
        </w:rPr>
        <w:t>项目效益情况</w:t>
      </w:r>
    </w:p>
    <w:p>
      <w:pPr>
        <w:pStyle w:val="103"/>
        <w:ind w:firstLine="602"/>
        <w:jc w:val="both"/>
        <w:rPr>
          <w:b/>
          <w:bCs/>
          <w:sz w:val="30"/>
          <w:szCs w:val="30"/>
        </w:rPr>
      </w:pPr>
      <w:r>
        <w:rPr>
          <w:rFonts w:ascii="仿宋_GB2312"/>
          <w:b/>
          <w:bCs/>
          <w:sz w:val="30"/>
          <w:szCs w:val="30"/>
        </w:rPr>
        <w:t>D11基层老年教育成效情况</w:t>
      </w:r>
      <w:r>
        <w:rPr>
          <w:rFonts w:hint="eastAsia" w:ascii="仿宋_GB2312"/>
          <w:b/>
          <w:bCs/>
          <w:sz w:val="30"/>
          <w:szCs w:val="30"/>
        </w:rPr>
        <w:t>，</w:t>
      </w:r>
      <w:r>
        <w:rPr>
          <w:rFonts w:hint="eastAsia"/>
          <w:b/>
          <w:bCs/>
          <w:sz w:val="30"/>
          <w:szCs w:val="30"/>
        </w:rPr>
        <w:t>权重</w:t>
      </w:r>
      <w:r>
        <w:rPr>
          <w:b/>
          <w:bCs/>
          <w:sz w:val="30"/>
          <w:szCs w:val="30"/>
        </w:rPr>
        <w:t>2</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2022年，老年优秀社会学习点数量增加5个，较2021年提升。2022年，2所学校被评为市优质校，分别是庙镇成校和新河成校，老年优质校争创成功。根据评分标准，该指标得满分2分。</w:t>
      </w:r>
    </w:p>
    <w:p>
      <w:pPr>
        <w:pStyle w:val="103"/>
        <w:ind w:firstLine="602"/>
        <w:jc w:val="both"/>
        <w:rPr>
          <w:rFonts w:ascii="仿宋_GB2312"/>
          <w:b/>
          <w:bCs/>
          <w:sz w:val="30"/>
          <w:szCs w:val="30"/>
        </w:rPr>
      </w:pPr>
      <w:r>
        <w:rPr>
          <w:rFonts w:ascii="仿宋_GB2312"/>
          <w:b/>
          <w:bCs/>
          <w:sz w:val="30"/>
          <w:szCs w:val="30"/>
        </w:rPr>
        <w:t>D12终身教育成效情况</w:t>
      </w:r>
      <w:r>
        <w:rPr>
          <w:rFonts w:hint="eastAsia" w:ascii="仿宋_GB2312"/>
          <w:b/>
          <w:bCs/>
          <w:sz w:val="30"/>
          <w:szCs w:val="30"/>
        </w:rPr>
        <w:t>，</w:t>
      </w:r>
      <w:r>
        <w:rPr>
          <w:rFonts w:hint="eastAsia"/>
          <w:b/>
          <w:bCs/>
          <w:sz w:val="30"/>
          <w:szCs w:val="30"/>
        </w:rPr>
        <w:t>权重</w:t>
      </w:r>
      <w:r>
        <w:rPr>
          <w:b/>
          <w:bCs/>
          <w:sz w:val="30"/>
          <w:szCs w:val="30"/>
        </w:rPr>
        <w:t>2</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2</w:t>
      </w:r>
      <w:r>
        <w:rPr>
          <w:rFonts w:ascii="仿宋_GB2312"/>
          <w:sz w:val="30"/>
          <w:szCs w:val="30"/>
        </w:rPr>
        <w:t>022</w:t>
      </w:r>
      <w:r>
        <w:rPr>
          <w:rFonts w:hint="eastAsia" w:ascii="仿宋_GB2312"/>
          <w:sz w:val="30"/>
          <w:szCs w:val="30"/>
        </w:rPr>
        <w:t>年，教育名师孵化室成员</w:t>
      </w:r>
      <w:r>
        <w:rPr>
          <w:rFonts w:ascii="仿宋_GB2312"/>
          <w:sz w:val="30"/>
          <w:szCs w:val="30"/>
        </w:rPr>
        <w:t>10人次参与3个市级重点实验项目和1个委托项目，6人次参与国家级及市级课题</w:t>
      </w:r>
      <w:r>
        <w:rPr>
          <w:rFonts w:hint="eastAsia" w:ascii="仿宋_GB2312"/>
          <w:sz w:val="30"/>
          <w:szCs w:val="30"/>
        </w:rPr>
        <w:t>；获得市级</w:t>
      </w:r>
      <w:r>
        <w:rPr>
          <w:rFonts w:ascii="仿宋_GB2312"/>
          <w:sz w:val="30"/>
          <w:szCs w:val="30"/>
        </w:rPr>
        <w:t>17门优质视频课程</w:t>
      </w:r>
      <w:r>
        <w:rPr>
          <w:rFonts w:hint="eastAsia" w:ascii="仿宋_GB2312"/>
          <w:sz w:val="30"/>
          <w:szCs w:val="30"/>
        </w:rPr>
        <w:t>，课程资源《玩转智能手机，缤纷老年生活》通过市级选拔并被推介参加国家教育部“智慧助老”课程资源遴选；庙镇成校入选上海市终身教育研究会社区教育专业委员会第三批“社区教育科研基地”，并成为“上海市民终身学习监测研究基地。根据评分标准，该指标得满分2分。</w:t>
      </w:r>
    </w:p>
    <w:p>
      <w:pPr>
        <w:pStyle w:val="103"/>
        <w:ind w:firstLine="602"/>
        <w:jc w:val="both"/>
        <w:rPr>
          <w:rFonts w:ascii="仿宋_GB2312"/>
          <w:b/>
          <w:bCs/>
          <w:sz w:val="30"/>
          <w:szCs w:val="30"/>
        </w:rPr>
      </w:pPr>
      <w:r>
        <w:rPr>
          <w:rFonts w:ascii="仿宋_GB2312"/>
          <w:b/>
          <w:bCs/>
          <w:sz w:val="30"/>
          <w:szCs w:val="30"/>
        </w:rPr>
        <w:t>D13终身学习便利度及多样性</w:t>
      </w:r>
      <w:r>
        <w:rPr>
          <w:rFonts w:hint="eastAsia" w:ascii="仿宋_GB2312"/>
          <w:b/>
          <w:bCs/>
          <w:sz w:val="30"/>
          <w:szCs w:val="30"/>
        </w:rPr>
        <w:t>，</w:t>
      </w:r>
      <w:r>
        <w:rPr>
          <w:rFonts w:hint="eastAsia"/>
          <w:b/>
          <w:bCs/>
          <w:sz w:val="30"/>
          <w:szCs w:val="30"/>
        </w:rPr>
        <w:t>权重</w:t>
      </w:r>
      <w:r>
        <w:rPr>
          <w:b/>
          <w:bCs/>
          <w:sz w:val="30"/>
          <w:szCs w:val="30"/>
        </w:rPr>
        <w:t>1</w:t>
      </w:r>
      <w:r>
        <w:rPr>
          <w:rFonts w:hint="eastAsia"/>
          <w:b/>
          <w:bCs/>
          <w:sz w:val="30"/>
          <w:szCs w:val="30"/>
        </w:rPr>
        <w:t>分，得</w:t>
      </w:r>
      <w:r>
        <w:rPr>
          <w:b/>
          <w:bCs/>
          <w:sz w:val="30"/>
          <w:szCs w:val="30"/>
        </w:rPr>
        <w:t>1</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根据社会调查结果，有</w:t>
      </w:r>
      <w:r>
        <w:rPr>
          <w:rFonts w:ascii="仿宋_GB2312"/>
          <w:sz w:val="30"/>
          <w:szCs w:val="30"/>
        </w:rPr>
        <w:t>98.72%的人认为学习活动是多样的，只有1.28%的人认为不多样</w:t>
      </w:r>
      <w:r>
        <w:rPr>
          <w:rFonts w:hint="eastAsia" w:ascii="仿宋_GB2312"/>
          <w:sz w:val="30"/>
          <w:szCs w:val="30"/>
        </w:rPr>
        <w:t>，</w:t>
      </w:r>
      <w:r>
        <w:rPr>
          <w:rFonts w:ascii="仿宋_GB2312"/>
          <w:sz w:val="30"/>
          <w:szCs w:val="30"/>
        </w:rPr>
        <w:t>可以看出该乡镇的老年人学习活动比较丰富，满足老年人的多样化需求。</w:t>
      </w:r>
      <w:r>
        <w:rPr>
          <w:rFonts w:hint="eastAsia" w:ascii="仿宋_GB2312"/>
          <w:sz w:val="30"/>
          <w:szCs w:val="30"/>
        </w:rPr>
        <w:t>根据评分标准，该指标得满分</w:t>
      </w:r>
      <w:r>
        <w:rPr>
          <w:rFonts w:ascii="仿宋_GB2312"/>
          <w:sz w:val="30"/>
          <w:szCs w:val="30"/>
        </w:rPr>
        <w:t>1</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D14终身教育宣传情况</w:t>
      </w:r>
      <w:r>
        <w:rPr>
          <w:rFonts w:hint="eastAsia" w:ascii="仿宋_GB2312"/>
          <w:b/>
          <w:bCs/>
          <w:sz w:val="30"/>
          <w:szCs w:val="30"/>
        </w:rPr>
        <w:t>，</w:t>
      </w:r>
      <w:r>
        <w:rPr>
          <w:rFonts w:hint="eastAsia"/>
          <w:b/>
          <w:bCs/>
          <w:sz w:val="30"/>
          <w:szCs w:val="30"/>
        </w:rPr>
        <w:t>权重</w:t>
      </w:r>
      <w:r>
        <w:rPr>
          <w:b/>
          <w:bCs/>
          <w:sz w:val="30"/>
          <w:szCs w:val="30"/>
        </w:rPr>
        <w:t>1</w:t>
      </w:r>
      <w:r>
        <w:rPr>
          <w:rFonts w:hint="eastAsia"/>
          <w:b/>
          <w:bCs/>
          <w:sz w:val="30"/>
          <w:szCs w:val="30"/>
        </w:rPr>
        <w:t>分，得</w:t>
      </w:r>
      <w:r>
        <w:rPr>
          <w:b/>
          <w:bCs/>
          <w:sz w:val="30"/>
          <w:szCs w:val="30"/>
        </w:rPr>
        <w:t>1</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根据社会调查结果，</w:t>
      </w:r>
      <w:r>
        <w:rPr>
          <w:rFonts w:ascii="仿宋_GB2312"/>
          <w:sz w:val="30"/>
          <w:szCs w:val="30"/>
        </w:rPr>
        <w:t>有效填写人次为468人</w:t>
      </w:r>
      <w:r>
        <w:rPr>
          <w:rFonts w:hint="eastAsia" w:ascii="仿宋_GB2312"/>
          <w:sz w:val="30"/>
          <w:szCs w:val="30"/>
        </w:rPr>
        <w:t>，其中，</w:t>
      </w:r>
      <w:r>
        <w:rPr>
          <w:rFonts w:ascii="仿宋_GB2312"/>
          <w:sz w:val="30"/>
          <w:szCs w:val="30"/>
        </w:rPr>
        <w:t>最主要的渠道是学校网站，有351人选择，占比75%</w:t>
      </w:r>
      <w:r>
        <w:rPr>
          <w:rFonts w:hint="eastAsia" w:ascii="仿宋_GB2312"/>
          <w:sz w:val="30"/>
          <w:szCs w:val="30"/>
        </w:rPr>
        <w:t>；</w:t>
      </w:r>
      <w:r>
        <w:rPr>
          <w:rFonts w:ascii="仿宋_GB2312"/>
          <w:sz w:val="30"/>
          <w:szCs w:val="30"/>
        </w:rPr>
        <w:t>其次是学校宣传册，有258人选择，占比55.13%</w:t>
      </w:r>
      <w:r>
        <w:rPr>
          <w:rFonts w:hint="eastAsia" w:ascii="仿宋_GB2312"/>
          <w:sz w:val="30"/>
          <w:szCs w:val="30"/>
        </w:rPr>
        <w:t>；</w:t>
      </w:r>
      <w:r>
        <w:rPr>
          <w:rFonts w:ascii="仿宋_GB2312"/>
          <w:sz w:val="30"/>
          <w:szCs w:val="30"/>
        </w:rPr>
        <w:t>居委会村委会宣传也是一个比较重要的渠道，有218人选择，占比46.58%</w:t>
      </w:r>
      <w:r>
        <w:rPr>
          <w:rFonts w:hint="eastAsia" w:ascii="仿宋_GB2312"/>
          <w:sz w:val="30"/>
          <w:szCs w:val="30"/>
        </w:rPr>
        <w:t>；</w:t>
      </w:r>
      <w:r>
        <w:rPr>
          <w:rFonts w:ascii="仿宋_GB2312"/>
          <w:sz w:val="30"/>
          <w:szCs w:val="30"/>
        </w:rPr>
        <w:t>报刊杂志的影响相对较小，只有58人选择，占比12.39%</w:t>
      </w:r>
      <w:r>
        <w:rPr>
          <w:rFonts w:hint="eastAsia" w:ascii="仿宋_GB2312"/>
          <w:sz w:val="30"/>
          <w:szCs w:val="30"/>
        </w:rPr>
        <w:t>；</w:t>
      </w:r>
      <w:r>
        <w:rPr>
          <w:rFonts w:ascii="仿宋_GB2312"/>
          <w:sz w:val="30"/>
          <w:szCs w:val="30"/>
        </w:rPr>
        <w:t>其他渠道的影响也比较小，只有38人选择，占比8.12%。根据以上数据，可以看出学校网站和学校宣传册是成人教育信息传播的主要渠道，居委会村委会宣传也有一定的影响。</w:t>
      </w:r>
      <w:r>
        <w:rPr>
          <w:rFonts w:hint="eastAsia" w:ascii="仿宋_GB2312"/>
          <w:sz w:val="30"/>
          <w:szCs w:val="30"/>
        </w:rPr>
        <w:t>项目知晓度为1</w:t>
      </w:r>
      <w:r>
        <w:rPr>
          <w:rFonts w:ascii="仿宋_GB2312"/>
          <w:sz w:val="30"/>
          <w:szCs w:val="30"/>
        </w:rPr>
        <w:t>00</w:t>
      </w:r>
      <w:r>
        <w:rPr>
          <w:rFonts w:hint="eastAsia" w:ascii="仿宋_GB2312"/>
          <w:sz w:val="30"/>
          <w:szCs w:val="30"/>
        </w:rPr>
        <w:t>%。根据评分标准，该指标得满分</w:t>
      </w:r>
      <w:r>
        <w:rPr>
          <w:rFonts w:ascii="仿宋_GB2312"/>
          <w:sz w:val="30"/>
          <w:szCs w:val="30"/>
        </w:rPr>
        <w:t>1</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D15民办学校教学设施设备使用率</w:t>
      </w:r>
      <w:r>
        <w:rPr>
          <w:rFonts w:hint="eastAsia" w:ascii="仿宋_GB2312"/>
          <w:b/>
          <w:bCs/>
          <w:sz w:val="30"/>
          <w:szCs w:val="30"/>
        </w:rPr>
        <w:t>，</w:t>
      </w:r>
      <w:r>
        <w:rPr>
          <w:rFonts w:hint="eastAsia"/>
          <w:b/>
          <w:bCs/>
          <w:sz w:val="30"/>
          <w:szCs w:val="30"/>
        </w:rPr>
        <w:t>权重</w:t>
      </w:r>
      <w:r>
        <w:rPr>
          <w:b/>
          <w:bCs/>
          <w:sz w:val="30"/>
          <w:szCs w:val="30"/>
        </w:rPr>
        <w:t>2</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经实地调查，</w:t>
      </w:r>
      <w:r>
        <w:rPr>
          <w:rFonts w:ascii="仿宋_GB2312"/>
          <w:sz w:val="30"/>
          <w:szCs w:val="30"/>
        </w:rPr>
        <w:t>4</w:t>
      </w:r>
      <w:r>
        <w:rPr>
          <w:rFonts w:hint="eastAsia" w:ascii="仿宋_GB2312"/>
          <w:sz w:val="30"/>
          <w:szCs w:val="30"/>
        </w:rPr>
        <w:t>所民办学校采购的设备设施，除备品备件外，均在使用，民办学校教学设施设备使用率1</w:t>
      </w:r>
      <w:r>
        <w:rPr>
          <w:rFonts w:ascii="仿宋_GB2312"/>
          <w:sz w:val="30"/>
          <w:szCs w:val="30"/>
        </w:rPr>
        <w:t>00</w:t>
      </w:r>
      <w:r>
        <w:rPr>
          <w:rFonts w:hint="eastAsia" w:ascii="仿宋_GB2312"/>
          <w:sz w:val="30"/>
          <w:szCs w:val="30"/>
        </w:rPr>
        <w:t>%，根据评分标准，该指标得满分</w:t>
      </w:r>
      <w:r>
        <w:rPr>
          <w:rFonts w:ascii="仿宋_GB2312"/>
          <w:sz w:val="30"/>
          <w:szCs w:val="30"/>
        </w:rPr>
        <w:t>2</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D16民办学校</w:t>
      </w:r>
      <w:r>
        <w:rPr>
          <w:rFonts w:hint="eastAsia" w:ascii="仿宋_GB2312"/>
          <w:b/>
          <w:bCs/>
          <w:sz w:val="30"/>
          <w:szCs w:val="30"/>
        </w:rPr>
        <w:t>区重点高中</w:t>
      </w:r>
      <w:r>
        <w:rPr>
          <w:rFonts w:ascii="仿宋_GB2312"/>
          <w:b/>
          <w:bCs/>
          <w:sz w:val="30"/>
          <w:szCs w:val="30"/>
        </w:rPr>
        <w:t>升学率</w:t>
      </w:r>
      <w:r>
        <w:rPr>
          <w:rFonts w:hint="eastAsia" w:ascii="仿宋_GB2312"/>
          <w:b/>
          <w:bCs/>
          <w:sz w:val="30"/>
          <w:szCs w:val="30"/>
        </w:rPr>
        <w:t>，</w:t>
      </w:r>
      <w:r>
        <w:rPr>
          <w:rFonts w:hint="eastAsia"/>
          <w:b/>
          <w:bCs/>
          <w:sz w:val="30"/>
          <w:szCs w:val="30"/>
        </w:rPr>
        <w:t>权重</w:t>
      </w:r>
      <w:r>
        <w:rPr>
          <w:b/>
          <w:bCs/>
          <w:sz w:val="30"/>
          <w:szCs w:val="30"/>
        </w:rPr>
        <w:t>2</w:t>
      </w:r>
      <w:r>
        <w:rPr>
          <w:rFonts w:hint="eastAsia"/>
          <w:b/>
          <w:bCs/>
          <w:sz w:val="30"/>
          <w:szCs w:val="30"/>
        </w:rPr>
        <w:t>分，得</w:t>
      </w:r>
      <w:r>
        <w:rPr>
          <w:b/>
          <w:bCs/>
          <w:sz w:val="30"/>
          <w:szCs w:val="30"/>
        </w:rPr>
        <w:t>1</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2</w:t>
      </w:r>
      <w:r>
        <w:rPr>
          <w:rFonts w:ascii="仿宋_GB2312"/>
          <w:sz w:val="30"/>
          <w:szCs w:val="30"/>
        </w:rPr>
        <w:t>020</w:t>
      </w:r>
      <w:r>
        <w:rPr>
          <w:rFonts w:hint="eastAsia" w:ascii="仿宋_GB2312"/>
          <w:sz w:val="30"/>
          <w:szCs w:val="30"/>
        </w:rPr>
        <w:t>年-</w:t>
      </w:r>
      <w:r>
        <w:rPr>
          <w:rFonts w:ascii="仿宋_GB2312"/>
          <w:sz w:val="30"/>
          <w:szCs w:val="30"/>
        </w:rPr>
        <w:t>2022</w:t>
      </w:r>
      <w:r>
        <w:rPr>
          <w:rFonts w:hint="eastAsia" w:ascii="仿宋_GB2312"/>
          <w:sz w:val="30"/>
          <w:szCs w:val="30"/>
        </w:rPr>
        <w:t>年，上海新纪元双语学校区重点以上高中升学率分别为</w:t>
      </w:r>
      <w:r>
        <w:rPr>
          <w:rFonts w:ascii="仿宋_GB2312"/>
          <w:sz w:val="30"/>
          <w:szCs w:val="30"/>
        </w:rPr>
        <w:t>87%</w:t>
      </w:r>
      <w:r>
        <w:rPr>
          <w:rFonts w:hint="eastAsia" w:ascii="仿宋_GB2312"/>
          <w:sz w:val="30"/>
          <w:szCs w:val="30"/>
        </w:rPr>
        <w:t>、1</w:t>
      </w:r>
      <w:r>
        <w:rPr>
          <w:rFonts w:ascii="仿宋_GB2312"/>
          <w:sz w:val="30"/>
          <w:szCs w:val="30"/>
        </w:rPr>
        <w:t>00%</w:t>
      </w:r>
      <w:r>
        <w:rPr>
          <w:rFonts w:hint="eastAsia" w:ascii="仿宋_GB2312"/>
          <w:sz w:val="30"/>
          <w:szCs w:val="30"/>
        </w:rPr>
        <w:t>、</w:t>
      </w:r>
      <w:r>
        <w:rPr>
          <w:rFonts w:ascii="仿宋_GB2312"/>
          <w:sz w:val="30"/>
          <w:szCs w:val="30"/>
        </w:rPr>
        <w:t>87%</w:t>
      </w:r>
      <w:r>
        <w:rPr>
          <w:rFonts w:hint="eastAsia" w:ascii="仿宋_GB2312"/>
          <w:sz w:val="30"/>
          <w:szCs w:val="30"/>
        </w:rPr>
        <w:t>，2</w:t>
      </w:r>
      <w:r>
        <w:rPr>
          <w:rFonts w:ascii="仿宋_GB2312"/>
          <w:sz w:val="30"/>
          <w:szCs w:val="30"/>
        </w:rPr>
        <w:t>021</w:t>
      </w:r>
      <w:r>
        <w:rPr>
          <w:rFonts w:hint="eastAsia" w:ascii="仿宋_GB2312"/>
          <w:sz w:val="30"/>
          <w:szCs w:val="30"/>
        </w:rPr>
        <w:t>年较2</w:t>
      </w:r>
      <w:r>
        <w:rPr>
          <w:rFonts w:ascii="仿宋_GB2312"/>
          <w:sz w:val="30"/>
          <w:szCs w:val="30"/>
        </w:rPr>
        <w:t>020</w:t>
      </w:r>
      <w:r>
        <w:rPr>
          <w:rFonts w:hint="eastAsia" w:ascii="仿宋_GB2312"/>
          <w:sz w:val="30"/>
          <w:szCs w:val="30"/>
        </w:rPr>
        <w:t>年区重点以上高中升学率提升，但是2</w:t>
      </w:r>
      <w:r>
        <w:rPr>
          <w:rFonts w:ascii="仿宋_GB2312"/>
          <w:sz w:val="30"/>
          <w:szCs w:val="30"/>
        </w:rPr>
        <w:t>022</w:t>
      </w:r>
      <w:r>
        <w:rPr>
          <w:rFonts w:hint="eastAsia" w:ascii="仿宋_GB2312"/>
          <w:sz w:val="30"/>
          <w:szCs w:val="30"/>
        </w:rPr>
        <w:t>年较2</w:t>
      </w:r>
      <w:r>
        <w:rPr>
          <w:rFonts w:ascii="仿宋_GB2312"/>
          <w:sz w:val="30"/>
          <w:szCs w:val="30"/>
        </w:rPr>
        <w:t>021</w:t>
      </w:r>
      <w:r>
        <w:rPr>
          <w:rFonts w:hint="eastAsia" w:ascii="仿宋_GB2312"/>
          <w:sz w:val="30"/>
          <w:szCs w:val="30"/>
        </w:rPr>
        <w:t>年区重点高中升学率下降；2</w:t>
      </w:r>
      <w:r>
        <w:rPr>
          <w:rFonts w:ascii="仿宋_GB2312"/>
          <w:sz w:val="30"/>
          <w:szCs w:val="30"/>
        </w:rPr>
        <w:t>020</w:t>
      </w:r>
      <w:r>
        <w:rPr>
          <w:rFonts w:hint="eastAsia" w:ascii="仿宋_GB2312"/>
          <w:sz w:val="30"/>
          <w:szCs w:val="30"/>
        </w:rPr>
        <w:t>年-</w:t>
      </w:r>
      <w:r>
        <w:rPr>
          <w:rFonts w:ascii="仿宋_GB2312"/>
          <w:sz w:val="30"/>
          <w:szCs w:val="30"/>
        </w:rPr>
        <w:t>2022</w:t>
      </w:r>
      <w:r>
        <w:rPr>
          <w:rFonts w:hint="eastAsia" w:ascii="仿宋_GB2312"/>
          <w:sz w:val="30"/>
          <w:szCs w:val="30"/>
        </w:rPr>
        <w:t>年，上海民办民一中学区重点以上高中升学率分别为9</w:t>
      </w:r>
      <w:r>
        <w:rPr>
          <w:rFonts w:ascii="仿宋_GB2312"/>
          <w:sz w:val="30"/>
          <w:szCs w:val="30"/>
        </w:rPr>
        <w:t>6.88%</w:t>
      </w:r>
      <w:r>
        <w:rPr>
          <w:rFonts w:hint="eastAsia" w:ascii="仿宋_GB2312"/>
          <w:sz w:val="30"/>
          <w:szCs w:val="30"/>
        </w:rPr>
        <w:t>、</w:t>
      </w:r>
      <w:r>
        <w:rPr>
          <w:rFonts w:ascii="仿宋_GB2312"/>
          <w:sz w:val="30"/>
          <w:szCs w:val="30"/>
        </w:rPr>
        <w:t>98.55%</w:t>
      </w:r>
      <w:r>
        <w:rPr>
          <w:rFonts w:hint="eastAsia" w:ascii="仿宋_GB2312"/>
          <w:sz w:val="30"/>
          <w:szCs w:val="30"/>
        </w:rPr>
        <w:t>、1</w:t>
      </w:r>
      <w:r>
        <w:rPr>
          <w:rFonts w:ascii="仿宋_GB2312"/>
          <w:sz w:val="30"/>
          <w:szCs w:val="30"/>
        </w:rPr>
        <w:t>00%</w:t>
      </w:r>
      <w:r>
        <w:rPr>
          <w:rFonts w:hint="eastAsia" w:ascii="仿宋_GB2312"/>
          <w:sz w:val="30"/>
          <w:szCs w:val="30"/>
        </w:rPr>
        <w:t>，每年均较上年有所提升。综上，依据评分标准，该指标扣权重分5</w:t>
      </w:r>
      <w:r>
        <w:rPr>
          <w:rFonts w:ascii="仿宋_GB2312"/>
          <w:sz w:val="30"/>
          <w:szCs w:val="30"/>
        </w:rPr>
        <w:t>0%</w:t>
      </w:r>
      <w:r>
        <w:rPr>
          <w:rFonts w:hint="eastAsia" w:ascii="仿宋_GB2312"/>
          <w:sz w:val="30"/>
          <w:szCs w:val="30"/>
        </w:rPr>
        <w:t>，得1分。</w:t>
      </w:r>
    </w:p>
    <w:p>
      <w:pPr>
        <w:pStyle w:val="103"/>
        <w:ind w:firstLine="602"/>
        <w:jc w:val="both"/>
        <w:rPr>
          <w:rFonts w:ascii="仿宋_GB2312"/>
          <w:b/>
          <w:bCs/>
          <w:sz w:val="30"/>
          <w:szCs w:val="30"/>
        </w:rPr>
      </w:pPr>
      <w:r>
        <w:rPr>
          <w:rFonts w:ascii="仿宋_GB2312"/>
          <w:b/>
          <w:bCs/>
          <w:sz w:val="30"/>
          <w:szCs w:val="30"/>
        </w:rPr>
        <w:t>D17</w:t>
      </w:r>
      <w:r>
        <w:rPr>
          <w:rFonts w:hint="eastAsia" w:ascii="仿宋_GB2312"/>
          <w:b/>
          <w:bCs/>
          <w:sz w:val="30"/>
          <w:szCs w:val="30"/>
        </w:rPr>
        <w:t>民办学校学生体质健康优良率，</w:t>
      </w:r>
      <w:r>
        <w:rPr>
          <w:rFonts w:hint="eastAsia"/>
          <w:b/>
          <w:bCs/>
          <w:sz w:val="30"/>
          <w:szCs w:val="30"/>
        </w:rPr>
        <w:t>权重</w:t>
      </w:r>
      <w:r>
        <w:rPr>
          <w:b/>
          <w:bCs/>
          <w:sz w:val="30"/>
          <w:szCs w:val="30"/>
        </w:rPr>
        <w:t>3</w:t>
      </w:r>
      <w:r>
        <w:rPr>
          <w:rFonts w:hint="eastAsia"/>
          <w:b/>
          <w:bCs/>
          <w:sz w:val="30"/>
          <w:szCs w:val="30"/>
        </w:rPr>
        <w:t>分，得</w:t>
      </w:r>
      <w:r>
        <w:rPr>
          <w:b/>
          <w:bCs/>
          <w:sz w:val="30"/>
          <w:szCs w:val="30"/>
        </w:rPr>
        <w:t>3</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2</w:t>
      </w:r>
      <w:r>
        <w:rPr>
          <w:rFonts w:ascii="仿宋_GB2312"/>
          <w:sz w:val="30"/>
          <w:szCs w:val="30"/>
        </w:rPr>
        <w:t>022</w:t>
      </w:r>
      <w:r>
        <w:rPr>
          <w:rFonts w:hint="eastAsia" w:ascii="仿宋_GB2312"/>
          <w:sz w:val="30"/>
          <w:szCs w:val="30"/>
        </w:rPr>
        <w:t>年，崇明区民办学校学生体质健康优良率为</w:t>
      </w:r>
      <w:r>
        <w:rPr>
          <w:rFonts w:ascii="仿宋_GB2312"/>
          <w:sz w:val="30"/>
          <w:szCs w:val="30"/>
        </w:rPr>
        <w:t>53</w:t>
      </w:r>
      <w:r>
        <w:rPr>
          <w:rFonts w:hint="eastAsia" w:ascii="仿宋_GB2312"/>
          <w:sz w:val="30"/>
          <w:szCs w:val="30"/>
        </w:rPr>
        <w:t>%，高于5</w:t>
      </w:r>
      <w:r>
        <w:rPr>
          <w:rFonts w:ascii="仿宋_GB2312"/>
          <w:sz w:val="30"/>
          <w:szCs w:val="30"/>
        </w:rPr>
        <w:t>2</w:t>
      </w:r>
      <w:r>
        <w:rPr>
          <w:rFonts w:hint="eastAsia" w:ascii="仿宋_GB2312"/>
          <w:sz w:val="30"/>
          <w:szCs w:val="30"/>
        </w:rPr>
        <w:t>%</w:t>
      </w:r>
      <w:r>
        <w:rPr>
          <w:rFonts w:ascii="仿宋_GB2312"/>
          <w:sz w:val="30"/>
          <w:szCs w:val="30"/>
        </w:rPr>
        <w:t>(</w:t>
      </w:r>
      <w:r>
        <w:rPr>
          <w:rFonts w:hint="eastAsia" w:ascii="仿宋_GB2312"/>
          <w:sz w:val="30"/>
          <w:szCs w:val="30"/>
        </w:rPr>
        <w:t>崇明区教育“十四规划”到</w:t>
      </w:r>
      <w:r>
        <w:rPr>
          <w:rFonts w:ascii="仿宋_GB2312"/>
          <w:sz w:val="30"/>
          <w:szCs w:val="30"/>
        </w:rPr>
        <w:t>2025年达到55%，按5年折算，2022年应达到52%</w:t>
      </w:r>
      <w:r>
        <w:rPr>
          <w:rFonts w:hint="eastAsia" w:ascii="仿宋_GB2312"/>
          <w:sz w:val="30"/>
          <w:szCs w:val="30"/>
        </w:rPr>
        <w:t>)，根据评分标准，该指标得满分</w:t>
      </w:r>
      <w:r>
        <w:rPr>
          <w:rFonts w:ascii="仿宋_GB2312"/>
          <w:sz w:val="30"/>
          <w:szCs w:val="30"/>
        </w:rPr>
        <w:t>3</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D18学科类培训机构</w:t>
      </w:r>
      <w:r>
        <w:rPr>
          <w:rFonts w:hint="eastAsia" w:ascii="仿宋_GB2312"/>
          <w:b/>
          <w:bCs/>
          <w:sz w:val="30"/>
          <w:szCs w:val="30"/>
        </w:rPr>
        <w:t>控制</w:t>
      </w:r>
      <w:r>
        <w:rPr>
          <w:rFonts w:ascii="仿宋_GB2312"/>
          <w:b/>
          <w:bCs/>
          <w:sz w:val="30"/>
          <w:szCs w:val="30"/>
        </w:rPr>
        <w:t>情况</w:t>
      </w:r>
      <w:r>
        <w:rPr>
          <w:rFonts w:hint="eastAsia" w:ascii="仿宋_GB2312"/>
          <w:b/>
          <w:bCs/>
          <w:sz w:val="30"/>
          <w:szCs w:val="30"/>
        </w:rPr>
        <w:t>，</w:t>
      </w:r>
      <w:r>
        <w:rPr>
          <w:rFonts w:hint="eastAsia"/>
          <w:b/>
          <w:bCs/>
          <w:sz w:val="30"/>
          <w:szCs w:val="30"/>
        </w:rPr>
        <w:t>权重</w:t>
      </w:r>
      <w:r>
        <w:rPr>
          <w:b/>
          <w:bCs/>
          <w:sz w:val="30"/>
          <w:szCs w:val="30"/>
        </w:rPr>
        <w:t>3</w:t>
      </w:r>
      <w:r>
        <w:rPr>
          <w:rFonts w:hint="eastAsia"/>
          <w:b/>
          <w:bCs/>
          <w:sz w:val="30"/>
          <w:szCs w:val="30"/>
        </w:rPr>
        <w:t>分，得</w:t>
      </w:r>
      <w:r>
        <w:rPr>
          <w:b/>
          <w:bCs/>
          <w:sz w:val="30"/>
          <w:szCs w:val="30"/>
        </w:rPr>
        <w:t>3</w:t>
      </w:r>
      <w:r>
        <w:rPr>
          <w:rFonts w:hint="eastAsia"/>
          <w:b/>
          <w:bCs/>
          <w:sz w:val="30"/>
          <w:szCs w:val="30"/>
        </w:rPr>
        <w:t>分。</w:t>
      </w:r>
    </w:p>
    <w:p>
      <w:pPr>
        <w:pStyle w:val="103"/>
        <w:ind w:firstLine="600"/>
        <w:jc w:val="both"/>
        <w:rPr>
          <w:rFonts w:ascii="仿宋_GB2312"/>
          <w:sz w:val="30"/>
          <w:szCs w:val="30"/>
        </w:rPr>
      </w:pPr>
      <w:r>
        <w:rPr>
          <w:rFonts w:ascii="仿宋_GB2312"/>
          <w:sz w:val="30"/>
          <w:szCs w:val="30"/>
        </w:rPr>
        <w:t>2022</w:t>
      </w:r>
      <w:r>
        <w:rPr>
          <w:rFonts w:hint="eastAsia" w:ascii="仿宋_GB2312"/>
          <w:sz w:val="30"/>
          <w:szCs w:val="30"/>
        </w:rPr>
        <w:t>年，崇明区没有新增学科类培训机构，根据评分标准，该指标得满分</w:t>
      </w:r>
      <w:r>
        <w:rPr>
          <w:rFonts w:ascii="仿宋_GB2312"/>
          <w:sz w:val="30"/>
          <w:szCs w:val="30"/>
        </w:rPr>
        <w:t>3</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D21</w:t>
      </w:r>
      <w:r>
        <w:rPr>
          <w:rFonts w:hint="eastAsia" w:ascii="仿宋_GB2312"/>
          <w:b/>
          <w:bCs/>
          <w:sz w:val="30"/>
          <w:szCs w:val="30"/>
        </w:rPr>
        <w:t>项目</w:t>
      </w:r>
      <w:r>
        <w:rPr>
          <w:rFonts w:ascii="仿宋_GB2312"/>
          <w:b/>
          <w:bCs/>
          <w:sz w:val="30"/>
          <w:szCs w:val="30"/>
        </w:rPr>
        <w:t>长效管理机制健全性和执行有效性</w:t>
      </w:r>
      <w:r>
        <w:rPr>
          <w:rFonts w:hint="eastAsia" w:ascii="仿宋_GB2312"/>
          <w:b/>
          <w:bCs/>
          <w:sz w:val="30"/>
          <w:szCs w:val="30"/>
        </w:rPr>
        <w:t>，</w:t>
      </w:r>
      <w:r>
        <w:rPr>
          <w:rFonts w:hint="eastAsia"/>
          <w:b/>
          <w:bCs/>
          <w:sz w:val="30"/>
          <w:szCs w:val="30"/>
        </w:rPr>
        <w:t>权重</w:t>
      </w:r>
      <w:r>
        <w:rPr>
          <w:b/>
          <w:bCs/>
          <w:sz w:val="30"/>
          <w:szCs w:val="30"/>
        </w:rPr>
        <w:t>4</w:t>
      </w:r>
      <w:r>
        <w:rPr>
          <w:rFonts w:hint="eastAsia"/>
          <w:b/>
          <w:bCs/>
          <w:sz w:val="30"/>
          <w:szCs w:val="30"/>
        </w:rPr>
        <w:t>分，得</w:t>
      </w:r>
      <w:r>
        <w:rPr>
          <w:b/>
          <w:bCs/>
          <w:sz w:val="30"/>
          <w:szCs w:val="30"/>
        </w:rPr>
        <w:t>2</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在《崇明区老龄事业发展“十四五”规划》和《崇明区教育发展“十四五”规划》中明确了终身教育发展和民办学校发展的规划，如规划要求推进老年大学内涵建设，发挥老年大学示范辐射引领作用。实施新一轮老年教育机构能力提升工程，形成一批社区（老年）优质校。加强老年教育课程、教材、教学、评价研究，鼓励老年教育特色发展，注重老年教育品牌塑造。加强老年教育师资队伍建设，吸纳热爱老年教育事业、有专长的人才充实到老年教育专兼职师资队伍中。支持社会力量参与老年教育服务，持续推进养教结合学习点和居村委学习点建设，积极培育优秀老年学习团队。</w:t>
      </w:r>
      <w:r>
        <w:rPr>
          <w:rFonts w:hint="eastAsia"/>
          <w:color w:val="333333"/>
          <w:sz w:val="30"/>
          <w:szCs w:val="30"/>
          <w:shd w:val="clear" w:color="auto" w:fill="FFFFFF"/>
        </w:rPr>
        <w:t>推动终身教育不断创新。整合终身教育资源，理顺终身教育体系。创建各类学习型组织，促进终身教育泛在可选，更好满足市民学习需求，提升学习型城区品质</w:t>
      </w:r>
      <w:r>
        <w:rPr>
          <w:rFonts w:hint="eastAsia" w:ascii="仿宋_GB2312"/>
          <w:sz w:val="30"/>
          <w:szCs w:val="30"/>
        </w:rPr>
        <w:t>。依法依规促进民办教育有序健康发展，坚持优质特色发展导向，落实“公参民”管理工作以及民办义务教育学校招生改革政策，严控办学规模，推进品牌建设，形成良好的民办学校发展生态，满足人民群众对教育服务多样化的需求。因此，项目具有中长期规划。但是缺少对项目的定期评价、跟踪。故根据评分标准，扣权重分</w:t>
      </w:r>
      <w:r>
        <w:rPr>
          <w:rFonts w:ascii="仿宋_GB2312"/>
          <w:sz w:val="30"/>
          <w:szCs w:val="30"/>
        </w:rPr>
        <w:t>50</w:t>
      </w:r>
      <w:r>
        <w:rPr>
          <w:rFonts w:hint="eastAsia" w:ascii="仿宋_GB2312"/>
          <w:sz w:val="30"/>
          <w:szCs w:val="30"/>
        </w:rPr>
        <w:t>%，得</w:t>
      </w:r>
      <w:r>
        <w:rPr>
          <w:rFonts w:ascii="仿宋_GB2312"/>
          <w:sz w:val="30"/>
          <w:szCs w:val="30"/>
        </w:rPr>
        <w:t>2</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D32终身教育学员满意度</w:t>
      </w:r>
      <w:r>
        <w:rPr>
          <w:rFonts w:hint="eastAsia" w:ascii="仿宋_GB2312"/>
          <w:b/>
          <w:bCs/>
          <w:sz w:val="30"/>
          <w:szCs w:val="30"/>
        </w:rPr>
        <w:t>，</w:t>
      </w:r>
      <w:r>
        <w:rPr>
          <w:rFonts w:hint="eastAsia"/>
          <w:b/>
          <w:bCs/>
          <w:sz w:val="30"/>
          <w:szCs w:val="30"/>
        </w:rPr>
        <w:t>权重</w:t>
      </w:r>
      <w:r>
        <w:rPr>
          <w:b/>
          <w:bCs/>
          <w:sz w:val="30"/>
          <w:szCs w:val="30"/>
        </w:rPr>
        <w:t>3</w:t>
      </w:r>
      <w:r>
        <w:rPr>
          <w:rFonts w:hint="eastAsia"/>
          <w:b/>
          <w:bCs/>
          <w:sz w:val="30"/>
          <w:szCs w:val="30"/>
        </w:rPr>
        <w:t>分，得</w:t>
      </w:r>
      <w:r>
        <w:rPr>
          <w:b/>
          <w:bCs/>
          <w:sz w:val="30"/>
          <w:szCs w:val="30"/>
        </w:rPr>
        <w:t>3</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评价组对崇明区</w:t>
      </w:r>
      <w:r>
        <w:rPr>
          <w:rFonts w:ascii="仿宋_GB2312"/>
          <w:sz w:val="30"/>
          <w:szCs w:val="30"/>
        </w:rPr>
        <w:t>6</w:t>
      </w:r>
      <w:r>
        <w:rPr>
          <w:rFonts w:hint="eastAsia" w:ascii="仿宋_GB2312"/>
          <w:sz w:val="30"/>
          <w:szCs w:val="30"/>
        </w:rPr>
        <w:t>所</w:t>
      </w:r>
      <w:r>
        <w:rPr>
          <w:rFonts w:ascii="仿宋_GB2312"/>
          <w:sz w:val="30"/>
          <w:szCs w:val="30"/>
        </w:rPr>
        <w:t>成职学校</w:t>
      </w:r>
      <w:r>
        <w:rPr>
          <w:rFonts w:hint="eastAsia" w:ascii="仿宋_GB2312"/>
          <w:sz w:val="30"/>
          <w:szCs w:val="30"/>
        </w:rPr>
        <w:t>学员开展</w:t>
      </w:r>
      <w:r>
        <w:rPr>
          <w:rFonts w:ascii="仿宋_GB2312"/>
          <w:sz w:val="30"/>
          <w:szCs w:val="30"/>
        </w:rPr>
        <w:t>了问卷调查，</w:t>
      </w:r>
      <w:r>
        <w:rPr>
          <w:rFonts w:hint="eastAsia" w:ascii="仿宋_GB2312"/>
          <w:sz w:val="30"/>
          <w:szCs w:val="30"/>
        </w:rPr>
        <w:t>发放问卷</w:t>
      </w:r>
      <w:r>
        <w:rPr>
          <w:rFonts w:ascii="仿宋_GB2312"/>
          <w:sz w:val="30"/>
          <w:szCs w:val="30"/>
        </w:rPr>
        <w:t>500</w:t>
      </w:r>
      <w:r>
        <w:rPr>
          <w:rFonts w:hint="eastAsia" w:ascii="仿宋_GB2312"/>
          <w:sz w:val="30"/>
          <w:szCs w:val="30"/>
        </w:rPr>
        <w:t>份，</w:t>
      </w:r>
      <w:r>
        <w:rPr>
          <w:rFonts w:ascii="仿宋_GB2312"/>
          <w:sz w:val="30"/>
          <w:szCs w:val="30"/>
        </w:rPr>
        <w:t>回收问卷500份，有效问卷468份，问卷有效率93.6%</w:t>
      </w:r>
      <w:r>
        <w:rPr>
          <w:rFonts w:hint="eastAsia" w:ascii="仿宋_GB2312"/>
          <w:sz w:val="30"/>
          <w:szCs w:val="30"/>
        </w:rPr>
        <w:t>，综合满意度为</w:t>
      </w:r>
      <w:r>
        <w:rPr>
          <w:rFonts w:ascii="仿宋_GB2312"/>
          <w:sz w:val="30"/>
          <w:szCs w:val="30"/>
        </w:rPr>
        <w:t>93.08%</w:t>
      </w:r>
      <w:r>
        <w:rPr>
          <w:rFonts w:hint="eastAsia" w:ascii="仿宋_GB2312"/>
          <w:sz w:val="30"/>
          <w:szCs w:val="30"/>
        </w:rPr>
        <w:t>。根据评分标准，该指标得满分</w:t>
      </w:r>
      <w:r>
        <w:rPr>
          <w:rFonts w:ascii="仿宋_GB2312"/>
          <w:sz w:val="30"/>
          <w:szCs w:val="30"/>
        </w:rPr>
        <w:t>3</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D33民办学校学生及家长满意度</w:t>
      </w:r>
      <w:r>
        <w:rPr>
          <w:rFonts w:hint="eastAsia" w:ascii="仿宋_GB2312"/>
          <w:b/>
          <w:bCs/>
          <w:sz w:val="30"/>
          <w:szCs w:val="30"/>
        </w:rPr>
        <w:t>，</w:t>
      </w:r>
      <w:r>
        <w:rPr>
          <w:rFonts w:hint="eastAsia"/>
          <w:b/>
          <w:bCs/>
          <w:sz w:val="30"/>
          <w:szCs w:val="30"/>
        </w:rPr>
        <w:t>权重</w:t>
      </w:r>
      <w:r>
        <w:rPr>
          <w:b/>
          <w:bCs/>
          <w:sz w:val="30"/>
          <w:szCs w:val="30"/>
        </w:rPr>
        <w:t>4</w:t>
      </w:r>
      <w:r>
        <w:rPr>
          <w:rFonts w:hint="eastAsia"/>
          <w:b/>
          <w:bCs/>
          <w:sz w:val="30"/>
          <w:szCs w:val="30"/>
        </w:rPr>
        <w:t>分，得</w:t>
      </w:r>
      <w:r>
        <w:rPr>
          <w:b/>
          <w:bCs/>
          <w:sz w:val="30"/>
          <w:szCs w:val="30"/>
        </w:rPr>
        <w:t>4</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评价组对崇明区</w:t>
      </w:r>
      <w:r>
        <w:rPr>
          <w:rFonts w:ascii="仿宋_GB2312"/>
          <w:sz w:val="30"/>
          <w:szCs w:val="30"/>
        </w:rPr>
        <w:t>4</w:t>
      </w:r>
      <w:r>
        <w:rPr>
          <w:rFonts w:hint="eastAsia" w:ascii="仿宋_GB2312"/>
          <w:sz w:val="30"/>
          <w:szCs w:val="30"/>
        </w:rPr>
        <w:t>所</w:t>
      </w:r>
      <w:r>
        <w:rPr>
          <w:rFonts w:ascii="仿宋_GB2312"/>
          <w:sz w:val="30"/>
          <w:szCs w:val="30"/>
        </w:rPr>
        <w:t>民办学校</w:t>
      </w:r>
      <w:r>
        <w:rPr>
          <w:rFonts w:hint="eastAsia" w:ascii="仿宋_GB2312"/>
          <w:sz w:val="30"/>
          <w:szCs w:val="30"/>
        </w:rPr>
        <w:t>学生及家长开展了</w:t>
      </w:r>
      <w:r>
        <w:rPr>
          <w:rFonts w:ascii="仿宋_GB2312"/>
          <w:sz w:val="30"/>
          <w:szCs w:val="30"/>
        </w:rPr>
        <w:t>问卷调查，</w:t>
      </w:r>
      <w:r>
        <w:rPr>
          <w:rFonts w:hint="eastAsia" w:ascii="仿宋_GB2312"/>
          <w:sz w:val="30"/>
          <w:szCs w:val="30"/>
        </w:rPr>
        <w:t>发放问卷</w:t>
      </w:r>
      <w:r>
        <w:rPr>
          <w:rFonts w:ascii="仿宋_GB2312"/>
          <w:sz w:val="30"/>
          <w:szCs w:val="30"/>
        </w:rPr>
        <w:t>350</w:t>
      </w:r>
      <w:r>
        <w:rPr>
          <w:rFonts w:hint="eastAsia" w:ascii="仿宋_GB2312"/>
          <w:sz w:val="30"/>
          <w:szCs w:val="30"/>
        </w:rPr>
        <w:t>份，</w:t>
      </w:r>
      <w:r>
        <w:rPr>
          <w:rFonts w:ascii="仿宋_GB2312"/>
          <w:sz w:val="30"/>
          <w:szCs w:val="30"/>
        </w:rPr>
        <w:t>回收问卷350份，有效问卷341份，问卷有效率97.43%</w:t>
      </w:r>
      <w:r>
        <w:rPr>
          <w:rFonts w:hint="eastAsia" w:ascii="仿宋_GB2312"/>
          <w:sz w:val="30"/>
          <w:szCs w:val="30"/>
        </w:rPr>
        <w:t>，综合满意度为</w:t>
      </w:r>
      <w:r>
        <w:rPr>
          <w:rFonts w:ascii="仿宋_GB2312"/>
          <w:sz w:val="30"/>
          <w:szCs w:val="30"/>
        </w:rPr>
        <w:t>95.85%</w:t>
      </w:r>
      <w:r>
        <w:rPr>
          <w:rFonts w:hint="eastAsia" w:ascii="仿宋_GB2312"/>
          <w:sz w:val="30"/>
          <w:szCs w:val="30"/>
        </w:rPr>
        <w:t>。根据评分标准，该指标得满分</w:t>
      </w:r>
      <w:r>
        <w:rPr>
          <w:rFonts w:ascii="仿宋_GB2312"/>
          <w:sz w:val="30"/>
          <w:szCs w:val="30"/>
        </w:rPr>
        <w:t>4</w:t>
      </w:r>
      <w:r>
        <w:rPr>
          <w:rFonts w:hint="eastAsia" w:ascii="仿宋_GB2312"/>
          <w:sz w:val="30"/>
          <w:szCs w:val="30"/>
        </w:rPr>
        <w:t>分。</w:t>
      </w:r>
    </w:p>
    <w:p>
      <w:pPr>
        <w:pStyle w:val="103"/>
        <w:ind w:firstLine="602"/>
        <w:jc w:val="both"/>
        <w:rPr>
          <w:rFonts w:ascii="仿宋_GB2312"/>
          <w:b/>
          <w:bCs/>
          <w:sz w:val="30"/>
          <w:szCs w:val="30"/>
        </w:rPr>
      </w:pPr>
      <w:r>
        <w:rPr>
          <w:rFonts w:ascii="仿宋_GB2312"/>
          <w:b/>
          <w:bCs/>
          <w:sz w:val="30"/>
          <w:szCs w:val="30"/>
        </w:rPr>
        <w:t>D34民办学校教师满意度</w:t>
      </w:r>
      <w:r>
        <w:rPr>
          <w:rFonts w:hint="eastAsia" w:ascii="仿宋_GB2312"/>
          <w:b/>
          <w:bCs/>
          <w:sz w:val="30"/>
          <w:szCs w:val="30"/>
        </w:rPr>
        <w:t>，</w:t>
      </w:r>
      <w:r>
        <w:rPr>
          <w:rFonts w:hint="eastAsia"/>
          <w:b/>
          <w:bCs/>
          <w:sz w:val="30"/>
          <w:szCs w:val="30"/>
        </w:rPr>
        <w:t>权重</w:t>
      </w:r>
      <w:r>
        <w:rPr>
          <w:b/>
          <w:bCs/>
          <w:sz w:val="30"/>
          <w:szCs w:val="30"/>
        </w:rPr>
        <w:t>3</w:t>
      </w:r>
      <w:r>
        <w:rPr>
          <w:rFonts w:hint="eastAsia"/>
          <w:b/>
          <w:bCs/>
          <w:sz w:val="30"/>
          <w:szCs w:val="30"/>
        </w:rPr>
        <w:t>分，得</w:t>
      </w:r>
      <w:r>
        <w:rPr>
          <w:b/>
          <w:bCs/>
          <w:sz w:val="30"/>
          <w:szCs w:val="30"/>
        </w:rPr>
        <w:t>3</w:t>
      </w:r>
      <w:r>
        <w:rPr>
          <w:rFonts w:hint="eastAsia"/>
          <w:b/>
          <w:bCs/>
          <w:sz w:val="30"/>
          <w:szCs w:val="30"/>
        </w:rPr>
        <w:t>分。</w:t>
      </w:r>
    </w:p>
    <w:p>
      <w:pPr>
        <w:pStyle w:val="103"/>
        <w:ind w:firstLine="600"/>
        <w:jc w:val="both"/>
        <w:rPr>
          <w:rFonts w:ascii="仿宋_GB2312"/>
          <w:sz w:val="30"/>
          <w:szCs w:val="30"/>
        </w:rPr>
      </w:pPr>
      <w:r>
        <w:rPr>
          <w:rFonts w:hint="eastAsia" w:ascii="仿宋_GB2312"/>
          <w:sz w:val="30"/>
          <w:szCs w:val="30"/>
        </w:rPr>
        <w:t>评价组对崇明区</w:t>
      </w:r>
      <w:r>
        <w:rPr>
          <w:rFonts w:ascii="仿宋_GB2312"/>
          <w:sz w:val="30"/>
          <w:szCs w:val="30"/>
        </w:rPr>
        <w:t>4</w:t>
      </w:r>
      <w:r>
        <w:rPr>
          <w:rFonts w:hint="eastAsia" w:ascii="仿宋_GB2312"/>
          <w:sz w:val="30"/>
          <w:szCs w:val="30"/>
        </w:rPr>
        <w:t>所</w:t>
      </w:r>
      <w:r>
        <w:rPr>
          <w:rFonts w:ascii="仿宋_GB2312"/>
          <w:sz w:val="30"/>
          <w:szCs w:val="30"/>
        </w:rPr>
        <w:t>民办学校</w:t>
      </w:r>
      <w:r>
        <w:rPr>
          <w:rFonts w:hint="eastAsia" w:ascii="仿宋_GB2312"/>
          <w:sz w:val="30"/>
          <w:szCs w:val="30"/>
        </w:rPr>
        <w:t>教师开展</w:t>
      </w:r>
      <w:r>
        <w:rPr>
          <w:rFonts w:ascii="仿宋_GB2312"/>
          <w:sz w:val="30"/>
          <w:szCs w:val="30"/>
        </w:rPr>
        <w:t>了问卷调查，</w:t>
      </w:r>
      <w:r>
        <w:rPr>
          <w:rFonts w:hint="eastAsia" w:ascii="仿宋_GB2312"/>
          <w:sz w:val="30"/>
          <w:szCs w:val="30"/>
        </w:rPr>
        <w:t>发放问卷1</w:t>
      </w:r>
      <w:r>
        <w:rPr>
          <w:rFonts w:ascii="仿宋_GB2312"/>
          <w:sz w:val="30"/>
          <w:szCs w:val="30"/>
        </w:rPr>
        <w:t>00</w:t>
      </w:r>
      <w:r>
        <w:rPr>
          <w:rFonts w:hint="eastAsia" w:ascii="仿宋_GB2312"/>
          <w:sz w:val="30"/>
          <w:szCs w:val="30"/>
        </w:rPr>
        <w:t>份，</w:t>
      </w:r>
      <w:r>
        <w:rPr>
          <w:rFonts w:ascii="仿宋_GB2312"/>
          <w:sz w:val="30"/>
          <w:szCs w:val="30"/>
        </w:rPr>
        <w:t>回收问卷100份，有效问卷84份，问卷有效率84%</w:t>
      </w:r>
      <w:r>
        <w:rPr>
          <w:rFonts w:hint="eastAsia" w:ascii="仿宋_GB2312"/>
          <w:sz w:val="30"/>
          <w:szCs w:val="30"/>
        </w:rPr>
        <w:t>，综合满意度为</w:t>
      </w:r>
      <w:r>
        <w:rPr>
          <w:rFonts w:ascii="仿宋_GB2312"/>
          <w:sz w:val="30"/>
          <w:szCs w:val="30"/>
        </w:rPr>
        <w:t>95.03%</w:t>
      </w:r>
      <w:r>
        <w:rPr>
          <w:rFonts w:hint="eastAsia" w:ascii="仿宋_GB2312"/>
          <w:sz w:val="30"/>
          <w:szCs w:val="30"/>
        </w:rPr>
        <w:t>。根据评分标准，该指标得满分</w:t>
      </w:r>
      <w:r>
        <w:rPr>
          <w:rFonts w:ascii="仿宋_GB2312"/>
          <w:sz w:val="30"/>
          <w:szCs w:val="30"/>
        </w:rPr>
        <w:t>3</w:t>
      </w:r>
      <w:r>
        <w:rPr>
          <w:rFonts w:hint="eastAsia" w:ascii="仿宋_GB2312"/>
          <w:sz w:val="30"/>
          <w:szCs w:val="30"/>
        </w:rPr>
        <w:t>分。</w:t>
      </w:r>
    </w:p>
    <w:bookmarkEnd w:id="59"/>
    <w:p>
      <w:pPr>
        <w:pStyle w:val="193"/>
        <w:spacing w:line="560" w:lineRule="exact"/>
        <w:ind w:firstLine="643"/>
        <w:outlineLvl w:val="0"/>
        <w:rPr>
          <w:sz w:val="32"/>
          <w:szCs w:val="32"/>
        </w:rPr>
      </w:pPr>
      <w:bookmarkStart w:id="64" w:name="_Toc83545309"/>
      <w:bookmarkStart w:id="65" w:name="_Toc20529"/>
      <w:bookmarkStart w:id="66" w:name="_Toc10223099"/>
      <w:bookmarkStart w:id="67" w:name="_Toc106125109"/>
      <w:r>
        <w:rPr>
          <w:sz w:val="32"/>
          <w:szCs w:val="32"/>
        </w:rPr>
        <w:t>四、</w:t>
      </w:r>
      <w:bookmarkEnd w:id="64"/>
      <w:r>
        <w:rPr>
          <w:rFonts w:hint="eastAsia"/>
          <w:sz w:val="32"/>
          <w:szCs w:val="32"/>
        </w:rPr>
        <w:t>主要经验及做法、存在问题和建议</w:t>
      </w:r>
      <w:bookmarkEnd w:id="65"/>
    </w:p>
    <w:p>
      <w:pPr>
        <w:pStyle w:val="195"/>
        <w:spacing w:line="560" w:lineRule="atLeast"/>
        <w:ind w:firstLine="643"/>
        <w:outlineLvl w:val="1"/>
        <w:rPr>
          <w:sz w:val="32"/>
          <w:szCs w:val="32"/>
        </w:rPr>
      </w:pPr>
      <w:bookmarkStart w:id="68" w:name="_Toc5398"/>
      <w:bookmarkStart w:id="69" w:name="_Toc3974"/>
      <w:bookmarkStart w:id="70" w:name="_Toc83545310"/>
      <w:bookmarkStart w:id="71" w:name="_Toc32196"/>
      <w:r>
        <w:rPr>
          <w:sz w:val="32"/>
          <w:szCs w:val="32"/>
        </w:rPr>
        <w:t>（一）</w:t>
      </w:r>
      <w:bookmarkEnd w:id="68"/>
      <w:bookmarkEnd w:id="69"/>
      <w:bookmarkEnd w:id="70"/>
      <w:r>
        <w:rPr>
          <w:rFonts w:hint="eastAsia"/>
          <w:sz w:val="32"/>
          <w:szCs w:val="32"/>
        </w:rPr>
        <w:t>主要经验及做法</w:t>
      </w:r>
      <w:bookmarkEnd w:id="71"/>
    </w:p>
    <w:p>
      <w:pPr>
        <w:pStyle w:val="200"/>
        <w:spacing w:line="520" w:lineRule="exact"/>
        <w:ind w:firstLine="602"/>
        <w:rPr>
          <w:rFonts w:hAnsi="仿宋"/>
          <w:b/>
          <w:bCs/>
          <w:sz w:val="30"/>
          <w:szCs w:val="30"/>
        </w:rPr>
      </w:pPr>
      <w:r>
        <w:rPr>
          <w:rFonts w:hint="eastAsia" w:hAnsi="仿宋"/>
          <w:b/>
          <w:bCs/>
          <w:sz w:val="30"/>
          <w:szCs w:val="30"/>
        </w:rPr>
        <w:t>1</w:t>
      </w:r>
      <w:r>
        <w:rPr>
          <w:rFonts w:hAnsi="仿宋"/>
          <w:b/>
          <w:bCs/>
          <w:sz w:val="30"/>
          <w:szCs w:val="30"/>
        </w:rPr>
        <w:t>.</w:t>
      </w:r>
      <w:r>
        <w:rPr>
          <w:rFonts w:hint="eastAsia" w:hAnsi="仿宋"/>
          <w:b/>
          <w:bCs/>
          <w:sz w:val="30"/>
          <w:szCs w:val="30"/>
        </w:rPr>
        <w:t>多维度提升终身教育服务能力，不断推动终身教育持续发展</w:t>
      </w:r>
    </w:p>
    <w:p>
      <w:pPr>
        <w:pStyle w:val="200"/>
        <w:spacing w:line="520" w:lineRule="exact"/>
        <w:ind w:firstLine="600"/>
        <w:rPr>
          <w:rFonts w:hAnsi="仿宋"/>
          <w:sz w:val="30"/>
          <w:szCs w:val="30"/>
        </w:rPr>
      </w:pPr>
      <w:r>
        <w:rPr>
          <w:rFonts w:hint="eastAsia" w:hAnsi="仿宋"/>
          <w:sz w:val="30"/>
          <w:szCs w:val="30"/>
        </w:rPr>
        <w:t>2</w:t>
      </w:r>
      <w:r>
        <w:rPr>
          <w:rFonts w:hAnsi="仿宋"/>
          <w:sz w:val="30"/>
          <w:szCs w:val="30"/>
        </w:rPr>
        <w:t>022</w:t>
      </w:r>
      <w:r>
        <w:rPr>
          <w:rFonts w:hint="eastAsia" w:hAnsi="仿宋"/>
          <w:sz w:val="30"/>
          <w:szCs w:val="30"/>
        </w:rPr>
        <w:t>年，建立了以社区教育学院为龙头，社区学校为骨干，其他社区教学点为基础的三级办学网络；强化教育队伍建设，设立社区教育名师孵化室，为学员创建各类市级培训</w:t>
      </w:r>
      <w:r>
        <w:rPr>
          <w:rFonts w:hAnsi="仿宋"/>
          <w:sz w:val="30"/>
          <w:szCs w:val="30"/>
        </w:rPr>
        <w:t>12次，10人次参与3个市级重点实验项目和1个委托项目，6人次参与国家级及市级课题。</w:t>
      </w:r>
      <w:r>
        <w:rPr>
          <w:rFonts w:hint="eastAsia" w:hAnsi="仿宋"/>
          <w:sz w:val="30"/>
          <w:szCs w:val="30"/>
        </w:rPr>
        <w:t>提升数字化服务水平，开展数字化课程进社区，遴选、审核，并上报了多</w:t>
      </w:r>
      <w:r>
        <w:rPr>
          <w:rFonts w:hAnsi="仿宋"/>
          <w:sz w:val="30"/>
          <w:szCs w:val="30"/>
        </w:rPr>
        <w:t>门优质视频课程</w:t>
      </w:r>
      <w:r>
        <w:rPr>
          <w:rFonts w:hint="eastAsia" w:hAnsi="仿宋"/>
          <w:sz w:val="30"/>
          <w:szCs w:val="30"/>
        </w:rPr>
        <w:t>。优化课程建设，课程资源《玩转智能手机，缤纷老年生活》通过市级选拔并被推介参加国家教育部“智慧助老”课程资源遴选，完成《瀛洲乡愁——创意海派插花》</w:t>
      </w:r>
      <w:r>
        <w:rPr>
          <w:rFonts w:hAnsi="仿宋"/>
          <w:sz w:val="30"/>
          <w:szCs w:val="30"/>
        </w:rPr>
        <w:t>5个课程15个微课前期拍摄工作。</w:t>
      </w:r>
      <w:r>
        <w:rPr>
          <w:rFonts w:hint="eastAsia" w:hAnsi="仿宋"/>
          <w:sz w:val="30"/>
          <w:szCs w:val="30"/>
        </w:rPr>
        <w:t>庙镇成校入选上海市终身教育研究会社区教育专业委员会第三批“社区教育科研基地”，并成为“上海市民终身学习监测研究基地”，</w:t>
      </w:r>
      <w:r>
        <w:rPr>
          <w:rFonts w:hint="eastAsia" w:ascii="仿宋_GB2312" w:hAnsi="仿宋_GB2312" w:cs="仿宋_GB2312"/>
          <w:bCs/>
          <w:sz w:val="30"/>
          <w:szCs w:val="30"/>
        </w:rPr>
        <w:t>申报市级老年人一星级团队103个，五星级团队6个，智慧学习助学团队17个，中银长青树优秀学习团队3个。2所成校被评为市优质校。</w:t>
      </w:r>
    </w:p>
    <w:p>
      <w:pPr>
        <w:pStyle w:val="200"/>
        <w:spacing w:line="520" w:lineRule="exact"/>
        <w:ind w:firstLine="602"/>
        <w:rPr>
          <w:rFonts w:hAnsi="仿宋"/>
          <w:b/>
          <w:bCs/>
          <w:sz w:val="30"/>
          <w:szCs w:val="30"/>
        </w:rPr>
      </w:pPr>
      <w:r>
        <w:rPr>
          <w:rFonts w:hint="eastAsia" w:hAnsi="仿宋"/>
          <w:b/>
          <w:bCs/>
          <w:sz w:val="30"/>
          <w:szCs w:val="30"/>
        </w:rPr>
        <w:t>2</w:t>
      </w:r>
      <w:r>
        <w:rPr>
          <w:rFonts w:hAnsi="仿宋"/>
          <w:b/>
          <w:bCs/>
          <w:sz w:val="30"/>
          <w:szCs w:val="30"/>
        </w:rPr>
        <w:t>.</w:t>
      </w:r>
      <w:r>
        <w:rPr>
          <w:rFonts w:hint="eastAsia" w:hAnsi="仿宋"/>
          <w:b/>
          <w:bCs/>
          <w:sz w:val="30"/>
          <w:szCs w:val="30"/>
        </w:rPr>
        <w:t>多管齐下规范民办学校管理，不断推动民办教育有序发展</w:t>
      </w:r>
    </w:p>
    <w:p>
      <w:pPr>
        <w:pStyle w:val="200"/>
        <w:spacing w:line="520" w:lineRule="exact"/>
        <w:ind w:firstLine="600"/>
        <w:rPr>
          <w:sz w:val="30"/>
          <w:szCs w:val="30"/>
        </w:rPr>
      </w:pPr>
      <w:r>
        <w:rPr>
          <w:rFonts w:hint="eastAsia"/>
          <w:sz w:val="30"/>
          <w:szCs w:val="30"/>
        </w:rPr>
        <w:t>2</w:t>
      </w:r>
      <w:r>
        <w:rPr>
          <w:sz w:val="30"/>
          <w:szCs w:val="30"/>
        </w:rPr>
        <w:t>022</w:t>
      </w:r>
      <w:r>
        <w:rPr>
          <w:rFonts w:hint="eastAsia"/>
          <w:sz w:val="30"/>
          <w:szCs w:val="30"/>
        </w:rPr>
        <w:t>年，不再审批新的面向义务教育阶段学生的学科类校外培训机构，实现学科类培训机构“零新增”。组织开展专项行动和排查工作，重点暗访督查“资质证照、培训内容、培训对象、培训时间、收费管理、从业人员、防疫消防安全”等情况。严格落实“双减”和疫情防控工作要求，督促落实各项防控管理措施</w:t>
      </w:r>
      <w:r>
        <w:rPr>
          <w:sz w:val="30"/>
          <w:szCs w:val="30"/>
        </w:rPr>
        <w:t>。</w:t>
      </w:r>
      <w:r>
        <w:rPr>
          <w:rFonts w:hint="eastAsia"/>
          <w:sz w:val="30"/>
          <w:szCs w:val="30"/>
        </w:rPr>
        <w:t>民办民一中学获得“上海市民办教育</w:t>
      </w:r>
      <w:r>
        <w:rPr>
          <w:sz w:val="30"/>
          <w:szCs w:val="30"/>
        </w:rPr>
        <w:t>5A级办学单位”“上海市安全文明校园”“上海市科普先进教育集体”“上海市美育教育特色学校”等荣誉称号，学校累计有3980多人次在国际、国家和市、区级的学科、体艺科等竞赛中获得各类奖项。上海新纪元双语学校获得多项市级以上奖项，第13届上海模型节竞赛活动无人机竞速赛中学组一等奖，全国生态文明教育创新人物荣誉称号，全国中学生翻译大赛七年级组国家级二等奖，六年级组省级一等奖等。</w:t>
      </w:r>
    </w:p>
    <w:p>
      <w:pPr>
        <w:pStyle w:val="3"/>
        <w:keepNext w:val="0"/>
        <w:keepLines w:val="0"/>
        <w:spacing w:line="560" w:lineRule="atLeast"/>
        <w:ind w:firstLine="643"/>
        <w:rPr>
          <w:rFonts w:ascii="Times New Roman" w:hAnsi="Times New Roman"/>
          <w:lang w:eastAsia="zh-CN"/>
        </w:rPr>
      </w:pPr>
      <w:bookmarkStart w:id="72" w:name="_Toc19462"/>
      <w:bookmarkStart w:id="73" w:name="_Toc83545311"/>
      <w:bookmarkStart w:id="74" w:name="_Toc12877"/>
      <w:bookmarkStart w:id="75" w:name="_Toc23593"/>
      <w:r>
        <w:rPr>
          <w:rFonts w:ascii="Times New Roman" w:hAnsi="Times New Roman"/>
          <w:lang w:eastAsia="zh-CN"/>
        </w:rPr>
        <w:t>（二）</w:t>
      </w:r>
      <w:bookmarkEnd w:id="72"/>
      <w:bookmarkEnd w:id="73"/>
      <w:bookmarkEnd w:id="74"/>
      <w:r>
        <w:rPr>
          <w:rFonts w:hint="eastAsia" w:ascii="Times New Roman" w:hAnsi="Times New Roman"/>
          <w:lang w:eastAsia="zh-CN"/>
        </w:rPr>
        <w:t>存在问题</w:t>
      </w:r>
      <w:bookmarkEnd w:id="75"/>
    </w:p>
    <w:p>
      <w:pPr>
        <w:pStyle w:val="209"/>
        <w:spacing w:line="520" w:lineRule="exact"/>
        <w:ind w:firstLine="602"/>
        <w:rPr>
          <w:rFonts w:ascii="仿宋_GB2312"/>
          <w:b/>
          <w:bCs/>
          <w:sz w:val="30"/>
          <w:szCs w:val="30"/>
        </w:rPr>
      </w:pPr>
      <w:r>
        <w:rPr>
          <w:rFonts w:hint="eastAsia" w:ascii="仿宋_GB2312"/>
          <w:b/>
          <w:bCs/>
          <w:sz w:val="30"/>
          <w:szCs w:val="30"/>
        </w:rPr>
        <w:t>1.在项目决策方面，个别项目立项依据不充分，预算和绩效编制科学性不足</w:t>
      </w:r>
    </w:p>
    <w:p>
      <w:pPr>
        <w:pStyle w:val="209"/>
        <w:spacing w:line="520" w:lineRule="exact"/>
        <w:ind w:firstLine="602"/>
        <w:rPr>
          <w:rFonts w:ascii="仿宋_GB2312"/>
          <w:sz w:val="30"/>
          <w:szCs w:val="30"/>
        </w:rPr>
      </w:pPr>
      <w:r>
        <w:rPr>
          <w:rFonts w:hint="eastAsia" w:ascii="仿宋_GB2312"/>
          <w:b/>
          <w:bCs/>
          <w:sz w:val="30"/>
          <w:szCs w:val="30"/>
        </w:rPr>
        <w:t>（</w:t>
      </w:r>
      <w:r>
        <w:rPr>
          <w:rFonts w:ascii="仿宋_GB2312"/>
          <w:b/>
          <w:bCs/>
          <w:sz w:val="30"/>
          <w:szCs w:val="30"/>
        </w:rPr>
        <w:t>1）个别项目立项依据不充分，</w:t>
      </w:r>
      <w:r>
        <w:rPr>
          <w:rFonts w:ascii="仿宋_GB2312"/>
          <w:sz w:val="30"/>
          <w:szCs w:val="30"/>
        </w:rPr>
        <w:t>具体为</w:t>
      </w:r>
      <w:r>
        <w:rPr>
          <w:rFonts w:hint="eastAsia" w:ascii="宋体" w:hAnsi="宋体" w:eastAsia="宋体" w:cs="宋体"/>
          <w:b/>
          <w:bCs/>
          <w:sz w:val="30"/>
          <w:szCs w:val="30"/>
        </w:rPr>
        <w:t>①</w:t>
      </w:r>
      <w:r>
        <w:rPr>
          <w:rFonts w:ascii="仿宋_GB2312"/>
          <w:b/>
          <w:bCs/>
          <w:sz w:val="30"/>
          <w:szCs w:val="30"/>
        </w:rPr>
        <w:t>成人学校考核奖励经费项目立项依据不充分</w:t>
      </w:r>
      <w:r>
        <w:rPr>
          <w:rFonts w:ascii="仿宋_GB2312"/>
          <w:sz w:val="30"/>
          <w:szCs w:val="30"/>
        </w:rPr>
        <w:t>，《上海市终身教育促进条例》中明确“本市对终身教育工作中做出突出成绩的单位和个人，按照有关规定给予表彰奖励”，文件指出对有突出成绩的单位和个人给予奖励，而不是对所有成校进行奖励，该项目对6所成校均有奖励，与政策文件精神不相符合。</w:t>
      </w:r>
      <w:r>
        <w:rPr>
          <w:rFonts w:hint="eastAsia" w:ascii="宋体" w:hAnsi="宋体" w:eastAsia="宋体" w:cs="宋体"/>
          <w:sz w:val="30"/>
          <w:szCs w:val="30"/>
        </w:rPr>
        <w:t>②</w:t>
      </w:r>
      <w:r>
        <w:rPr>
          <w:rFonts w:ascii="仿宋_GB2312"/>
          <w:sz w:val="30"/>
          <w:szCs w:val="30"/>
        </w:rPr>
        <w:t>成人学校集团化办学经费子项目也无明确的政策立项依据。</w:t>
      </w:r>
    </w:p>
    <w:p>
      <w:pPr>
        <w:pStyle w:val="209"/>
        <w:spacing w:line="520" w:lineRule="exact"/>
        <w:ind w:firstLine="602"/>
        <w:rPr>
          <w:rFonts w:ascii="仿宋_GB2312"/>
          <w:sz w:val="30"/>
          <w:szCs w:val="30"/>
        </w:rPr>
      </w:pPr>
      <w:r>
        <w:rPr>
          <w:rFonts w:hint="eastAsia" w:ascii="仿宋_GB2312"/>
          <w:b/>
          <w:bCs/>
          <w:sz w:val="30"/>
          <w:szCs w:val="30"/>
        </w:rPr>
        <w:t>（</w:t>
      </w:r>
      <w:r>
        <w:rPr>
          <w:rFonts w:ascii="仿宋_GB2312"/>
          <w:b/>
          <w:bCs/>
          <w:sz w:val="30"/>
          <w:szCs w:val="30"/>
        </w:rPr>
        <w:t>2）个别项目预算编制不够合理</w:t>
      </w:r>
      <w:r>
        <w:rPr>
          <w:rFonts w:ascii="仿宋_GB2312"/>
          <w:sz w:val="30"/>
          <w:szCs w:val="30"/>
        </w:rPr>
        <w:t>，具体为</w:t>
      </w:r>
      <w:r>
        <w:rPr>
          <w:rFonts w:hint="eastAsia" w:ascii="宋体" w:hAnsi="宋体" w:eastAsia="宋体" w:cs="宋体"/>
          <w:b/>
          <w:bCs/>
          <w:sz w:val="30"/>
          <w:szCs w:val="30"/>
        </w:rPr>
        <w:t>①</w:t>
      </w:r>
      <w:r>
        <w:rPr>
          <w:rFonts w:ascii="仿宋_GB2312"/>
          <w:b/>
          <w:bCs/>
          <w:sz w:val="30"/>
          <w:szCs w:val="30"/>
        </w:rPr>
        <w:t>个别项目预算无测算明细</w:t>
      </w:r>
      <w:r>
        <w:rPr>
          <w:rFonts w:ascii="仿宋_GB2312"/>
          <w:sz w:val="30"/>
          <w:szCs w:val="30"/>
        </w:rPr>
        <w:t>，如，</w:t>
      </w:r>
      <w:r>
        <w:rPr>
          <w:rFonts w:hint="eastAsia" w:ascii="仿宋_GB2312" w:hAnsi="仿宋"/>
          <w:sz w:val="30"/>
          <w:szCs w:val="30"/>
        </w:rPr>
        <w:t>民办非学历教育机构管理经费中印刷费年初预算8</w:t>
      </w:r>
      <w:r>
        <w:rPr>
          <w:rFonts w:ascii="仿宋_GB2312" w:hAnsi="仿宋"/>
          <w:sz w:val="30"/>
          <w:szCs w:val="30"/>
        </w:rPr>
        <w:t>0000</w:t>
      </w:r>
      <w:r>
        <w:rPr>
          <w:rFonts w:hint="eastAsia" w:ascii="仿宋_GB2312" w:hAnsi="仿宋"/>
          <w:sz w:val="30"/>
          <w:szCs w:val="30"/>
        </w:rPr>
        <w:t>元</w:t>
      </w:r>
      <w:r>
        <w:rPr>
          <w:rFonts w:ascii="仿宋_GB2312"/>
          <w:sz w:val="30"/>
          <w:szCs w:val="30"/>
        </w:rPr>
        <w:t>，无具体数量和单价明细。</w:t>
      </w:r>
      <w:r>
        <w:rPr>
          <w:rFonts w:hint="eastAsia" w:ascii="宋体" w:hAnsi="宋体" w:eastAsia="宋体" w:cs="宋体"/>
          <w:b/>
          <w:bCs/>
          <w:sz w:val="30"/>
          <w:szCs w:val="30"/>
        </w:rPr>
        <w:t>②</w:t>
      </w:r>
      <w:r>
        <w:rPr>
          <w:rFonts w:ascii="仿宋_GB2312"/>
          <w:b/>
          <w:bCs/>
          <w:sz w:val="30"/>
          <w:szCs w:val="30"/>
        </w:rPr>
        <w:t>个别项目预算编制依据不充分</w:t>
      </w:r>
      <w:r>
        <w:rPr>
          <w:rFonts w:ascii="仿宋_GB2312"/>
          <w:sz w:val="30"/>
          <w:szCs w:val="30"/>
        </w:rPr>
        <w:t>，如2022年区社区学院《创意海派插花》课程建设经费项目预算测算中有管理费（服务费及税费），经调研，本项目没有委托第三方实施，以外聘专家，组织研讨的形式实施，因此，经费中安排管理费依据不充分。</w:t>
      </w:r>
      <w:r>
        <w:rPr>
          <w:rFonts w:hint="eastAsia" w:ascii="宋体" w:hAnsi="宋体" w:eastAsia="宋体" w:cs="宋体"/>
          <w:b/>
          <w:bCs/>
          <w:sz w:val="30"/>
          <w:szCs w:val="30"/>
        </w:rPr>
        <w:t>③</w:t>
      </w:r>
      <w:r>
        <w:rPr>
          <w:rFonts w:ascii="仿宋_GB2312"/>
          <w:b/>
          <w:bCs/>
          <w:sz w:val="30"/>
          <w:szCs w:val="30"/>
        </w:rPr>
        <w:t>个别项目预算编制标准不明确</w:t>
      </w:r>
      <w:r>
        <w:rPr>
          <w:rFonts w:ascii="仿宋_GB2312"/>
          <w:sz w:val="30"/>
          <w:szCs w:val="30"/>
        </w:rPr>
        <w:t>，如社区教育名师孵化室经费子项目中市级主持人2000元/次和区级主持人费用5000元/人没有明确的标准依据，参考培训标准，但</w:t>
      </w:r>
      <w:r>
        <w:rPr>
          <w:rFonts w:hint="eastAsia" w:ascii="仿宋_GB2312"/>
          <w:sz w:val="30"/>
          <w:szCs w:val="30"/>
        </w:rPr>
        <w:t>项目实际实施为会议不是培训，且市级主持人按照次数编制，而区级主持人按照人数编制，两者口径不一致。</w:t>
      </w:r>
      <w:r>
        <w:rPr>
          <w:rFonts w:hint="eastAsia" w:ascii="仿宋_GB2312"/>
          <w:b/>
          <w:bCs/>
          <w:sz w:val="30"/>
          <w:szCs w:val="30"/>
        </w:rPr>
        <w:t>④个别项目预算未按照标准编制预算，</w:t>
      </w:r>
      <w:r>
        <w:rPr>
          <w:rFonts w:hint="eastAsia" w:ascii="仿宋_GB2312"/>
          <w:sz w:val="30"/>
          <w:szCs w:val="30"/>
        </w:rPr>
        <w:t>如老年教育三类学习点建设经费子项目年初预算按照</w:t>
      </w:r>
      <w:r>
        <w:rPr>
          <w:rFonts w:ascii="仿宋_GB2312"/>
          <w:sz w:val="30"/>
          <w:szCs w:val="30"/>
        </w:rPr>
        <w:t>5000</w:t>
      </w:r>
      <w:r>
        <w:rPr>
          <w:rFonts w:hint="eastAsia" w:ascii="仿宋_GB2312"/>
          <w:sz w:val="30"/>
          <w:szCs w:val="30"/>
        </w:rPr>
        <w:t>元每个学习点，</w:t>
      </w:r>
      <w:r>
        <w:rPr>
          <w:rFonts w:ascii="仿宋_GB2312"/>
          <w:sz w:val="30"/>
          <w:szCs w:val="30"/>
        </w:rPr>
        <w:t>共67个点</w:t>
      </w:r>
      <w:r>
        <w:rPr>
          <w:rFonts w:hint="eastAsia" w:ascii="仿宋_GB2312"/>
          <w:sz w:val="30"/>
          <w:szCs w:val="30"/>
        </w:rPr>
        <w:t>编制，共3</w:t>
      </w:r>
      <w:r>
        <w:rPr>
          <w:rFonts w:ascii="仿宋_GB2312"/>
          <w:sz w:val="30"/>
          <w:szCs w:val="30"/>
        </w:rPr>
        <w:t>35000</w:t>
      </w:r>
      <w:r>
        <w:rPr>
          <w:rFonts w:hint="eastAsia" w:ascii="仿宋_GB2312"/>
          <w:sz w:val="30"/>
          <w:szCs w:val="30"/>
        </w:rPr>
        <w:t>元，没有按照补贴标准（</w:t>
      </w:r>
      <w:r>
        <w:rPr>
          <w:rFonts w:ascii="仿宋_GB2312"/>
          <w:sz w:val="30"/>
          <w:szCs w:val="30"/>
        </w:rPr>
        <w:t>已建成的学习点，每个补贴0.2万元</w:t>
      </w:r>
      <w:r>
        <w:rPr>
          <w:rFonts w:hint="eastAsia" w:ascii="仿宋_GB2312"/>
          <w:sz w:val="30"/>
          <w:szCs w:val="30"/>
        </w:rPr>
        <w:t>；</w:t>
      </w:r>
      <w:r>
        <w:rPr>
          <w:rFonts w:ascii="仿宋_GB2312"/>
          <w:sz w:val="30"/>
          <w:szCs w:val="30"/>
        </w:rPr>
        <w:t>新创建学习点</w:t>
      </w:r>
      <w:r>
        <w:rPr>
          <w:rFonts w:hint="eastAsia" w:ascii="仿宋_GB2312"/>
          <w:sz w:val="30"/>
          <w:szCs w:val="30"/>
        </w:rPr>
        <w:t>和</w:t>
      </w:r>
      <w:r>
        <w:rPr>
          <w:rFonts w:ascii="仿宋_GB2312"/>
          <w:sz w:val="30"/>
          <w:szCs w:val="30"/>
        </w:rPr>
        <w:t>升级创建学习点，每个补贴1万元</w:t>
      </w:r>
      <w:r>
        <w:rPr>
          <w:rFonts w:hint="eastAsia" w:ascii="仿宋_GB2312"/>
          <w:sz w:val="30"/>
          <w:szCs w:val="30"/>
        </w:rPr>
        <w:t>）进行预算编制，造成了年中预算的调减，实际学习点补贴发放为2</w:t>
      </w:r>
      <w:r>
        <w:rPr>
          <w:rFonts w:ascii="仿宋_GB2312"/>
          <w:sz w:val="30"/>
          <w:szCs w:val="30"/>
        </w:rPr>
        <w:t>4.4</w:t>
      </w:r>
      <w:r>
        <w:rPr>
          <w:rFonts w:hint="eastAsia" w:ascii="仿宋_GB2312"/>
          <w:sz w:val="30"/>
          <w:szCs w:val="30"/>
        </w:rPr>
        <w:t>万元。</w:t>
      </w:r>
    </w:p>
    <w:p>
      <w:pPr>
        <w:pStyle w:val="209"/>
        <w:spacing w:line="520" w:lineRule="exact"/>
        <w:ind w:firstLine="602"/>
        <w:rPr>
          <w:rFonts w:ascii="仿宋_GB2312"/>
          <w:sz w:val="30"/>
          <w:szCs w:val="30"/>
        </w:rPr>
      </w:pPr>
      <w:r>
        <w:rPr>
          <w:rFonts w:hint="eastAsia" w:ascii="仿宋_GB2312"/>
          <w:b/>
          <w:bCs/>
          <w:sz w:val="30"/>
          <w:szCs w:val="30"/>
        </w:rPr>
        <w:t>（</w:t>
      </w:r>
      <w:r>
        <w:rPr>
          <w:rFonts w:ascii="仿宋_GB2312"/>
          <w:b/>
          <w:bCs/>
          <w:sz w:val="30"/>
          <w:szCs w:val="30"/>
        </w:rPr>
        <w:t>3）民办教育发展专项资金没有分配标准和依据</w:t>
      </w:r>
      <w:r>
        <w:rPr>
          <w:rFonts w:ascii="仿宋_GB2312"/>
          <w:sz w:val="30"/>
          <w:szCs w:val="30"/>
        </w:rPr>
        <w:t>，2022年项目分配情况为上海新纪元双语学校45万元、上海民办民一中学200万元、上海盛源幼儿园45万元、上海露凝幼儿园有限公司10万元，分配金额差异较大，区教育局主要根据学校申请情况，参照2020年下拨方案（该方案较为简略），而没有形成2022年的分配下拨方案，且分配标准和依据不明确。</w:t>
      </w:r>
    </w:p>
    <w:p>
      <w:pPr>
        <w:pStyle w:val="209"/>
        <w:spacing w:line="520" w:lineRule="exact"/>
        <w:ind w:firstLine="602"/>
        <w:rPr>
          <w:rFonts w:ascii="仿宋_GB2312"/>
          <w:sz w:val="30"/>
          <w:szCs w:val="30"/>
        </w:rPr>
      </w:pPr>
      <w:r>
        <w:rPr>
          <w:rFonts w:hint="eastAsia" w:ascii="仿宋_GB2312"/>
          <w:b/>
          <w:bCs/>
          <w:sz w:val="30"/>
          <w:szCs w:val="30"/>
        </w:rPr>
        <w:t>（4）项目绩效目标指标还不够完善</w:t>
      </w:r>
      <w:r>
        <w:rPr>
          <w:rFonts w:hint="eastAsia" w:ascii="仿宋_GB2312"/>
          <w:sz w:val="30"/>
          <w:szCs w:val="30"/>
        </w:rPr>
        <w:t>，①项目总目标“贯彻中央关于形成全民学习、终身学习的学习型社会，促进人的全面发展的工作要求，满足市民终身学习的需求，积极发展继续教育，完善终身教育体系，促进全民学习、终身学习，加速推进本区学习型社会建设”，仅提炼了终身教育，缺少民办教育，与项目内容不符合；②产出指标不完整，缺少成本指标；③效益指标仅一个指标“提高老年学员参与度”，无法体现项目效益；④数量指标仅有一个指标“民办非学历教育机构评估数量”和项目内容、项目资金不匹配；⑤质量指标仅设置了两个指标“成校及其他成人教育机构办学质量合格率”和“专款专用率”，和项目内容、项目资金不匹配；⑥满意度指标仅设置了学生满意度和教师满意度，缺少成人学校学员满意度。</w:t>
      </w:r>
    </w:p>
    <w:p>
      <w:pPr>
        <w:pStyle w:val="209"/>
        <w:spacing w:line="520" w:lineRule="exact"/>
        <w:ind w:firstLine="602"/>
        <w:rPr>
          <w:rFonts w:ascii="仿宋_GB2312"/>
          <w:b/>
          <w:bCs/>
          <w:sz w:val="30"/>
          <w:szCs w:val="30"/>
        </w:rPr>
      </w:pPr>
      <w:r>
        <w:rPr>
          <w:rFonts w:hint="eastAsia" w:ascii="仿宋_GB2312"/>
          <w:b/>
          <w:bCs/>
          <w:sz w:val="30"/>
          <w:szCs w:val="30"/>
        </w:rPr>
        <w:t>2</w:t>
      </w:r>
      <w:r>
        <w:rPr>
          <w:rFonts w:ascii="仿宋_GB2312"/>
          <w:b/>
          <w:bCs/>
          <w:sz w:val="30"/>
          <w:szCs w:val="30"/>
        </w:rPr>
        <w:t>.</w:t>
      </w:r>
      <w:r>
        <w:rPr>
          <w:rFonts w:hint="eastAsia" w:ascii="仿宋_GB2312"/>
          <w:b/>
          <w:bCs/>
          <w:sz w:val="30"/>
          <w:szCs w:val="30"/>
        </w:rPr>
        <w:t>在项目过程管理方面，项目资金管理不到位，项目管理制度有缺失，合同要素不完备</w:t>
      </w:r>
    </w:p>
    <w:p>
      <w:pPr>
        <w:pStyle w:val="209"/>
        <w:spacing w:line="520" w:lineRule="exact"/>
        <w:ind w:firstLine="600"/>
        <w:rPr>
          <w:rFonts w:ascii="仿宋_GB2312"/>
          <w:sz w:val="30"/>
          <w:szCs w:val="30"/>
        </w:rPr>
      </w:pPr>
      <w:r>
        <w:rPr>
          <w:rFonts w:hint="eastAsia" w:ascii="仿宋_GB2312"/>
          <w:sz w:val="30"/>
          <w:szCs w:val="30"/>
        </w:rPr>
        <w:t>（1）</w:t>
      </w:r>
      <w:r>
        <w:rPr>
          <w:rFonts w:hint="eastAsia" w:ascii="仿宋_GB2312"/>
          <w:b/>
          <w:bCs/>
          <w:sz w:val="30"/>
          <w:szCs w:val="30"/>
        </w:rPr>
        <w:t>部分学校资金有不同程度结余</w:t>
      </w:r>
      <w:r>
        <w:rPr>
          <w:rFonts w:hint="eastAsia" w:ascii="仿宋_GB2312"/>
          <w:sz w:val="30"/>
          <w:szCs w:val="30"/>
        </w:rPr>
        <w:t>，经数据采集和现场核查，上海新纪元双语学校下拨资金执行率为</w:t>
      </w:r>
      <w:r>
        <w:rPr>
          <w:rFonts w:ascii="仿宋_GB2312"/>
          <w:sz w:val="30"/>
          <w:szCs w:val="30"/>
        </w:rPr>
        <w:t>98.3%，结存4.4万元。上海民办民一中学下拨资金执行率为0%，本年结存200万元，历年结存88.12万元，共计结存288.12万元。上海盛源幼儿园下拨资金执行率为47%，结存24.0931万元。</w:t>
      </w:r>
    </w:p>
    <w:p>
      <w:pPr>
        <w:pStyle w:val="209"/>
        <w:spacing w:line="520" w:lineRule="exact"/>
        <w:ind w:firstLine="600"/>
        <w:rPr>
          <w:rFonts w:ascii="仿宋_GB2312"/>
          <w:sz w:val="30"/>
          <w:szCs w:val="30"/>
        </w:rPr>
      </w:pPr>
      <w:r>
        <w:rPr>
          <w:rFonts w:hint="eastAsia" w:ascii="仿宋_GB2312" w:hAnsi="宋体" w:cs="宋体"/>
          <w:sz w:val="30"/>
          <w:szCs w:val="30"/>
        </w:rPr>
        <w:t>（2）</w:t>
      </w:r>
      <w:r>
        <w:rPr>
          <w:rFonts w:hint="eastAsia" w:ascii="仿宋_GB2312" w:hAnsi="宋体" w:cs="宋体"/>
          <w:b/>
          <w:bCs/>
          <w:sz w:val="30"/>
          <w:szCs w:val="30"/>
        </w:rPr>
        <w:t>部分资金支出规范性不足，</w:t>
      </w:r>
      <w:r>
        <w:rPr>
          <w:rFonts w:hint="eastAsia" w:ascii="仿宋_GB2312"/>
          <w:sz w:val="30"/>
          <w:szCs w:val="30"/>
        </w:rPr>
        <w:t>①</w:t>
      </w:r>
      <w:r>
        <w:rPr>
          <w:rFonts w:ascii="仿宋_GB2312"/>
          <w:sz w:val="30"/>
          <w:szCs w:val="30"/>
        </w:rPr>
        <w:t>区教育局支付老年三类学习点建设工作人员劳务费每人800元，包含10个居村委学习点工作人员和6个社会学习点工作人员劳务费，16人，共12800元。支付人员劳务费无相关依据，支出合理</w:t>
      </w:r>
      <w:r>
        <w:rPr>
          <w:rFonts w:hint="eastAsia" w:ascii="仿宋_GB2312"/>
          <w:sz w:val="30"/>
          <w:szCs w:val="30"/>
        </w:rPr>
        <w:t>性不足</w:t>
      </w:r>
      <w:r>
        <w:rPr>
          <w:rFonts w:ascii="仿宋_GB2312"/>
          <w:sz w:val="30"/>
          <w:szCs w:val="30"/>
        </w:rPr>
        <w:t>。</w:t>
      </w:r>
      <w:r>
        <w:rPr>
          <w:rFonts w:hint="eastAsia" w:ascii="仿宋_GB2312"/>
          <w:sz w:val="30"/>
          <w:szCs w:val="30"/>
        </w:rPr>
        <w:t>②</w:t>
      </w:r>
      <w:r>
        <w:rPr>
          <w:rFonts w:ascii="仿宋_GB2312"/>
          <w:sz w:val="30"/>
          <w:szCs w:val="30"/>
        </w:rPr>
        <w:t>城桥镇成校使用项目经费订阅党报党刊、慰问困难</w:t>
      </w:r>
      <w:r>
        <w:rPr>
          <w:rFonts w:hint="eastAsia" w:ascii="仿宋_GB2312"/>
          <w:sz w:val="30"/>
          <w:szCs w:val="30"/>
        </w:rPr>
        <w:t>党员，支出合理性不足。</w:t>
      </w:r>
    </w:p>
    <w:p>
      <w:pPr>
        <w:pStyle w:val="209"/>
        <w:spacing w:line="520" w:lineRule="exact"/>
        <w:ind w:firstLine="600"/>
        <w:rPr>
          <w:rFonts w:ascii="仿宋_GB2312"/>
          <w:sz w:val="30"/>
          <w:szCs w:val="30"/>
        </w:rPr>
      </w:pPr>
      <w:r>
        <w:rPr>
          <w:rFonts w:hint="eastAsia" w:ascii="仿宋_GB2312"/>
          <w:sz w:val="30"/>
          <w:szCs w:val="30"/>
        </w:rPr>
        <w:t>（3）</w:t>
      </w:r>
      <w:r>
        <w:rPr>
          <w:rFonts w:hint="eastAsia" w:ascii="仿宋_GB2312"/>
          <w:b/>
          <w:bCs/>
          <w:sz w:val="30"/>
          <w:szCs w:val="30"/>
        </w:rPr>
        <w:t>个别项目管理制度不健全，</w:t>
      </w:r>
      <w:r>
        <w:rPr>
          <w:rFonts w:hint="eastAsia" w:ascii="仿宋_GB2312"/>
          <w:sz w:val="30"/>
          <w:szCs w:val="30"/>
        </w:rPr>
        <w:t>①</w:t>
      </w:r>
      <w:r>
        <w:rPr>
          <w:rFonts w:ascii="仿宋_GB2312"/>
          <w:b/>
          <w:bCs/>
          <w:sz w:val="30"/>
          <w:szCs w:val="30"/>
        </w:rPr>
        <w:t>民办教育发展专项资金缺少管理办法</w:t>
      </w:r>
      <w:r>
        <w:rPr>
          <w:rFonts w:ascii="仿宋_GB2312"/>
          <w:sz w:val="30"/>
          <w:szCs w:val="30"/>
        </w:rPr>
        <w:t>。根据《上海市促进民办教育发展专项资金管理办法》“各区县政府可以根据本地区实际情况，设立区县级民办教育发展专项资金，支持本区域内民办教育发展，并制定相关管理办法”，但崇明区教育局未制定民办教育发展管理办法，没有明确对项目的管理要求。</w:t>
      </w:r>
      <w:r>
        <w:rPr>
          <w:rFonts w:hint="eastAsia" w:ascii="仿宋_GB2312"/>
          <w:b/>
          <w:bCs/>
          <w:sz w:val="30"/>
          <w:szCs w:val="30"/>
        </w:rPr>
        <w:t>②民办生均公用经费补贴未按要求制定相关管理办法</w:t>
      </w:r>
      <w:r>
        <w:rPr>
          <w:rFonts w:hint="eastAsia" w:ascii="仿宋_GB2312"/>
          <w:sz w:val="30"/>
          <w:szCs w:val="30"/>
        </w:rPr>
        <w:t>。根据《上海市政府关于进一步完善本市城乡义务教育经费保障机制的通知》（沪府发〔</w:t>
      </w:r>
      <w:r>
        <w:rPr>
          <w:rFonts w:ascii="仿宋_GB2312"/>
          <w:sz w:val="30"/>
          <w:szCs w:val="30"/>
        </w:rPr>
        <w:t>2016〕35号）“各区县实际补助民办学校公用经费水平高于本市基本标准的，要制定管理办法，明确扶持条件”，崇明区民办公用经费补助高于上海市基本标准，但是没有台相关管理办法。</w:t>
      </w:r>
      <w:r>
        <w:rPr>
          <w:rFonts w:hint="eastAsia" w:ascii="宋体" w:hAnsi="宋体" w:eastAsia="宋体" w:cs="宋体"/>
          <w:b/>
          <w:bCs/>
          <w:sz w:val="30"/>
          <w:szCs w:val="30"/>
        </w:rPr>
        <w:t>③</w:t>
      </w:r>
      <w:r>
        <w:rPr>
          <w:rFonts w:ascii="仿宋_GB2312"/>
          <w:b/>
          <w:bCs/>
          <w:sz w:val="30"/>
          <w:szCs w:val="30"/>
        </w:rPr>
        <w:t>终身教育经费中课程建设类和活动类项目没有结项规定</w:t>
      </w:r>
      <w:r>
        <w:rPr>
          <w:rFonts w:ascii="仿宋_GB2312"/>
          <w:sz w:val="30"/>
          <w:szCs w:val="30"/>
        </w:rPr>
        <w:t>，如区社区学院《创意海派插花》课程建设经费项目、“我心目中的最美老年学员”主题征文讲述活动经费项目、涉农课程培训经费项目等。</w:t>
      </w:r>
      <w:r>
        <w:rPr>
          <w:rFonts w:hint="eastAsia" w:ascii="宋体" w:hAnsi="宋体" w:eastAsia="宋体" w:cs="宋体"/>
          <w:sz w:val="30"/>
          <w:szCs w:val="30"/>
        </w:rPr>
        <w:t>④</w:t>
      </w:r>
      <w:r>
        <w:rPr>
          <w:rFonts w:ascii="仿宋_GB2312"/>
          <w:sz w:val="30"/>
          <w:szCs w:val="30"/>
        </w:rPr>
        <w:t>调研的7所学校项目监督检查、验收方面有缺</w:t>
      </w:r>
      <w:r>
        <w:rPr>
          <w:rFonts w:hint="eastAsia" w:ascii="仿宋_GB2312"/>
          <w:sz w:val="30"/>
          <w:szCs w:val="30"/>
        </w:rPr>
        <w:t>失。</w:t>
      </w:r>
    </w:p>
    <w:p>
      <w:pPr>
        <w:pStyle w:val="209"/>
        <w:spacing w:line="520" w:lineRule="exact"/>
        <w:ind w:firstLine="600"/>
        <w:rPr>
          <w:rFonts w:ascii="仿宋_GB2312"/>
          <w:sz w:val="30"/>
          <w:szCs w:val="30"/>
        </w:rPr>
      </w:pPr>
      <w:r>
        <w:rPr>
          <w:rFonts w:hint="eastAsia" w:ascii="仿宋_GB2312"/>
          <w:sz w:val="30"/>
          <w:szCs w:val="30"/>
        </w:rPr>
        <w:t>（4）</w:t>
      </w:r>
      <w:r>
        <w:rPr>
          <w:rFonts w:hint="eastAsia" w:ascii="仿宋_GB2312"/>
          <w:b/>
          <w:bCs/>
          <w:sz w:val="30"/>
          <w:szCs w:val="30"/>
        </w:rPr>
        <w:t>合同管理不到位，</w:t>
      </w:r>
      <w:r>
        <w:rPr>
          <w:rFonts w:hint="eastAsia" w:ascii="仿宋_GB2312"/>
          <w:sz w:val="30"/>
          <w:szCs w:val="30"/>
        </w:rPr>
        <w:t>①实地调查的</w:t>
      </w:r>
      <w:r>
        <w:rPr>
          <w:rFonts w:ascii="仿宋_GB2312"/>
          <w:sz w:val="30"/>
          <w:szCs w:val="30"/>
        </w:rPr>
        <w:t>7所学校中</w:t>
      </w:r>
      <w:r>
        <w:rPr>
          <w:rFonts w:hint="eastAsia" w:ascii="仿宋_GB2312"/>
          <w:sz w:val="30"/>
          <w:szCs w:val="30"/>
        </w:rPr>
        <w:t>有个别学校</w:t>
      </w:r>
      <w:r>
        <w:rPr>
          <w:rFonts w:ascii="仿宋_GB2312"/>
          <w:sz w:val="30"/>
          <w:szCs w:val="30"/>
        </w:rPr>
        <w:t>没有建立合同管理制度。</w:t>
      </w:r>
      <w:r>
        <w:rPr>
          <w:rFonts w:hint="eastAsia" w:ascii="仿宋_GB2312"/>
          <w:sz w:val="30"/>
          <w:szCs w:val="30"/>
        </w:rPr>
        <w:t>②</w:t>
      </w:r>
      <w:r>
        <w:rPr>
          <w:rFonts w:ascii="仿宋_GB2312"/>
          <w:sz w:val="30"/>
          <w:szCs w:val="30"/>
        </w:rPr>
        <w:t>区教育局与上海崇明教育评估中心、上海平协教育研究与评估事务所签订的合同不够完整，缺少付款方式，甲乙方权利与义务，保密规定、服务期限、签订日期等要素，此外，委托年度检查19家机构，实际完</w:t>
      </w:r>
      <w:r>
        <w:rPr>
          <w:rFonts w:hint="eastAsia" w:ascii="仿宋_GB2312"/>
          <w:sz w:val="30"/>
          <w:szCs w:val="30"/>
        </w:rPr>
        <w:t>成</w:t>
      </w:r>
      <w:r>
        <w:rPr>
          <w:rFonts w:ascii="仿宋_GB2312"/>
          <w:sz w:val="30"/>
          <w:szCs w:val="30"/>
        </w:rPr>
        <w:t>18家，有1家地址变更没有核查，但实际结算时全额支付，没有按实结算，主要原因是合同中没有约定“按实结算”的要求。</w:t>
      </w:r>
      <w:r>
        <w:rPr>
          <w:rFonts w:hint="eastAsia" w:ascii="仿宋_GB2312"/>
          <w:sz w:val="30"/>
          <w:szCs w:val="30"/>
        </w:rPr>
        <w:t>③</w:t>
      </w:r>
      <w:r>
        <w:rPr>
          <w:rFonts w:ascii="仿宋_GB2312"/>
          <w:sz w:val="30"/>
          <w:szCs w:val="30"/>
        </w:rPr>
        <w:t>社区学院与上海风河科技信息有限公司签订的视频制作的合同中付款方式为合同签订后一次性支付，不够合理；成桥镇成校和上海惠秀环境科技中心签订的合同中支付方式为转账或现金，约定现金支付不符合规定（</w:t>
      </w:r>
      <w:r>
        <w:rPr>
          <w:rFonts w:hint="eastAsia" w:ascii="仿宋_GB2312"/>
          <w:sz w:val="30"/>
          <w:szCs w:val="30"/>
        </w:rPr>
        <w:t>注：2</w:t>
      </w:r>
      <w:r>
        <w:rPr>
          <w:rFonts w:ascii="仿宋_GB2312"/>
          <w:sz w:val="30"/>
          <w:szCs w:val="30"/>
        </w:rPr>
        <w:t>022</w:t>
      </w:r>
      <w:r>
        <w:rPr>
          <w:rFonts w:hint="eastAsia" w:ascii="仿宋_GB2312"/>
          <w:sz w:val="30"/>
          <w:szCs w:val="30"/>
        </w:rPr>
        <w:t>年</w:t>
      </w:r>
      <w:r>
        <w:rPr>
          <w:rFonts w:ascii="仿宋_GB2312"/>
          <w:sz w:val="30"/>
          <w:szCs w:val="30"/>
        </w:rPr>
        <w:t>实际支付为转账）；庙镇成校和上海煊昂建设工程服务中心签订的合同中付款方式为一次性付款，没有明确是完成前还是完成后支付，约定要素不完整（</w:t>
      </w:r>
      <w:r>
        <w:rPr>
          <w:rFonts w:hint="eastAsia" w:ascii="仿宋_GB2312"/>
          <w:sz w:val="30"/>
          <w:szCs w:val="30"/>
        </w:rPr>
        <w:t>注：2</w:t>
      </w:r>
      <w:r>
        <w:rPr>
          <w:rFonts w:ascii="仿宋_GB2312"/>
          <w:sz w:val="30"/>
          <w:szCs w:val="30"/>
        </w:rPr>
        <w:t>022</w:t>
      </w:r>
      <w:r>
        <w:rPr>
          <w:rFonts w:hint="eastAsia" w:ascii="仿宋_GB2312"/>
          <w:sz w:val="30"/>
          <w:szCs w:val="30"/>
        </w:rPr>
        <w:t>年</w:t>
      </w:r>
      <w:r>
        <w:rPr>
          <w:rFonts w:ascii="仿宋_GB2312"/>
          <w:sz w:val="30"/>
          <w:szCs w:val="30"/>
        </w:rPr>
        <w:t>实际付款为工程完工后）。</w:t>
      </w:r>
    </w:p>
    <w:p>
      <w:pPr>
        <w:pStyle w:val="209"/>
        <w:spacing w:line="520" w:lineRule="exact"/>
        <w:ind w:firstLine="602"/>
        <w:rPr>
          <w:rFonts w:ascii="仿宋_GB2312"/>
          <w:b/>
          <w:bCs/>
          <w:sz w:val="30"/>
          <w:szCs w:val="30"/>
        </w:rPr>
      </w:pPr>
      <w:r>
        <w:rPr>
          <w:rFonts w:hint="eastAsia" w:ascii="仿宋_GB2312"/>
          <w:b/>
          <w:bCs/>
          <w:sz w:val="30"/>
          <w:szCs w:val="30"/>
        </w:rPr>
        <w:t>3</w:t>
      </w:r>
      <w:r>
        <w:rPr>
          <w:rFonts w:ascii="仿宋_GB2312"/>
          <w:b/>
          <w:bCs/>
          <w:sz w:val="30"/>
          <w:szCs w:val="30"/>
        </w:rPr>
        <w:t>.</w:t>
      </w:r>
      <w:r>
        <w:rPr>
          <w:rFonts w:hint="eastAsia" w:ascii="仿宋_GB2312"/>
          <w:b/>
          <w:bCs/>
          <w:sz w:val="30"/>
          <w:szCs w:val="30"/>
        </w:rPr>
        <w:t>在项目产出和效果方面，部分工作未完成，成本控制待提高，长效机制待完善</w:t>
      </w:r>
    </w:p>
    <w:p>
      <w:pPr>
        <w:pStyle w:val="209"/>
        <w:spacing w:line="520" w:lineRule="exact"/>
        <w:ind w:firstLine="600"/>
        <w:rPr>
          <w:rFonts w:ascii="仿宋_GB2312"/>
          <w:sz w:val="30"/>
          <w:szCs w:val="30"/>
        </w:rPr>
      </w:pPr>
      <w:r>
        <w:rPr>
          <w:rFonts w:hint="eastAsia" w:ascii="仿宋_GB2312"/>
          <w:sz w:val="30"/>
          <w:szCs w:val="30"/>
        </w:rPr>
        <w:t>（1）部分民办学校工作未完成，具体为：①上海新纪元双语学校空调还未采购到位。②上海民办民一中学民办发展专项经费的相关项目均没有完成。③上海盛源幼儿园完成了特色创建项目和设备经采购，但受疫情影响，线下培训未完成。④</w:t>
      </w:r>
      <w:r>
        <w:rPr>
          <w:rFonts w:ascii="仿宋_GB2312"/>
          <w:sz w:val="30"/>
          <w:szCs w:val="30"/>
        </w:rPr>
        <w:t>2022年</w:t>
      </w:r>
      <w:r>
        <w:rPr>
          <w:rFonts w:hint="eastAsia" w:ascii="仿宋_GB2312"/>
          <w:sz w:val="30"/>
          <w:szCs w:val="30"/>
        </w:rPr>
        <w:t>年</w:t>
      </w:r>
      <w:r>
        <w:rPr>
          <w:rFonts w:ascii="仿宋_GB2312"/>
          <w:sz w:val="30"/>
          <w:szCs w:val="30"/>
        </w:rPr>
        <w:t>检工作有1家由于地址变更，没有核查。</w:t>
      </w:r>
    </w:p>
    <w:p>
      <w:pPr>
        <w:pStyle w:val="209"/>
        <w:spacing w:line="520" w:lineRule="exact"/>
        <w:ind w:firstLine="600"/>
        <w:rPr>
          <w:rFonts w:ascii="仿宋_GB2312"/>
          <w:sz w:val="30"/>
          <w:szCs w:val="30"/>
        </w:rPr>
      </w:pPr>
      <w:r>
        <w:rPr>
          <w:rFonts w:hint="eastAsia" w:ascii="仿宋_GB2312"/>
          <w:sz w:val="30"/>
          <w:szCs w:val="30"/>
        </w:rPr>
        <w:t>（2）部</w:t>
      </w:r>
      <w:r>
        <w:rPr>
          <w:rFonts w:ascii="仿宋_GB2312"/>
          <w:sz w:val="30"/>
          <w:szCs w:val="30"/>
        </w:rPr>
        <w:t>分项目成本标准偏高，如</w:t>
      </w:r>
      <w:r>
        <w:rPr>
          <w:rFonts w:hint="eastAsia" w:ascii="仿宋_GB2312"/>
          <w:sz w:val="30"/>
          <w:szCs w:val="30"/>
        </w:rPr>
        <w:t>名师孵化室市级主持人</w:t>
      </w:r>
      <w:r>
        <w:rPr>
          <w:rFonts w:ascii="仿宋_GB2312"/>
          <w:sz w:val="30"/>
          <w:szCs w:val="30"/>
        </w:rPr>
        <w:t>2000元/次，参照的是崇明区培训费“正高级技术职称专业人员每学时最高不超过1000元”标准，实际不是开展培训，而研讨会议，一般会议邀请专家费用为1000元/次，当前标准偏高。</w:t>
      </w:r>
    </w:p>
    <w:p>
      <w:pPr>
        <w:pStyle w:val="209"/>
        <w:spacing w:line="520" w:lineRule="exact"/>
        <w:ind w:firstLine="600"/>
        <w:rPr>
          <w:rFonts w:ascii="仿宋_GB2312"/>
          <w:sz w:val="30"/>
          <w:szCs w:val="30"/>
        </w:rPr>
      </w:pPr>
      <w:r>
        <w:rPr>
          <w:rFonts w:hint="eastAsia" w:ascii="仿宋_GB2312"/>
          <w:sz w:val="30"/>
          <w:szCs w:val="30"/>
        </w:rPr>
        <w:t>（3）</w:t>
      </w:r>
      <w:r>
        <w:rPr>
          <w:rFonts w:ascii="仿宋_GB2312"/>
          <w:sz w:val="30"/>
          <w:szCs w:val="30"/>
        </w:rPr>
        <w:t>缺少对项目的定期评价、跟踪</w:t>
      </w:r>
      <w:r>
        <w:rPr>
          <w:rFonts w:hint="eastAsia" w:ascii="仿宋_GB2312"/>
          <w:sz w:val="30"/>
          <w:szCs w:val="30"/>
        </w:rPr>
        <w:t>机制，项目长效机制还不够完善</w:t>
      </w:r>
      <w:r>
        <w:rPr>
          <w:rFonts w:ascii="仿宋_GB2312"/>
          <w:sz w:val="30"/>
          <w:szCs w:val="30"/>
        </w:rPr>
        <w:t>。</w:t>
      </w:r>
    </w:p>
    <w:p>
      <w:pPr>
        <w:pStyle w:val="3"/>
        <w:keepNext w:val="0"/>
        <w:keepLines w:val="0"/>
        <w:spacing w:line="560" w:lineRule="exact"/>
        <w:ind w:firstLine="643"/>
        <w:rPr>
          <w:rFonts w:ascii="Times New Roman" w:hAnsi="Times New Roman"/>
          <w:lang w:eastAsia="zh-CN"/>
        </w:rPr>
      </w:pPr>
      <w:bookmarkStart w:id="76" w:name="_Toc83545312"/>
      <w:bookmarkStart w:id="77" w:name="_Toc14289"/>
      <w:bookmarkStart w:id="78" w:name="_Toc8036"/>
      <w:bookmarkStart w:id="79" w:name="_Toc12303"/>
      <w:r>
        <w:rPr>
          <w:rFonts w:ascii="Times New Roman" w:hAnsi="Times New Roman"/>
          <w:lang w:eastAsia="zh-CN"/>
        </w:rPr>
        <w:t>（三）</w:t>
      </w:r>
      <w:bookmarkEnd w:id="76"/>
      <w:bookmarkEnd w:id="77"/>
      <w:bookmarkEnd w:id="78"/>
      <w:r>
        <w:rPr>
          <w:rFonts w:hint="eastAsia" w:ascii="Times New Roman" w:hAnsi="Times New Roman"/>
          <w:lang w:eastAsia="zh-CN"/>
        </w:rPr>
        <w:t>建议和改进举措</w:t>
      </w:r>
      <w:bookmarkEnd w:id="79"/>
    </w:p>
    <w:p>
      <w:pPr>
        <w:pStyle w:val="209"/>
        <w:spacing w:line="520" w:lineRule="exact"/>
        <w:ind w:firstLine="602"/>
        <w:rPr>
          <w:rFonts w:ascii="仿宋_GB2312"/>
          <w:b/>
          <w:bCs/>
          <w:sz w:val="30"/>
          <w:szCs w:val="30"/>
        </w:rPr>
      </w:pPr>
      <w:r>
        <w:rPr>
          <w:rFonts w:hint="eastAsia" w:ascii="仿宋_GB2312"/>
          <w:b/>
          <w:bCs/>
          <w:sz w:val="30"/>
          <w:szCs w:val="30"/>
        </w:rPr>
        <w:t>1</w:t>
      </w:r>
      <w:r>
        <w:rPr>
          <w:rFonts w:ascii="仿宋_GB2312"/>
          <w:b/>
          <w:bCs/>
          <w:sz w:val="30"/>
          <w:szCs w:val="30"/>
        </w:rPr>
        <w:t>.</w:t>
      </w:r>
      <w:r>
        <w:rPr>
          <w:rFonts w:hint="eastAsia" w:ascii="仿宋_GB2312"/>
          <w:b/>
          <w:bCs/>
          <w:sz w:val="30"/>
          <w:szCs w:val="30"/>
        </w:rPr>
        <w:t>进一步严格项目立项、优化预算编制，完善绩效目标编制，提升预算管理水平</w:t>
      </w:r>
    </w:p>
    <w:p>
      <w:pPr>
        <w:pStyle w:val="209"/>
        <w:spacing w:line="520" w:lineRule="exact"/>
        <w:ind w:firstLine="600"/>
        <w:rPr>
          <w:sz w:val="30"/>
          <w:szCs w:val="30"/>
        </w:rPr>
      </w:pPr>
      <w:r>
        <w:rPr>
          <w:rFonts w:hint="eastAsia"/>
          <w:sz w:val="30"/>
          <w:szCs w:val="30"/>
        </w:rPr>
        <w:t>第一，建议区教育局成人学校考核奖励经费和成人学校集团化办学经费项目进行重新论证，对其实施的必要性和充分性进行充分论证。第二，研究制定民办教育发展资金补贴标准、分配方式，做到分配有依据。第三，优化预算编制，明确老年教育三类学习点建设经费的三级子项目区教育局建设经费和民办非学历教育机构管理经费的具体数量和单价明细，具体支出内容。建议今后类似区社区学院《创意海派插花》课程建设经费的项目，不要将管理费（服务费及税费）纳入项目预算。第四，区教育局要加强预算审核，审核项目单价标准依据充分性以及数量测算合理性。第五，完善项目绩效目标和指标，从科学性、合理性等方面构建项目绩效目标指标，具体建议详见正文“项目绩效目标”。</w:t>
      </w:r>
    </w:p>
    <w:p>
      <w:pPr>
        <w:pStyle w:val="209"/>
        <w:spacing w:line="520" w:lineRule="exact"/>
        <w:ind w:firstLine="602"/>
        <w:rPr>
          <w:rFonts w:ascii="仿宋_GB2312"/>
          <w:b/>
          <w:bCs/>
          <w:color w:val="000000" w:themeColor="text1"/>
          <w:sz w:val="30"/>
          <w:szCs w:val="30"/>
          <w14:textFill>
            <w14:solidFill>
              <w14:schemeClr w14:val="tx1"/>
            </w14:solidFill>
          </w14:textFill>
        </w:rPr>
      </w:pPr>
      <w:r>
        <w:rPr>
          <w:rFonts w:hint="eastAsia" w:ascii="仿宋_GB2312"/>
          <w:b/>
          <w:bCs/>
          <w:color w:val="000000" w:themeColor="text1"/>
          <w:sz w:val="30"/>
          <w:szCs w:val="30"/>
          <w14:textFill>
            <w14:solidFill>
              <w14:schemeClr w14:val="tx1"/>
            </w14:solidFill>
          </w14:textFill>
        </w:rPr>
        <w:t>2</w:t>
      </w:r>
      <w:r>
        <w:rPr>
          <w:rFonts w:ascii="仿宋_GB2312"/>
          <w:b/>
          <w:bCs/>
          <w:color w:val="000000" w:themeColor="text1"/>
          <w:sz w:val="30"/>
          <w:szCs w:val="30"/>
          <w14:textFill>
            <w14:solidFill>
              <w14:schemeClr w14:val="tx1"/>
            </w14:solidFill>
          </w14:textFill>
        </w:rPr>
        <w:t>.</w:t>
      </w:r>
      <w:r>
        <w:rPr>
          <w:rFonts w:hint="eastAsia" w:ascii="仿宋_GB2312"/>
          <w:b/>
          <w:bCs/>
          <w:color w:val="000000" w:themeColor="text1"/>
          <w:sz w:val="30"/>
          <w:szCs w:val="30"/>
          <w14:textFill>
            <w14:solidFill>
              <w14:schemeClr w14:val="tx1"/>
            </w14:solidFill>
          </w14:textFill>
        </w:rPr>
        <w:t>进一步加强资金管理，完善业务管理制度，规范合同管理</w:t>
      </w:r>
    </w:p>
    <w:p>
      <w:pPr>
        <w:pStyle w:val="209"/>
        <w:spacing w:line="520" w:lineRule="exact"/>
        <w:ind w:firstLine="600"/>
        <w:rPr>
          <w:rFonts w:ascii="仿宋_GB2312"/>
          <w:sz w:val="30"/>
          <w:szCs w:val="30"/>
        </w:rPr>
      </w:pPr>
      <w:r>
        <w:rPr>
          <w:rFonts w:hint="eastAsia"/>
          <w:color w:val="000000" w:themeColor="text1"/>
          <w:sz w:val="30"/>
          <w:szCs w:val="30"/>
          <w14:textFill>
            <w14:solidFill>
              <w14:schemeClr w14:val="tx1"/>
            </w14:solidFill>
          </w14:textFill>
        </w:rPr>
        <w:t>第一，建议区教育局进一步加强资金监管，对民办学校结存资金制定监管方案，且在安排下一年度扶持资金时，充分考虑其结存情况。第二，对支出资金不规范项目，加快整改，理清资金支付范围。第三，建立崇明区民办发展专项资金管理办法，</w:t>
      </w:r>
      <w:r>
        <w:rPr>
          <w:color w:val="000000" w:themeColor="text1"/>
          <w:sz w:val="30"/>
          <w:szCs w:val="30"/>
          <w14:textFill>
            <w14:solidFill>
              <w14:schemeClr w14:val="tx1"/>
            </w14:solidFill>
          </w14:textFill>
        </w:rPr>
        <w:t>明确资金分配标准、使用范围、监督管理等要求，</w:t>
      </w:r>
      <w:r>
        <w:rPr>
          <w:rFonts w:hint="eastAsia"/>
          <w:color w:val="000000" w:themeColor="text1"/>
          <w:sz w:val="30"/>
          <w:szCs w:val="30"/>
          <w14:textFill>
            <w14:solidFill>
              <w14:schemeClr w14:val="tx1"/>
            </w14:solidFill>
          </w14:textFill>
        </w:rPr>
        <w:t>具体建议详见下表。第四，建议根据《上海市政府关于进一步完善本市城乡义务教育经费保障机制的通知》（沪府发〔</w:t>
      </w:r>
      <w:r>
        <w:rPr>
          <w:color w:val="000000" w:themeColor="text1"/>
          <w:sz w:val="30"/>
          <w:szCs w:val="30"/>
          <w14:textFill>
            <w14:solidFill>
              <w14:schemeClr w14:val="tx1"/>
            </w14:solidFill>
          </w14:textFill>
        </w:rPr>
        <w:t>2016〕35号）要求，出台崇明区民办学校生均公用经费管理办法，明确扶持条件。第五，根据项目闭环管理要求，对于课程建设类项目、活动类项目，建议区教育局制定相关结项要求，包括项目目标完成情况、资</w:t>
      </w:r>
      <w:r>
        <w:rPr>
          <w:rFonts w:hint="eastAsia"/>
          <w:color w:val="000000" w:themeColor="text1"/>
          <w:sz w:val="30"/>
          <w:szCs w:val="30"/>
          <w14:textFill>
            <w14:solidFill>
              <w14:schemeClr w14:val="tx1"/>
            </w14:solidFill>
          </w14:textFill>
        </w:rPr>
        <w:t>金使用情况等如何结项。第六，加强合同管理。首先，未建立合同制度的民办学校，建议根据内控制度要求，建立健全合同管理制度，明确合同制定要求、合同审批程序、合同执行管理、合同支付管理等。其次，对于合同要素不完整，支付方式不合理的合同，建议在以后合同签订中，按照合同法的有关要求，明确权利义务，控制项目风险</w:t>
      </w:r>
      <w:r>
        <w:rPr>
          <w:rFonts w:hint="eastAsia" w:ascii="仿宋_GB2312"/>
          <w:sz w:val="30"/>
          <w:szCs w:val="30"/>
        </w:rPr>
        <w:t>。</w:t>
      </w:r>
    </w:p>
    <w:p>
      <w:pPr>
        <w:pStyle w:val="209"/>
        <w:spacing w:line="520" w:lineRule="exact"/>
        <w:ind w:firstLine="0" w:firstLineChars="0"/>
        <w:jc w:val="center"/>
        <w:rPr>
          <w:rFonts w:ascii="仿宋_GB2312"/>
          <w:b/>
          <w:bCs/>
          <w:sz w:val="24"/>
          <w:szCs w:val="24"/>
        </w:rPr>
      </w:pPr>
      <w:r>
        <w:rPr>
          <w:rFonts w:hint="eastAsia" w:ascii="仿宋_GB2312"/>
          <w:b/>
          <w:bCs/>
          <w:sz w:val="24"/>
          <w:szCs w:val="24"/>
        </w:rPr>
        <w:t>表</w:t>
      </w:r>
      <w:r>
        <w:rPr>
          <w:rFonts w:ascii="仿宋_GB2312"/>
          <w:b/>
          <w:bCs/>
          <w:sz w:val="24"/>
          <w:szCs w:val="24"/>
        </w:rPr>
        <w:t>4</w:t>
      </w:r>
      <w:r>
        <w:rPr>
          <w:rFonts w:hint="eastAsia" w:ascii="仿宋_GB2312"/>
          <w:b/>
          <w:bCs/>
          <w:sz w:val="24"/>
          <w:szCs w:val="24"/>
        </w:rPr>
        <w:t>-</w:t>
      </w:r>
      <w:r>
        <w:rPr>
          <w:rFonts w:ascii="仿宋_GB2312"/>
          <w:b/>
          <w:bCs/>
          <w:sz w:val="24"/>
          <w:szCs w:val="24"/>
        </w:rPr>
        <w:t>1</w:t>
      </w:r>
      <w:r>
        <w:rPr>
          <w:rFonts w:hint="eastAsia" w:ascii="仿宋_GB2312"/>
          <w:b/>
          <w:bCs/>
          <w:sz w:val="24"/>
          <w:szCs w:val="24"/>
        </w:rPr>
        <w:t>-</w:t>
      </w:r>
      <w:r>
        <w:rPr>
          <w:rFonts w:ascii="仿宋_GB2312"/>
          <w:b/>
          <w:bCs/>
          <w:sz w:val="24"/>
          <w:szCs w:val="24"/>
        </w:rPr>
        <w:t xml:space="preserve">1 </w:t>
      </w:r>
      <w:r>
        <w:rPr>
          <w:rFonts w:hint="eastAsia" w:ascii="仿宋_GB2312"/>
          <w:b/>
          <w:bCs/>
          <w:sz w:val="24"/>
          <w:szCs w:val="24"/>
        </w:rPr>
        <w:t>崇明区民办发展专项资金管理办法建议表</w:t>
      </w:r>
    </w:p>
    <w:tbl>
      <w:tblPr>
        <w:tblStyle w:val="40"/>
        <w:tblW w:w="8828" w:type="dxa"/>
        <w:tblInd w:w="0" w:type="dxa"/>
        <w:tblLayout w:type="fixed"/>
        <w:tblCellMar>
          <w:top w:w="0" w:type="dxa"/>
          <w:left w:w="108" w:type="dxa"/>
          <w:bottom w:w="0" w:type="dxa"/>
          <w:right w:w="108" w:type="dxa"/>
        </w:tblCellMar>
      </w:tblPr>
      <w:tblGrid>
        <w:gridCol w:w="760"/>
        <w:gridCol w:w="1503"/>
        <w:gridCol w:w="6565"/>
      </w:tblGrid>
      <w:tr>
        <w:tblPrEx>
          <w:tblLayout w:type="fixed"/>
          <w:tblCellMar>
            <w:top w:w="0" w:type="dxa"/>
            <w:left w:w="108" w:type="dxa"/>
            <w:bottom w:w="0" w:type="dxa"/>
            <w:right w:w="108" w:type="dxa"/>
          </w:tblCellMar>
        </w:tblPrEx>
        <w:trPr>
          <w:trHeight w:val="227" w:hRule="atLeast"/>
          <w:tblHeader/>
        </w:trPr>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序号</w:t>
            </w:r>
          </w:p>
        </w:tc>
        <w:tc>
          <w:tcPr>
            <w:tcW w:w="1503"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政策要素</w:t>
            </w:r>
          </w:p>
        </w:tc>
        <w:tc>
          <w:tcPr>
            <w:tcW w:w="6565"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b/>
                <w:bCs/>
                <w:color w:val="000000"/>
                <w:sz w:val="21"/>
                <w:szCs w:val="21"/>
              </w:rPr>
            </w:pPr>
            <w:r>
              <w:rPr>
                <w:rFonts w:hint="eastAsia" w:ascii="仿宋_GB2312" w:hAnsi="等线" w:eastAsia="仿宋_GB2312"/>
                <w:b/>
                <w:bCs/>
                <w:color w:val="000000"/>
                <w:sz w:val="21"/>
                <w:szCs w:val="21"/>
              </w:rPr>
              <w:t>政策建议内容</w:t>
            </w:r>
          </w:p>
        </w:tc>
      </w:tr>
      <w:tr>
        <w:tblPrEx>
          <w:tblLayout w:type="fixed"/>
          <w:tblCellMar>
            <w:top w:w="0" w:type="dxa"/>
            <w:left w:w="108" w:type="dxa"/>
            <w:bottom w:w="0" w:type="dxa"/>
            <w:right w:w="108" w:type="dxa"/>
          </w:tblCellMar>
        </w:tblPrEx>
        <w:trPr>
          <w:trHeight w:val="227"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1</w:t>
            </w:r>
          </w:p>
        </w:tc>
        <w:tc>
          <w:tcPr>
            <w:tcW w:w="1503"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总则</w:t>
            </w:r>
          </w:p>
        </w:tc>
        <w:tc>
          <w:tcPr>
            <w:tcW w:w="6565" w:type="dxa"/>
            <w:tcBorders>
              <w:top w:val="nil"/>
              <w:left w:val="nil"/>
              <w:bottom w:val="single" w:color="auto" w:sz="4" w:space="0"/>
              <w:right w:val="single" w:color="auto" w:sz="4" w:space="0"/>
            </w:tcBorders>
            <w:shd w:val="clear" w:color="auto" w:fill="auto"/>
            <w:vAlign w:val="center"/>
          </w:tcPr>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根据《上海市促进民办教育发展专项资金管理办法》（沪教委财〔2016〕7号）、《上海市教育委员会 上海市财政局关于进一步加强2016年市对区县财政教育转移支付资金使用管理的指导意见》（沪教委财〔2016〕17号）等文件精神，一步规范和加强崇明区区民办教育扶持资金的使用，提高资金使用效益，促进本区民办教育健康发展。</w:t>
            </w:r>
            <w:r>
              <w:rPr>
                <w:rFonts w:hint="eastAsia" w:ascii="仿宋_GB2312" w:hAnsi="等线" w:eastAsia="仿宋_GB2312"/>
                <w:color w:val="000000"/>
                <w:sz w:val="21"/>
                <w:szCs w:val="21"/>
              </w:rPr>
              <w:br w:type="textWrapping"/>
            </w:r>
            <w:r>
              <w:rPr>
                <w:rFonts w:hint="eastAsia" w:ascii="仿宋_GB2312" w:hAnsi="等线" w:eastAsia="仿宋_GB2312"/>
                <w:color w:val="000000"/>
                <w:sz w:val="21"/>
                <w:szCs w:val="21"/>
              </w:rPr>
              <w:t>民办教育专项资金分配使用应遵循突出公益、公平公正、规范透明、注重绩效的原则。</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申请民办教育专项资金的民办学校必须坚持教育公益性、依法办学、财务管理规范、建立教职工年金制度，以及落实学校法人财产权。上一会计年度存在抽逃、挪用学费或其他违法违规行为的民办学校不得申请民办教育专项资金。抽逃、挪用学费行为根据有关规定进行整改之后方可获得申请资格。</w:t>
            </w:r>
          </w:p>
        </w:tc>
      </w:tr>
      <w:tr>
        <w:tblPrEx>
          <w:tblLayout w:type="fixed"/>
          <w:tblCellMar>
            <w:top w:w="0" w:type="dxa"/>
            <w:left w:w="108" w:type="dxa"/>
            <w:bottom w:w="0" w:type="dxa"/>
            <w:right w:w="108" w:type="dxa"/>
          </w:tblCellMar>
        </w:tblPrEx>
        <w:trPr>
          <w:trHeight w:val="227"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2</w:t>
            </w:r>
          </w:p>
        </w:tc>
        <w:tc>
          <w:tcPr>
            <w:tcW w:w="1503"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扶持对象</w:t>
            </w:r>
          </w:p>
        </w:tc>
        <w:tc>
          <w:tcPr>
            <w:tcW w:w="6565" w:type="dxa"/>
            <w:tcBorders>
              <w:top w:val="nil"/>
              <w:left w:val="nil"/>
              <w:bottom w:val="single" w:color="auto" w:sz="4" w:space="0"/>
              <w:right w:val="single" w:color="auto" w:sz="4" w:space="0"/>
            </w:tcBorders>
            <w:shd w:val="clear" w:color="auto" w:fill="auto"/>
            <w:vAlign w:val="center"/>
          </w:tcPr>
          <w:p>
            <w:pPr>
              <w:snapToGrid w:val="0"/>
              <w:spacing w:line="240" w:lineRule="atLeast"/>
              <w:jc w:val="both"/>
              <w:rPr>
                <w:rFonts w:ascii="仿宋_GB2312" w:hAnsi="等线" w:eastAsia="仿宋_GB2312"/>
                <w:color w:val="000000"/>
                <w:sz w:val="21"/>
                <w:szCs w:val="21"/>
              </w:rPr>
            </w:pPr>
            <w:r>
              <w:rPr>
                <w:rFonts w:hint="eastAsia" w:ascii="仿宋_GB2312" w:hAnsi="等线" w:eastAsia="仿宋_GB2312"/>
                <w:color w:val="000000"/>
                <w:sz w:val="21"/>
                <w:szCs w:val="21"/>
              </w:rPr>
              <w:t>民办中小学</w:t>
            </w:r>
          </w:p>
        </w:tc>
      </w:tr>
      <w:tr>
        <w:tblPrEx>
          <w:tblLayout w:type="fixed"/>
          <w:tblCellMar>
            <w:top w:w="0" w:type="dxa"/>
            <w:left w:w="108" w:type="dxa"/>
            <w:bottom w:w="0" w:type="dxa"/>
            <w:right w:w="108" w:type="dxa"/>
          </w:tblCellMar>
        </w:tblPrEx>
        <w:trPr>
          <w:trHeight w:val="227"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3</w:t>
            </w:r>
          </w:p>
        </w:tc>
        <w:tc>
          <w:tcPr>
            <w:tcW w:w="1503"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资金分配标准</w:t>
            </w:r>
          </w:p>
        </w:tc>
        <w:tc>
          <w:tcPr>
            <w:tcW w:w="6565" w:type="dxa"/>
            <w:tcBorders>
              <w:top w:val="nil"/>
              <w:left w:val="nil"/>
              <w:bottom w:val="single" w:color="auto" w:sz="4" w:space="0"/>
              <w:right w:val="single" w:color="auto" w:sz="4" w:space="0"/>
            </w:tcBorders>
            <w:shd w:val="clear" w:color="auto" w:fill="auto"/>
            <w:vAlign w:val="center"/>
          </w:tcPr>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1）对民办内涵发展类经费的支持，按照要素法进行评审确定。评审要素主要包括：坚持办学公益性情况。重点支持非营利民办优质校。法人财产权落实及基本办学条件达标情况。根据学校实有房地产权证及各项条件达标情况确定。教育学费收费标准情况。根据公示的学费收费标准确定相应的支持力度。用于教师和学生的经费开支在学校学费总收入中所占比例情况，对比例较高的民办学校加大支持力度。综合管理情况，主要考核学校招生录取管理、教育教学管理尤其是财务管理等综合性管理情况。绩效评价情况，主要考核学校以往年度民办教育专项资金使用的绩效评价结果。筹资及服务社会情况。主要包括学校向社会筹集办学资金、举行公益活动等情况。</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（2）对民办学校内涵发展类专项项目实行备案制，专项项目原则上应在学校建立的项目库内遴选。</w:t>
            </w:r>
          </w:p>
        </w:tc>
      </w:tr>
      <w:tr>
        <w:tblPrEx>
          <w:tblLayout w:type="fixed"/>
          <w:tblCellMar>
            <w:top w:w="0" w:type="dxa"/>
            <w:left w:w="108" w:type="dxa"/>
            <w:bottom w:w="0" w:type="dxa"/>
            <w:right w:w="108" w:type="dxa"/>
          </w:tblCellMar>
        </w:tblPrEx>
        <w:trPr>
          <w:trHeight w:val="227"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4</w:t>
            </w:r>
          </w:p>
        </w:tc>
        <w:tc>
          <w:tcPr>
            <w:tcW w:w="1503"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资金使用范围</w:t>
            </w:r>
          </w:p>
        </w:tc>
        <w:tc>
          <w:tcPr>
            <w:tcW w:w="6565" w:type="dxa"/>
            <w:tcBorders>
              <w:top w:val="nil"/>
              <w:left w:val="nil"/>
              <w:bottom w:val="single" w:color="auto" w:sz="4" w:space="0"/>
              <w:right w:val="single" w:color="auto" w:sz="4" w:space="0"/>
            </w:tcBorders>
            <w:shd w:val="clear" w:color="auto" w:fill="auto"/>
            <w:vAlign w:val="center"/>
          </w:tcPr>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民办教育扶持基金主要用于民办学校教学业务与管理、教师培训、仪器设备及图书资料等购置以及维修维护等方面。</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学校不得以任何理由和方式虚报、截留、挤占、挪用，项目支出不得违反国家法律法规和财经纪律的规定，不得用于发放工资性的津贴补贴和福利费、请客送礼、旅游观光、投资理财、提取管理费，支付罚款、偿还贷款（利息）、捐赠赞助等</w:t>
            </w:r>
          </w:p>
        </w:tc>
      </w:tr>
      <w:tr>
        <w:tblPrEx>
          <w:tblLayout w:type="fixed"/>
          <w:tblCellMar>
            <w:top w:w="0" w:type="dxa"/>
            <w:left w:w="108" w:type="dxa"/>
            <w:bottom w:w="0" w:type="dxa"/>
            <w:right w:w="108" w:type="dxa"/>
          </w:tblCellMar>
        </w:tblPrEx>
        <w:trPr>
          <w:trHeight w:val="227"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snapToGrid w:val="0"/>
              <w:spacing w:line="240" w:lineRule="atLeast"/>
              <w:jc w:val="center"/>
              <w:rPr>
                <w:rFonts w:ascii="仿宋_GB2312" w:hAnsi="等线" w:eastAsia="仿宋_GB2312"/>
                <w:color w:val="000000"/>
                <w:sz w:val="21"/>
                <w:szCs w:val="21"/>
              </w:rPr>
            </w:pPr>
            <w:r>
              <w:rPr>
                <w:rFonts w:hint="eastAsia" w:ascii="仿宋_GB2312" w:hAnsi="等线" w:eastAsia="仿宋_GB2312"/>
                <w:color w:val="000000"/>
                <w:sz w:val="21"/>
                <w:szCs w:val="21"/>
              </w:rPr>
              <w:t>5</w:t>
            </w:r>
          </w:p>
        </w:tc>
        <w:tc>
          <w:tcPr>
            <w:tcW w:w="1503" w:type="dxa"/>
            <w:tcBorders>
              <w:top w:val="nil"/>
              <w:left w:val="nil"/>
              <w:bottom w:val="single" w:color="auto" w:sz="4" w:space="0"/>
              <w:right w:val="single" w:color="auto" w:sz="4" w:space="0"/>
            </w:tcBorders>
            <w:shd w:val="clear" w:color="auto" w:fill="auto"/>
            <w:vAlign w:val="center"/>
          </w:tcPr>
          <w:p>
            <w:pPr>
              <w:snapToGrid w:val="0"/>
              <w:spacing w:line="240" w:lineRule="atLeast"/>
              <w:rPr>
                <w:rFonts w:ascii="仿宋_GB2312" w:hAnsi="等线" w:eastAsia="仿宋_GB2312"/>
                <w:color w:val="000000"/>
                <w:sz w:val="21"/>
                <w:szCs w:val="21"/>
              </w:rPr>
            </w:pPr>
            <w:r>
              <w:rPr>
                <w:rFonts w:hint="eastAsia" w:ascii="仿宋_GB2312" w:hAnsi="等线" w:eastAsia="仿宋_GB2312"/>
                <w:color w:val="000000"/>
                <w:sz w:val="21"/>
                <w:szCs w:val="21"/>
              </w:rPr>
              <w:t>监督管理</w:t>
            </w:r>
          </w:p>
        </w:tc>
        <w:tc>
          <w:tcPr>
            <w:tcW w:w="6565" w:type="dxa"/>
            <w:tcBorders>
              <w:top w:val="nil"/>
              <w:left w:val="nil"/>
              <w:bottom w:val="single" w:color="auto" w:sz="4" w:space="0"/>
              <w:right w:val="single" w:color="auto" w:sz="4" w:space="0"/>
            </w:tcBorders>
            <w:shd w:val="clear" w:color="auto" w:fill="auto"/>
            <w:vAlign w:val="center"/>
          </w:tcPr>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学校申请民办教育专项资金的，须开设民办教育专项资金专用存款账户，未经批准不得随意变更，民办教育专项资金将直接拨付到专户。民办教育专项资金及其利息的收入、支出必须在专户中核算，其他性质的收入和支出不得通过该账户核算。民办学校在核算项目收支时，应按《上海市民办中小学会计核算办法》执行。</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民办学校对由民办教育专项资金安排的年度预算应确保按期完成，原则上当年预算当年执行完毕。</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民办教育专项资金形成的资产，按照国家和本市有关规定执行,且单独管理。其中固定资产为限定性固定资产。</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学校应建立健全经费使用和管理的内部控制制度、招投标制度和内部监督机制，并制定民办教育专项资金使用管理实施细则，确保专项资金的安全和有效使用。各学校必须加强对扶持使用的管理，严格执行民办学校财务规章制度和会计核算办法，各项支出必须严格控制在批准的范围及开支标准内，严格把好票据审核关，保证报销票据的真实、完整、合理、合法，严禁套取现金。各校应及时编制好年初预算和调整预算，报教育局计财科审核，批准后方可执行。扶持基金使用情况，学校应单列明细。</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民办学校的法定代表人、项目负责人、财务负责人以及相关责任人对民办教育专项资金使用的合法性、真实性和有效性负责。</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学校应建立项目验收和绩效评价制度。民办学校在每个会计年度结束后及项目建设计划完成后，应对民办教育专项资金的使用及管理情况进行自评和结报，并将自评结果和结报情况报送区教育局。区财政局、区教委按照有关规定，对民办教育专项资金的使用情况开展项目验收和绩效评价，评价结果将作为以后年度资金分配的重要依据。</w:t>
            </w:r>
          </w:p>
          <w:p>
            <w:pPr>
              <w:snapToGrid w:val="0"/>
              <w:spacing w:line="240" w:lineRule="atLeast"/>
              <w:ind w:firstLine="420" w:firstLineChars="200"/>
              <w:jc w:val="both"/>
              <w:rPr>
                <w:rFonts w:ascii="仿宋_GB2312" w:hAnsi="等线" w:eastAsia="仿宋_GB2312"/>
                <w:color w:val="000000"/>
                <w:sz w:val="21"/>
                <w:szCs w:val="21"/>
              </w:rPr>
            </w:pPr>
            <w:r>
              <w:rPr>
                <w:rFonts w:hint="eastAsia" w:ascii="仿宋_GB2312" w:hAnsi="等线" w:eastAsia="仿宋_GB2312"/>
                <w:color w:val="000000"/>
                <w:sz w:val="21"/>
                <w:szCs w:val="21"/>
              </w:rPr>
              <w:t>民办学校使用民办教育专项资金的情况应依法接受区财政局、区教委等相关部门的监督和检查。对经查实有违规办学行为或不按规定用途和规定程序使用民办教育专项资金的民办学校，有关部门可扣减拨款、暂缓拨款、中止拨款以及限期收回已拨付的专项资金。同时，取消项目申报资格，并视情节轻重，依法追究相关民办学校和人员的责任。</w:t>
            </w:r>
          </w:p>
        </w:tc>
      </w:tr>
    </w:tbl>
    <w:p>
      <w:pPr>
        <w:pStyle w:val="209"/>
        <w:spacing w:line="520" w:lineRule="exact"/>
        <w:ind w:firstLine="602"/>
        <w:rPr>
          <w:rFonts w:ascii="仿宋_GB2312"/>
          <w:b/>
          <w:bCs/>
          <w:sz w:val="30"/>
          <w:szCs w:val="30"/>
        </w:rPr>
      </w:pPr>
      <w:r>
        <w:rPr>
          <w:rFonts w:hint="eastAsia" w:ascii="仿宋_GB2312"/>
          <w:b/>
          <w:bCs/>
          <w:sz w:val="30"/>
          <w:szCs w:val="30"/>
        </w:rPr>
        <w:t>3</w:t>
      </w:r>
      <w:r>
        <w:rPr>
          <w:rFonts w:ascii="仿宋_GB2312"/>
          <w:b/>
          <w:bCs/>
          <w:sz w:val="30"/>
          <w:szCs w:val="30"/>
        </w:rPr>
        <w:t>.</w:t>
      </w:r>
      <w:r>
        <w:rPr>
          <w:rFonts w:hint="eastAsia" w:ascii="仿宋_GB2312"/>
          <w:b/>
          <w:bCs/>
          <w:sz w:val="30"/>
          <w:szCs w:val="30"/>
        </w:rPr>
        <w:t>进一步加强工作计划的约束性，控制项目成本，建立健全项目长效机制</w:t>
      </w:r>
    </w:p>
    <w:p>
      <w:pPr>
        <w:pStyle w:val="209"/>
        <w:spacing w:line="520" w:lineRule="exact"/>
        <w:ind w:firstLine="600"/>
        <w:rPr>
          <w:rFonts w:ascii="仿宋_GB2312"/>
          <w:sz w:val="30"/>
          <w:szCs w:val="30"/>
        </w:rPr>
      </w:pPr>
      <w:r>
        <w:rPr>
          <w:rFonts w:hint="eastAsia" w:ascii="仿宋_GB2312"/>
          <w:sz w:val="30"/>
          <w:szCs w:val="30"/>
        </w:rPr>
        <w:t>首先，由于部分项目未完成，导致项目资金执行率不高，项目存在结余，建议加强项目计划的刚性，确保项目的顺利完成。其次，建议区教育局建立成本核算机制，定期对项目成本进行测算分析，制定合理项目支出标准。最后，建议建立健全项目长效管理机制，制定项目定期评估、跟踪制度，评估频次等。</w:t>
      </w:r>
    </w:p>
    <w:p>
      <w:pPr>
        <w:pStyle w:val="3"/>
        <w:keepNext w:val="0"/>
        <w:keepLines w:val="0"/>
        <w:spacing w:line="560" w:lineRule="exact"/>
        <w:ind w:firstLine="643"/>
        <w:rPr>
          <w:rFonts w:ascii="Times New Roman" w:hAnsi="Times New Roman"/>
          <w:lang w:eastAsia="zh-CN"/>
        </w:rPr>
      </w:pPr>
      <w:bookmarkStart w:id="80" w:name="_Toc14799"/>
      <w:r>
        <w:rPr>
          <w:rFonts w:ascii="Times New Roman" w:hAnsi="Times New Roman"/>
          <w:lang w:eastAsia="zh-CN"/>
        </w:rPr>
        <w:t>（</w:t>
      </w:r>
      <w:r>
        <w:rPr>
          <w:rFonts w:hint="eastAsia" w:ascii="Times New Roman" w:hAnsi="Times New Roman"/>
          <w:lang w:eastAsia="zh-CN"/>
        </w:rPr>
        <w:t>四</w:t>
      </w:r>
      <w:r>
        <w:rPr>
          <w:rFonts w:ascii="Times New Roman" w:hAnsi="Times New Roman"/>
          <w:lang w:eastAsia="zh-CN"/>
        </w:rPr>
        <w:t>）</w:t>
      </w:r>
      <w:r>
        <w:rPr>
          <w:rFonts w:hint="eastAsia" w:ascii="Times New Roman" w:hAnsi="Times New Roman"/>
          <w:lang w:eastAsia="zh-CN"/>
        </w:rPr>
        <w:t>2</w:t>
      </w:r>
      <w:r>
        <w:rPr>
          <w:rFonts w:ascii="Times New Roman" w:hAnsi="Times New Roman"/>
          <w:lang w:eastAsia="zh-CN"/>
        </w:rPr>
        <w:t>023</w:t>
      </w:r>
      <w:r>
        <w:rPr>
          <w:rFonts w:hint="eastAsia" w:ascii="Times New Roman" w:hAnsi="Times New Roman"/>
          <w:lang w:eastAsia="zh-CN"/>
        </w:rPr>
        <w:t>年项目预算建议</w:t>
      </w:r>
      <w:bookmarkEnd w:id="80"/>
    </w:p>
    <w:p>
      <w:pPr>
        <w:pStyle w:val="200"/>
        <w:spacing w:line="520" w:lineRule="exact"/>
        <w:ind w:firstLine="600"/>
        <w:rPr>
          <w:rFonts w:ascii="仿宋_GB2312"/>
          <w:kern w:val="2"/>
          <w:sz w:val="30"/>
          <w:szCs w:val="30"/>
          <w:lang w:val="en-US"/>
        </w:rPr>
      </w:pPr>
      <w:r>
        <w:rPr>
          <w:rFonts w:ascii="仿宋_GB2312"/>
          <w:kern w:val="2"/>
          <w:sz w:val="30"/>
          <w:szCs w:val="30"/>
          <w:lang w:val="en-US"/>
        </w:rPr>
        <w:t>2023年成职科内涵发展经费项目年初预算安排1031.66万元，较2022年项目年初预算下降9.4%，根据绩效评价结果，项目组建议区教育局尽快出台民办学校公用经费补助项目和民办教育发展专项资金项目相关管理办法，依据办法合理安排资金，建议调减25万元，调整后预算1006.66万元</w:t>
      </w:r>
      <w:r>
        <w:rPr>
          <w:rFonts w:hint="eastAsia" w:ascii="仿宋_GB2312"/>
          <w:kern w:val="2"/>
          <w:sz w:val="30"/>
          <w:szCs w:val="30"/>
          <w:lang w:val="en-US"/>
        </w:rPr>
        <w:t>。</w:t>
      </w:r>
    </w:p>
    <w:p>
      <w:pPr>
        <w:pStyle w:val="200"/>
        <w:spacing w:line="560" w:lineRule="exact"/>
        <w:ind w:firstLine="0" w:firstLineChars="0"/>
        <w:jc w:val="center"/>
        <w:rPr>
          <w:rFonts w:ascii="仿宋_GB2312"/>
          <w:b/>
          <w:bCs/>
          <w:kern w:val="2"/>
          <w:sz w:val="24"/>
          <w:szCs w:val="24"/>
          <w:lang w:val="en-US"/>
        </w:rPr>
      </w:pPr>
      <w:r>
        <w:rPr>
          <w:rFonts w:hint="eastAsia" w:ascii="仿宋_GB2312"/>
          <w:b/>
          <w:bCs/>
          <w:kern w:val="2"/>
          <w:sz w:val="24"/>
          <w:szCs w:val="24"/>
          <w:lang w:val="en-US"/>
        </w:rPr>
        <w:t>表4-</w:t>
      </w:r>
      <w:r>
        <w:rPr>
          <w:rFonts w:ascii="仿宋_GB2312"/>
          <w:b/>
          <w:bCs/>
          <w:kern w:val="2"/>
          <w:sz w:val="24"/>
          <w:szCs w:val="24"/>
          <w:lang w:val="en-US"/>
        </w:rPr>
        <w:t>1</w:t>
      </w:r>
      <w:r>
        <w:rPr>
          <w:rFonts w:hint="eastAsia" w:ascii="仿宋_GB2312"/>
          <w:b/>
          <w:bCs/>
          <w:kern w:val="2"/>
          <w:sz w:val="24"/>
          <w:szCs w:val="24"/>
          <w:lang w:val="en-US"/>
        </w:rPr>
        <w:t>-</w:t>
      </w:r>
      <w:r>
        <w:rPr>
          <w:rFonts w:ascii="仿宋_GB2312"/>
          <w:b/>
          <w:bCs/>
          <w:kern w:val="2"/>
          <w:sz w:val="24"/>
          <w:szCs w:val="24"/>
          <w:lang w:val="en-US"/>
        </w:rPr>
        <w:t>2 2023</w:t>
      </w:r>
      <w:r>
        <w:rPr>
          <w:rFonts w:hint="eastAsia" w:ascii="仿宋_GB2312"/>
          <w:b/>
          <w:bCs/>
          <w:kern w:val="2"/>
          <w:sz w:val="24"/>
          <w:szCs w:val="24"/>
          <w:lang w:val="en-US"/>
        </w:rPr>
        <w:t>年项目预算安排调整建议表</w:t>
      </w:r>
    </w:p>
    <w:tbl>
      <w:tblPr>
        <w:tblStyle w:val="40"/>
        <w:tblW w:w="109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225"/>
        <w:gridCol w:w="1712"/>
        <w:gridCol w:w="1396"/>
        <w:gridCol w:w="1439"/>
        <w:gridCol w:w="1701"/>
        <w:gridCol w:w="2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tblHeader/>
          <w:jc w:val="center"/>
        </w:trPr>
        <w:tc>
          <w:tcPr>
            <w:tcW w:w="744"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序号</w:t>
            </w:r>
          </w:p>
        </w:tc>
        <w:tc>
          <w:tcPr>
            <w:tcW w:w="1225"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项目构成</w:t>
            </w:r>
          </w:p>
        </w:tc>
        <w:tc>
          <w:tcPr>
            <w:tcW w:w="1712"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项目明细</w:t>
            </w:r>
          </w:p>
        </w:tc>
        <w:tc>
          <w:tcPr>
            <w:tcW w:w="1396"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年初预算</w:t>
            </w:r>
          </w:p>
        </w:tc>
        <w:tc>
          <w:tcPr>
            <w:tcW w:w="1439"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建议调整</w:t>
            </w:r>
          </w:p>
        </w:tc>
        <w:tc>
          <w:tcPr>
            <w:tcW w:w="1701"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调整后预算</w:t>
            </w:r>
          </w:p>
        </w:tc>
        <w:tc>
          <w:tcPr>
            <w:tcW w:w="2724" w:type="dxa"/>
            <w:shd w:val="clear" w:color="auto" w:fill="auto"/>
            <w:vAlign w:val="center"/>
          </w:tcPr>
          <w:p>
            <w:pPr>
              <w:snapToGrid w:val="0"/>
              <w:spacing w:line="240" w:lineRule="atLeast"/>
              <w:jc w:val="center"/>
              <w:rPr>
                <w:rFonts w:ascii="仿宋_GB2312" w:hAnsi="等线" w:eastAsia="仿宋_GB2312"/>
                <w:b/>
                <w:bCs/>
                <w:color w:val="000000"/>
                <w:sz w:val="18"/>
                <w:szCs w:val="18"/>
              </w:rPr>
            </w:pPr>
            <w:r>
              <w:rPr>
                <w:rFonts w:hint="eastAsia" w:ascii="仿宋_GB2312" w:hAnsi="等线" w:eastAsia="仿宋_GB2312"/>
                <w:b/>
                <w:bCs/>
                <w:color w:val="0000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1</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老年教育三类学习点建设经费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居村委示范学习点、养老机构养教结合学习点、老年教育社会学习点培训考核</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257,000.00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257,000.00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2023年预算较2022年预算调减了4万元，主要是2022年区教育局的建设经费年初预算5.3万元，执行1.28万元，在2023年按照1.3万元安排，较为合理。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2</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老年人学习团队培育经费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市级老年人学习团队扶持经费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3</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终身教育经费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所乡镇成人（社区）学校办学经费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2,871,400.00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-230,000.00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2,641,400.00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由于成人学校考核奖励经费立项依据不充分，建议调减成人学校考核奖励经费23万元。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4</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学促办工作经费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学习型城区监测</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30,000.00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-20,000.00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建议按照2022年支出金额调整。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5</w:t>
            </w:r>
          </w:p>
        </w:tc>
        <w:tc>
          <w:tcPr>
            <w:tcW w:w="1225" w:type="dxa"/>
            <w:vMerge w:val="restart"/>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民办学校学生公用经费补助</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寄宿生补助经费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129,600.00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129,600.00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6</w:t>
            </w:r>
          </w:p>
        </w:tc>
        <w:tc>
          <w:tcPr>
            <w:tcW w:w="1225" w:type="dxa"/>
            <w:vMerge w:val="continue"/>
            <w:vAlign w:val="center"/>
          </w:tcPr>
          <w:p>
            <w:pPr>
              <w:snapToGrid w:val="0"/>
              <w:spacing w:line="240" w:lineRule="atLeast"/>
              <w:rPr>
                <w:rFonts w:ascii="仿宋_GB2312" w:hAnsi="等线" w:eastAsia="仿宋_GB2312"/>
                <w:color w:val="000000"/>
                <w:sz w:val="18"/>
                <w:szCs w:val="18"/>
              </w:rPr>
            </w:pP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民一、新纪元二免一补经费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1,037,600.00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1,037,600.00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7</w:t>
            </w:r>
          </w:p>
        </w:tc>
        <w:tc>
          <w:tcPr>
            <w:tcW w:w="1225" w:type="dxa"/>
            <w:vMerge w:val="continue"/>
            <w:vAlign w:val="center"/>
          </w:tcPr>
          <w:p>
            <w:pPr>
              <w:snapToGrid w:val="0"/>
              <w:spacing w:line="240" w:lineRule="atLeast"/>
              <w:rPr>
                <w:rFonts w:ascii="仿宋_GB2312" w:hAnsi="等线" w:eastAsia="仿宋_GB2312"/>
                <w:color w:val="000000"/>
                <w:sz w:val="18"/>
                <w:szCs w:val="18"/>
              </w:rPr>
            </w:pP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民一、新纪元两校生均公用经费补助</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2,771,000.00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 xml:space="preserve">2,771,000.00 </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建议尽快出台管理办法，按照办法下拨资金到学校。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8</w:t>
            </w:r>
          </w:p>
        </w:tc>
        <w:tc>
          <w:tcPr>
            <w:tcW w:w="1225"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民办教育发展专项资金</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用于民一、新纪元、盛源等学校特色创建或专项经费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3,000,000.00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0.00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 xml:space="preserve">3,000,000.00 </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建议尽快出台管理办法，按照办法下拨资金到学校。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9</w:t>
            </w:r>
          </w:p>
        </w:tc>
        <w:tc>
          <w:tcPr>
            <w:tcW w:w="1225" w:type="dxa"/>
            <w:vMerge w:val="restart"/>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民办非学历教育机构管理经费</w:t>
            </w: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民办非学历教育机构新设、变更、年检检查等委托评估费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200,000.00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200,000.00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744" w:type="dxa"/>
            <w:shd w:val="clear" w:color="auto" w:fill="auto"/>
            <w:vAlign w:val="center"/>
          </w:tcPr>
          <w:p>
            <w:pPr>
              <w:snapToGrid w:val="0"/>
              <w:spacing w:line="240" w:lineRule="atLeast"/>
              <w:jc w:val="center"/>
              <w:rPr>
                <w:rFonts w:ascii="仿宋_GB2312" w:hAnsi="等线" w:eastAsia="仿宋_GB2312"/>
                <w:color w:val="000000"/>
                <w:sz w:val="18"/>
                <w:szCs w:val="18"/>
              </w:rPr>
            </w:pPr>
            <w:r>
              <w:rPr>
                <w:rFonts w:hint="eastAsia" w:ascii="仿宋_GB2312" w:hAnsi="等线" w:eastAsia="仿宋_GB2312"/>
                <w:color w:val="000000"/>
                <w:sz w:val="18"/>
                <w:szCs w:val="18"/>
              </w:rPr>
              <w:t>10</w:t>
            </w:r>
          </w:p>
        </w:tc>
        <w:tc>
          <w:tcPr>
            <w:tcW w:w="1225" w:type="dxa"/>
            <w:vMerge w:val="continue"/>
            <w:vAlign w:val="center"/>
          </w:tcPr>
          <w:p>
            <w:pPr>
              <w:snapToGrid w:val="0"/>
              <w:spacing w:line="240" w:lineRule="atLeast"/>
              <w:rPr>
                <w:rFonts w:ascii="仿宋_GB2312" w:hAnsi="等线" w:eastAsia="仿宋_GB2312"/>
                <w:color w:val="000000"/>
                <w:sz w:val="18"/>
                <w:szCs w:val="18"/>
              </w:rPr>
            </w:pPr>
          </w:p>
        </w:tc>
        <w:tc>
          <w:tcPr>
            <w:tcW w:w="1712"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全区培训市场综合治理工作相关工作经费</w:t>
            </w:r>
          </w:p>
        </w:tc>
        <w:tc>
          <w:tcPr>
            <w:tcW w:w="1396"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1439"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0</w:t>
            </w:r>
          </w:p>
        </w:tc>
        <w:tc>
          <w:tcPr>
            <w:tcW w:w="1701" w:type="dxa"/>
            <w:shd w:val="clear" w:color="auto" w:fill="auto"/>
            <w:vAlign w:val="center"/>
          </w:tcPr>
          <w:p>
            <w:pPr>
              <w:snapToGrid w:val="0"/>
              <w:spacing w:line="240" w:lineRule="atLeast"/>
              <w:jc w:val="right"/>
              <w:rPr>
                <w:rFonts w:ascii="仿宋_GB2312" w:hAnsi="等线" w:eastAsia="仿宋_GB2312"/>
                <w:color w:val="000000"/>
                <w:sz w:val="18"/>
                <w:szCs w:val="18"/>
              </w:rPr>
            </w:pPr>
            <w:r>
              <w:rPr>
                <w:rFonts w:hint="eastAsia" w:ascii="仿宋_GB2312" w:hAnsi="等线" w:eastAsia="仿宋_GB2312"/>
                <w:color w:val="000000"/>
                <w:sz w:val="18"/>
                <w:szCs w:val="18"/>
              </w:rPr>
              <w:t>10,000.00</w:t>
            </w:r>
          </w:p>
        </w:tc>
        <w:tc>
          <w:tcPr>
            <w:tcW w:w="2724" w:type="dxa"/>
            <w:shd w:val="clear" w:color="auto" w:fill="auto"/>
            <w:vAlign w:val="center"/>
          </w:tcPr>
          <w:p>
            <w:pPr>
              <w:snapToGrid w:val="0"/>
              <w:spacing w:line="240" w:lineRule="atLeast"/>
              <w:jc w:val="both"/>
              <w:rPr>
                <w:rFonts w:ascii="仿宋_GB2312" w:hAnsi="等线" w:eastAsia="仿宋_GB2312"/>
                <w:color w:val="000000"/>
                <w:sz w:val="18"/>
                <w:szCs w:val="18"/>
              </w:rPr>
            </w:pPr>
            <w:r>
              <w:rPr>
                <w:rFonts w:hint="eastAsia" w:ascii="仿宋_GB2312" w:hAnsi="等线" w:eastAsia="仿宋_GB2312"/>
                <w:color w:val="000000"/>
                <w:sz w:val="18"/>
                <w:szCs w:val="18"/>
              </w:rPr>
              <w:t>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3681" w:type="dxa"/>
            <w:gridSpan w:val="3"/>
            <w:shd w:val="clear" w:color="auto" w:fill="auto"/>
            <w:vAlign w:val="center"/>
          </w:tcPr>
          <w:p>
            <w:pPr>
              <w:snapToGrid w:val="0"/>
              <w:spacing w:line="240" w:lineRule="atLeast"/>
              <w:jc w:val="both"/>
              <w:rPr>
                <w:rFonts w:ascii="仿宋_GB2312" w:hAnsi="等线" w:eastAsia="仿宋_GB2312"/>
                <w:b/>
                <w:bCs/>
                <w:color w:val="000000"/>
                <w:sz w:val="18"/>
                <w:szCs w:val="18"/>
              </w:rPr>
            </w:pPr>
            <w:r>
              <w:rPr>
                <w:rFonts w:hint="eastAsia" w:ascii="仿宋_GB2312" w:hAnsi="等线" w:eastAsia="仿宋_GB2312"/>
                <w:b/>
                <w:bCs/>
                <w:color w:val="000000"/>
                <w:sz w:val="18"/>
                <w:szCs w:val="18"/>
              </w:rPr>
              <w:t>合计</w:t>
            </w:r>
          </w:p>
        </w:tc>
        <w:tc>
          <w:tcPr>
            <w:tcW w:w="1396" w:type="dxa"/>
            <w:shd w:val="clear" w:color="auto" w:fill="auto"/>
            <w:vAlign w:val="center"/>
          </w:tcPr>
          <w:p>
            <w:pPr>
              <w:snapToGrid w:val="0"/>
              <w:spacing w:line="240" w:lineRule="atLeast"/>
              <w:jc w:val="right"/>
              <w:rPr>
                <w:rFonts w:ascii="仿宋_GB2312" w:hAnsi="等线" w:eastAsia="仿宋_GB2312"/>
                <w:b/>
                <w:bCs/>
                <w:color w:val="000000"/>
                <w:sz w:val="18"/>
                <w:szCs w:val="18"/>
              </w:rPr>
            </w:pPr>
            <w:r>
              <w:rPr>
                <w:rFonts w:hint="eastAsia" w:ascii="仿宋_GB2312" w:hAnsi="等线" w:eastAsia="仿宋_GB2312"/>
                <w:b/>
                <w:bCs/>
                <w:color w:val="000000"/>
                <w:sz w:val="18"/>
                <w:szCs w:val="18"/>
              </w:rPr>
              <w:t>10,316,600.00</w:t>
            </w:r>
          </w:p>
        </w:tc>
        <w:tc>
          <w:tcPr>
            <w:tcW w:w="1439" w:type="dxa"/>
            <w:shd w:val="clear" w:color="auto" w:fill="auto"/>
            <w:vAlign w:val="center"/>
          </w:tcPr>
          <w:p>
            <w:pPr>
              <w:snapToGrid w:val="0"/>
              <w:spacing w:line="240" w:lineRule="atLeast"/>
              <w:jc w:val="right"/>
              <w:rPr>
                <w:rFonts w:ascii="仿宋_GB2312" w:hAnsi="等线" w:eastAsia="仿宋_GB2312"/>
                <w:b/>
                <w:bCs/>
                <w:color w:val="000000"/>
                <w:sz w:val="18"/>
                <w:szCs w:val="18"/>
              </w:rPr>
            </w:pPr>
            <w:r>
              <w:rPr>
                <w:rFonts w:hint="eastAsia" w:ascii="仿宋_GB2312" w:hAnsi="等线" w:eastAsia="仿宋_GB2312"/>
                <w:b/>
                <w:bCs/>
                <w:color w:val="000000"/>
                <w:sz w:val="18"/>
                <w:szCs w:val="18"/>
              </w:rPr>
              <w:t>-250,000.00</w:t>
            </w:r>
          </w:p>
        </w:tc>
        <w:tc>
          <w:tcPr>
            <w:tcW w:w="1701" w:type="dxa"/>
            <w:shd w:val="clear" w:color="auto" w:fill="auto"/>
            <w:vAlign w:val="center"/>
          </w:tcPr>
          <w:p>
            <w:pPr>
              <w:snapToGrid w:val="0"/>
              <w:spacing w:line="240" w:lineRule="atLeast"/>
              <w:jc w:val="right"/>
              <w:rPr>
                <w:rFonts w:ascii="仿宋_GB2312" w:hAnsi="等线" w:eastAsia="仿宋_GB2312"/>
                <w:b/>
                <w:bCs/>
                <w:color w:val="000000"/>
                <w:sz w:val="18"/>
                <w:szCs w:val="18"/>
              </w:rPr>
            </w:pPr>
            <w:r>
              <w:rPr>
                <w:rFonts w:hint="eastAsia" w:ascii="仿宋_GB2312" w:hAnsi="等线" w:eastAsia="仿宋_GB2312"/>
                <w:b/>
                <w:bCs/>
                <w:color w:val="000000"/>
                <w:sz w:val="18"/>
                <w:szCs w:val="18"/>
              </w:rPr>
              <w:t>10,066,600.00</w:t>
            </w:r>
          </w:p>
        </w:tc>
        <w:tc>
          <w:tcPr>
            <w:tcW w:w="2724" w:type="dxa"/>
            <w:shd w:val="clear" w:color="auto" w:fill="auto"/>
            <w:vAlign w:val="center"/>
          </w:tcPr>
          <w:p>
            <w:pPr>
              <w:snapToGrid w:val="0"/>
              <w:spacing w:line="240" w:lineRule="atLeast"/>
              <w:jc w:val="both"/>
              <w:rPr>
                <w:rFonts w:ascii="仿宋_GB2312" w:hAnsi="等线" w:eastAsia="仿宋_GB2312"/>
                <w:b/>
                <w:bCs/>
                <w:color w:val="000000"/>
                <w:sz w:val="18"/>
                <w:szCs w:val="18"/>
              </w:rPr>
            </w:pPr>
            <w:r>
              <w:rPr>
                <w:rFonts w:hint="eastAsia" w:ascii="仿宋_GB2312" w:hAnsi="等线" w:eastAsia="仿宋_GB2312"/>
                <w:b/>
                <w:bCs/>
                <w:color w:val="000000"/>
                <w:sz w:val="18"/>
                <w:szCs w:val="18"/>
              </w:rPr>
              <w:t>——</w:t>
            </w:r>
          </w:p>
        </w:tc>
      </w:tr>
      <w:bookmarkEnd w:id="66"/>
      <w:bookmarkEnd w:id="67"/>
    </w:tbl>
    <w:p>
      <w:pPr>
        <w:pStyle w:val="103"/>
        <w:ind w:firstLine="560"/>
      </w:pPr>
      <w:bookmarkStart w:id="81" w:name="_GoBack"/>
      <w:bookmarkEnd w:id="81"/>
    </w:p>
    <w:p>
      <w:pPr>
        <w:spacing w:line="600" w:lineRule="exact"/>
        <w:rPr>
          <w:rFonts w:ascii="仿宋_GB2312"/>
          <w:szCs w:val="32"/>
        </w:rPr>
      </w:pPr>
    </w:p>
    <w:p>
      <w:pPr>
        <w:spacing w:line="600" w:lineRule="exact"/>
        <w:rPr>
          <w:rFonts w:ascii="仿宋_GB2312"/>
          <w:szCs w:val="32"/>
        </w:rPr>
      </w:pPr>
    </w:p>
    <w:p>
      <w:pPr>
        <w:spacing w:line="600" w:lineRule="exact"/>
        <w:rPr>
          <w:rFonts w:ascii="仿宋_GB2312" w:cs="仿宋_GB2312"/>
          <w:szCs w:val="32"/>
        </w:rPr>
      </w:pPr>
    </w:p>
    <w:p>
      <w:pPr>
        <w:pStyle w:val="195"/>
        <w:spacing w:line="240" w:lineRule="auto"/>
        <w:ind w:firstLine="0" w:firstLineChars="0"/>
      </w:pPr>
    </w:p>
    <w:p>
      <w:pPr>
        <w:rPr>
          <w:kern w:val="2"/>
          <w:szCs w:val="32"/>
        </w:rPr>
      </w:pPr>
    </w:p>
    <w:p>
      <w:pPr>
        <w:pStyle w:val="195"/>
        <w:spacing w:line="520" w:lineRule="exact"/>
        <w:ind w:firstLine="0" w:firstLineChars="0"/>
        <w:rPr>
          <w:rFonts w:ascii="仿宋_GB2312"/>
          <w:b w:val="0"/>
          <w:bCs w:val="0"/>
          <w:sz w:val="28"/>
          <w:szCs w:val="28"/>
        </w:rPr>
      </w:pPr>
    </w:p>
    <w:p>
      <w:pPr>
        <w:pStyle w:val="195"/>
        <w:spacing w:line="520" w:lineRule="exact"/>
        <w:ind w:firstLine="0" w:firstLineChars="0"/>
        <w:rPr>
          <w:rFonts w:ascii="仿宋_GB2312"/>
          <w:b w:val="0"/>
          <w:bCs w:val="0"/>
          <w:sz w:val="28"/>
          <w:szCs w:val="28"/>
        </w:rPr>
      </w:pPr>
    </w:p>
    <w:p>
      <w:pPr>
        <w:pStyle w:val="195"/>
        <w:spacing w:line="520" w:lineRule="exact"/>
        <w:ind w:firstLine="0" w:firstLineChars="0"/>
        <w:rPr>
          <w:rFonts w:ascii="仿宋_GB2312"/>
          <w:b w:val="0"/>
          <w:bCs w:val="0"/>
          <w:sz w:val="28"/>
          <w:szCs w:val="28"/>
        </w:rPr>
      </w:pPr>
    </w:p>
    <w:sectPr>
      <w:headerReference r:id="rId23" w:type="default"/>
      <w:footerReference r:id="rId24" w:type="default"/>
      <w:pgSz w:w="11906" w:h="16838"/>
      <w:pgMar w:top="1440" w:right="1474" w:bottom="1440" w:left="1531"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font-weight : 400">
    <w:altName w:val="微软雅黑"/>
    <w:panose1 w:val="00000000000000000000"/>
    <w:charset w:val="00"/>
    <w:family w:val="auto"/>
    <w:pitch w:val="default"/>
    <w:sig w:usb0="00000000" w:usb1="00000000" w:usb2="00000000"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algun Gothic Semilight">
    <w:altName w:val="宋体"/>
    <w:panose1 w:val="020B0502040204020203"/>
    <w:charset w:val="86"/>
    <w:family w:val="swiss"/>
    <w:pitch w:val="default"/>
    <w:sig w:usb0="00000000" w:usb1="00000000" w:usb2="00000012" w:usb3="00000000" w:csb0="003E01BD"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0" w:firstLineChars="0"/>
      <w:rPr>
        <w:lang w:eastAsia="zh-CN"/>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12040" w:firstLineChars="4300"/>
      <w:rPr>
        <w:sz w:val="28"/>
        <w:szCs w:val="28"/>
      </w:rPr>
    </w:pPr>
    <w:r>
      <w:rPr>
        <w:rFonts w:hint="eastAsia"/>
        <w:sz w:val="28"/>
        <w:szCs w:val="28"/>
      </w:rPr>
      <w:t xml:space="preserve">— </w:t>
    </w:r>
    <w:r>
      <w:rPr>
        <w:rFonts w:hint="eastAsia" w:ascii="宋体"/>
        <w:sz w:val="28"/>
        <w:szCs w:val="28"/>
      </w:rPr>
      <w:fldChar w:fldCharType="begin"/>
    </w:r>
    <w:r>
      <w:rPr>
        <w:rStyle w:val="34"/>
        <w:rFonts w:hint="eastAsia" w:ascii="宋体"/>
        <w:sz w:val="28"/>
        <w:szCs w:val="28"/>
      </w:rPr>
      <w:instrText xml:space="preserve"> PAGE </w:instrText>
    </w:r>
    <w:r>
      <w:rPr>
        <w:rFonts w:hint="eastAsia" w:ascii="宋体"/>
        <w:sz w:val="28"/>
        <w:szCs w:val="28"/>
      </w:rPr>
      <w:fldChar w:fldCharType="separate"/>
    </w:r>
    <w:r>
      <w:rPr>
        <w:rStyle w:val="34"/>
        <w:rFonts w:ascii="宋体"/>
        <w:sz w:val="28"/>
        <w:szCs w:val="28"/>
      </w:rPr>
      <w:t>234</w:t>
    </w:r>
    <w:r>
      <w:rPr>
        <w:rFonts w:hint="eastAsia" w:ascii="宋体"/>
        <w:sz w:val="28"/>
        <w:szCs w:val="28"/>
      </w:rPr>
      <w:fldChar w:fldCharType="end"/>
    </w:r>
    <w:r>
      <w:rPr>
        <w:rStyle w:val="34"/>
        <w:rFonts w:hint="eastAsia" w:asci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0" w:firstLineChars="0"/>
      <w:rPr>
        <w:lang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0763153"/>
      <w:docPartObj>
        <w:docPartGallery w:val="autotext"/>
      </w:docPartObj>
    </w:sdtPr>
    <w:sdtContent>
      <w:p>
        <w:pPr>
          <w:pStyle w:val="20"/>
          <w:ind w:firstLine="360"/>
          <w:jc w:val="center"/>
        </w:pPr>
        <w:r>
          <w:fldChar w:fldCharType="begin"/>
        </w:r>
        <w:r>
          <w:instrText xml:space="preserve">PAGE   \* MERGEFORMAT</w:instrText>
        </w:r>
        <w:r>
          <w:fldChar w:fldCharType="separate"/>
        </w:r>
        <w:r>
          <w:rPr>
            <w:lang w:val="zh-CN" w:eastAsia="zh-CN"/>
          </w:rPr>
          <w:t>12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691792"/>
    </w:sdtPr>
    <w:sdtContent>
      <w:p>
        <w:pPr>
          <w:pStyle w:val="20"/>
          <w:ind w:firstLine="360"/>
          <w:jc w:val="center"/>
        </w:pPr>
        <w:r>
          <w:fldChar w:fldCharType="begin"/>
        </w:r>
        <w:r>
          <w:instrText xml:space="preserve">PAGE   \* MERGEFORMAT</w:instrText>
        </w:r>
        <w:r>
          <w:fldChar w:fldCharType="separate"/>
        </w:r>
        <w:r>
          <w:rPr>
            <w:lang w:val="zh-CN"/>
          </w:rPr>
          <w:t>18</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5"/>
        <w:ind w:firstLine="360"/>
        <w:rPr>
          <w:lang w:eastAsia="zh-CN"/>
        </w:rPr>
      </w:pPr>
      <w:r>
        <w:rPr>
          <w:rStyle w:val="39"/>
        </w:rPr>
        <w:footnoteRef/>
      </w:r>
      <w:r>
        <w:rPr>
          <w:lang w:eastAsia="zh-CN"/>
        </w:rPr>
        <w:t xml:space="preserve"> </w:t>
      </w:r>
      <w:r>
        <w:rPr>
          <w:rFonts w:hint="eastAsia"/>
          <w:lang w:eastAsia="zh-CN"/>
        </w:rPr>
        <w:t>内涵发展主要是聚焦市教委、区委、区政府重点工作，围绕生态教育发展目标，服务崇明经济社会发展要求，大力提升终身教育服务能力，不断深化学习型社会建设，提高培训市场治理成效，推动终身教育现代化取得新成就。</w:t>
      </w:r>
    </w:p>
  </w:footnote>
  <w:footnote w:id="1">
    <w:p>
      <w:pPr>
        <w:pStyle w:val="25"/>
        <w:ind w:firstLine="360"/>
        <w:rPr>
          <w:lang w:eastAsia="zh-CN"/>
        </w:rPr>
      </w:pPr>
      <w:r>
        <w:rPr>
          <w:rStyle w:val="39"/>
        </w:rPr>
        <w:footnoteRef/>
      </w:r>
      <w:r>
        <w:rPr>
          <w:lang w:eastAsia="zh-CN"/>
        </w:rPr>
        <w:t xml:space="preserve"> </w:t>
      </w:r>
      <w:r>
        <w:rPr>
          <w:rFonts w:hint="eastAsia"/>
          <w:lang w:eastAsia="zh-CN"/>
        </w:rPr>
        <w:t>包含老年教育三类学习点建设经费、终身教育经费和学促办工作经费三个子项目。</w:t>
      </w:r>
    </w:p>
  </w:footnote>
  <w:footnote w:id="2">
    <w:p>
      <w:pPr>
        <w:pStyle w:val="25"/>
        <w:ind w:firstLine="360"/>
        <w:rPr>
          <w:lang w:eastAsia="zh-CN"/>
        </w:rPr>
      </w:pPr>
      <w:r>
        <w:rPr>
          <w:rStyle w:val="39"/>
        </w:rPr>
        <w:footnoteRef/>
      </w:r>
      <w:r>
        <w:rPr>
          <w:lang w:eastAsia="zh-CN"/>
        </w:rPr>
        <w:t xml:space="preserve"> </w:t>
      </w:r>
      <w:r>
        <w:rPr>
          <w:rFonts w:hint="eastAsia"/>
          <w:lang w:eastAsia="zh-CN"/>
        </w:rPr>
        <w:t>包含民办学校学生公用经费补助、民办教育发展专项资金和民办非学历教育机构管理经费三个子项目。</w:t>
      </w:r>
    </w:p>
  </w:footnote>
  <w:footnote w:id="3">
    <w:p>
      <w:pPr>
        <w:pStyle w:val="25"/>
        <w:ind w:firstLine="360"/>
        <w:rPr>
          <w:lang w:eastAsia="zh-CN"/>
        </w:rPr>
      </w:pPr>
      <w:r>
        <w:rPr>
          <w:rStyle w:val="39"/>
        </w:rPr>
        <w:footnoteRef/>
      </w:r>
      <w:r>
        <w:rPr>
          <w:lang w:eastAsia="zh-CN"/>
        </w:rPr>
        <w:t xml:space="preserve"> 上海市崇明区堡镇成人中等文化技术学校、上海市崇明区城桥镇成人中等文化技术学校、上海市崇明区陈家镇成人中等文化技术学校、上海市崇明区新河镇成人中等文化技术学校、上海市崇明区庙镇成人中等文化技术学校和上海市崇明区长兴镇成人中等文化技术学校（简称堡镇成校、城桥成校、陈家镇成校、新河成校、庙镇成校、长兴成校）</w:t>
      </w:r>
      <w:r>
        <w:rPr>
          <w:rFonts w:hint="eastAsia"/>
          <w:lang w:eastAsia="zh-CN"/>
        </w:rPr>
        <w:t>。</w:t>
      </w:r>
    </w:p>
  </w:footnote>
  <w:footnote w:id="4">
    <w:p>
      <w:pPr>
        <w:pStyle w:val="25"/>
        <w:ind w:firstLine="360"/>
        <w:rPr>
          <w:lang w:eastAsia="zh-CN"/>
        </w:rPr>
      </w:pPr>
      <w:r>
        <w:rPr>
          <w:rStyle w:val="39"/>
        </w:rPr>
        <w:footnoteRef/>
      </w:r>
      <w:r>
        <w:rPr>
          <w:lang w:eastAsia="zh-CN"/>
        </w:rPr>
        <w:t xml:space="preserve"> </w:t>
      </w:r>
      <w:r>
        <w:rPr>
          <w:rFonts w:hint="eastAsia"/>
          <w:lang w:eastAsia="zh-CN"/>
        </w:rPr>
        <w:t>根据《上海市教育委员会</w:t>
      </w:r>
      <w:r>
        <w:rPr>
          <w:lang w:eastAsia="zh-CN"/>
        </w:rPr>
        <w:t xml:space="preserve"> 上海市民政局 上海市老龄工作委员会办公室关于印发2022年上海市老年数字教育进社区行动工作方案的通知》</w:t>
      </w:r>
      <w:r>
        <w:rPr>
          <w:rFonts w:hint="eastAsia"/>
          <w:lang w:eastAsia="zh-CN"/>
        </w:rPr>
        <w:t>（沪教委终〔</w:t>
      </w:r>
      <w:r>
        <w:rPr>
          <w:lang w:eastAsia="zh-CN"/>
        </w:rPr>
        <w:t>2022〕11号</w:t>
      </w:r>
      <w:r>
        <w:rPr>
          <w:rFonts w:hint="eastAsia"/>
          <w:lang w:eastAsia="zh-CN"/>
        </w:rPr>
        <w:t>）要求，</w:t>
      </w:r>
      <w:r>
        <w:rPr>
          <w:lang w:eastAsia="zh-CN"/>
        </w:rPr>
        <w:t>2022年9月开始准备工作，10月正式启动，为期2个月左右。</w:t>
      </w:r>
      <w:r>
        <w:rPr>
          <w:rFonts w:hint="eastAsia"/>
          <w:lang w:eastAsia="zh-CN"/>
        </w:rPr>
        <w:t>要求征集和遴选一批优质智慧助老资源，形成课程清单和学习材料。各区社区学院等做好资源征集的组织工作，并进行初审，审核通过的课程资源统一上传至上海学习网资源征集专题栏目。故安排专家评审费和数字教育课程资源制作费。</w:t>
      </w:r>
    </w:p>
  </w:footnote>
  <w:footnote w:id="5">
    <w:p>
      <w:pPr>
        <w:pStyle w:val="25"/>
        <w:ind w:firstLine="0" w:firstLineChars="0"/>
        <w:jc w:val="left"/>
        <w:rPr>
          <w:lang w:eastAsia="zh-CN"/>
        </w:rPr>
      </w:pPr>
      <w:r>
        <w:rPr>
          <w:rStyle w:val="39"/>
        </w:rPr>
        <w:footnoteRef/>
      </w:r>
      <w:r>
        <w:rPr>
          <w:lang w:eastAsia="zh-CN"/>
        </w:rPr>
        <w:t xml:space="preserve"> </w:t>
      </w:r>
      <w:r>
        <w:rPr>
          <w:rFonts w:hint="eastAsia"/>
          <w:lang w:eastAsia="zh-CN"/>
        </w:rPr>
        <w:t>生均年2</w:t>
      </w:r>
      <w:r>
        <w:rPr>
          <w:lang w:eastAsia="zh-CN"/>
        </w:rPr>
        <w:t>200</w:t>
      </w:r>
      <w:r>
        <w:rPr>
          <w:rFonts w:hint="eastAsia"/>
          <w:lang w:eastAsia="zh-CN"/>
        </w:rPr>
        <w:t>元即1</w:t>
      </w:r>
      <w:r>
        <w:rPr>
          <w:lang w:eastAsia="zh-CN"/>
        </w:rPr>
        <w:t>100</w:t>
      </w:r>
      <w:r>
        <w:rPr>
          <w:rFonts w:hint="eastAsia"/>
          <w:lang w:eastAsia="zh-CN"/>
        </w:rPr>
        <w:t>元/生/学期；</w:t>
      </w:r>
    </w:p>
  </w:footnote>
  <w:footnote w:id="6">
    <w:p>
      <w:pPr>
        <w:pStyle w:val="25"/>
        <w:ind w:firstLine="0" w:firstLineChars="0"/>
        <w:jc w:val="left"/>
        <w:rPr>
          <w:lang w:eastAsia="zh-CN"/>
        </w:rPr>
      </w:pPr>
      <w:r>
        <w:rPr>
          <w:rStyle w:val="39"/>
        </w:rPr>
        <w:footnoteRef/>
      </w:r>
      <w:r>
        <w:rPr>
          <w:lang w:eastAsia="zh-CN"/>
        </w:rPr>
        <w:t xml:space="preserve"> </w:t>
      </w:r>
      <w:r>
        <w:rPr>
          <w:rFonts w:hint="eastAsia"/>
          <w:lang w:eastAsia="zh-CN"/>
        </w:rPr>
        <w:t>生均年2</w:t>
      </w:r>
      <w:r>
        <w:rPr>
          <w:lang w:eastAsia="zh-CN"/>
        </w:rPr>
        <w:t>100</w:t>
      </w:r>
      <w:r>
        <w:rPr>
          <w:rFonts w:hint="eastAsia"/>
          <w:lang w:eastAsia="zh-CN"/>
        </w:rPr>
        <w:t>元即1</w:t>
      </w:r>
      <w:r>
        <w:rPr>
          <w:lang w:eastAsia="zh-CN"/>
        </w:rPr>
        <w:t>050</w:t>
      </w:r>
      <w:r>
        <w:rPr>
          <w:rFonts w:hint="eastAsia"/>
          <w:lang w:eastAsia="zh-CN"/>
        </w:rPr>
        <w:t>元/生/学期；</w:t>
      </w:r>
    </w:p>
  </w:footnote>
  <w:footnote w:id="7">
    <w:p>
      <w:pPr>
        <w:pStyle w:val="25"/>
        <w:ind w:firstLine="0" w:firstLineChars="0"/>
        <w:jc w:val="left"/>
        <w:rPr>
          <w:lang w:eastAsia="zh-CN"/>
        </w:rPr>
      </w:pPr>
      <w:r>
        <w:rPr>
          <w:rStyle w:val="39"/>
        </w:rPr>
        <w:footnoteRef/>
      </w:r>
      <w:r>
        <w:rPr>
          <w:lang w:eastAsia="zh-CN"/>
        </w:rPr>
        <w:t xml:space="preserve"> </w:t>
      </w:r>
      <w:r>
        <w:rPr>
          <w:color w:val="000000" w:themeColor="text1"/>
          <w:lang w:eastAsia="zh-CN"/>
          <w14:textFill>
            <w14:solidFill>
              <w14:schemeClr w14:val="tx1"/>
            </w14:solidFill>
          </w14:textFill>
        </w:rPr>
        <w:t>寄宿生年生均200元标准</w:t>
      </w:r>
      <w:r>
        <w:rPr>
          <w:rFonts w:hint="eastAsia"/>
          <w:color w:val="000000" w:themeColor="text1"/>
          <w:lang w:eastAsia="zh-CN"/>
          <w14:textFill>
            <w14:solidFill>
              <w14:schemeClr w14:val="tx1"/>
            </w14:solidFill>
          </w14:textFill>
        </w:rPr>
        <w:t>即1</w:t>
      </w:r>
      <w:r>
        <w:rPr>
          <w:color w:val="000000" w:themeColor="text1"/>
          <w:lang w:eastAsia="zh-CN"/>
          <w14:textFill>
            <w14:solidFill>
              <w14:schemeClr w14:val="tx1"/>
            </w14:solidFill>
          </w14:textFill>
        </w:rPr>
        <w:t>00</w:t>
      </w:r>
      <w:r>
        <w:rPr>
          <w:rFonts w:hint="eastAsia"/>
          <w:color w:val="000000" w:themeColor="text1"/>
          <w:lang w:eastAsia="zh-CN"/>
          <w14:textFill>
            <w14:solidFill>
              <w14:schemeClr w14:val="tx1"/>
            </w14:solidFill>
          </w14:textFill>
        </w:rPr>
        <w:t>元/生/学期。</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hideSpellingErrors/>
  <w:documentProtection w:enforcement="0"/>
  <w:defaultTabStop w:val="420"/>
  <w:drawingGridHorizontalSpacing w:val="120"/>
  <w:drawingGridVerticalSpacing w:val="435"/>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99B"/>
    <w:rsid w:val="00003308"/>
    <w:rsid w:val="00004D54"/>
    <w:rsid w:val="00005389"/>
    <w:rsid w:val="00005754"/>
    <w:rsid w:val="000059EF"/>
    <w:rsid w:val="00006299"/>
    <w:rsid w:val="0000691A"/>
    <w:rsid w:val="0000733E"/>
    <w:rsid w:val="00010016"/>
    <w:rsid w:val="00011287"/>
    <w:rsid w:val="000132C5"/>
    <w:rsid w:val="00013827"/>
    <w:rsid w:val="00013C5F"/>
    <w:rsid w:val="00013CFA"/>
    <w:rsid w:val="000141C2"/>
    <w:rsid w:val="00014C81"/>
    <w:rsid w:val="00014D0D"/>
    <w:rsid w:val="00015723"/>
    <w:rsid w:val="00015BAF"/>
    <w:rsid w:val="000160A9"/>
    <w:rsid w:val="00016B96"/>
    <w:rsid w:val="00016E36"/>
    <w:rsid w:val="00016E6F"/>
    <w:rsid w:val="00017AA6"/>
    <w:rsid w:val="00020419"/>
    <w:rsid w:val="00020EF0"/>
    <w:rsid w:val="00022777"/>
    <w:rsid w:val="00023192"/>
    <w:rsid w:val="00023623"/>
    <w:rsid w:val="00024521"/>
    <w:rsid w:val="00024A44"/>
    <w:rsid w:val="00024B4D"/>
    <w:rsid w:val="00025377"/>
    <w:rsid w:val="000259FD"/>
    <w:rsid w:val="000264BE"/>
    <w:rsid w:val="000273BE"/>
    <w:rsid w:val="0002741C"/>
    <w:rsid w:val="00030C6E"/>
    <w:rsid w:val="00031586"/>
    <w:rsid w:val="00031EA6"/>
    <w:rsid w:val="000320AA"/>
    <w:rsid w:val="000326D1"/>
    <w:rsid w:val="00032C5E"/>
    <w:rsid w:val="0003308A"/>
    <w:rsid w:val="00033C52"/>
    <w:rsid w:val="00034029"/>
    <w:rsid w:val="00034417"/>
    <w:rsid w:val="00034D8E"/>
    <w:rsid w:val="00035DEE"/>
    <w:rsid w:val="0003638D"/>
    <w:rsid w:val="00036C9D"/>
    <w:rsid w:val="00037A83"/>
    <w:rsid w:val="00040A21"/>
    <w:rsid w:val="00041C2F"/>
    <w:rsid w:val="000420A0"/>
    <w:rsid w:val="000420FD"/>
    <w:rsid w:val="00043725"/>
    <w:rsid w:val="00043BD7"/>
    <w:rsid w:val="00043C93"/>
    <w:rsid w:val="00043CDB"/>
    <w:rsid w:val="00043D1D"/>
    <w:rsid w:val="000445BF"/>
    <w:rsid w:val="00044F45"/>
    <w:rsid w:val="000458CD"/>
    <w:rsid w:val="00045F77"/>
    <w:rsid w:val="00047268"/>
    <w:rsid w:val="00050636"/>
    <w:rsid w:val="0005142B"/>
    <w:rsid w:val="00052126"/>
    <w:rsid w:val="00052576"/>
    <w:rsid w:val="00053548"/>
    <w:rsid w:val="00053719"/>
    <w:rsid w:val="000538D5"/>
    <w:rsid w:val="00053D79"/>
    <w:rsid w:val="00053FA0"/>
    <w:rsid w:val="00053FDC"/>
    <w:rsid w:val="00054821"/>
    <w:rsid w:val="00055AF7"/>
    <w:rsid w:val="00055D8E"/>
    <w:rsid w:val="00060802"/>
    <w:rsid w:val="000624A8"/>
    <w:rsid w:val="0006286A"/>
    <w:rsid w:val="00063BF5"/>
    <w:rsid w:val="000641F4"/>
    <w:rsid w:val="00064C80"/>
    <w:rsid w:val="00065218"/>
    <w:rsid w:val="00065490"/>
    <w:rsid w:val="000661A7"/>
    <w:rsid w:val="00066AC9"/>
    <w:rsid w:val="00067968"/>
    <w:rsid w:val="00067DCA"/>
    <w:rsid w:val="0007000D"/>
    <w:rsid w:val="00070523"/>
    <w:rsid w:val="0007120A"/>
    <w:rsid w:val="00071D57"/>
    <w:rsid w:val="000730C3"/>
    <w:rsid w:val="00073407"/>
    <w:rsid w:val="00073942"/>
    <w:rsid w:val="00074011"/>
    <w:rsid w:val="00076256"/>
    <w:rsid w:val="00077DE3"/>
    <w:rsid w:val="00080A1D"/>
    <w:rsid w:val="00080E8A"/>
    <w:rsid w:val="000810C7"/>
    <w:rsid w:val="000816DC"/>
    <w:rsid w:val="0008185D"/>
    <w:rsid w:val="000828F0"/>
    <w:rsid w:val="000836A5"/>
    <w:rsid w:val="000839B6"/>
    <w:rsid w:val="000842BA"/>
    <w:rsid w:val="0008580F"/>
    <w:rsid w:val="00087436"/>
    <w:rsid w:val="000909D6"/>
    <w:rsid w:val="00090DB7"/>
    <w:rsid w:val="00091015"/>
    <w:rsid w:val="000916B8"/>
    <w:rsid w:val="000916C7"/>
    <w:rsid w:val="000916FF"/>
    <w:rsid w:val="00091ECB"/>
    <w:rsid w:val="00092A69"/>
    <w:rsid w:val="00093A44"/>
    <w:rsid w:val="00093B6C"/>
    <w:rsid w:val="00094616"/>
    <w:rsid w:val="0009462B"/>
    <w:rsid w:val="0009476A"/>
    <w:rsid w:val="00094C0C"/>
    <w:rsid w:val="00094D58"/>
    <w:rsid w:val="00094D7C"/>
    <w:rsid w:val="00094F0E"/>
    <w:rsid w:val="000952EA"/>
    <w:rsid w:val="00095472"/>
    <w:rsid w:val="00095B08"/>
    <w:rsid w:val="00096D9F"/>
    <w:rsid w:val="000972FB"/>
    <w:rsid w:val="0009784F"/>
    <w:rsid w:val="000A08B2"/>
    <w:rsid w:val="000A2A5B"/>
    <w:rsid w:val="000A2CB3"/>
    <w:rsid w:val="000A2E29"/>
    <w:rsid w:val="000A3248"/>
    <w:rsid w:val="000A32C7"/>
    <w:rsid w:val="000A3539"/>
    <w:rsid w:val="000A3C4C"/>
    <w:rsid w:val="000A3E18"/>
    <w:rsid w:val="000A4868"/>
    <w:rsid w:val="000A489C"/>
    <w:rsid w:val="000A5E6D"/>
    <w:rsid w:val="000A5F74"/>
    <w:rsid w:val="000A6BB2"/>
    <w:rsid w:val="000A6FDE"/>
    <w:rsid w:val="000A7148"/>
    <w:rsid w:val="000B0241"/>
    <w:rsid w:val="000B046C"/>
    <w:rsid w:val="000B126D"/>
    <w:rsid w:val="000B170D"/>
    <w:rsid w:val="000B2382"/>
    <w:rsid w:val="000B23C5"/>
    <w:rsid w:val="000B2944"/>
    <w:rsid w:val="000B32A0"/>
    <w:rsid w:val="000B337A"/>
    <w:rsid w:val="000B338A"/>
    <w:rsid w:val="000B43E8"/>
    <w:rsid w:val="000B4A0C"/>
    <w:rsid w:val="000B4A30"/>
    <w:rsid w:val="000B4E8D"/>
    <w:rsid w:val="000B507A"/>
    <w:rsid w:val="000B573A"/>
    <w:rsid w:val="000B5E25"/>
    <w:rsid w:val="000B609B"/>
    <w:rsid w:val="000B6211"/>
    <w:rsid w:val="000B6293"/>
    <w:rsid w:val="000B693A"/>
    <w:rsid w:val="000B6A14"/>
    <w:rsid w:val="000C0C3F"/>
    <w:rsid w:val="000C15D0"/>
    <w:rsid w:val="000C20AD"/>
    <w:rsid w:val="000C29F5"/>
    <w:rsid w:val="000C30D4"/>
    <w:rsid w:val="000C4728"/>
    <w:rsid w:val="000C5558"/>
    <w:rsid w:val="000C5CC2"/>
    <w:rsid w:val="000C5E1B"/>
    <w:rsid w:val="000C5E60"/>
    <w:rsid w:val="000C6962"/>
    <w:rsid w:val="000C6FC8"/>
    <w:rsid w:val="000D008D"/>
    <w:rsid w:val="000D08C1"/>
    <w:rsid w:val="000D24AD"/>
    <w:rsid w:val="000D32F5"/>
    <w:rsid w:val="000D3D81"/>
    <w:rsid w:val="000D41DD"/>
    <w:rsid w:val="000D446C"/>
    <w:rsid w:val="000D4ACA"/>
    <w:rsid w:val="000D544D"/>
    <w:rsid w:val="000D63B1"/>
    <w:rsid w:val="000D6DBD"/>
    <w:rsid w:val="000E000C"/>
    <w:rsid w:val="000E07B1"/>
    <w:rsid w:val="000E12EB"/>
    <w:rsid w:val="000E15A4"/>
    <w:rsid w:val="000E1D19"/>
    <w:rsid w:val="000E2184"/>
    <w:rsid w:val="000E2BC7"/>
    <w:rsid w:val="000E399E"/>
    <w:rsid w:val="000E3E20"/>
    <w:rsid w:val="000E3F1D"/>
    <w:rsid w:val="000E3FA5"/>
    <w:rsid w:val="000E3FED"/>
    <w:rsid w:val="000E4B90"/>
    <w:rsid w:val="000E4DA2"/>
    <w:rsid w:val="000E55C6"/>
    <w:rsid w:val="000E5D0F"/>
    <w:rsid w:val="000E6E90"/>
    <w:rsid w:val="000E7635"/>
    <w:rsid w:val="000E7898"/>
    <w:rsid w:val="000E7A72"/>
    <w:rsid w:val="000E7E9C"/>
    <w:rsid w:val="000F0969"/>
    <w:rsid w:val="000F0AA6"/>
    <w:rsid w:val="000F0C8A"/>
    <w:rsid w:val="000F13A5"/>
    <w:rsid w:val="000F16F9"/>
    <w:rsid w:val="000F18AC"/>
    <w:rsid w:val="000F1F66"/>
    <w:rsid w:val="000F2377"/>
    <w:rsid w:val="000F340A"/>
    <w:rsid w:val="000F3A7C"/>
    <w:rsid w:val="000F3AC0"/>
    <w:rsid w:val="000F3EE4"/>
    <w:rsid w:val="000F61C7"/>
    <w:rsid w:val="000F687B"/>
    <w:rsid w:val="000F6BB8"/>
    <w:rsid w:val="000F6C01"/>
    <w:rsid w:val="000F7A76"/>
    <w:rsid w:val="00100334"/>
    <w:rsid w:val="001009C3"/>
    <w:rsid w:val="00101129"/>
    <w:rsid w:val="00101724"/>
    <w:rsid w:val="00101C24"/>
    <w:rsid w:val="001039F3"/>
    <w:rsid w:val="00103FAB"/>
    <w:rsid w:val="00104860"/>
    <w:rsid w:val="00104B0F"/>
    <w:rsid w:val="00107110"/>
    <w:rsid w:val="00107133"/>
    <w:rsid w:val="001105A8"/>
    <w:rsid w:val="001105B9"/>
    <w:rsid w:val="0011159F"/>
    <w:rsid w:val="001116E6"/>
    <w:rsid w:val="00111722"/>
    <w:rsid w:val="0011184B"/>
    <w:rsid w:val="001128CE"/>
    <w:rsid w:val="001131A5"/>
    <w:rsid w:val="001136ED"/>
    <w:rsid w:val="00113CCD"/>
    <w:rsid w:val="00113D46"/>
    <w:rsid w:val="00113EC5"/>
    <w:rsid w:val="00113F80"/>
    <w:rsid w:val="00114C6F"/>
    <w:rsid w:val="00114F8E"/>
    <w:rsid w:val="00115901"/>
    <w:rsid w:val="001163F3"/>
    <w:rsid w:val="00116581"/>
    <w:rsid w:val="00117C5E"/>
    <w:rsid w:val="00117E04"/>
    <w:rsid w:val="001205E3"/>
    <w:rsid w:val="00120AB2"/>
    <w:rsid w:val="00121A7B"/>
    <w:rsid w:val="00121F88"/>
    <w:rsid w:val="0012247F"/>
    <w:rsid w:val="001225E9"/>
    <w:rsid w:val="00122766"/>
    <w:rsid w:val="00122938"/>
    <w:rsid w:val="0012317D"/>
    <w:rsid w:val="00123C70"/>
    <w:rsid w:val="00123EC9"/>
    <w:rsid w:val="00124781"/>
    <w:rsid w:val="00124C29"/>
    <w:rsid w:val="00124F4D"/>
    <w:rsid w:val="00125372"/>
    <w:rsid w:val="00126CF6"/>
    <w:rsid w:val="00126EE6"/>
    <w:rsid w:val="00127212"/>
    <w:rsid w:val="00127807"/>
    <w:rsid w:val="00127835"/>
    <w:rsid w:val="001317C7"/>
    <w:rsid w:val="00131CF9"/>
    <w:rsid w:val="001320A4"/>
    <w:rsid w:val="001337EF"/>
    <w:rsid w:val="001349BC"/>
    <w:rsid w:val="00134F71"/>
    <w:rsid w:val="00135686"/>
    <w:rsid w:val="00135760"/>
    <w:rsid w:val="00135C26"/>
    <w:rsid w:val="00135F88"/>
    <w:rsid w:val="00136141"/>
    <w:rsid w:val="001367BE"/>
    <w:rsid w:val="001368E3"/>
    <w:rsid w:val="00136D47"/>
    <w:rsid w:val="00137373"/>
    <w:rsid w:val="00137CA5"/>
    <w:rsid w:val="00137EFC"/>
    <w:rsid w:val="001400CD"/>
    <w:rsid w:val="00140758"/>
    <w:rsid w:val="0014111C"/>
    <w:rsid w:val="00141E27"/>
    <w:rsid w:val="001432D9"/>
    <w:rsid w:val="0014378B"/>
    <w:rsid w:val="0014597A"/>
    <w:rsid w:val="00147153"/>
    <w:rsid w:val="001472D1"/>
    <w:rsid w:val="001513FC"/>
    <w:rsid w:val="0015158B"/>
    <w:rsid w:val="00152394"/>
    <w:rsid w:val="00152ADC"/>
    <w:rsid w:val="00152E8D"/>
    <w:rsid w:val="001556BE"/>
    <w:rsid w:val="00155B06"/>
    <w:rsid w:val="00155E24"/>
    <w:rsid w:val="00156203"/>
    <w:rsid w:val="00156841"/>
    <w:rsid w:val="0015703B"/>
    <w:rsid w:val="00157541"/>
    <w:rsid w:val="0016072E"/>
    <w:rsid w:val="00161146"/>
    <w:rsid w:val="00161300"/>
    <w:rsid w:val="0016154D"/>
    <w:rsid w:val="00161B04"/>
    <w:rsid w:val="00163871"/>
    <w:rsid w:val="00163E84"/>
    <w:rsid w:val="00164F53"/>
    <w:rsid w:val="00165143"/>
    <w:rsid w:val="00165215"/>
    <w:rsid w:val="00165896"/>
    <w:rsid w:val="001666EB"/>
    <w:rsid w:val="0016721A"/>
    <w:rsid w:val="0016743D"/>
    <w:rsid w:val="00167601"/>
    <w:rsid w:val="00167A46"/>
    <w:rsid w:val="00171CCB"/>
    <w:rsid w:val="00171E1F"/>
    <w:rsid w:val="001720F3"/>
    <w:rsid w:val="00172523"/>
    <w:rsid w:val="00172848"/>
    <w:rsid w:val="00172BFB"/>
    <w:rsid w:val="00172F1D"/>
    <w:rsid w:val="0017379C"/>
    <w:rsid w:val="00174456"/>
    <w:rsid w:val="001744EC"/>
    <w:rsid w:val="00175AF0"/>
    <w:rsid w:val="001762C4"/>
    <w:rsid w:val="00176535"/>
    <w:rsid w:val="00176907"/>
    <w:rsid w:val="001769B7"/>
    <w:rsid w:val="00177EC1"/>
    <w:rsid w:val="00180407"/>
    <w:rsid w:val="00180F5E"/>
    <w:rsid w:val="001821E8"/>
    <w:rsid w:val="00183105"/>
    <w:rsid w:val="0018336C"/>
    <w:rsid w:val="001836FC"/>
    <w:rsid w:val="00183A6B"/>
    <w:rsid w:val="001846F2"/>
    <w:rsid w:val="00184FE1"/>
    <w:rsid w:val="0018653B"/>
    <w:rsid w:val="00186BC3"/>
    <w:rsid w:val="00186D7A"/>
    <w:rsid w:val="00187BAA"/>
    <w:rsid w:val="00187D52"/>
    <w:rsid w:val="00187DE4"/>
    <w:rsid w:val="00192589"/>
    <w:rsid w:val="00193206"/>
    <w:rsid w:val="00194705"/>
    <w:rsid w:val="00194953"/>
    <w:rsid w:val="00194F67"/>
    <w:rsid w:val="00195088"/>
    <w:rsid w:val="00195310"/>
    <w:rsid w:val="00195D69"/>
    <w:rsid w:val="00195DC6"/>
    <w:rsid w:val="0019616E"/>
    <w:rsid w:val="00197F3A"/>
    <w:rsid w:val="001A01BF"/>
    <w:rsid w:val="001A0BB8"/>
    <w:rsid w:val="001A1039"/>
    <w:rsid w:val="001A1156"/>
    <w:rsid w:val="001A1179"/>
    <w:rsid w:val="001A1806"/>
    <w:rsid w:val="001A2422"/>
    <w:rsid w:val="001A3004"/>
    <w:rsid w:val="001A43ED"/>
    <w:rsid w:val="001A45F1"/>
    <w:rsid w:val="001A4A1D"/>
    <w:rsid w:val="001A4B1A"/>
    <w:rsid w:val="001A4D0A"/>
    <w:rsid w:val="001A5D92"/>
    <w:rsid w:val="001A62E3"/>
    <w:rsid w:val="001A6EFF"/>
    <w:rsid w:val="001B006F"/>
    <w:rsid w:val="001B0798"/>
    <w:rsid w:val="001B1DB5"/>
    <w:rsid w:val="001B1EB8"/>
    <w:rsid w:val="001B24B6"/>
    <w:rsid w:val="001B3058"/>
    <w:rsid w:val="001B3FBE"/>
    <w:rsid w:val="001B4609"/>
    <w:rsid w:val="001B7BA3"/>
    <w:rsid w:val="001C0280"/>
    <w:rsid w:val="001C0E9E"/>
    <w:rsid w:val="001C21FB"/>
    <w:rsid w:val="001C2431"/>
    <w:rsid w:val="001C29FF"/>
    <w:rsid w:val="001C2AE4"/>
    <w:rsid w:val="001C3545"/>
    <w:rsid w:val="001C5483"/>
    <w:rsid w:val="001C5762"/>
    <w:rsid w:val="001C5B35"/>
    <w:rsid w:val="001C5EB2"/>
    <w:rsid w:val="001C6438"/>
    <w:rsid w:val="001C663E"/>
    <w:rsid w:val="001C67EE"/>
    <w:rsid w:val="001C682A"/>
    <w:rsid w:val="001C7E9E"/>
    <w:rsid w:val="001D02E0"/>
    <w:rsid w:val="001D299A"/>
    <w:rsid w:val="001D306E"/>
    <w:rsid w:val="001D3648"/>
    <w:rsid w:val="001D41C0"/>
    <w:rsid w:val="001D469A"/>
    <w:rsid w:val="001D4EA9"/>
    <w:rsid w:val="001D56DE"/>
    <w:rsid w:val="001D5F56"/>
    <w:rsid w:val="001D6764"/>
    <w:rsid w:val="001D732C"/>
    <w:rsid w:val="001D77F0"/>
    <w:rsid w:val="001D7A95"/>
    <w:rsid w:val="001E0576"/>
    <w:rsid w:val="001E0E62"/>
    <w:rsid w:val="001E16DD"/>
    <w:rsid w:val="001E3E4D"/>
    <w:rsid w:val="001E4098"/>
    <w:rsid w:val="001E621C"/>
    <w:rsid w:val="001E62FD"/>
    <w:rsid w:val="001E7346"/>
    <w:rsid w:val="001E78E1"/>
    <w:rsid w:val="001E7AB7"/>
    <w:rsid w:val="001F09BA"/>
    <w:rsid w:val="001F0E9A"/>
    <w:rsid w:val="001F2791"/>
    <w:rsid w:val="001F3053"/>
    <w:rsid w:val="001F36D6"/>
    <w:rsid w:val="001F47E3"/>
    <w:rsid w:val="001F4C1A"/>
    <w:rsid w:val="001F5ABC"/>
    <w:rsid w:val="001F6835"/>
    <w:rsid w:val="001F6A75"/>
    <w:rsid w:val="001F6EBC"/>
    <w:rsid w:val="001F7054"/>
    <w:rsid w:val="001F7780"/>
    <w:rsid w:val="001F787B"/>
    <w:rsid w:val="001F7B1A"/>
    <w:rsid w:val="001F7BF7"/>
    <w:rsid w:val="002013BB"/>
    <w:rsid w:val="0020201B"/>
    <w:rsid w:val="00202B59"/>
    <w:rsid w:val="00202D5A"/>
    <w:rsid w:val="00203763"/>
    <w:rsid w:val="00203B58"/>
    <w:rsid w:val="00203C12"/>
    <w:rsid w:val="00204367"/>
    <w:rsid w:val="002046CB"/>
    <w:rsid w:val="00205951"/>
    <w:rsid w:val="002061A1"/>
    <w:rsid w:val="002071AD"/>
    <w:rsid w:val="0020779D"/>
    <w:rsid w:val="002108FE"/>
    <w:rsid w:val="0021134E"/>
    <w:rsid w:val="00211663"/>
    <w:rsid w:val="00212115"/>
    <w:rsid w:val="00212FDC"/>
    <w:rsid w:val="0021369D"/>
    <w:rsid w:val="00214452"/>
    <w:rsid w:val="00214C94"/>
    <w:rsid w:val="0021513B"/>
    <w:rsid w:val="002155B9"/>
    <w:rsid w:val="00215D20"/>
    <w:rsid w:val="00216979"/>
    <w:rsid w:val="00216F04"/>
    <w:rsid w:val="00217609"/>
    <w:rsid w:val="0021773F"/>
    <w:rsid w:val="002205FA"/>
    <w:rsid w:val="00220C1A"/>
    <w:rsid w:val="002224C8"/>
    <w:rsid w:val="002226C2"/>
    <w:rsid w:val="0022335C"/>
    <w:rsid w:val="00223CE8"/>
    <w:rsid w:val="00223E2A"/>
    <w:rsid w:val="00224383"/>
    <w:rsid w:val="00224E81"/>
    <w:rsid w:val="00225539"/>
    <w:rsid w:val="0022641B"/>
    <w:rsid w:val="00226C5C"/>
    <w:rsid w:val="00227747"/>
    <w:rsid w:val="00227C80"/>
    <w:rsid w:val="00227DE3"/>
    <w:rsid w:val="00230871"/>
    <w:rsid w:val="00231C56"/>
    <w:rsid w:val="0023202E"/>
    <w:rsid w:val="002327D6"/>
    <w:rsid w:val="00232CD1"/>
    <w:rsid w:val="002336D4"/>
    <w:rsid w:val="002340C2"/>
    <w:rsid w:val="002340C4"/>
    <w:rsid w:val="00234DD0"/>
    <w:rsid w:val="00234FD7"/>
    <w:rsid w:val="0023525A"/>
    <w:rsid w:val="00235262"/>
    <w:rsid w:val="00235321"/>
    <w:rsid w:val="002355AD"/>
    <w:rsid w:val="00235AA8"/>
    <w:rsid w:val="002372D6"/>
    <w:rsid w:val="00237483"/>
    <w:rsid w:val="002402AB"/>
    <w:rsid w:val="00241096"/>
    <w:rsid w:val="00241448"/>
    <w:rsid w:val="00241470"/>
    <w:rsid w:val="00241793"/>
    <w:rsid w:val="00241A98"/>
    <w:rsid w:val="0024291E"/>
    <w:rsid w:val="00242F3D"/>
    <w:rsid w:val="00242F4C"/>
    <w:rsid w:val="002430F3"/>
    <w:rsid w:val="002439CB"/>
    <w:rsid w:val="00245513"/>
    <w:rsid w:val="002460F0"/>
    <w:rsid w:val="00246136"/>
    <w:rsid w:val="00246523"/>
    <w:rsid w:val="00246525"/>
    <w:rsid w:val="00246587"/>
    <w:rsid w:val="0024669B"/>
    <w:rsid w:val="00246C42"/>
    <w:rsid w:val="00246EC5"/>
    <w:rsid w:val="002470D1"/>
    <w:rsid w:val="0024763A"/>
    <w:rsid w:val="00250280"/>
    <w:rsid w:val="00252581"/>
    <w:rsid w:val="00252CC9"/>
    <w:rsid w:val="00253E65"/>
    <w:rsid w:val="00254501"/>
    <w:rsid w:val="00254C53"/>
    <w:rsid w:val="00255B1E"/>
    <w:rsid w:val="0025686C"/>
    <w:rsid w:val="00256D86"/>
    <w:rsid w:val="002574BA"/>
    <w:rsid w:val="00257DE9"/>
    <w:rsid w:val="00260548"/>
    <w:rsid w:val="00261A3C"/>
    <w:rsid w:val="00261F7D"/>
    <w:rsid w:val="002624BE"/>
    <w:rsid w:val="002629F2"/>
    <w:rsid w:val="00262DBF"/>
    <w:rsid w:val="0026336F"/>
    <w:rsid w:val="00264734"/>
    <w:rsid w:val="00264AE9"/>
    <w:rsid w:val="00265344"/>
    <w:rsid w:val="00265F16"/>
    <w:rsid w:val="00267154"/>
    <w:rsid w:val="002674D3"/>
    <w:rsid w:val="00267C87"/>
    <w:rsid w:val="00267DAE"/>
    <w:rsid w:val="002701C0"/>
    <w:rsid w:val="0027077E"/>
    <w:rsid w:val="002719FC"/>
    <w:rsid w:val="00271A56"/>
    <w:rsid w:val="00271C28"/>
    <w:rsid w:val="00271EC3"/>
    <w:rsid w:val="00272025"/>
    <w:rsid w:val="00272F47"/>
    <w:rsid w:val="00273002"/>
    <w:rsid w:val="002747F6"/>
    <w:rsid w:val="002752E3"/>
    <w:rsid w:val="002753E3"/>
    <w:rsid w:val="002759C2"/>
    <w:rsid w:val="0027746B"/>
    <w:rsid w:val="00280818"/>
    <w:rsid w:val="00280E20"/>
    <w:rsid w:val="002815D7"/>
    <w:rsid w:val="002818ED"/>
    <w:rsid w:val="00282A91"/>
    <w:rsid w:val="002832DA"/>
    <w:rsid w:val="00283A27"/>
    <w:rsid w:val="00283BFF"/>
    <w:rsid w:val="002845B5"/>
    <w:rsid w:val="00284732"/>
    <w:rsid w:val="00285399"/>
    <w:rsid w:val="00285714"/>
    <w:rsid w:val="00286B94"/>
    <w:rsid w:val="00286EF8"/>
    <w:rsid w:val="00287F97"/>
    <w:rsid w:val="00291786"/>
    <w:rsid w:val="002917C4"/>
    <w:rsid w:val="0029225D"/>
    <w:rsid w:val="0029240D"/>
    <w:rsid w:val="002925C6"/>
    <w:rsid w:val="002928BD"/>
    <w:rsid w:val="00292F50"/>
    <w:rsid w:val="00293052"/>
    <w:rsid w:val="002933C9"/>
    <w:rsid w:val="00293AAB"/>
    <w:rsid w:val="002941EF"/>
    <w:rsid w:val="0029527B"/>
    <w:rsid w:val="00295819"/>
    <w:rsid w:val="00295DBD"/>
    <w:rsid w:val="002964EF"/>
    <w:rsid w:val="00296B25"/>
    <w:rsid w:val="0029735A"/>
    <w:rsid w:val="002975E8"/>
    <w:rsid w:val="002A091C"/>
    <w:rsid w:val="002A10F2"/>
    <w:rsid w:val="002A115A"/>
    <w:rsid w:val="002A28F3"/>
    <w:rsid w:val="002A322F"/>
    <w:rsid w:val="002A363F"/>
    <w:rsid w:val="002A3F71"/>
    <w:rsid w:val="002A44B0"/>
    <w:rsid w:val="002A4DC5"/>
    <w:rsid w:val="002A5A94"/>
    <w:rsid w:val="002A5BC6"/>
    <w:rsid w:val="002A6440"/>
    <w:rsid w:val="002A64B5"/>
    <w:rsid w:val="002A762A"/>
    <w:rsid w:val="002A7818"/>
    <w:rsid w:val="002A78D2"/>
    <w:rsid w:val="002B0172"/>
    <w:rsid w:val="002B018B"/>
    <w:rsid w:val="002B0408"/>
    <w:rsid w:val="002B0C51"/>
    <w:rsid w:val="002B1AA0"/>
    <w:rsid w:val="002B1C7C"/>
    <w:rsid w:val="002B23AF"/>
    <w:rsid w:val="002B32CE"/>
    <w:rsid w:val="002B3432"/>
    <w:rsid w:val="002B3D61"/>
    <w:rsid w:val="002B3FD8"/>
    <w:rsid w:val="002B5504"/>
    <w:rsid w:val="002B5776"/>
    <w:rsid w:val="002B592C"/>
    <w:rsid w:val="002B5B14"/>
    <w:rsid w:val="002B641F"/>
    <w:rsid w:val="002B6FB0"/>
    <w:rsid w:val="002C029F"/>
    <w:rsid w:val="002C07E3"/>
    <w:rsid w:val="002C2711"/>
    <w:rsid w:val="002C2758"/>
    <w:rsid w:val="002C2903"/>
    <w:rsid w:val="002C3828"/>
    <w:rsid w:val="002C3D79"/>
    <w:rsid w:val="002C5127"/>
    <w:rsid w:val="002C53B3"/>
    <w:rsid w:val="002C6314"/>
    <w:rsid w:val="002C7D85"/>
    <w:rsid w:val="002D0F76"/>
    <w:rsid w:val="002D2ED8"/>
    <w:rsid w:val="002D3687"/>
    <w:rsid w:val="002D3F00"/>
    <w:rsid w:val="002D5E2B"/>
    <w:rsid w:val="002D60F0"/>
    <w:rsid w:val="002D70D3"/>
    <w:rsid w:val="002D72EC"/>
    <w:rsid w:val="002D73E8"/>
    <w:rsid w:val="002D78E3"/>
    <w:rsid w:val="002D7DFD"/>
    <w:rsid w:val="002E09D7"/>
    <w:rsid w:val="002E109E"/>
    <w:rsid w:val="002E1382"/>
    <w:rsid w:val="002E1916"/>
    <w:rsid w:val="002E1A13"/>
    <w:rsid w:val="002E22E4"/>
    <w:rsid w:val="002E2B00"/>
    <w:rsid w:val="002E3272"/>
    <w:rsid w:val="002E452C"/>
    <w:rsid w:val="002E5966"/>
    <w:rsid w:val="002E5DE6"/>
    <w:rsid w:val="002E656A"/>
    <w:rsid w:val="002F0061"/>
    <w:rsid w:val="002F0780"/>
    <w:rsid w:val="002F0C3C"/>
    <w:rsid w:val="002F0F4A"/>
    <w:rsid w:val="002F10D7"/>
    <w:rsid w:val="002F271C"/>
    <w:rsid w:val="002F4515"/>
    <w:rsid w:val="002F497F"/>
    <w:rsid w:val="002F4BAD"/>
    <w:rsid w:val="002F57E3"/>
    <w:rsid w:val="002F5D2C"/>
    <w:rsid w:val="002F5F9C"/>
    <w:rsid w:val="002F6418"/>
    <w:rsid w:val="002F7224"/>
    <w:rsid w:val="002F72DB"/>
    <w:rsid w:val="002F7896"/>
    <w:rsid w:val="002F7F15"/>
    <w:rsid w:val="003014DA"/>
    <w:rsid w:val="003018A7"/>
    <w:rsid w:val="0030237F"/>
    <w:rsid w:val="00302A1D"/>
    <w:rsid w:val="00302CA5"/>
    <w:rsid w:val="00303062"/>
    <w:rsid w:val="00303371"/>
    <w:rsid w:val="00303966"/>
    <w:rsid w:val="00303AA3"/>
    <w:rsid w:val="00304166"/>
    <w:rsid w:val="0030594A"/>
    <w:rsid w:val="00305C97"/>
    <w:rsid w:val="0030607E"/>
    <w:rsid w:val="00306399"/>
    <w:rsid w:val="00306FC7"/>
    <w:rsid w:val="00307EBF"/>
    <w:rsid w:val="00310033"/>
    <w:rsid w:val="0031054D"/>
    <w:rsid w:val="0031081D"/>
    <w:rsid w:val="0031120F"/>
    <w:rsid w:val="00311363"/>
    <w:rsid w:val="00311454"/>
    <w:rsid w:val="0031179F"/>
    <w:rsid w:val="003117B2"/>
    <w:rsid w:val="0031190F"/>
    <w:rsid w:val="00311E8D"/>
    <w:rsid w:val="00313362"/>
    <w:rsid w:val="00313FB5"/>
    <w:rsid w:val="0031524B"/>
    <w:rsid w:val="0031551B"/>
    <w:rsid w:val="003159D5"/>
    <w:rsid w:val="00317CBC"/>
    <w:rsid w:val="0032023C"/>
    <w:rsid w:val="00320411"/>
    <w:rsid w:val="00320564"/>
    <w:rsid w:val="00320988"/>
    <w:rsid w:val="003228AB"/>
    <w:rsid w:val="00322FFA"/>
    <w:rsid w:val="003231F9"/>
    <w:rsid w:val="00323469"/>
    <w:rsid w:val="00323BFB"/>
    <w:rsid w:val="00323D68"/>
    <w:rsid w:val="00323EAF"/>
    <w:rsid w:val="0032413C"/>
    <w:rsid w:val="003243E6"/>
    <w:rsid w:val="00325188"/>
    <w:rsid w:val="003258BE"/>
    <w:rsid w:val="00326835"/>
    <w:rsid w:val="00326AA2"/>
    <w:rsid w:val="0032712A"/>
    <w:rsid w:val="00327D74"/>
    <w:rsid w:val="0033066A"/>
    <w:rsid w:val="00330CBD"/>
    <w:rsid w:val="0033133D"/>
    <w:rsid w:val="003313F1"/>
    <w:rsid w:val="00331E6E"/>
    <w:rsid w:val="00332946"/>
    <w:rsid w:val="003329F8"/>
    <w:rsid w:val="00332CEE"/>
    <w:rsid w:val="003335E2"/>
    <w:rsid w:val="00333908"/>
    <w:rsid w:val="00333D6F"/>
    <w:rsid w:val="00333F20"/>
    <w:rsid w:val="0033480C"/>
    <w:rsid w:val="00335A84"/>
    <w:rsid w:val="00335E85"/>
    <w:rsid w:val="00336655"/>
    <w:rsid w:val="00337023"/>
    <w:rsid w:val="00337572"/>
    <w:rsid w:val="003379CD"/>
    <w:rsid w:val="00337BC0"/>
    <w:rsid w:val="00337FCC"/>
    <w:rsid w:val="00340534"/>
    <w:rsid w:val="00342391"/>
    <w:rsid w:val="00342656"/>
    <w:rsid w:val="00343189"/>
    <w:rsid w:val="0034343F"/>
    <w:rsid w:val="00345226"/>
    <w:rsid w:val="0034534C"/>
    <w:rsid w:val="00345680"/>
    <w:rsid w:val="00345B0F"/>
    <w:rsid w:val="0034648E"/>
    <w:rsid w:val="00346B2D"/>
    <w:rsid w:val="00346B38"/>
    <w:rsid w:val="00346C7D"/>
    <w:rsid w:val="00346CB9"/>
    <w:rsid w:val="00346F0E"/>
    <w:rsid w:val="0034726E"/>
    <w:rsid w:val="00347E8C"/>
    <w:rsid w:val="00347F4E"/>
    <w:rsid w:val="003509FC"/>
    <w:rsid w:val="00350B24"/>
    <w:rsid w:val="003522DE"/>
    <w:rsid w:val="00353158"/>
    <w:rsid w:val="003536D1"/>
    <w:rsid w:val="00354206"/>
    <w:rsid w:val="0035436E"/>
    <w:rsid w:val="00354E83"/>
    <w:rsid w:val="0035550F"/>
    <w:rsid w:val="0035560A"/>
    <w:rsid w:val="00355F3D"/>
    <w:rsid w:val="003561E9"/>
    <w:rsid w:val="00356476"/>
    <w:rsid w:val="00357A67"/>
    <w:rsid w:val="00357D7B"/>
    <w:rsid w:val="00360C08"/>
    <w:rsid w:val="00360EAA"/>
    <w:rsid w:val="00362332"/>
    <w:rsid w:val="0036297D"/>
    <w:rsid w:val="00362F75"/>
    <w:rsid w:val="00363307"/>
    <w:rsid w:val="00364DA9"/>
    <w:rsid w:val="003656E3"/>
    <w:rsid w:val="00367440"/>
    <w:rsid w:val="00367592"/>
    <w:rsid w:val="00367C34"/>
    <w:rsid w:val="00367C40"/>
    <w:rsid w:val="003707C7"/>
    <w:rsid w:val="00370896"/>
    <w:rsid w:val="00370E68"/>
    <w:rsid w:val="00371C29"/>
    <w:rsid w:val="00372212"/>
    <w:rsid w:val="003730B2"/>
    <w:rsid w:val="00373B63"/>
    <w:rsid w:val="00373EFA"/>
    <w:rsid w:val="0037423F"/>
    <w:rsid w:val="003758B2"/>
    <w:rsid w:val="00375D8B"/>
    <w:rsid w:val="00376924"/>
    <w:rsid w:val="0037693C"/>
    <w:rsid w:val="00377DE4"/>
    <w:rsid w:val="0038014F"/>
    <w:rsid w:val="00380375"/>
    <w:rsid w:val="00380EC4"/>
    <w:rsid w:val="00380EDE"/>
    <w:rsid w:val="00382518"/>
    <w:rsid w:val="00382987"/>
    <w:rsid w:val="00382FE5"/>
    <w:rsid w:val="003834B0"/>
    <w:rsid w:val="0038399C"/>
    <w:rsid w:val="00383A10"/>
    <w:rsid w:val="00383BEA"/>
    <w:rsid w:val="00384965"/>
    <w:rsid w:val="00384DD8"/>
    <w:rsid w:val="00385BDE"/>
    <w:rsid w:val="003867C9"/>
    <w:rsid w:val="00386DED"/>
    <w:rsid w:val="003876CF"/>
    <w:rsid w:val="003912AC"/>
    <w:rsid w:val="00391397"/>
    <w:rsid w:val="00392415"/>
    <w:rsid w:val="0039346A"/>
    <w:rsid w:val="00393DAA"/>
    <w:rsid w:val="0039474E"/>
    <w:rsid w:val="003949FB"/>
    <w:rsid w:val="00394CDA"/>
    <w:rsid w:val="00394CEE"/>
    <w:rsid w:val="00394EB3"/>
    <w:rsid w:val="003956B6"/>
    <w:rsid w:val="00395B4A"/>
    <w:rsid w:val="00395D64"/>
    <w:rsid w:val="00395E02"/>
    <w:rsid w:val="003965FD"/>
    <w:rsid w:val="0039698F"/>
    <w:rsid w:val="003971A5"/>
    <w:rsid w:val="00397AEF"/>
    <w:rsid w:val="003A0668"/>
    <w:rsid w:val="003A1A3B"/>
    <w:rsid w:val="003A25C7"/>
    <w:rsid w:val="003A3AE7"/>
    <w:rsid w:val="003A4267"/>
    <w:rsid w:val="003A44D8"/>
    <w:rsid w:val="003A586D"/>
    <w:rsid w:val="003A5E41"/>
    <w:rsid w:val="003A6254"/>
    <w:rsid w:val="003A6AB5"/>
    <w:rsid w:val="003A7064"/>
    <w:rsid w:val="003A73E8"/>
    <w:rsid w:val="003A77E6"/>
    <w:rsid w:val="003A7924"/>
    <w:rsid w:val="003B04A6"/>
    <w:rsid w:val="003B08BF"/>
    <w:rsid w:val="003B1A33"/>
    <w:rsid w:val="003B1C8D"/>
    <w:rsid w:val="003B2816"/>
    <w:rsid w:val="003B2AFB"/>
    <w:rsid w:val="003B319E"/>
    <w:rsid w:val="003B324D"/>
    <w:rsid w:val="003B3456"/>
    <w:rsid w:val="003B3F76"/>
    <w:rsid w:val="003B49FA"/>
    <w:rsid w:val="003B4E7B"/>
    <w:rsid w:val="003B5954"/>
    <w:rsid w:val="003B634B"/>
    <w:rsid w:val="003B6C2C"/>
    <w:rsid w:val="003B6C89"/>
    <w:rsid w:val="003B6EA1"/>
    <w:rsid w:val="003B73FB"/>
    <w:rsid w:val="003C02B7"/>
    <w:rsid w:val="003C07D4"/>
    <w:rsid w:val="003C1D57"/>
    <w:rsid w:val="003C2D0A"/>
    <w:rsid w:val="003C3539"/>
    <w:rsid w:val="003C3971"/>
    <w:rsid w:val="003C3A01"/>
    <w:rsid w:val="003C3C83"/>
    <w:rsid w:val="003C411E"/>
    <w:rsid w:val="003C419B"/>
    <w:rsid w:val="003C5308"/>
    <w:rsid w:val="003C58ED"/>
    <w:rsid w:val="003C6F2E"/>
    <w:rsid w:val="003C6F76"/>
    <w:rsid w:val="003D016C"/>
    <w:rsid w:val="003D0E61"/>
    <w:rsid w:val="003D14DD"/>
    <w:rsid w:val="003D1AAC"/>
    <w:rsid w:val="003D2A3B"/>
    <w:rsid w:val="003D2F00"/>
    <w:rsid w:val="003D31CC"/>
    <w:rsid w:val="003D3AC7"/>
    <w:rsid w:val="003D4932"/>
    <w:rsid w:val="003D511B"/>
    <w:rsid w:val="003D5A31"/>
    <w:rsid w:val="003D5B9B"/>
    <w:rsid w:val="003D5E30"/>
    <w:rsid w:val="003D6963"/>
    <w:rsid w:val="003D70C3"/>
    <w:rsid w:val="003E070C"/>
    <w:rsid w:val="003E2BF1"/>
    <w:rsid w:val="003E2E46"/>
    <w:rsid w:val="003E2E4E"/>
    <w:rsid w:val="003E2FA1"/>
    <w:rsid w:val="003E4430"/>
    <w:rsid w:val="003E443E"/>
    <w:rsid w:val="003E47F2"/>
    <w:rsid w:val="003E52B7"/>
    <w:rsid w:val="003E5749"/>
    <w:rsid w:val="003E59CA"/>
    <w:rsid w:val="003E5ED0"/>
    <w:rsid w:val="003E6EC9"/>
    <w:rsid w:val="003E75C2"/>
    <w:rsid w:val="003E7A59"/>
    <w:rsid w:val="003F08F3"/>
    <w:rsid w:val="003F1273"/>
    <w:rsid w:val="003F31E6"/>
    <w:rsid w:val="003F5793"/>
    <w:rsid w:val="003F592E"/>
    <w:rsid w:val="003F5BF2"/>
    <w:rsid w:val="003F62D0"/>
    <w:rsid w:val="003F6793"/>
    <w:rsid w:val="003F6E0D"/>
    <w:rsid w:val="003F70E6"/>
    <w:rsid w:val="003F7649"/>
    <w:rsid w:val="003F76ED"/>
    <w:rsid w:val="003F7DE2"/>
    <w:rsid w:val="003F7F0B"/>
    <w:rsid w:val="004003D8"/>
    <w:rsid w:val="004008D8"/>
    <w:rsid w:val="00400D97"/>
    <w:rsid w:val="00401800"/>
    <w:rsid w:val="00401C67"/>
    <w:rsid w:val="00402035"/>
    <w:rsid w:val="004025C3"/>
    <w:rsid w:val="00405405"/>
    <w:rsid w:val="004058CB"/>
    <w:rsid w:val="00405C3A"/>
    <w:rsid w:val="004063F6"/>
    <w:rsid w:val="00406943"/>
    <w:rsid w:val="0040763B"/>
    <w:rsid w:val="004110C0"/>
    <w:rsid w:val="00411270"/>
    <w:rsid w:val="004113A3"/>
    <w:rsid w:val="004114F5"/>
    <w:rsid w:val="0041375C"/>
    <w:rsid w:val="004137C7"/>
    <w:rsid w:val="00413E41"/>
    <w:rsid w:val="004143D7"/>
    <w:rsid w:val="00414A0E"/>
    <w:rsid w:val="00414AD6"/>
    <w:rsid w:val="00414F6C"/>
    <w:rsid w:val="0041521C"/>
    <w:rsid w:val="00415DDC"/>
    <w:rsid w:val="00416725"/>
    <w:rsid w:val="00417541"/>
    <w:rsid w:val="004175AF"/>
    <w:rsid w:val="004175CF"/>
    <w:rsid w:val="004177BE"/>
    <w:rsid w:val="00417938"/>
    <w:rsid w:val="00417A71"/>
    <w:rsid w:val="00417F4B"/>
    <w:rsid w:val="004215F2"/>
    <w:rsid w:val="00421727"/>
    <w:rsid w:val="00421D0B"/>
    <w:rsid w:val="00423259"/>
    <w:rsid w:val="004240C1"/>
    <w:rsid w:val="0042423B"/>
    <w:rsid w:val="00424AC2"/>
    <w:rsid w:val="00424C62"/>
    <w:rsid w:val="004250CD"/>
    <w:rsid w:val="00425267"/>
    <w:rsid w:val="00425411"/>
    <w:rsid w:val="00425B2F"/>
    <w:rsid w:val="00426216"/>
    <w:rsid w:val="004264E5"/>
    <w:rsid w:val="00426C9F"/>
    <w:rsid w:val="00426E12"/>
    <w:rsid w:val="00426EAD"/>
    <w:rsid w:val="00427820"/>
    <w:rsid w:val="004307DF"/>
    <w:rsid w:val="00430EEF"/>
    <w:rsid w:val="00431A51"/>
    <w:rsid w:val="00431AA9"/>
    <w:rsid w:val="004322AD"/>
    <w:rsid w:val="004326A2"/>
    <w:rsid w:val="00433042"/>
    <w:rsid w:val="004338C4"/>
    <w:rsid w:val="0043438D"/>
    <w:rsid w:val="00434DE3"/>
    <w:rsid w:val="00435032"/>
    <w:rsid w:val="00435734"/>
    <w:rsid w:val="00436222"/>
    <w:rsid w:val="00436372"/>
    <w:rsid w:val="0043644A"/>
    <w:rsid w:val="00436AE3"/>
    <w:rsid w:val="00442C36"/>
    <w:rsid w:val="004435EC"/>
    <w:rsid w:val="00443F2C"/>
    <w:rsid w:val="00444B5F"/>
    <w:rsid w:val="00445D1C"/>
    <w:rsid w:val="00445E0C"/>
    <w:rsid w:val="00445EB0"/>
    <w:rsid w:val="00446407"/>
    <w:rsid w:val="0044757F"/>
    <w:rsid w:val="00447F05"/>
    <w:rsid w:val="004502F8"/>
    <w:rsid w:val="00451252"/>
    <w:rsid w:val="00452945"/>
    <w:rsid w:val="00453556"/>
    <w:rsid w:val="00453C53"/>
    <w:rsid w:val="00454CDE"/>
    <w:rsid w:val="00454E6D"/>
    <w:rsid w:val="0045587E"/>
    <w:rsid w:val="004559F9"/>
    <w:rsid w:val="00456856"/>
    <w:rsid w:val="00456CB4"/>
    <w:rsid w:val="00456D88"/>
    <w:rsid w:val="00456F09"/>
    <w:rsid w:val="00457396"/>
    <w:rsid w:val="00460B72"/>
    <w:rsid w:val="00460F6C"/>
    <w:rsid w:val="004619B5"/>
    <w:rsid w:val="0046230F"/>
    <w:rsid w:val="00463FBB"/>
    <w:rsid w:val="004646EC"/>
    <w:rsid w:val="00465376"/>
    <w:rsid w:val="00466E0B"/>
    <w:rsid w:val="00467420"/>
    <w:rsid w:val="0046752A"/>
    <w:rsid w:val="00467A89"/>
    <w:rsid w:val="00467D7D"/>
    <w:rsid w:val="004713ED"/>
    <w:rsid w:val="0047275B"/>
    <w:rsid w:val="00472B49"/>
    <w:rsid w:val="004735DF"/>
    <w:rsid w:val="004736DA"/>
    <w:rsid w:val="00473F76"/>
    <w:rsid w:val="00474C1C"/>
    <w:rsid w:val="00475326"/>
    <w:rsid w:val="0047572A"/>
    <w:rsid w:val="00476212"/>
    <w:rsid w:val="00477A49"/>
    <w:rsid w:val="00477D00"/>
    <w:rsid w:val="004802E9"/>
    <w:rsid w:val="004804FE"/>
    <w:rsid w:val="00480832"/>
    <w:rsid w:val="00480A0A"/>
    <w:rsid w:val="00480D33"/>
    <w:rsid w:val="00481073"/>
    <w:rsid w:val="004822D7"/>
    <w:rsid w:val="004825DD"/>
    <w:rsid w:val="0048274A"/>
    <w:rsid w:val="00482971"/>
    <w:rsid w:val="00482D31"/>
    <w:rsid w:val="00482D6D"/>
    <w:rsid w:val="00482F26"/>
    <w:rsid w:val="00483849"/>
    <w:rsid w:val="00483933"/>
    <w:rsid w:val="004849B6"/>
    <w:rsid w:val="00484A23"/>
    <w:rsid w:val="00485005"/>
    <w:rsid w:val="00485C91"/>
    <w:rsid w:val="00485E9C"/>
    <w:rsid w:val="004861FF"/>
    <w:rsid w:val="00486914"/>
    <w:rsid w:val="0048722F"/>
    <w:rsid w:val="00487B2D"/>
    <w:rsid w:val="00487FAD"/>
    <w:rsid w:val="00490ED5"/>
    <w:rsid w:val="00492C23"/>
    <w:rsid w:val="00493241"/>
    <w:rsid w:val="00493295"/>
    <w:rsid w:val="00494C71"/>
    <w:rsid w:val="00494F6B"/>
    <w:rsid w:val="00494FD0"/>
    <w:rsid w:val="00495E54"/>
    <w:rsid w:val="00496DEB"/>
    <w:rsid w:val="00496F52"/>
    <w:rsid w:val="00497562"/>
    <w:rsid w:val="004A09EE"/>
    <w:rsid w:val="004A0ABA"/>
    <w:rsid w:val="004A0EE1"/>
    <w:rsid w:val="004A17D5"/>
    <w:rsid w:val="004A1CAA"/>
    <w:rsid w:val="004A2B40"/>
    <w:rsid w:val="004A38B8"/>
    <w:rsid w:val="004A49A9"/>
    <w:rsid w:val="004A4CDE"/>
    <w:rsid w:val="004A4FD0"/>
    <w:rsid w:val="004A507A"/>
    <w:rsid w:val="004A5456"/>
    <w:rsid w:val="004A645C"/>
    <w:rsid w:val="004B0429"/>
    <w:rsid w:val="004B161A"/>
    <w:rsid w:val="004B2879"/>
    <w:rsid w:val="004B3103"/>
    <w:rsid w:val="004B3A8F"/>
    <w:rsid w:val="004B3DBD"/>
    <w:rsid w:val="004B487B"/>
    <w:rsid w:val="004B4C6B"/>
    <w:rsid w:val="004B5267"/>
    <w:rsid w:val="004B5780"/>
    <w:rsid w:val="004B58A2"/>
    <w:rsid w:val="004B5B89"/>
    <w:rsid w:val="004B5CED"/>
    <w:rsid w:val="004B69B4"/>
    <w:rsid w:val="004B75F2"/>
    <w:rsid w:val="004B76AF"/>
    <w:rsid w:val="004B77A3"/>
    <w:rsid w:val="004B7EAA"/>
    <w:rsid w:val="004C0243"/>
    <w:rsid w:val="004C0C89"/>
    <w:rsid w:val="004C0DF1"/>
    <w:rsid w:val="004C1497"/>
    <w:rsid w:val="004C1712"/>
    <w:rsid w:val="004C1F18"/>
    <w:rsid w:val="004C205B"/>
    <w:rsid w:val="004C24C6"/>
    <w:rsid w:val="004C29BD"/>
    <w:rsid w:val="004C3856"/>
    <w:rsid w:val="004C3C3E"/>
    <w:rsid w:val="004C4869"/>
    <w:rsid w:val="004C50C2"/>
    <w:rsid w:val="004C5AA6"/>
    <w:rsid w:val="004C6924"/>
    <w:rsid w:val="004C6AD8"/>
    <w:rsid w:val="004D0297"/>
    <w:rsid w:val="004D041B"/>
    <w:rsid w:val="004D0EE7"/>
    <w:rsid w:val="004D1009"/>
    <w:rsid w:val="004D1F70"/>
    <w:rsid w:val="004D28FB"/>
    <w:rsid w:val="004D2962"/>
    <w:rsid w:val="004D2D3A"/>
    <w:rsid w:val="004D2DC1"/>
    <w:rsid w:val="004D45E3"/>
    <w:rsid w:val="004D4B39"/>
    <w:rsid w:val="004D5358"/>
    <w:rsid w:val="004D62A7"/>
    <w:rsid w:val="004E0944"/>
    <w:rsid w:val="004E0B5C"/>
    <w:rsid w:val="004E1653"/>
    <w:rsid w:val="004E284A"/>
    <w:rsid w:val="004E2C5A"/>
    <w:rsid w:val="004E2D5B"/>
    <w:rsid w:val="004E3F8C"/>
    <w:rsid w:val="004E4A2E"/>
    <w:rsid w:val="004E4B8A"/>
    <w:rsid w:val="004E5861"/>
    <w:rsid w:val="004E61BF"/>
    <w:rsid w:val="004E68D3"/>
    <w:rsid w:val="004E6B2C"/>
    <w:rsid w:val="004E6B39"/>
    <w:rsid w:val="004E76E0"/>
    <w:rsid w:val="004F0368"/>
    <w:rsid w:val="004F05BF"/>
    <w:rsid w:val="004F0711"/>
    <w:rsid w:val="004F0B90"/>
    <w:rsid w:val="004F361E"/>
    <w:rsid w:val="004F3B18"/>
    <w:rsid w:val="004F3E7F"/>
    <w:rsid w:val="004F3ED7"/>
    <w:rsid w:val="004F473B"/>
    <w:rsid w:val="004F6534"/>
    <w:rsid w:val="004F655B"/>
    <w:rsid w:val="0050025A"/>
    <w:rsid w:val="00500DD2"/>
    <w:rsid w:val="00502236"/>
    <w:rsid w:val="005026C3"/>
    <w:rsid w:val="0050276A"/>
    <w:rsid w:val="00503923"/>
    <w:rsid w:val="00503BFD"/>
    <w:rsid w:val="0050507B"/>
    <w:rsid w:val="00505607"/>
    <w:rsid w:val="00507F52"/>
    <w:rsid w:val="005100B3"/>
    <w:rsid w:val="00510A48"/>
    <w:rsid w:val="00510A68"/>
    <w:rsid w:val="00511635"/>
    <w:rsid w:val="00511811"/>
    <w:rsid w:val="00511AB6"/>
    <w:rsid w:val="005122B2"/>
    <w:rsid w:val="005122EF"/>
    <w:rsid w:val="005123B1"/>
    <w:rsid w:val="00512FC5"/>
    <w:rsid w:val="005135A7"/>
    <w:rsid w:val="005139CB"/>
    <w:rsid w:val="00513EDA"/>
    <w:rsid w:val="0051400D"/>
    <w:rsid w:val="005141B0"/>
    <w:rsid w:val="005148B3"/>
    <w:rsid w:val="0051581C"/>
    <w:rsid w:val="005160CB"/>
    <w:rsid w:val="0051691A"/>
    <w:rsid w:val="00521D6D"/>
    <w:rsid w:val="00522CEA"/>
    <w:rsid w:val="00524771"/>
    <w:rsid w:val="00524B46"/>
    <w:rsid w:val="00524B6B"/>
    <w:rsid w:val="00525383"/>
    <w:rsid w:val="00525F62"/>
    <w:rsid w:val="005261BA"/>
    <w:rsid w:val="00526636"/>
    <w:rsid w:val="00526855"/>
    <w:rsid w:val="00526A77"/>
    <w:rsid w:val="00526F72"/>
    <w:rsid w:val="0053092B"/>
    <w:rsid w:val="00531178"/>
    <w:rsid w:val="00531244"/>
    <w:rsid w:val="00531C1E"/>
    <w:rsid w:val="0053380B"/>
    <w:rsid w:val="005339FC"/>
    <w:rsid w:val="0053551B"/>
    <w:rsid w:val="00535567"/>
    <w:rsid w:val="00535634"/>
    <w:rsid w:val="00535D60"/>
    <w:rsid w:val="00535F5A"/>
    <w:rsid w:val="00536221"/>
    <w:rsid w:val="0053630D"/>
    <w:rsid w:val="00536840"/>
    <w:rsid w:val="00536DF4"/>
    <w:rsid w:val="00537C20"/>
    <w:rsid w:val="005402C4"/>
    <w:rsid w:val="00540826"/>
    <w:rsid w:val="00540A1F"/>
    <w:rsid w:val="00540CB0"/>
    <w:rsid w:val="00540DD5"/>
    <w:rsid w:val="00540E41"/>
    <w:rsid w:val="00541053"/>
    <w:rsid w:val="00541B2B"/>
    <w:rsid w:val="00542629"/>
    <w:rsid w:val="005426BD"/>
    <w:rsid w:val="00542D15"/>
    <w:rsid w:val="00543521"/>
    <w:rsid w:val="005438E1"/>
    <w:rsid w:val="005445B5"/>
    <w:rsid w:val="00544B45"/>
    <w:rsid w:val="00545CE2"/>
    <w:rsid w:val="0054768C"/>
    <w:rsid w:val="00550AB7"/>
    <w:rsid w:val="005514EA"/>
    <w:rsid w:val="00553345"/>
    <w:rsid w:val="005533B0"/>
    <w:rsid w:val="00553BBC"/>
    <w:rsid w:val="005542C2"/>
    <w:rsid w:val="00554C50"/>
    <w:rsid w:val="00556674"/>
    <w:rsid w:val="00556A2E"/>
    <w:rsid w:val="00560661"/>
    <w:rsid w:val="00562459"/>
    <w:rsid w:val="00562838"/>
    <w:rsid w:val="00563044"/>
    <w:rsid w:val="00563953"/>
    <w:rsid w:val="00564992"/>
    <w:rsid w:val="00564ECE"/>
    <w:rsid w:val="00565518"/>
    <w:rsid w:val="0056638A"/>
    <w:rsid w:val="00566AE3"/>
    <w:rsid w:val="005670BD"/>
    <w:rsid w:val="005671E5"/>
    <w:rsid w:val="0056739F"/>
    <w:rsid w:val="00567E23"/>
    <w:rsid w:val="00571CAB"/>
    <w:rsid w:val="00571FAB"/>
    <w:rsid w:val="00572048"/>
    <w:rsid w:val="00572133"/>
    <w:rsid w:val="00573A6B"/>
    <w:rsid w:val="0057452D"/>
    <w:rsid w:val="00574AC2"/>
    <w:rsid w:val="00574DA0"/>
    <w:rsid w:val="005751B4"/>
    <w:rsid w:val="0057577D"/>
    <w:rsid w:val="00575A1E"/>
    <w:rsid w:val="0057735D"/>
    <w:rsid w:val="00577AD0"/>
    <w:rsid w:val="005801A0"/>
    <w:rsid w:val="005810AC"/>
    <w:rsid w:val="005824E3"/>
    <w:rsid w:val="00582508"/>
    <w:rsid w:val="00583348"/>
    <w:rsid w:val="005836D7"/>
    <w:rsid w:val="00583710"/>
    <w:rsid w:val="00584891"/>
    <w:rsid w:val="00584A02"/>
    <w:rsid w:val="00584E2D"/>
    <w:rsid w:val="00585C30"/>
    <w:rsid w:val="00585D68"/>
    <w:rsid w:val="00585DCA"/>
    <w:rsid w:val="0058640F"/>
    <w:rsid w:val="00586DE1"/>
    <w:rsid w:val="00586F9F"/>
    <w:rsid w:val="0058788B"/>
    <w:rsid w:val="00587D63"/>
    <w:rsid w:val="00587ECF"/>
    <w:rsid w:val="00590324"/>
    <w:rsid w:val="00591744"/>
    <w:rsid w:val="00592394"/>
    <w:rsid w:val="00592643"/>
    <w:rsid w:val="005929A8"/>
    <w:rsid w:val="00592B67"/>
    <w:rsid w:val="005940AE"/>
    <w:rsid w:val="005941B9"/>
    <w:rsid w:val="00594308"/>
    <w:rsid w:val="00594F58"/>
    <w:rsid w:val="00595C90"/>
    <w:rsid w:val="00596320"/>
    <w:rsid w:val="005963F6"/>
    <w:rsid w:val="00596B9D"/>
    <w:rsid w:val="00596E5C"/>
    <w:rsid w:val="00597891"/>
    <w:rsid w:val="005978F0"/>
    <w:rsid w:val="005A0358"/>
    <w:rsid w:val="005A0B73"/>
    <w:rsid w:val="005A126B"/>
    <w:rsid w:val="005A17F4"/>
    <w:rsid w:val="005A1E6F"/>
    <w:rsid w:val="005A313A"/>
    <w:rsid w:val="005A3229"/>
    <w:rsid w:val="005A33BA"/>
    <w:rsid w:val="005A33F1"/>
    <w:rsid w:val="005A4943"/>
    <w:rsid w:val="005A59D7"/>
    <w:rsid w:val="005A5AAF"/>
    <w:rsid w:val="005A5E44"/>
    <w:rsid w:val="005A74AF"/>
    <w:rsid w:val="005A778B"/>
    <w:rsid w:val="005A7E75"/>
    <w:rsid w:val="005B039C"/>
    <w:rsid w:val="005B06F2"/>
    <w:rsid w:val="005B0D29"/>
    <w:rsid w:val="005B1131"/>
    <w:rsid w:val="005B191C"/>
    <w:rsid w:val="005B1C3C"/>
    <w:rsid w:val="005B2A7A"/>
    <w:rsid w:val="005B32C4"/>
    <w:rsid w:val="005B391B"/>
    <w:rsid w:val="005B3F8D"/>
    <w:rsid w:val="005B4501"/>
    <w:rsid w:val="005B47BD"/>
    <w:rsid w:val="005B5653"/>
    <w:rsid w:val="005B5872"/>
    <w:rsid w:val="005B596F"/>
    <w:rsid w:val="005B59DD"/>
    <w:rsid w:val="005B6563"/>
    <w:rsid w:val="005B6924"/>
    <w:rsid w:val="005B7D3A"/>
    <w:rsid w:val="005C0674"/>
    <w:rsid w:val="005C133F"/>
    <w:rsid w:val="005C21AB"/>
    <w:rsid w:val="005C2A9F"/>
    <w:rsid w:val="005C32A2"/>
    <w:rsid w:val="005C49F7"/>
    <w:rsid w:val="005C4B54"/>
    <w:rsid w:val="005C5436"/>
    <w:rsid w:val="005C6065"/>
    <w:rsid w:val="005C64A3"/>
    <w:rsid w:val="005C6AE9"/>
    <w:rsid w:val="005C6BAC"/>
    <w:rsid w:val="005C7160"/>
    <w:rsid w:val="005D0750"/>
    <w:rsid w:val="005D1062"/>
    <w:rsid w:val="005D2D8D"/>
    <w:rsid w:val="005D42DF"/>
    <w:rsid w:val="005D51CB"/>
    <w:rsid w:val="005D5410"/>
    <w:rsid w:val="005D5611"/>
    <w:rsid w:val="005D5A91"/>
    <w:rsid w:val="005D5E7F"/>
    <w:rsid w:val="005D6A2F"/>
    <w:rsid w:val="005D6DB4"/>
    <w:rsid w:val="005D7E5B"/>
    <w:rsid w:val="005E16FE"/>
    <w:rsid w:val="005E1F37"/>
    <w:rsid w:val="005E265B"/>
    <w:rsid w:val="005E38C6"/>
    <w:rsid w:val="005E406E"/>
    <w:rsid w:val="005E40E3"/>
    <w:rsid w:val="005E40FF"/>
    <w:rsid w:val="005E45ED"/>
    <w:rsid w:val="005E6021"/>
    <w:rsid w:val="005E6BF4"/>
    <w:rsid w:val="005E70E9"/>
    <w:rsid w:val="005F0786"/>
    <w:rsid w:val="005F1EE8"/>
    <w:rsid w:val="005F2220"/>
    <w:rsid w:val="005F5433"/>
    <w:rsid w:val="005F59B3"/>
    <w:rsid w:val="005F5C1E"/>
    <w:rsid w:val="005F5DB7"/>
    <w:rsid w:val="005F6969"/>
    <w:rsid w:val="005F6F06"/>
    <w:rsid w:val="005F717B"/>
    <w:rsid w:val="006001B2"/>
    <w:rsid w:val="00600666"/>
    <w:rsid w:val="0060103D"/>
    <w:rsid w:val="00601831"/>
    <w:rsid w:val="00602E09"/>
    <w:rsid w:val="00603015"/>
    <w:rsid w:val="006034F0"/>
    <w:rsid w:val="006058DE"/>
    <w:rsid w:val="0060648D"/>
    <w:rsid w:val="00607642"/>
    <w:rsid w:val="00607D7B"/>
    <w:rsid w:val="00610713"/>
    <w:rsid w:val="00610EBD"/>
    <w:rsid w:val="00611144"/>
    <w:rsid w:val="0061167C"/>
    <w:rsid w:val="00611901"/>
    <w:rsid w:val="00611DBD"/>
    <w:rsid w:val="0061214B"/>
    <w:rsid w:val="00613643"/>
    <w:rsid w:val="006153E9"/>
    <w:rsid w:val="006156FF"/>
    <w:rsid w:val="006158F7"/>
    <w:rsid w:val="00616382"/>
    <w:rsid w:val="00616BF4"/>
    <w:rsid w:val="006177DC"/>
    <w:rsid w:val="00620FA9"/>
    <w:rsid w:val="00622356"/>
    <w:rsid w:val="0062243A"/>
    <w:rsid w:val="00622700"/>
    <w:rsid w:val="00622AEE"/>
    <w:rsid w:val="00622E56"/>
    <w:rsid w:val="0062315C"/>
    <w:rsid w:val="00623A41"/>
    <w:rsid w:val="0062432B"/>
    <w:rsid w:val="00624495"/>
    <w:rsid w:val="00624516"/>
    <w:rsid w:val="00624E0A"/>
    <w:rsid w:val="00624F19"/>
    <w:rsid w:val="00625022"/>
    <w:rsid w:val="00625A2E"/>
    <w:rsid w:val="00626E87"/>
    <w:rsid w:val="006271D9"/>
    <w:rsid w:val="006307C9"/>
    <w:rsid w:val="006312A8"/>
    <w:rsid w:val="00631BB6"/>
    <w:rsid w:val="00632D4E"/>
    <w:rsid w:val="00632DFE"/>
    <w:rsid w:val="006336E6"/>
    <w:rsid w:val="00633C4C"/>
    <w:rsid w:val="00634945"/>
    <w:rsid w:val="00635965"/>
    <w:rsid w:val="00635AC1"/>
    <w:rsid w:val="00635E5F"/>
    <w:rsid w:val="00637D7C"/>
    <w:rsid w:val="006400C5"/>
    <w:rsid w:val="006403E8"/>
    <w:rsid w:val="00640DFD"/>
    <w:rsid w:val="006418E9"/>
    <w:rsid w:val="00641F59"/>
    <w:rsid w:val="006420B9"/>
    <w:rsid w:val="006424CC"/>
    <w:rsid w:val="006425CE"/>
    <w:rsid w:val="00642B21"/>
    <w:rsid w:val="00642F7D"/>
    <w:rsid w:val="006432A4"/>
    <w:rsid w:val="006435E4"/>
    <w:rsid w:val="00644E87"/>
    <w:rsid w:val="00646458"/>
    <w:rsid w:val="00646C35"/>
    <w:rsid w:val="00647BBE"/>
    <w:rsid w:val="00650347"/>
    <w:rsid w:val="0065040B"/>
    <w:rsid w:val="0065087D"/>
    <w:rsid w:val="00651290"/>
    <w:rsid w:val="00651C0E"/>
    <w:rsid w:val="00651C45"/>
    <w:rsid w:val="0065214D"/>
    <w:rsid w:val="006523F1"/>
    <w:rsid w:val="00652C91"/>
    <w:rsid w:val="006538CE"/>
    <w:rsid w:val="00653F5C"/>
    <w:rsid w:val="006540B3"/>
    <w:rsid w:val="006547D9"/>
    <w:rsid w:val="00654860"/>
    <w:rsid w:val="0065574B"/>
    <w:rsid w:val="00656110"/>
    <w:rsid w:val="006564EC"/>
    <w:rsid w:val="00656BAA"/>
    <w:rsid w:val="006574AC"/>
    <w:rsid w:val="006602E5"/>
    <w:rsid w:val="00660AA6"/>
    <w:rsid w:val="00660E4A"/>
    <w:rsid w:val="00660FD2"/>
    <w:rsid w:val="00662951"/>
    <w:rsid w:val="00663B6C"/>
    <w:rsid w:val="00663C69"/>
    <w:rsid w:val="0066552E"/>
    <w:rsid w:val="00665919"/>
    <w:rsid w:val="0066595E"/>
    <w:rsid w:val="006672D8"/>
    <w:rsid w:val="00667DCA"/>
    <w:rsid w:val="00670E60"/>
    <w:rsid w:val="006728B6"/>
    <w:rsid w:val="00672AA1"/>
    <w:rsid w:val="00673F43"/>
    <w:rsid w:val="00674136"/>
    <w:rsid w:val="006742D8"/>
    <w:rsid w:val="006745C9"/>
    <w:rsid w:val="00674F16"/>
    <w:rsid w:val="00675141"/>
    <w:rsid w:val="0067562A"/>
    <w:rsid w:val="00675DDF"/>
    <w:rsid w:val="00677C68"/>
    <w:rsid w:val="0068102E"/>
    <w:rsid w:val="00681DC7"/>
    <w:rsid w:val="00682D28"/>
    <w:rsid w:val="006832F5"/>
    <w:rsid w:val="00683A69"/>
    <w:rsid w:val="00683FBB"/>
    <w:rsid w:val="00684155"/>
    <w:rsid w:val="006842A2"/>
    <w:rsid w:val="0068446A"/>
    <w:rsid w:val="006854A2"/>
    <w:rsid w:val="006865C2"/>
    <w:rsid w:val="00687388"/>
    <w:rsid w:val="00687888"/>
    <w:rsid w:val="00687925"/>
    <w:rsid w:val="00687A81"/>
    <w:rsid w:val="00687E8D"/>
    <w:rsid w:val="00692A9C"/>
    <w:rsid w:val="00693A2E"/>
    <w:rsid w:val="00693F78"/>
    <w:rsid w:val="00695445"/>
    <w:rsid w:val="0069565F"/>
    <w:rsid w:val="006960A4"/>
    <w:rsid w:val="006965C3"/>
    <w:rsid w:val="006967F6"/>
    <w:rsid w:val="006A01A2"/>
    <w:rsid w:val="006A0689"/>
    <w:rsid w:val="006A0893"/>
    <w:rsid w:val="006A2027"/>
    <w:rsid w:val="006A2307"/>
    <w:rsid w:val="006A23DA"/>
    <w:rsid w:val="006A2479"/>
    <w:rsid w:val="006A4230"/>
    <w:rsid w:val="006A4504"/>
    <w:rsid w:val="006A480F"/>
    <w:rsid w:val="006A50EA"/>
    <w:rsid w:val="006A5616"/>
    <w:rsid w:val="006A57E8"/>
    <w:rsid w:val="006A646C"/>
    <w:rsid w:val="006A69F7"/>
    <w:rsid w:val="006A6CE5"/>
    <w:rsid w:val="006A73BD"/>
    <w:rsid w:val="006A7C7C"/>
    <w:rsid w:val="006A7D7A"/>
    <w:rsid w:val="006A7F46"/>
    <w:rsid w:val="006B01FA"/>
    <w:rsid w:val="006B0FC4"/>
    <w:rsid w:val="006B10D4"/>
    <w:rsid w:val="006B148C"/>
    <w:rsid w:val="006B21BE"/>
    <w:rsid w:val="006B262B"/>
    <w:rsid w:val="006B3130"/>
    <w:rsid w:val="006B3344"/>
    <w:rsid w:val="006B377C"/>
    <w:rsid w:val="006B47B1"/>
    <w:rsid w:val="006B4B20"/>
    <w:rsid w:val="006B4E51"/>
    <w:rsid w:val="006B5839"/>
    <w:rsid w:val="006B5BE0"/>
    <w:rsid w:val="006B66A7"/>
    <w:rsid w:val="006B7F53"/>
    <w:rsid w:val="006B7F96"/>
    <w:rsid w:val="006C01E4"/>
    <w:rsid w:val="006C0619"/>
    <w:rsid w:val="006C1A24"/>
    <w:rsid w:val="006C1AC1"/>
    <w:rsid w:val="006C235D"/>
    <w:rsid w:val="006C2A5B"/>
    <w:rsid w:val="006C2B4C"/>
    <w:rsid w:val="006C4832"/>
    <w:rsid w:val="006C5AC9"/>
    <w:rsid w:val="006C6101"/>
    <w:rsid w:val="006C6571"/>
    <w:rsid w:val="006D011E"/>
    <w:rsid w:val="006D05F0"/>
    <w:rsid w:val="006D0651"/>
    <w:rsid w:val="006D0677"/>
    <w:rsid w:val="006D0CAE"/>
    <w:rsid w:val="006D2688"/>
    <w:rsid w:val="006D3202"/>
    <w:rsid w:val="006D409B"/>
    <w:rsid w:val="006D455A"/>
    <w:rsid w:val="006D4F99"/>
    <w:rsid w:val="006D59AE"/>
    <w:rsid w:val="006D5F04"/>
    <w:rsid w:val="006D7128"/>
    <w:rsid w:val="006D71BC"/>
    <w:rsid w:val="006E0269"/>
    <w:rsid w:val="006E02C1"/>
    <w:rsid w:val="006E0BE7"/>
    <w:rsid w:val="006E0C64"/>
    <w:rsid w:val="006E13CA"/>
    <w:rsid w:val="006E1755"/>
    <w:rsid w:val="006E1C43"/>
    <w:rsid w:val="006E1D6E"/>
    <w:rsid w:val="006E2975"/>
    <w:rsid w:val="006E2CC5"/>
    <w:rsid w:val="006E3CF6"/>
    <w:rsid w:val="006E40EC"/>
    <w:rsid w:val="006E4655"/>
    <w:rsid w:val="006E563F"/>
    <w:rsid w:val="006E5AFA"/>
    <w:rsid w:val="006E654B"/>
    <w:rsid w:val="006E7293"/>
    <w:rsid w:val="006E7910"/>
    <w:rsid w:val="006E7C08"/>
    <w:rsid w:val="006E7ED3"/>
    <w:rsid w:val="006F0614"/>
    <w:rsid w:val="006F09D9"/>
    <w:rsid w:val="006F09E8"/>
    <w:rsid w:val="006F15B1"/>
    <w:rsid w:val="006F343F"/>
    <w:rsid w:val="006F3ABE"/>
    <w:rsid w:val="006F43A8"/>
    <w:rsid w:val="006F4CF6"/>
    <w:rsid w:val="006F5E79"/>
    <w:rsid w:val="006F62BB"/>
    <w:rsid w:val="006F68F6"/>
    <w:rsid w:val="00700861"/>
    <w:rsid w:val="00700C41"/>
    <w:rsid w:val="00701BC9"/>
    <w:rsid w:val="0070232F"/>
    <w:rsid w:val="00705CA2"/>
    <w:rsid w:val="00706DC9"/>
    <w:rsid w:val="00707F3F"/>
    <w:rsid w:val="00707F51"/>
    <w:rsid w:val="00710BAF"/>
    <w:rsid w:val="00711F3B"/>
    <w:rsid w:val="0071239F"/>
    <w:rsid w:val="0071321B"/>
    <w:rsid w:val="007141C0"/>
    <w:rsid w:val="007143C5"/>
    <w:rsid w:val="00714A0E"/>
    <w:rsid w:val="00714A14"/>
    <w:rsid w:val="00714A28"/>
    <w:rsid w:val="00714F90"/>
    <w:rsid w:val="00715617"/>
    <w:rsid w:val="00715851"/>
    <w:rsid w:val="0071609F"/>
    <w:rsid w:val="00716FC5"/>
    <w:rsid w:val="00717ACF"/>
    <w:rsid w:val="00720FAA"/>
    <w:rsid w:val="00721EE3"/>
    <w:rsid w:val="007220D5"/>
    <w:rsid w:val="007229D5"/>
    <w:rsid w:val="00723649"/>
    <w:rsid w:val="00723EA2"/>
    <w:rsid w:val="0072633A"/>
    <w:rsid w:val="007276EA"/>
    <w:rsid w:val="00727E9D"/>
    <w:rsid w:val="00727EBA"/>
    <w:rsid w:val="007308DA"/>
    <w:rsid w:val="00731B4E"/>
    <w:rsid w:val="00732584"/>
    <w:rsid w:val="007326EA"/>
    <w:rsid w:val="0073336C"/>
    <w:rsid w:val="00733A20"/>
    <w:rsid w:val="007342E1"/>
    <w:rsid w:val="00734C03"/>
    <w:rsid w:val="00734ED2"/>
    <w:rsid w:val="007358D2"/>
    <w:rsid w:val="0073604B"/>
    <w:rsid w:val="00736C74"/>
    <w:rsid w:val="0073774D"/>
    <w:rsid w:val="007408C3"/>
    <w:rsid w:val="007408CC"/>
    <w:rsid w:val="00740DAA"/>
    <w:rsid w:val="0074131B"/>
    <w:rsid w:val="00741403"/>
    <w:rsid w:val="00741479"/>
    <w:rsid w:val="007415B6"/>
    <w:rsid w:val="00741987"/>
    <w:rsid w:val="00741DB2"/>
    <w:rsid w:val="0074302A"/>
    <w:rsid w:val="00743288"/>
    <w:rsid w:val="007443FE"/>
    <w:rsid w:val="007465FD"/>
    <w:rsid w:val="007470EC"/>
    <w:rsid w:val="007476F3"/>
    <w:rsid w:val="00747D15"/>
    <w:rsid w:val="00747DE0"/>
    <w:rsid w:val="00750387"/>
    <w:rsid w:val="00750C6F"/>
    <w:rsid w:val="007515A4"/>
    <w:rsid w:val="007534EC"/>
    <w:rsid w:val="00753706"/>
    <w:rsid w:val="0075754F"/>
    <w:rsid w:val="0076017E"/>
    <w:rsid w:val="007609AC"/>
    <w:rsid w:val="00760A88"/>
    <w:rsid w:val="00761711"/>
    <w:rsid w:val="00761F4B"/>
    <w:rsid w:val="007629F8"/>
    <w:rsid w:val="00763142"/>
    <w:rsid w:val="00763AF4"/>
    <w:rsid w:val="00763DEE"/>
    <w:rsid w:val="00764342"/>
    <w:rsid w:val="007644DF"/>
    <w:rsid w:val="00764CBC"/>
    <w:rsid w:val="00764F53"/>
    <w:rsid w:val="00765456"/>
    <w:rsid w:val="007663A8"/>
    <w:rsid w:val="007674AD"/>
    <w:rsid w:val="00767904"/>
    <w:rsid w:val="00767924"/>
    <w:rsid w:val="007708D5"/>
    <w:rsid w:val="00770CD7"/>
    <w:rsid w:val="00770D94"/>
    <w:rsid w:val="00772CA9"/>
    <w:rsid w:val="007737D6"/>
    <w:rsid w:val="00773EC3"/>
    <w:rsid w:val="00774207"/>
    <w:rsid w:val="007742BC"/>
    <w:rsid w:val="00774EBD"/>
    <w:rsid w:val="00774FE3"/>
    <w:rsid w:val="0077504E"/>
    <w:rsid w:val="00775D63"/>
    <w:rsid w:val="007774E5"/>
    <w:rsid w:val="00777B4A"/>
    <w:rsid w:val="00777CB6"/>
    <w:rsid w:val="00780326"/>
    <w:rsid w:val="00780544"/>
    <w:rsid w:val="00780B29"/>
    <w:rsid w:val="0078143A"/>
    <w:rsid w:val="007816D9"/>
    <w:rsid w:val="007817FB"/>
    <w:rsid w:val="00781C5A"/>
    <w:rsid w:val="00781D2F"/>
    <w:rsid w:val="0078200B"/>
    <w:rsid w:val="00782495"/>
    <w:rsid w:val="00782F47"/>
    <w:rsid w:val="00783147"/>
    <w:rsid w:val="00783182"/>
    <w:rsid w:val="007840BB"/>
    <w:rsid w:val="0078439B"/>
    <w:rsid w:val="00784FE3"/>
    <w:rsid w:val="0078514E"/>
    <w:rsid w:val="00785285"/>
    <w:rsid w:val="007853B8"/>
    <w:rsid w:val="00785783"/>
    <w:rsid w:val="007868C5"/>
    <w:rsid w:val="00787028"/>
    <w:rsid w:val="00787141"/>
    <w:rsid w:val="0078745A"/>
    <w:rsid w:val="00787D74"/>
    <w:rsid w:val="00787E9C"/>
    <w:rsid w:val="007900AF"/>
    <w:rsid w:val="0079133B"/>
    <w:rsid w:val="0079159D"/>
    <w:rsid w:val="00791CF5"/>
    <w:rsid w:val="007921E2"/>
    <w:rsid w:val="0079486B"/>
    <w:rsid w:val="00795200"/>
    <w:rsid w:val="00795AC8"/>
    <w:rsid w:val="00795B86"/>
    <w:rsid w:val="007971BB"/>
    <w:rsid w:val="00797477"/>
    <w:rsid w:val="0079750E"/>
    <w:rsid w:val="007977DC"/>
    <w:rsid w:val="00797F92"/>
    <w:rsid w:val="007A09A7"/>
    <w:rsid w:val="007A150A"/>
    <w:rsid w:val="007A1D55"/>
    <w:rsid w:val="007A22A5"/>
    <w:rsid w:val="007A264F"/>
    <w:rsid w:val="007A2DA9"/>
    <w:rsid w:val="007A4691"/>
    <w:rsid w:val="007A49A1"/>
    <w:rsid w:val="007A5AA4"/>
    <w:rsid w:val="007A62CA"/>
    <w:rsid w:val="007A68A7"/>
    <w:rsid w:val="007A69B6"/>
    <w:rsid w:val="007A71DB"/>
    <w:rsid w:val="007A7259"/>
    <w:rsid w:val="007A73F4"/>
    <w:rsid w:val="007A7884"/>
    <w:rsid w:val="007A7FFA"/>
    <w:rsid w:val="007B0243"/>
    <w:rsid w:val="007B2B18"/>
    <w:rsid w:val="007B40DE"/>
    <w:rsid w:val="007B41DF"/>
    <w:rsid w:val="007B4A7B"/>
    <w:rsid w:val="007B4C21"/>
    <w:rsid w:val="007B4D95"/>
    <w:rsid w:val="007B5929"/>
    <w:rsid w:val="007B61B7"/>
    <w:rsid w:val="007B6CF6"/>
    <w:rsid w:val="007B6F51"/>
    <w:rsid w:val="007C1A12"/>
    <w:rsid w:val="007C1B65"/>
    <w:rsid w:val="007C2535"/>
    <w:rsid w:val="007C4116"/>
    <w:rsid w:val="007C4D66"/>
    <w:rsid w:val="007C5CC4"/>
    <w:rsid w:val="007C6091"/>
    <w:rsid w:val="007C61BC"/>
    <w:rsid w:val="007C6600"/>
    <w:rsid w:val="007C70CC"/>
    <w:rsid w:val="007C73C5"/>
    <w:rsid w:val="007C79E5"/>
    <w:rsid w:val="007C7A30"/>
    <w:rsid w:val="007D1786"/>
    <w:rsid w:val="007D2DEF"/>
    <w:rsid w:val="007D2E1F"/>
    <w:rsid w:val="007D2F4D"/>
    <w:rsid w:val="007D33B7"/>
    <w:rsid w:val="007D33D7"/>
    <w:rsid w:val="007D4291"/>
    <w:rsid w:val="007D5522"/>
    <w:rsid w:val="007D628C"/>
    <w:rsid w:val="007D66EC"/>
    <w:rsid w:val="007D6ACF"/>
    <w:rsid w:val="007D7203"/>
    <w:rsid w:val="007D7D71"/>
    <w:rsid w:val="007E0B82"/>
    <w:rsid w:val="007E0C2E"/>
    <w:rsid w:val="007E0DF6"/>
    <w:rsid w:val="007E106B"/>
    <w:rsid w:val="007E151C"/>
    <w:rsid w:val="007E194E"/>
    <w:rsid w:val="007E198E"/>
    <w:rsid w:val="007E1C76"/>
    <w:rsid w:val="007E23F9"/>
    <w:rsid w:val="007E2570"/>
    <w:rsid w:val="007E317A"/>
    <w:rsid w:val="007E3B74"/>
    <w:rsid w:val="007E3C5A"/>
    <w:rsid w:val="007E42CF"/>
    <w:rsid w:val="007E44A7"/>
    <w:rsid w:val="007E47F8"/>
    <w:rsid w:val="007E50F8"/>
    <w:rsid w:val="007E51CD"/>
    <w:rsid w:val="007E603F"/>
    <w:rsid w:val="007E65E8"/>
    <w:rsid w:val="007E6EDA"/>
    <w:rsid w:val="007F10DB"/>
    <w:rsid w:val="007F1332"/>
    <w:rsid w:val="007F2C0D"/>
    <w:rsid w:val="007F551B"/>
    <w:rsid w:val="007F6029"/>
    <w:rsid w:val="007F608E"/>
    <w:rsid w:val="007F656C"/>
    <w:rsid w:val="007F6FDF"/>
    <w:rsid w:val="007F71A9"/>
    <w:rsid w:val="007F728B"/>
    <w:rsid w:val="007F78B5"/>
    <w:rsid w:val="0080029F"/>
    <w:rsid w:val="00800BDA"/>
    <w:rsid w:val="0080197C"/>
    <w:rsid w:val="00801F75"/>
    <w:rsid w:val="00802506"/>
    <w:rsid w:val="0080264C"/>
    <w:rsid w:val="00802AD5"/>
    <w:rsid w:val="00804870"/>
    <w:rsid w:val="00805C1D"/>
    <w:rsid w:val="008065C4"/>
    <w:rsid w:val="00810401"/>
    <w:rsid w:val="00810B33"/>
    <w:rsid w:val="00810BAD"/>
    <w:rsid w:val="00810D13"/>
    <w:rsid w:val="00811028"/>
    <w:rsid w:val="00811768"/>
    <w:rsid w:val="00811BAF"/>
    <w:rsid w:val="00811CD6"/>
    <w:rsid w:val="00813EFF"/>
    <w:rsid w:val="008141BE"/>
    <w:rsid w:val="008149FC"/>
    <w:rsid w:val="00814C81"/>
    <w:rsid w:val="00814EBE"/>
    <w:rsid w:val="00815770"/>
    <w:rsid w:val="00816294"/>
    <w:rsid w:val="00816F16"/>
    <w:rsid w:val="00820487"/>
    <w:rsid w:val="00820789"/>
    <w:rsid w:val="008207DA"/>
    <w:rsid w:val="0082099A"/>
    <w:rsid w:val="00820EB3"/>
    <w:rsid w:val="00820F49"/>
    <w:rsid w:val="008240C4"/>
    <w:rsid w:val="0082478E"/>
    <w:rsid w:val="00824800"/>
    <w:rsid w:val="00824C88"/>
    <w:rsid w:val="0082576F"/>
    <w:rsid w:val="00826C88"/>
    <w:rsid w:val="00827349"/>
    <w:rsid w:val="0082747C"/>
    <w:rsid w:val="008274BE"/>
    <w:rsid w:val="00827961"/>
    <w:rsid w:val="00827D40"/>
    <w:rsid w:val="00830895"/>
    <w:rsid w:val="008308AF"/>
    <w:rsid w:val="008314E8"/>
    <w:rsid w:val="00831C4F"/>
    <w:rsid w:val="00831D6B"/>
    <w:rsid w:val="00832393"/>
    <w:rsid w:val="00832B88"/>
    <w:rsid w:val="00832C71"/>
    <w:rsid w:val="00832EA1"/>
    <w:rsid w:val="008334D4"/>
    <w:rsid w:val="00835159"/>
    <w:rsid w:val="0083590C"/>
    <w:rsid w:val="008359AC"/>
    <w:rsid w:val="0083632A"/>
    <w:rsid w:val="00836C3C"/>
    <w:rsid w:val="00837DF4"/>
    <w:rsid w:val="00840AC9"/>
    <w:rsid w:val="00840EDA"/>
    <w:rsid w:val="00841379"/>
    <w:rsid w:val="0084190E"/>
    <w:rsid w:val="00841B5B"/>
    <w:rsid w:val="00842A1E"/>
    <w:rsid w:val="00842DAB"/>
    <w:rsid w:val="00843940"/>
    <w:rsid w:val="00843B14"/>
    <w:rsid w:val="00843F76"/>
    <w:rsid w:val="00844348"/>
    <w:rsid w:val="00844600"/>
    <w:rsid w:val="00844B02"/>
    <w:rsid w:val="008454D1"/>
    <w:rsid w:val="008457FF"/>
    <w:rsid w:val="00845D16"/>
    <w:rsid w:val="00846F58"/>
    <w:rsid w:val="008472E5"/>
    <w:rsid w:val="008473CF"/>
    <w:rsid w:val="00847986"/>
    <w:rsid w:val="00847ACB"/>
    <w:rsid w:val="00847FE7"/>
    <w:rsid w:val="00850312"/>
    <w:rsid w:val="00850EED"/>
    <w:rsid w:val="00850FB9"/>
    <w:rsid w:val="00855FB2"/>
    <w:rsid w:val="00856E14"/>
    <w:rsid w:val="008573E8"/>
    <w:rsid w:val="00857695"/>
    <w:rsid w:val="00857E14"/>
    <w:rsid w:val="00860133"/>
    <w:rsid w:val="008605EB"/>
    <w:rsid w:val="008613F1"/>
    <w:rsid w:val="00861577"/>
    <w:rsid w:val="00861F3B"/>
    <w:rsid w:val="00861FC9"/>
    <w:rsid w:val="00862753"/>
    <w:rsid w:val="00862B12"/>
    <w:rsid w:val="00863BDA"/>
    <w:rsid w:val="00865C30"/>
    <w:rsid w:val="0086634C"/>
    <w:rsid w:val="00866786"/>
    <w:rsid w:val="0086741C"/>
    <w:rsid w:val="0086798B"/>
    <w:rsid w:val="00870204"/>
    <w:rsid w:val="00871211"/>
    <w:rsid w:val="00871372"/>
    <w:rsid w:val="00872338"/>
    <w:rsid w:val="008723ED"/>
    <w:rsid w:val="00872B84"/>
    <w:rsid w:val="00874816"/>
    <w:rsid w:val="00875AD4"/>
    <w:rsid w:val="00875DBC"/>
    <w:rsid w:val="008770A8"/>
    <w:rsid w:val="00877199"/>
    <w:rsid w:val="00877661"/>
    <w:rsid w:val="00880188"/>
    <w:rsid w:val="008805DA"/>
    <w:rsid w:val="00880889"/>
    <w:rsid w:val="00881327"/>
    <w:rsid w:val="00881753"/>
    <w:rsid w:val="00881848"/>
    <w:rsid w:val="008829CE"/>
    <w:rsid w:val="00882AED"/>
    <w:rsid w:val="00884EE4"/>
    <w:rsid w:val="0088534B"/>
    <w:rsid w:val="00885D77"/>
    <w:rsid w:val="00885F24"/>
    <w:rsid w:val="00886196"/>
    <w:rsid w:val="008861D1"/>
    <w:rsid w:val="00886D83"/>
    <w:rsid w:val="0088723F"/>
    <w:rsid w:val="00887326"/>
    <w:rsid w:val="0089010C"/>
    <w:rsid w:val="0089031E"/>
    <w:rsid w:val="00890A03"/>
    <w:rsid w:val="008916BB"/>
    <w:rsid w:val="00891847"/>
    <w:rsid w:val="0089210E"/>
    <w:rsid w:val="00893955"/>
    <w:rsid w:val="00893B6A"/>
    <w:rsid w:val="00893E1B"/>
    <w:rsid w:val="008943C9"/>
    <w:rsid w:val="00894D3F"/>
    <w:rsid w:val="008950B2"/>
    <w:rsid w:val="00896ED7"/>
    <w:rsid w:val="008970D8"/>
    <w:rsid w:val="00897530"/>
    <w:rsid w:val="008A0651"/>
    <w:rsid w:val="008A23F1"/>
    <w:rsid w:val="008A2994"/>
    <w:rsid w:val="008A30EB"/>
    <w:rsid w:val="008A3787"/>
    <w:rsid w:val="008A39A7"/>
    <w:rsid w:val="008A4151"/>
    <w:rsid w:val="008A47B8"/>
    <w:rsid w:val="008A4EEC"/>
    <w:rsid w:val="008A4FE8"/>
    <w:rsid w:val="008A6E3D"/>
    <w:rsid w:val="008A7878"/>
    <w:rsid w:val="008A7F5F"/>
    <w:rsid w:val="008B078C"/>
    <w:rsid w:val="008B0A38"/>
    <w:rsid w:val="008B0A7A"/>
    <w:rsid w:val="008B10BA"/>
    <w:rsid w:val="008B1199"/>
    <w:rsid w:val="008B234A"/>
    <w:rsid w:val="008B3CA3"/>
    <w:rsid w:val="008B5112"/>
    <w:rsid w:val="008B57EA"/>
    <w:rsid w:val="008B6EC4"/>
    <w:rsid w:val="008B6ECB"/>
    <w:rsid w:val="008B7830"/>
    <w:rsid w:val="008B7A64"/>
    <w:rsid w:val="008C1277"/>
    <w:rsid w:val="008C1925"/>
    <w:rsid w:val="008C26BA"/>
    <w:rsid w:val="008C31D3"/>
    <w:rsid w:val="008C4157"/>
    <w:rsid w:val="008C4C7E"/>
    <w:rsid w:val="008C4F03"/>
    <w:rsid w:val="008C551C"/>
    <w:rsid w:val="008C58F6"/>
    <w:rsid w:val="008C5DE2"/>
    <w:rsid w:val="008C63B2"/>
    <w:rsid w:val="008C64A9"/>
    <w:rsid w:val="008C674A"/>
    <w:rsid w:val="008C6B5B"/>
    <w:rsid w:val="008C6E72"/>
    <w:rsid w:val="008C6FE3"/>
    <w:rsid w:val="008C7FCD"/>
    <w:rsid w:val="008D02E2"/>
    <w:rsid w:val="008D0588"/>
    <w:rsid w:val="008D2EE2"/>
    <w:rsid w:val="008D300E"/>
    <w:rsid w:val="008D4B4B"/>
    <w:rsid w:val="008D5386"/>
    <w:rsid w:val="008D5537"/>
    <w:rsid w:val="008D57DE"/>
    <w:rsid w:val="008D59F6"/>
    <w:rsid w:val="008D6323"/>
    <w:rsid w:val="008D6E8B"/>
    <w:rsid w:val="008D75A0"/>
    <w:rsid w:val="008E17AA"/>
    <w:rsid w:val="008E1E42"/>
    <w:rsid w:val="008E327B"/>
    <w:rsid w:val="008E37BE"/>
    <w:rsid w:val="008E43B0"/>
    <w:rsid w:val="008E4B5D"/>
    <w:rsid w:val="008E60E9"/>
    <w:rsid w:val="008E695B"/>
    <w:rsid w:val="008E6B27"/>
    <w:rsid w:val="008E7830"/>
    <w:rsid w:val="008E7A47"/>
    <w:rsid w:val="008E7D9D"/>
    <w:rsid w:val="008F025D"/>
    <w:rsid w:val="008F03BA"/>
    <w:rsid w:val="008F047F"/>
    <w:rsid w:val="008F0868"/>
    <w:rsid w:val="008F0B58"/>
    <w:rsid w:val="008F1ADA"/>
    <w:rsid w:val="008F1C61"/>
    <w:rsid w:val="008F2C51"/>
    <w:rsid w:val="008F2C7B"/>
    <w:rsid w:val="008F2F89"/>
    <w:rsid w:val="008F4942"/>
    <w:rsid w:val="008F540D"/>
    <w:rsid w:val="008F6299"/>
    <w:rsid w:val="008F66D9"/>
    <w:rsid w:val="008F67EB"/>
    <w:rsid w:val="00900C45"/>
    <w:rsid w:val="00900E28"/>
    <w:rsid w:val="00901EFA"/>
    <w:rsid w:val="00902757"/>
    <w:rsid w:val="0090291C"/>
    <w:rsid w:val="00902CB9"/>
    <w:rsid w:val="00902F33"/>
    <w:rsid w:val="00903410"/>
    <w:rsid w:val="00903B92"/>
    <w:rsid w:val="009045C9"/>
    <w:rsid w:val="009046F7"/>
    <w:rsid w:val="00904760"/>
    <w:rsid w:val="00904E0E"/>
    <w:rsid w:val="00905057"/>
    <w:rsid w:val="00905AFE"/>
    <w:rsid w:val="00905E25"/>
    <w:rsid w:val="009064FD"/>
    <w:rsid w:val="00906ED1"/>
    <w:rsid w:val="009076BB"/>
    <w:rsid w:val="00907A07"/>
    <w:rsid w:val="00907FED"/>
    <w:rsid w:val="00910701"/>
    <w:rsid w:val="00910A96"/>
    <w:rsid w:val="00911EB2"/>
    <w:rsid w:val="00911EC4"/>
    <w:rsid w:val="00912011"/>
    <w:rsid w:val="00912357"/>
    <w:rsid w:val="00912841"/>
    <w:rsid w:val="0091291A"/>
    <w:rsid w:val="00912935"/>
    <w:rsid w:val="00912E7F"/>
    <w:rsid w:val="00915DE1"/>
    <w:rsid w:val="00916E1F"/>
    <w:rsid w:val="00917122"/>
    <w:rsid w:val="009173D5"/>
    <w:rsid w:val="00917AC3"/>
    <w:rsid w:val="00917D91"/>
    <w:rsid w:val="00921065"/>
    <w:rsid w:val="009218F3"/>
    <w:rsid w:val="00921936"/>
    <w:rsid w:val="00921950"/>
    <w:rsid w:val="00922C66"/>
    <w:rsid w:val="00923414"/>
    <w:rsid w:val="0092376D"/>
    <w:rsid w:val="00923D93"/>
    <w:rsid w:val="00924726"/>
    <w:rsid w:val="009255AB"/>
    <w:rsid w:val="009258CF"/>
    <w:rsid w:val="00927093"/>
    <w:rsid w:val="00927505"/>
    <w:rsid w:val="0092756F"/>
    <w:rsid w:val="0092790F"/>
    <w:rsid w:val="00927AAD"/>
    <w:rsid w:val="00931A9B"/>
    <w:rsid w:val="00931DFD"/>
    <w:rsid w:val="00932346"/>
    <w:rsid w:val="00932785"/>
    <w:rsid w:val="00932C6C"/>
    <w:rsid w:val="00932D55"/>
    <w:rsid w:val="00934334"/>
    <w:rsid w:val="00934373"/>
    <w:rsid w:val="00934C49"/>
    <w:rsid w:val="00935D7C"/>
    <w:rsid w:val="009367C8"/>
    <w:rsid w:val="00936B4B"/>
    <w:rsid w:val="009374ED"/>
    <w:rsid w:val="0093779F"/>
    <w:rsid w:val="009378B7"/>
    <w:rsid w:val="00937EAC"/>
    <w:rsid w:val="00940215"/>
    <w:rsid w:val="00940BB3"/>
    <w:rsid w:val="00940E5F"/>
    <w:rsid w:val="0094103B"/>
    <w:rsid w:val="00941EE3"/>
    <w:rsid w:val="009429D0"/>
    <w:rsid w:val="009430B1"/>
    <w:rsid w:val="009435E7"/>
    <w:rsid w:val="00944989"/>
    <w:rsid w:val="00944A2D"/>
    <w:rsid w:val="00944B9D"/>
    <w:rsid w:val="00945BDC"/>
    <w:rsid w:val="009460B4"/>
    <w:rsid w:val="00946F57"/>
    <w:rsid w:val="0094732A"/>
    <w:rsid w:val="00950587"/>
    <w:rsid w:val="0095132B"/>
    <w:rsid w:val="009520E4"/>
    <w:rsid w:val="009520F6"/>
    <w:rsid w:val="009527DD"/>
    <w:rsid w:val="00952896"/>
    <w:rsid w:val="009532D3"/>
    <w:rsid w:val="00953A3F"/>
    <w:rsid w:val="009546CC"/>
    <w:rsid w:val="00954FBD"/>
    <w:rsid w:val="009556BC"/>
    <w:rsid w:val="009559A8"/>
    <w:rsid w:val="00955BCC"/>
    <w:rsid w:val="00955CE1"/>
    <w:rsid w:val="00957D71"/>
    <w:rsid w:val="009606E7"/>
    <w:rsid w:val="00960D18"/>
    <w:rsid w:val="00960EFE"/>
    <w:rsid w:val="00964213"/>
    <w:rsid w:val="009644DF"/>
    <w:rsid w:val="00964930"/>
    <w:rsid w:val="00965DBD"/>
    <w:rsid w:val="00967B8A"/>
    <w:rsid w:val="00970302"/>
    <w:rsid w:val="009713E2"/>
    <w:rsid w:val="00971D01"/>
    <w:rsid w:val="00972739"/>
    <w:rsid w:val="009732AE"/>
    <w:rsid w:val="009737CD"/>
    <w:rsid w:val="0097384A"/>
    <w:rsid w:val="0097535E"/>
    <w:rsid w:val="0097637E"/>
    <w:rsid w:val="0097713E"/>
    <w:rsid w:val="00982C07"/>
    <w:rsid w:val="00983CBF"/>
    <w:rsid w:val="009857F8"/>
    <w:rsid w:val="00986201"/>
    <w:rsid w:val="009862D0"/>
    <w:rsid w:val="009869C1"/>
    <w:rsid w:val="009878D1"/>
    <w:rsid w:val="009902A5"/>
    <w:rsid w:val="00990712"/>
    <w:rsid w:val="009913BA"/>
    <w:rsid w:val="00991677"/>
    <w:rsid w:val="00991FFC"/>
    <w:rsid w:val="0099224D"/>
    <w:rsid w:val="00992A3B"/>
    <w:rsid w:val="009930B4"/>
    <w:rsid w:val="0099326E"/>
    <w:rsid w:val="009938D1"/>
    <w:rsid w:val="009947D4"/>
    <w:rsid w:val="00994AEE"/>
    <w:rsid w:val="00995241"/>
    <w:rsid w:val="009952AA"/>
    <w:rsid w:val="00995A63"/>
    <w:rsid w:val="00996401"/>
    <w:rsid w:val="0099662D"/>
    <w:rsid w:val="00996713"/>
    <w:rsid w:val="00996C16"/>
    <w:rsid w:val="00996F5B"/>
    <w:rsid w:val="00997593"/>
    <w:rsid w:val="009977E7"/>
    <w:rsid w:val="009A04FF"/>
    <w:rsid w:val="009A085C"/>
    <w:rsid w:val="009A1173"/>
    <w:rsid w:val="009A218C"/>
    <w:rsid w:val="009A263D"/>
    <w:rsid w:val="009A3050"/>
    <w:rsid w:val="009A451F"/>
    <w:rsid w:val="009A4A82"/>
    <w:rsid w:val="009A4EC7"/>
    <w:rsid w:val="009A51AA"/>
    <w:rsid w:val="009A5B9C"/>
    <w:rsid w:val="009A5C85"/>
    <w:rsid w:val="009A5F63"/>
    <w:rsid w:val="009A674A"/>
    <w:rsid w:val="009A729D"/>
    <w:rsid w:val="009A7AF2"/>
    <w:rsid w:val="009B015E"/>
    <w:rsid w:val="009B02D4"/>
    <w:rsid w:val="009B0DCA"/>
    <w:rsid w:val="009B2194"/>
    <w:rsid w:val="009B269A"/>
    <w:rsid w:val="009B2DC1"/>
    <w:rsid w:val="009B3D4A"/>
    <w:rsid w:val="009B3F00"/>
    <w:rsid w:val="009B3FBA"/>
    <w:rsid w:val="009B4982"/>
    <w:rsid w:val="009B4C3D"/>
    <w:rsid w:val="009B4F09"/>
    <w:rsid w:val="009B5483"/>
    <w:rsid w:val="009B5D7C"/>
    <w:rsid w:val="009B5DFB"/>
    <w:rsid w:val="009B61E3"/>
    <w:rsid w:val="009B6D7F"/>
    <w:rsid w:val="009B6DD3"/>
    <w:rsid w:val="009B7358"/>
    <w:rsid w:val="009B7744"/>
    <w:rsid w:val="009B7F72"/>
    <w:rsid w:val="009C04CC"/>
    <w:rsid w:val="009C0AC3"/>
    <w:rsid w:val="009C0B75"/>
    <w:rsid w:val="009C1530"/>
    <w:rsid w:val="009C192C"/>
    <w:rsid w:val="009C34E3"/>
    <w:rsid w:val="009C3B91"/>
    <w:rsid w:val="009C4033"/>
    <w:rsid w:val="009C42C3"/>
    <w:rsid w:val="009C42CB"/>
    <w:rsid w:val="009C4FC2"/>
    <w:rsid w:val="009C5717"/>
    <w:rsid w:val="009C7082"/>
    <w:rsid w:val="009D048C"/>
    <w:rsid w:val="009D062B"/>
    <w:rsid w:val="009D0741"/>
    <w:rsid w:val="009D199B"/>
    <w:rsid w:val="009D1B63"/>
    <w:rsid w:val="009D1EBA"/>
    <w:rsid w:val="009D2098"/>
    <w:rsid w:val="009D2BE3"/>
    <w:rsid w:val="009D2F4B"/>
    <w:rsid w:val="009D3BFD"/>
    <w:rsid w:val="009D4371"/>
    <w:rsid w:val="009D478B"/>
    <w:rsid w:val="009D4B66"/>
    <w:rsid w:val="009D4CF0"/>
    <w:rsid w:val="009D5363"/>
    <w:rsid w:val="009D53A7"/>
    <w:rsid w:val="009D59F4"/>
    <w:rsid w:val="009D6864"/>
    <w:rsid w:val="009D6C01"/>
    <w:rsid w:val="009D76D2"/>
    <w:rsid w:val="009D7DFB"/>
    <w:rsid w:val="009E0B63"/>
    <w:rsid w:val="009E0E50"/>
    <w:rsid w:val="009E16CE"/>
    <w:rsid w:val="009E1D3F"/>
    <w:rsid w:val="009E1FB3"/>
    <w:rsid w:val="009E2752"/>
    <w:rsid w:val="009E2F99"/>
    <w:rsid w:val="009E3772"/>
    <w:rsid w:val="009E3E53"/>
    <w:rsid w:val="009E553B"/>
    <w:rsid w:val="009E556B"/>
    <w:rsid w:val="009E5831"/>
    <w:rsid w:val="009E5968"/>
    <w:rsid w:val="009E6789"/>
    <w:rsid w:val="009E690E"/>
    <w:rsid w:val="009F0145"/>
    <w:rsid w:val="009F0D58"/>
    <w:rsid w:val="009F1A48"/>
    <w:rsid w:val="009F1CBD"/>
    <w:rsid w:val="009F3689"/>
    <w:rsid w:val="009F4EC7"/>
    <w:rsid w:val="009F5419"/>
    <w:rsid w:val="009F56A0"/>
    <w:rsid w:val="009F56D4"/>
    <w:rsid w:val="009F6C85"/>
    <w:rsid w:val="00A00016"/>
    <w:rsid w:val="00A002C7"/>
    <w:rsid w:val="00A005F9"/>
    <w:rsid w:val="00A00608"/>
    <w:rsid w:val="00A00A7C"/>
    <w:rsid w:val="00A00D0D"/>
    <w:rsid w:val="00A00D78"/>
    <w:rsid w:val="00A01FD9"/>
    <w:rsid w:val="00A023DB"/>
    <w:rsid w:val="00A02F05"/>
    <w:rsid w:val="00A04654"/>
    <w:rsid w:val="00A047BE"/>
    <w:rsid w:val="00A05CE2"/>
    <w:rsid w:val="00A06625"/>
    <w:rsid w:val="00A06711"/>
    <w:rsid w:val="00A06B0F"/>
    <w:rsid w:val="00A079E5"/>
    <w:rsid w:val="00A10028"/>
    <w:rsid w:val="00A10356"/>
    <w:rsid w:val="00A10A3F"/>
    <w:rsid w:val="00A10F33"/>
    <w:rsid w:val="00A11204"/>
    <w:rsid w:val="00A11947"/>
    <w:rsid w:val="00A12637"/>
    <w:rsid w:val="00A12867"/>
    <w:rsid w:val="00A12885"/>
    <w:rsid w:val="00A12A46"/>
    <w:rsid w:val="00A13475"/>
    <w:rsid w:val="00A1370A"/>
    <w:rsid w:val="00A13943"/>
    <w:rsid w:val="00A139C7"/>
    <w:rsid w:val="00A1659B"/>
    <w:rsid w:val="00A2119A"/>
    <w:rsid w:val="00A22246"/>
    <w:rsid w:val="00A2236D"/>
    <w:rsid w:val="00A229C2"/>
    <w:rsid w:val="00A237C6"/>
    <w:rsid w:val="00A25CA8"/>
    <w:rsid w:val="00A26419"/>
    <w:rsid w:val="00A26C9B"/>
    <w:rsid w:val="00A273C0"/>
    <w:rsid w:val="00A27825"/>
    <w:rsid w:val="00A27CE1"/>
    <w:rsid w:val="00A30577"/>
    <w:rsid w:val="00A31283"/>
    <w:rsid w:val="00A31C56"/>
    <w:rsid w:val="00A32EE0"/>
    <w:rsid w:val="00A336BC"/>
    <w:rsid w:val="00A336CA"/>
    <w:rsid w:val="00A341CD"/>
    <w:rsid w:val="00A345F6"/>
    <w:rsid w:val="00A34D19"/>
    <w:rsid w:val="00A3504A"/>
    <w:rsid w:val="00A35BB1"/>
    <w:rsid w:val="00A364D3"/>
    <w:rsid w:val="00A365DD"/>
    <w:rsid w:val="00A36C20"/>
    <w:rsid w:val="00A37125"/>
    <w:rsid w:val="00A377DC"/>
    <w:rsid w:val="00A37E17"/>
    <w:rsid w:val="00A40458"/>
    <w:rsid w:val="00A410CC"/>
    <w:rsid w:val="00A411C3"/>
    <w:rsid w:val="00A413F9"/>
    <w:rsid w:val="00A415A7"/>
    <w:rsid w:val="00A41801"/>
    <w:rsid w:val="00A41B24"/>
    <w:rsid w:val="00A43AC8"/>
    <w:rsid w:val="00A44962"/>
    <w:rsid w:val="00A44E00"/>
    <w:rsid w:val="00A450A2"/>
    <w:rsid w:val="00A45125"/>
    <w:rsid w:val="00A45354"/>
    <w:rsid w:val="00A45F6C"/>
    <w:rsid w:val="00A46232"/>
    <w:rsid w:val="00A46C50"/>
    <w:rsid w:val="00A5154A"/>
    <w:rsid w:val="00A51695"/>
    <w:rsid w:val="00A516BC"/>
    <w:rsid w:val="00A5193F"/>
    <w:rsid w:val="00A53559"/>
    <w:rsid w:val="00A53797"/>
    <w:rsid w:val="00A53B3B"/>
    <w:rsid w:val="00A53B6E"/>
    <w:rsid w:val="00A53C50"/>
    <w:rsid w:val="00A54647"/>
    <w:rsid w:val="00A549B6"/>
    <w:rsid w:val="00A54F99"/>
    <w:rsid w:val="00A55806"/>
    <w:rsid w:val="00A5676A"/>
    <w:rsid w:val="00A56F3C"/>
    <w:rsid w:val="00A57754"/>
    <w:rsid w:val="00A57D2F"/>
    <w:rsid w:val="00A60682"/>
    <w:rsid w:val="00A60B77"/>
    <w:rsid w:val="00A60C01"/>
    <w:rsid w:val="00A60D3B"/>
    <w:rsid w:val="00A61062"/>
    <w:rsid w:val="00A61FAE"/>
    <w:rsid w:val="00A62EC9"/>
    <w:rsid w:val="00A641EF"/>
    <w:rsid w:val="00A6439C"/>
    <w:rsid w:val="00A64691"/>
    <w:rsid w:val="00A6481F"/>
    <w:rsid w:val="00A64A98"/>
    <w:rsid w:val="00A64B51"/>
    <w:rsid w:val="00A65345"/>
    <w:rsid w:val="00A65ABD"/>
    <w:rsid w:val="00A65E71"/>
    <w:rsid w:val="00A65F7C"/>
    <w:rsid w:val="00A665B6"/>
    <w:rsid w:val="00A665FF"/>
    <w:rsid w:val="00A702DC"/>
    <w:rsid w:val="00A70F6B"/>
    <w:rsid w:val="00A71639"/>
    <w:rsid w:val="00A71C8E"/>
    <w:rsid w:val="00A71D5D"/>
    <w:rsid w:val="00A71F61"/>
    <w:rsid w:val="00A72907"/>
    <w:rsid w:val="00A72BCF"/>
    <w:rsid w:val="00A72EF4"/>
    <w:rsid w:val="00A73864"/>
    <w:rsid w:val="00A73874"/>
    <w:rsid w:val="00A73AD7"/>
    <w:rsid w:val="00A73AE6"/>
    <w:rsid w:val="00A73C41"/>
    <w:rsid w:val="00A73C48"/>
    <w:rsid w:val="00A747E7"/>
    <w:rsid w:val="00A74A65"/>
    <w:rsid w:val="00A74C71"/>
    <w:rsid w:val="00A7519E"/>
    <w:rsid w:val="00A75F49"/>
    <w:rsid w:val="00A76896"/>
    <w:rsid w:val="00A76D76"/>
    <w:rsid w:val="00A77019"/>
    <w:rsid w:val="00A77649"/>
    <w:rsid w:val="00A779CD"/>
    <w:rsid w:val="00A77B22"/>
    <w:rsid w:val="00A77CF2"/>
    <w:rsid w:val="00A8026F"/>
    <w:rsid w:val="00A80828"/>
    <w:rsid w:val="00A809A2"/>
    <w:rsid w:val="00A81175"/>
    <w:rsid w:val="00A81CA5"/>
    <w:rsid w:val="00A81E2B"/>
    <w:rsid w:val="00A82A6D"/>
    <w:rsid w:val="00A82C6D"/>
    <w:rsid w:val="00A837CF"/>
    <w:rsid w:val="00A843E7"/>
    <w:rsid w:val="00A85124"/>
    <w:rsid w:val="00A8534E"/>
    <w:rsid w:val="00A8543B"/>
    <w:rsid w:val="00A8553C"/>
    <w:rsid w:val="00A8598B"/>
    <w:rsid w:val="00A87094"/>
    <w:rsid w:val="00A902A1"/>
    <w:rsid w:val="00A9050A"/>
    <w:rsid w:val="00A90DC9"/>
    <w:rsid w:val="00A913A9"/>
    <w:rsid w:val="00A91498"/>
    <w:rsid w:val="00A918B9"/>
    <w:rsid w:val="00A918E4"/>
    <w:rsid w:val="00A91B6C"/>
    <w:rsid w:val="00A92CD7"/>
    <w:rsid w:val="00A93747"/>
    <w:rsid w:val="00A938AA"/>
    <w:rsid w:val="00A938D2"/>
    <w:rsid w:val="00A94BB5"/>
    <w:rsid w:val="00A94BC7"/>
    <w:rsid w:val="00A95299"/>
    <w:rsid w:val="00A957CE"/>
    <w:rsid w:val="00A970F4"/>
    <w:rsid w:val="00A97435"/>
    <w:rsid w:val="00A97F82"/>
    <w:rsid w:val="00AA0879"/>
    <w:rsid w:val="00AA0B80"/>
    <w:rsid w:val="00AA19DE"/>
    <w:rsid w:val="00AA1C9A"/>
    <w:rsid w:val="00AA250D"/>
    <w:rsid w:val="00AA332D"/>
    <w:rsid w:val="00AA34D3"/>
    <w:rsid w:val="00AA39D5"/>
    <w:rsid w:val="00AA3D51"/>
    <w:rsid w:val="00AA3DDB"/>
    <w:rsid w:val="00AA471E"/>
    <w:rsid w:val="00AA499A"/>
    <w:rsid w:val="00AA5139"/>
    <w:rsid w:val="00AA59F8"/>
    <w:rsid w:val="00AA5B19"/>
    <w:rsid w:val="00AA6FF5"/>
    <w:rsid w:val="00AA701E"/>
    <w:rsid w:val="00AA744A"/>
    <w:rsid w:val="00AA7A94"/>
    <w:rsid w:val="00AB0244"/>
    <w:rsid w:val="00AB0259"/>
    <w:rsid w:val="00AB0683"/>
    <w:rsid w:val="00AB180F"/>
    <w:rsid w:val="00AB18B7"/>
    <w:rsid w:val="00AB220E"/>
    <w:rsid w:val="00AB265B"/>
    <w:rsid w:val="00AB2695"/>
    <w:rsid w:val="00AB2E21"/>
    <w:rsid w:val="00AB31A2"/>
    <w:rsid w:val="00AB3841"/>
    <w:rsid w:val="00AB3887"/>
    <w:rsid w:val="00AB432A"/>
    <w:rsid w:val="00AB4F30"/>
    <w:rsid w:val="00AB5478"/>
    <w:rsid w:val="00AB5520"/>
    <w:rsid w:val="00AB62FC"/>
    <w:rsid w:val="00AB64AD"/>
    <w:rsid w:val="00AB64DF"/>
    <w:rsid w:val="00AC094F"/>
    <w:rsid w:val="00AC0ADB"/>
    <w:rsid w:val="00AC0B18"/>
    <w:rsid w:val="00AC0E41"/>
    <w:rsid w:val="00AC14D2"/>
    <w:rsid w:val="00AC2674"/>
    <w:rsid w:val="00AC44B1"/>
    <w:rsid w:val="00AC50FB"/>
    <w:rsid w:val="00AC519B"/>
    <w:rsid w:val="00AC5888"/>
    <w:rsid w:val="00AC5E55"/>
    <w:rsid w:val="00AC64EC"/>
    <w:rsid w:val="00AC7534"/>
    <w:rsid w:val="00AC7BA0"/>
    <w:rsid w:val="00AD068D"/>
    <w:rsid w:val="00AD10B2"/>
    <w:rsid w:val="00AD1882"/>
    <w:rsid w:val="00AD1F2A"/>
    <w:rsid w:val="00AD222B"/>
    <w:rsid w:val="00AD2290"/>
    <w:rsid w:val="00AD2566"/>
    <w:rsid w:val="00AD29EE"/>
    <w:rsid w:val="00AD2AD2"/>
    <w:rsid w:val="00AD2CDE"/>
    <w:rsid w:val="00AD32D1"/>
    <w:rsid w:val="00AD37D3"/>
    <w:rsid w:val="00AD4211"/>
    <w:rsid w:val="00AD570E"/>
    <w:rsid w:val="00AD6D5A"/>
    <w:rsid w:val="00AD720F"/>
    <w:rsid w:val="00AD774A"/>
    <w:rsid w:val="00AD7C46"/>
    <w:rsid w:val="00AE0C68"/>
    <w:rsid w:val="00AE0F29"/>
    <w:rsid w:val="00AE16A2"/>
    <w:rsid w:val="00AE1C69"/>
    <w:rsid w:val="00AE26F3"/>
    <w:rsid w:val="00AE3CD8"/>
    <w:rsid w:val="00AE4746"/>
    <w:rsid w:val="00AE4C0F"/>
    <w:rsid w:val="00AE5DA3"/>
    <w:rsid w:val="00AE6069"/>
    <w:rsid w:val="00AE6F88"/>
    <w:rsid w:val="00AE759D"/>
    <w:rsid w:val="00AF021E"/>
    <w:rsid w:val="00AF097D"/>
    <w:rsid w:val="00AF0B42"/>
    <w:rsid w:val="00AF0E5E"/>
    <w:rsid w:val="00AF12A6"/>
    <w:rsid w:val="00AF251F"/>
    <w:rsid w:val="00AF2C1D"/>
    <w:rsid w:val="00AF2D99"/>
    <w:rsid w:val="00AF4BC0"/>
    <w:rsid w:val="00AF505E"/>
    <w:rsid w:val="00AF5118"/>
    <w:rsid w:val="00AF5358"/>
    <w:rsid w:val="00AF5B4F"/>
    <w:rsid w:val="00AF6A38"/>
    <w:rsid w:val="00AF7662"/>
    <w:rsid w:val="00AF7709"/>
    <w:rsid w:val="00AF7A66"/>
    <w:rsid w:val="00B00347"/>
    <w:rsid w:val="00B014F0"/>
    <w:rsid w:val="00B0185E"/>
    <w:rsid w:val="00B02840"/>
    <w:rsid w:val="00B037BB"/>
    <w:rsid w:val="00B0384C"/>
    <w:rsid w:val="00B03BE0"/>
    <w:rsid w:val="00B04415"/>
    <w:rsid w:val="00B04C08"/>
    <w:rsid w:val="00B04C63"/>
    <w:rsid w:val="00B0619A"/>
    <w:rsid w:val="00B06CEB"/>
    <w:rsid w:val="00B071FB"/>
    <w:rsid w:val="00B073CD"/>
    <w:rsid w:val="00B10255"/>
    <w:rsid w:val="00B1092E"/>
    <w:rsid w:val="00B1095F"/>
    <w:rsid w:val="00B10B5D"/>
    <w:rsid w:val="00B11146"/>
    <w:rsid w:val="00B13CED"/>
    <w:rsid w:val="00B1421D"/>
    <w:rsid w:val="00B14CEE"/>
    <w:rsid w:val="00B14ED8"/>
    <w:rsid w:val="00B1538C"/>
    <w:rsid w:val="00B15446"/>
    <w:rsid w:val="00B1554D"/>
    <w:rsid w:val="00B15735"/>
    <w:rsid w:val="00B162ED"/>
    <w:rsid w:val="00B16441"/>
    <w:rsid w:val="00B164DD"/>
    <w:rsid w:val="00B16CA1"/>
    <w:rsid w:val="00B17CA4"/>
    <w:rsid w:val="00B20651"/>
    <w:rsid w:val="00B20991"/>
    <w:rsid w:val="00B211DB"/>
    <w:rsid w:val="00B2158E"/>
    <w:rsid w:val="00B217CA"/>
    <w:rsid w:val="00B219F9"/>
    <w:rsid w:val="00B223AE"/>
    <w:rsid w:val="00B22EBE"/>
    <w:rsid w:val="00B23375"/>
    <w:rsid w:val="00B23696"/>
    <w:rsid w:val="00B23D70"/>
    <w:rsid w:val="00B2408D"/>
    <w:rsid w:val="00B24246"/>
    <w:rsid w:val="00B24958"/>
    <w:rsid w:val="00B24BD4"/>
    <w:rsid w:val="00B24C4C"/>
    <w:rsid w:val="00B253D0"/>
    <w:rsid w:val="00B254FD"/>
    <w:rsid w:val="00B2603F"/>
    <w:rsid w:val="00B26275"/>
    <w:rsid w:val="00B2687E"/>
    <w:rsid w:val="00B26C09"/>
    <w:rsid w:val="00B27C3A"/>
    <w:rsid w:val="00B27DD6"/>
    <w:rsid w:val="00B30F86"/>
    <w:rsid w:val="00B3124D"/>
    <w:rsid w:val="00B31344"/>
    <w:rsid w:val="00B31BCA"/>
    <w:rsid w:val="00B31BD7"/>
    <w:rsid w:val="00B32CC9"/>
    <w:rsid w:val="00B336DA"/>
    <w:rsid w:val="00B33795"/>
    <w:rsid w:val="00B337A3"/>
    <w:rsid w:val="00B33E6D"/>
    <w:rsid w:val="00B33F35"/>
    <w:rsid w:val="00B34765"/>
    <w:rsid w:val="00B34B31"/>
    <w:rsid w:val="00B34C44"/>
    <w:rsid w:val="00B356FB"/>
    <w:rsid w:val="00B36567"/>
    <w:rsid w:val="00B368CC"/>
    <w:rsid w:val="00B36E41"/>
    <w:rsid w:val="00B373A3"/>
    <w:rsid w:val="00B37949"/>
    <w:rsid w:val="00B37BEC"/>
    <w:rsid w:val="00B37DEB"/>
    <w:rsid w:val="00B40B10"/>
    <w:rsid w:val="00B40C80"/>
    <w:rsid w:val="00B413AB"/>
    <w:rsid w:val="00B413E8"/>
    <w:rsid w:val="00B439B2"/>
    <w:rsid w:val="00B43F6D"/>
    <w:rsid w:val="00B443A4"/>
    <w:rsid w:val="00B44ED1"/>
    <w:rsid w:val="00B45267"/>
    <w:rsid w:val="00B45370"/>
    <w:rsid w:val="00B45ABA"/>
    <w:rsid w:val="00B4603D"/>
    <w:rsid w:val="00B47608"/>
    <w:rsid w:val="00B47F7F"/>
    <w:rsid w:val="00B5000B"/>
    <w:rsid w:val="00B50656"/>
    <w:rsid w:val="00B50840"/>
    <w:rsid w:val="00B50C4D"/>
    <w:rsid w:val="00B50D50"/>
    <w:rsid w:val="00B527C5"/>
    <w:rsid w:val="00B52AD0"/>
    <w:rsid w:val="00B5317B"/>
    <w:rsid w:val="00B53619"/>
    <w:rsid w:val="00B53887"/>
    <w:rsid w:val="00B53AB6"/>
    <w:rsid w:val="00B53E57"/>
    <w:rsid w:val="00B53FE8"/>
    <w:rsid w:val="00B5465D"/>
    <w:rsid w:val="00B5470E"/>
    <w:rsid w:val="00B5477C"/>
    <w:rsid w:val="00B54818"/>
    <w:rsid w:val="00B54A56"/>
    <w:rsid w:val="00B55BC9"/>
    <w:rsid w:val="00B56DAB"/>
    <w:rsid w:val="00B57F4C"/>
    <w:rsid w:val="00B60F7E"/>
    <w:rsid w:val="00B61A0E"/>
    <w:rsid w:val="00B6369D"/>
    <w:rsid w:val="00B64055"/>
    <w:rsid w:val="00B64323"/>
    <w:rsid w:val="00B647DF"/>
    <w:rsid w:val="00B64868"/>
    <w:rsid w:val="00B64978"/>
    <w:rsid w:val="00B64B8A"/>
    <w:rsid w:val="00B64BD7"/>
    <w:rsid w:val="00B64E51"/>
    <w:rsid w:val="00B6540E"/>
    <w:rsid w:val="00B65A92"/>
    <w:rsid w:val="00B65FC1"/>
    <w:rsid w:val="00B65FC8"/>
    <w:rsid w:val="00B65FF9"/>
    <w:rsid w:val="00B66014"/>
    <w:rsid w:val="00B66C94"/>
    <w:rsid w:val="00B66CE0"/>
    <w:rsid w:val="00B671D1"/>
    <w:rsid w:val="00B70B57"/>
    <w:rsid w:val="00B7128A"/>
    <w:rsid w:val="00B72657"/>
    <w:rsid w:val="00B72953"/>
    <w:rsid w:val="00B72E0E"/>
    <w:rsid w:val="00B73A1C"/>
    <w:rsid w:val="00B73D93"/>
    <w:rsid w:val="00B7402A"/>
    <w:rsid w:val="00B74561"/>
    <w:rsid w:val="00B747ED"/>
    <w:rsid w:val="00B74A20"/>
    <w:rsid w:val="00B75B59"/>
    <w:rsid w:val="00B767FC"/>
    <w:rsid w:val="00B76E7C"/>
    <w:rsid w:val="00B77E9B"/>
    <w:rsid w:val="00B80EF6"/>
    <w:rsid w:val="00B81839"/>
    <w:rsid w:val="00B82DF7"/>
    <w:rsid w:val="00B82F50"/>
    <w:rsid w:val="00B8406B"/>
    <w:rsid w:val="00B84E23"/>
    <w:rsid w:val="00B85220"/>
    <w:rsid w:val="00B85840"/>
    <w:rsid w:val="00B8600E"/>
    <w:rsid w:val="00B861C6"/>
    <w:rsid w:val="00B861E1"/>
    <w:rsid w:val="00B86941"/>
    <w:rsid w:val="00B87C8B"/>
    <w:rsid w:val="00B87CB3"/>
    <w:rsid w:val="00B87CFE"/>
    <w:rsid w:val="00B87D0C"/>
    <w:rsid w:val="00B87F87"/>
    <w:rsid w:val="00B900FB"/>
    <w:rsid w:val="00B9037C"/>
    <w:rsid w:val="00B90ADE"/>
    <w:rsid w:val="00B91502"/>
    <w:rsid w:val="00B91790"/>
    <w:rsid w:val="00B9283D"/>
    <w:rsid w:val="00B93015"/>
    <w:rsid w:val="00B93137"/>
    <w:rsid w:val="00B93574"/>
    <w:rsid w:val="00B9398C"/>
    <w:rsid w:val="00B94203"/>
    <w:rsid w:val="00B945D1"/>
    <w:rsid w:val="00B948D1"/>
    <w:rsid w:val="00B952FC"/>
    <w:rsid w:val="00B95E82"/>
    <w:rsid w:val="00B95F16"/>
    <w:rsid w:val="00B95FD7"/>
    <w:rsid w:val="00B96A3C"/>
    <w:rsid w:val="00B96FDC"/>
    <w:rsid w:val="00B97AA7"/>
    <w:rsid w:val="00B97C7A"/>
    <w:rsid w:val="00B97FEE"/>
    <w:rsid w:val="00BA02E9"/>
    <w:rsid w:val="00BA073E"/>
    <w:rsid w:val="00BA0982"/>
    <w:rsid w:val="00BA0D9F"/>
    <w:rsid w:val="00BA0F6E"/>
    <w:rsid w:val="00BA120F"/>
    <w:rsid w:val="00BA17E0"/>
    <w:rsid w:val="00BA23D1"/>
    <w:rsid w:val="00BA2662"/>
    <w:rsid w:val="00BA2921"/>
    <w:rsid w:val="00BA3276"/>
    <w:rsid w:val="00BA36F1"/>
    <w:rsid w:val="00BA3F7B"/>
    <w:rsid w:val="00BA4051"/>
    <w:rsid w:val="00BA5C56"/>
    <w:rsid w:val="00BA5FDB"/>
    <w:rsid w:val="00BA6320"/>
    <w:rsid w:val="00BA64C1"/>
    <w:rsid w:val="00BA6FAB"/>
    <w:rsid w:val="00BA7D5B"/>
    <w:rsid w:val="00BA7E45"/>
    <w:rsid w:val="00BA7EC2"/>
    <w:rsid w:val="00BB04CC"/>
    <w:rsid w:val="00BB04FE"/>
    <w:rsid w:val="00BB0583"/>
    <w:rsid w:val="00BB0EF7"/>
    <w:rsid w:val="00BB1355"/>
    <w:rsid w:val="00BB1826"/>
    <w:rsid w:val="00BB1E34"/>
    <w:rsid w:val="00BB2840"/>
    <w:rsid w:val="00BB2A86"/>
    <w:rsid w:val="00BB2AF9"/>
    <w:rsid w:val="00BB2BDB"/>
    <w:rsid w:val="00BB2E0C"/>
    <w:rsid w:val="00BB2E57"/>
    <w:rsid w:val="00BB3229"/>
    <w:rsid w:val="00BB3482"/>
    <w:rsid w:val="00BB37AD"/>
    <w:rsid w:val="00BB3A2C"/>
    <w:rsid w:val="00BB4EF4"/>
    <w:rsid w:val="00BB4F28"/>
    <w:rsid w:val="00BB514D"/>
    <w:rsid w:val="00BB63C1"/>
    <w:rsid w:val="00BB7E7B"/>
    <w:rsid w:val="00BC0DBA"/>
    <w:rsid w:val="00BC0FA2"/>
    <w:rsid w:val="00BC1D42"/>
    <w:rsid w:val="00BC2053"/>
    <w:rsid w:val="00BC29DC"/>
    <w:rsid w:val="00BC2B27"/>
    <w:rsid w:val="00BC2DFF"/>
    <w:rsid w:val="00BC3558"/>
    <w:rsid w:val="00BC3754"/>
    <w:rsid w:val="00BC3FCF"/>
    <w:rsid w:val="00BC426D"/>
    <w:rsid w:val="00BC4B41"/>
    <w:rsid w:val="00BC4FA1"/>
    <w:rsid w:val="00BC5312"/>
    <w:rsid w:val="00BC59F7"/>
    <w:rsid w:val="00BC5BB7"/>
    <w:rsid w:val="00BC5F15"/>
    <w:rsid w:val="00BC6783"/>
    <w:rsid w:val="00BC68A2"/>
    <w:rsid w:val="00BC6D73"/>
    <w:rsid w:val="00BC6E93"/>
    <w:rsid w:val="00BC7337"/>
    <w:rsid w:val="00BC7433"/>
    <w:rsid w:val="00BC7778"/>
    <w:rsid w:val="00BD02D8"/>
    <w:rsid w:val="00BD08B8"/>
    <w:rsid w:val="00BD1F13"/>
    <w:rsid w:val="00BD264C"/>
    <w:rsid w:val="00BD31BE"/>
    <w:rsid w:val="00BD401F"/>
    <w:rsid w:val="00BD41F4"/>
    <w:rsid w:val="00BD4A53"/>
    <w:rsid w:val="00BD53AB"/>
    <w:rsid w:val="00BD5A3E"/>
    <w:rsid w:val="00BD5F42"/>
    <w:rsid w:val="00BD6452"/>
    <w:rsid w:val="00BD72AA"/>
    <w:rsid w:val="00BD7874"/>
    <w:rsid w:val="00BD7B82"/>
    <w:rsid w:val="00BE0167"/>
    <w:rsid w:val="00BE12B3"/>
    <w:rsid w:val="00BE158D"/>
    <w:rsid w:val="00BE2046"/>
    <w:rsid w:val="00BE312B"/>
    <w:rsid w:val="00BE49A3"/>
    <w:rsid w:val="00BE63B1"/>
    <w:rsid w:val="00BE64AF"/>
    <w:rsid w:val="00BE69C7"/>
    <w:rsid w:val="00BE77E4"/>
    <w:rsid w:val="00BE7B42"/>
    <w:rsid w:val="00BF093F"/>
    <w:rsid w:val="00BF0B5F"/>
    <w:rsid w:val="00BF1588"/>
    <w:rsid w:val="00BF18BF"/>
    <w:rsid w:val="00BF1950"/>
    <w:rsid w:val="00BF1A0D"/>
    <w:rsid w:val="00BF1C49"/>
    <w:rsid w:val="00BF2433"/>
    <w:rsid w:val="00BF267C"/>
    <w:rsid w:val="00BF28C0"/>
    <w:rsid w:val="00BF3C17"/>
    <w:rsid w:val="00BF3D2C"/>
    <w:rsid w:val="00BF4769"/>
    <w:rsid w:val="00BF4A16"/>
    <w:rsid w:val="00BF4CA0"/>
    <w:rsid w:val="00BF4D89"/>
    <w:rsid w:val="00BF5407"/>
    <w:rsid w:val="00BF6853"/>
    <w:rsid w:val="00BF6C40"/>
    <w:rsid w:val="00BF769A"/>
    <w:rsid w:val="00C01B0A"/>
    <w:rsid w:val="00C01B9C"/>
    <w:rsid w:val="00C02C44"/>
    <w:rsid w:val="00C02E91"/>
    <w:rsid w:val="00C0404E"/>
    <w:rsid w:val="00C04173"/>
    <w:rsid w:val="00C04EC7"/>
    <w:rsid w:val="00C05AA2"/>
    <w:rsid w:val="00C06723"/>
    <w:rsid w:val="00C0737F"/>
    <w:rsid w:val="00C11A86"/>
    <w:rsid w:val="00C11FFD"/>
    <w:rsid w:val="00C120F8"/>
    <w:rsid w:val="00C126C4"/>
    <w:rsid w:val="00C12AE0"/>
    <w:rsid w:val="00C131FB"/>
    <w:rsid w:val="00C13378"/>
    <w:rsid w:val="00C14259"/>
    <w:rsid w:val="00C14726"/>
    <w:rsid w:val="00C151C4"/>
    <w:rsid w:val="00C1561B"/>
    <w:rsid w:val="00C15FAD"/>
    <w:rsid w:val="00C166DC"/>
    <w:rsid w:val="00C16754"/>
    <w:rsid w:val="00C16B65"/>
    <w:rsid w:val="00C172B2"/>
    <w:rsid w:val="00C17C0D"/>
    <w:rsid w:val="00C20A7B"/>
    <w:rsid w:val="00C2117A"/>
    <w:rsid w:val="00C211EB"/>
    <w:rsid w:val="00C216C4"/>
    <w:rsid w:val="00C21746"/>
    <w:rsid w:val="00C21DE1"/>
    <w:rsid w:val="00C22B16"/>
    <w:rsid w:val="00C23092"/>
    <w:rsid w:val="00C23132"/>
    <w:rsid w:val="00C235EA"/>
    <w:rsid w:val="00C23E11"/>
    <w:rsid w:val="00C2478D"/>
    <w:rsid w:val="00C247A9"/>
    <w:rsid w:val="00C24ACB"/>
    <w:rsid w:val="00C24DCE"/>
    <w:rsid w:val="00C26EF1"/>
    <w:rsid w:val="00C27425"/>
    <w:rsid w:val="00C274BA"/>
    <w:rsid w:val="00C3131B"/>
    <w:rsid w:val="00C31925"/>
    <w:rsid w:val="00C32B6C"/>
    <w:rsid w:val="00C33295"/>
    <w:rsid w:val="00C33593"/>
    <w:rsid w:val="00C33B4B"/>
    <w:rsid w:val="00C34A7E"/>
    <w:rsid w:val="00C34F84"/>
    <w:rsid w:val="00C35388"/>
    <w:rsid w:val="00C355A4"/>
    <w:rsid w:val="00C35C68"/>
    <w:rsid w:val="00C35D4A"/>
    <w:rsid w:val="00C35DEC"/>
    <w:rsid w:val="00C361E2"/>
    <w:rsid w:val="00C36204"/>
    <w:rsid w:val="00C36354"/>
    <w:rsid w:val="00C36508"/>
    <w:rsid w:val="00C36E10"/>
    <w:rsid w:val="00C3739B"/>
    <w:rsid w:val="00C37CEF"/>
    <w:rsid w:val="00C400B3"/>
    <w:rsid w:val="00C40244"/>
    <w:rsid w:val="00C41F09"/>
    <w:rsid w:val="00C43E13"/>
    <w:rsid w:val="00C44C49"/>
    <w:rsid w:val="00C4593F"/>
    <w:rsid w:val="00C45F95"/>
    <w:rsid w:val="00C50E7A"/>
    <w:rsid w:val="00C51910"/>
    <w:rsid w:val="00C53383"/>
    <w:rsid w:val="00C53731"/>
    <w:rsid w:val="00C53FDE"/>
    <w:rsid w:val="00C54385"/>
    <w:rsid w:val="00C54805"/>
    <w:rsid w:val="00C54A6E"/>
    <w:rsid w:val="00C550FB"/>
    <w:rsid w:val="00C556E4"/>
    <w:rsid w:val="00C557AA"/>
    <w:rsid w:val="00C55965"/>
    <w:rsid w:val="00C55986"/>
    <w:rsid w:val="00C55AAD"/>
    <w:rsid w:val="00C55BA9"/>
    <w:rsid w:val="00C55E7C"/>
    <w:rsid w:val="00C56380"/>
    <w:rsid w:val="00C56432"/>
    <w:rsid w:val="00C56A9C"/>
    <w:rsid w:val="00C56D6B"/>
    <w:rsid w:val="00C57024"/>
    <w:rsid w:val="00C573B1"/>
    <w:rsid w:val="00C60286"/>
    <w:rsid w:val="00C6077A"/>
    <w:rsid w:val="00C6105A"/>
    <w:rsid w:val="00C61B2E"/>
    <w:rsid w:val="00C62588"/>
    <w:rsid w:val="00C62D0A"/>
    <w:rsid w:val="00C632BE"/>
    <w:rsid w:val="00C63470"/>
    <w:rsid w:val="00C64BB2"/>
    <w:rsid w:val="00C65986"/>
    <w:rsid w:val="00C65F20"/>
    <w:rsid w:val="00C66153"/>
    <w:rsid w:val="00C664CE"/>
    <w:rsid w:val="00C667C5"/>
    <w:rsid w:val="00C67016"/>
    <w:rsid w:val="00C70882"/>
    <w:rsid w:val="00C70913"/>
    <w:rsid w:val="00C710CA"/>
    <w:rsid w:val="00C71534"/>
    <w:rsid w:val="00C71A37"/>
    <w:rsid w:val="00C71C3C"/>
    <w:rsid w:val="00C71C46"/>
    <w:rsid w:val="00C71E85"/>
    <w:rsid w:val="00C732C6"/>
    <w:rsid w:val="00C73BFF"/>
    <w:rsid w:val="00C73FBB"/>
    <w:rsid w:val="00C74144"/>
    <w:rsid w:val="00C74D35"/>
    <w:rsid w:val="00C753EC"/>
    <w:rsid w:val="00C76DFA"/>
    <w:rsid w:val="00C773E0"/>
    <w:rsid w:val="00C7747F"/>
    <w:rsid w:val="00C80006"/>
    <w:rsid w:val="00C80B80"/>
    <w:rsid w:val="00C82397"/>
    <w:rsid w:val="00C82E92"/>
    <w:rsid w:val="00C8312A"/>
    <w:rsid w:val="00C837F9"/>
    <w:rsid w:val="00C839F9"/>
    <w:rsid w:val="00C83DB9"/>
    <w:rsid w:val="00C8496E"/>
    <w:rsid w:val="00C84C48"/>
    <w:rsid w:val="00C854F7"/>
    <w:rsid w:val="00C85BA2"/>
    <w:rsid w:val="00C85FDF"/>
    <w:rsid w:val="00C862F6"/>
    <w:rsid w:val="00C86817"/>
    <w:rsid w:val="00C86BED"/>
    <w:rsid w:val="00C86E9E"/>
    <w:rsid w:val="00C873E5"/>
    <w:rsid w:val="00C874F9"/>
    <w:rsid w:val="00C876BD"/>
    <w:rsid w:val="00C87A0F"/>
    <w:rsid w:val="00C902C5"/>
    <w:rsid w:val="00C905C2"/>
    <w:rsid w:val="00C905CD"/>
    <w:rsid w:val="00C90798"/>
    <w:rsid w:val="00C91032"/>
    <w:rsid w:val="00C91EBF"/>
    <w:rsid w:val="00C936FC"/>
    <w:rsid w:val="00C93D8D"/>
    <w:rsid w:val="00C93E2D"/>
    <w:rsid w:val="00C94444"/>
    <w:rsid w:val="00C94E64"/>
    <w:rsid w:val="00C95342"/>
    <w:rsid w:val="00C954C0"/>
    <w:rsid w:val="00C9592D"/>
    <w:rsid w:val="00C95EEE"/>
    <w:rsid w:val="00C962FD"/>
    <w:rsid w:val="00C96782"/>
    <w:rsid w:val="00C96AA4"/>
    <w:rsid w:val="00C96C46"/>
    <w:rsid w:val="00C978BE"/>
    <w:rsid w:val="00C97E09"/>
    <w:rsid w:val="00CA0FE4"/>
    <w:rsid w:val="00CA1CC1"/>
    <w:rsid w:val="00CA1F2D"/>
    <w:rsid w:val="00CA23B5"/>
    <w:rsid w:val="00CA246E"/>
    <w:rsid w:val="00CA279F"/>
    <w:rsid w:val="00CA2AB2"/>
    <w:rsid w:val="00CA332A"/>
    <w:rsid w:val="00CA3F06"/>
    <w:rsid w:val="00CA403E"/>
    <w:rsid w:val="00CA49B2"/>
    <w:rsid w:val="00CA4E94"/>
    <w:rsid w:val="00CA7927"/>
    <w:rsid w:val="00CB01F7"/>
    <w:rsid w:val="00CB025B"/>
    <w:rsid w:val="00CB02E9"/>
    <w:rsid w:val="00CB0633"/>
    <w:rsid w:val="00CB0B9C"/>
    <w:rsid w:val="00CB0D07"/>
    <w:rsid w:val="00CB1DF9"/>
    <w:rsid w:val="00CB2848"/>
    <w:rsid w:val="00CB35AE"/>
    <w:rsid w:val="00CB3E12"/>
    <w:rsid w:val="00CB4253"/>
    <w:rsid w:val="00CB4719"/>
    <w:rsid w:val="00CB4C79"/>
    <w:rsid w:val="00CB5459"/>
    <w:rsid w:val="00CB5BAC"/>
    <w:rsid w:val="00CB68B6"/>
    <w:rsid w:val="00CB6E11"/>
    <w:rsid w:val="00CB7055"/>
    <w:rsid w:val="00CB7694"/>
    <w:rsid w:val="00CB79B3"/>
    <w:rsid w:val="00CC137D"/>
    <w:rsid w:val="00CC1AA9"/>
    <w:rsid w:val="00CC2557"/>
    <w:rsid w:val="00CC2C87"/>
    <w:rsid w:val="00CC2D8C"/>
    <w:rsid w:val="00CC4062"/>
    <w:rsid w:val="00CC48C4"/>
    <w:rsid w:val="00CC48D8"/>
    <w:rsid w:val="00CC4D0A"/>
    <w:rsid w:val="00CC5096"/>
    <w:rsid w:val="00CC55A3"/>
    <w:rsid w:val="00CC6414"/>
    <w:rsid w:val="00CC6455"/>
    <w:rsid w:val="00CC65DF"/>
    <w:rsid w:val="00CC7555"/>
    <w:rsid w:val="00CC77CA"/>
    <w:rsid w:val="00CD04C1"/>
    <w:rsid w:val="00CD0C14"/>
    <w:rsid w:val="00CD18BE"/>
    <w:rsid w:val="00CD19A2"/>
    <w:rsid w:val="00CD301B"/>
    <w:rsid w:val="00CD31C2"/>
    <w:rsid w:val="00CD445F"/>
    <w:rsid w:val="00CD4A09"/>
    <w:rsid w:val="00CD51A9"/>
    <w:rsid w:val="00CD6C60"/>
    <w:rsid w:val="00CD7414"/>
    <w:rsid w:val="00CD7CE7"/>
    <w:rsid w:val="00CE0B1B"/>
    <w:rsid w:val="00CE0C0E"/>
    <w:rsid w:val="00CE132B"/>
    <w:rsid w:val="00CE137F"/>
    <w:rsid w:val="00CE13AE"/>
    <w:rsid w:val="00CE2654"/>
    <w:rsid w:val="00CE2F44"/>
    <w:rsid w:val="00CE3349"/>
    <w:rsid w:val="00CE4098"/>
    <w:rsid w:val="00CE63C4"/>
    <w:rsid w:val="00CE726D"/>
    <w:rsid w:val="00CE7A59"/>
    <w:rsid w:val="00CF157A"/>
    <w:rsid w:val="00CF1C54"/>
    <w:rsid w:val="00CF2379"/>
    <w:rsid w:val="00CF30F6"/>
    <w:rsid w:val="00CF38E0"/>
    <w:rsid w:val="00CF39A8"/>
    <w:rsid w:val="00CF3FF6"/>
    <w:rsid w:val="00CF40F0"/>
    <w:rsid w:val="00CF458B"/>
    <w:rsid w:val="00CF4B59"/>
    <w:rsid w:val="00CF5163"/>
    <w:rsid w:val="00CF5537"/>
    <w:rsid w:val="00CF555F"/>
    <w:rsid w:val="00CF65DF"/>
    <w:rsid w:val="00CF6CDB"/>
    <w:rsid w:val="00CF6F9B"/>
    <w:rsid w:val="00CF6FE2"/>
    <w:rsid w:val="00CF7316"/>
    <w:rsid w:val="00CF795C"/>
    <w:rsid w:val="00CF7FC6"/>
    <w:rsid w:val="00D00084"/>
    <w:rsid w:val="00D00965"/>
    <w:rsid w:val="00D018B1"/>
    <w:rsid w:val="00D025D7"/>
    <w:rsid w:val="00D02FB4"/>
    <w:rsid w:val="00D03D2D"/>
    <w:rsid w:val="00D05132"/>
    <w:rsid w:val="00D078AE"/>
    <w:rsid w:val="00D078BB"/>
    <w:rsid w:val="00D103BD"/>
    <w:rsid w:val="00D11254"/>
    <w:rsid w:val="00D11C38"/>
    <w:rsid w:val="00D12339"/>
    <w:rsid w:val="00D1285C"/>
    <w:rsid w:val="00D13618"/>
    <w:rsid w:val="00D13D5A"/>
    <w:rsid w:val="00D143FF"/>
    <w:rsid w:val="00D14726"/>
    <w:rsid w:val="00D16CB0"/>
    <w:rsid w:val="00D1732D"/>
    <w:rsid w:val="00D2023C"/>
    <w:rsid w:val="00D20295"/>
    <w:rsid w:val="00D20939"/>
    <w:rsid w:val="00D20CD8"/>
    <w:rsid w:val="00D20D1A"/>
    <w:rsid w:val="00D20F6A"/>
    <w:rsid w:val="00D20F72"/>
    <w:rsid w:val="00D211AD"/>
    <w:rsid w:val="00D2129F"/>
    <w:rsid w:val="00D2263F"/>
    <w:rsid w:val="00D22A9F"/>
    <w:rsid w:val="00D257CF"/>
    <w:rsid w:val="00D25A43"/>
    <w:rsid w:val="00D26486"/>
    <w:rsid w:val="00D2668A"/>
    <w:rsid w:val="00D267A8"/>
    <w:rsid w:val="00D267BD"/>
    <w:rsid w:val="00D26AE3"/>
    <w:rsid w:val="00D27563"/>
    <w:rsid w:val="00D27602"/>
    <w:rsid w:val="00D277B9"/>
    <w:rsid w:val="00D2780C"/>
    <w:rsid w:val="00D30221"/>
    <w:rsid w:val="00D30BC0"/>
    <w:rsid w:val="00D30BD2"/>
    <w:rsid w:val="00D30F01"/>
    <w:rsid w:val="00D31613"/>
    <w:rsid w:val="00D3267E"/>
    <w:rsid w:val="00D327A4"/>
    <w:rsid w:val="00D341CE"/>
    <w:rsid w:val="00D34BC0"/>
    <w:rsid w:val="00D353CE"/>
    <w:rsid w:val="00D3623B"/>
    <w:rsid w:val="00D36AD8"/>
    <w:rsid w:val="00D36DE0"/>
    <w:rsid w:val="00D36FCA"/>
    <w:rsid w:val="00D3752D"/>
    <w:rsid w:val="00D37A02"/>
    <w:rsid w:val="00D40690"/>
    <w:rsid w:val="00D407A7"/>
    <w:rsid w:val="00D41BB2"/>
    <w:rsid w:val="00D4255F"/>
    <w:rsid w:val="00D425BD"/>
    <w:rsid w:val="00D427DF"/>
    <w:rsid w:val="00D4452C"/>
    <w:rsid w:val="00D4540D"/>
    <w:rsid w:val="00D46572"/>
    <w:rsid w:val="00D47339"/>
    <w:rsid w:val="00D47DC1"/>
    <w:rsid w:val="00D50B10"/>
    <w:rsid w:val="00D50B69"/>
    <w:rsid w:val="00D50EEA"/>
    <w:rsid w:val="00D510F7"/>
    <w:rsid w:val="00D516BC"/>
    <w:rsid w:val="00D5273D"/>
    <w:rsid w:val="00D543BF"/>
    <w:rsid w:val="00D54B07"/>
    <w:rsid w:val="00D5585C"/>
    <w:rsid w:val="00D559A7"/>
    <w:rsid w:val="00D55A17"/>
    <w:rsid w:val="00D55E7A"/>
    <w:rsid w:val="00D55F2A"/>
    <w:rsid w:val="00D5611F"/>
    <w:rsid w:val="00D563C4"/>
    <w:rsid w:val="00D56DFB"/>
    <w:rsid w:val="00D57287"/>
    <w:rsid w:val="00D5736F"/>
    <w:rsid w:val="00D60D53"/>
    <w:rsid w:val="00D6126C"/>
    <w:rsid w:val="00D61740"/>
    <w:rsid w:val="00D61881"/>
    <w:rsid w:val="00D61C9E"/>
    <w:rsid w:val="00D61E12"/>
    <w:rsid w:val="00D623FD"/>
    <w:rsid w:val="00D62D62"/>
    <w:rsid w:val="00D63868"/>
    <w:rsid w:val="00D64442"/>
    <w:rsid w:val="00D64940"/>
    <w:rsid w:val="00D65048"/>
    <w:rsid w:val="00D651D9"/>
    <w:rsid w:val="00D65334"/>
    <w:rsid w:val="00D65F89"/>
    <w:rsid w:val="00D66311"/>
    <w:rsid w:val="00D66CB8"/>
    <w:rsid w:val="00D7056E"/>
    <w:rsid w:val="00D706C2"/>
    <w:rsid w:val="00D7111B"/>
    <w:rsid w:val="00D7269F"/>
    <w:rsid w:val="00D731B4"/>
    <w:rsid w:val="00D73B77"/>
    <w:rsid w:val="00D74F8F"/>
    <w:rsid w:val="00D754BC"/>
    <w:rsid w:val="00D75E74"/>
    <w:rsid w:val="00D76A65"/>
    <w:rsid w:val="00D76B9C"/>
    <w:rsid w:val="00D76D6B"/>
    <w:rsid w:val="00D76DE4"/>
    <w:rsid w:val="00D7703D"/>
    <w:rsid w:val="00D77827"/>
    <w:rsid w:val="00D82AF3"/>
    <w:rsid w:val="00D835BF"/>
    <w:rsid w:val="00D84B7A"/>
    <w:rsid w:val="00D84F83"/>
    <w:rsid w:val="00D8512D"/>
    <w:rsid w:val="00D8588D"/>
    <w:rsid w:val="00D86C1C"/>
    <w:rsid w:val="00D875E6"/>
    <w:rsid w:val="00D87B57"/>
    <w:rsid w:val="00D9101A"/>
    <w:rsid w:val="00D91648"/>
    <w:rsid w:val="00D9226B"/>
    <w:rsid w:val="00D92459"/>
    <w:rsid w:val="00D92CE8"/>
    <w:rsid w:val="00D92D28"/>
    <w:rsid w:val="00D9337C"/>
    <w:rsid w:val="00D93C84"/>
    <w:rsid w:val="00D93F6A"/>
    <w:rsid w:val="00D944E8"/>
    <w:rsid w:val="00D95756"/>
    <w:rsid w:val="00D95CCE"/>
    <w:rsid w:val="00D96BF9"/>
    <w:rsid w:val="00D97B15"/>
    <w:rsid w:val="00DA16E4"/>
    <w:rsid w:val="00DA20D4"/>
    <w:rsid w:val="00DA2359"/>
    <w:rsid w:val="00DA277B"/>
    <w:rsid w:val="00DA2BC5"/>
    <w:rsid w:val="00DA3B4C"/>
    <w:rsid w:val="00DA4CD7"/>
    <w:rsid w:val="00DA4DB4"/>
    <w:rsid w:val="00DA5027"/>
    <w:rsid w:val="00DA5C9E"/>
    <w:rsid w:val="00DA5E41"/>
    <w:rsid w:val="00DA6140"/>
    <w:rsid w:val="00DA66D4"/>
    <w:rsid w:val="00DA7340"/>
    <w:rsid w:val="00DA75AB"/>
    <w:rsid w:val="00DB0586"/>
    <w:rsid w:val="00DB0E9F"/>
    <w:rsid w:val="00DB1FF7"/>
    <w:rsid w:val="00DB243C"/>
    <w:rsid w:val="00DB299F"/>
    <w:rsid w:val="00DB29A4"/>
    <w:rsid w:val="00DB2E22"/>
    <w:rsid w:val="00DB3400"/>
    <w:rsid w:val="00DB360C"/>
    <w:rsid w:val="00DB4770"/>
    <w:rsid w:val="00DB49E0"/>
    <w:rsid w:val="00DB4BF9"/>
    <w:rsid w:val="00DB4CA3"/>
    <w:rsid w:val="00DB52B7"/>
    <w:rsid w:val="00DB55B3"/>
    <w:rsid w:val="00DB59C8"/>
    <w:rsid w:val="00DB7335"/>
    <w:rsid w:val="00DC0B48"/>
    <w:rsid w:val="00DC0BFC"/>
    <w:rsid w:val="00DC1C0A"/>
    <w:rsid w:val="00DC3DC9"/>
    <w:rsid w:val="00DC4455"/>
    <w:rsid w:val="00DC54A4"/>
    <w:rsid w:val="00DC555B"/>
    <w:rsid w:val="00DC5629"/>
    <w:rsid w:val="00DC5BF3"/>
    <w:rsid w:val="00DC65DD"/>
    <w:rsid w:val="00DC68D2"/>
    <w:rsid w:val="00DC78C0"/>
    <w:rsid w:val="00DD02E0"/>
    <w:rsid w:val="00DD0ACB"/>
    <w:rsid w:val="00DD18B7"/>
    <w:rsid w:val="00DD242C"/>
    <w:rsid w:val="00DD38AB"/>
    <w:rsid w:val="00DD52E2"/>
    <w:rsid w:val="00DD5682"/>
    <w:rsid w:val="00DD6736"/>
    <w:rsid w:val="00DE1682"/>
    <w:rsid w:val="00DE1BCA"/>
    <w:rsid w:val="00DE1F0B"/>
    <w:rsid w:val="00DE2BBB"/>
    <w:rsid w:val="00DE2DBB"/>
    <w:rsid w:val="00DE2EB7"/>
    <w:rsid w:val="00DE3720"/>
    <w:rsid w:val="00DE3A46"/>
    <w:rsid w:val="00DE408A"/>
    <w:rsid w:val="00DE4095"/>
    <w:rsid w:val="00DE43A5"/>
    <w:rsid w:val="00DE43B3"/>
    <w:rsid w:val="00DE485D"/>
    <w:rsid w:val="00DE508E"/>
    <w:rsid w:val="00DE5411"/>
    <w:rsid w:val="00DE590F"/>
    <w:rsid w:val="00DE5F1B"/>
    <w:rsid w:val="00DE7216"/>
    <w:rsid w:val="00DE7D9F"/>
    <w:rsid w:val="00DF025C"/>
    <w:rsid w:val="00DF0675"/>
    <w:rsid w:val="00DF242D"/>
    <w:rsid w:val="00DF4015"/>
    <w:rsid w:val="00DF42E1"/>
    <w:rsid w:val="00DF4B43"/>
    <w:rsid w:val="00DF7E42"/>
    <w:rsid w:val="00DF7E78"/>
    <w:rsid w:val="00E003ED"/>
    <w:rsid w:val="00E005D7"/>
    <w:rsid w:val="00E00CE1"/>
    <w:rsid w:val="00E00DA2"/>
    <w:rsid w:val="00E0263E"/>
    <w:rsid w:val="00E0439E"/>
    <w:rsid w:val="00E04578"/>
    <w:rsid w:val="00E04CC3"/>
    <w:rsid w:val="00E05595"/>
    <w:rsid w:val="00E062CE"/>
    <w:rsid w:val="00E06E1D"/>
    <w:rsid w:val="00E0757A"/>
    <w:rsid w:val="00E078DB"/>
    <w:rsid w:val="00E13EA2"/>
    <w:rsid w:val="00E1406F"/>
    <w:rsid w:val="00E145D1"/>
    <w:rsid w:val="00E14695"/>
    <w:rsid w:val="00E14D7F"/>
    <w:rsid w:val="00E158E3"/>
    <w:rsid w:val="00E162C9"/>
    <w:rsid w:val="00E17100"/>
    <w:rsid w:val="00E17A4B"/>
    <w:rsid w:val="00E201AF"/>
    <w:rsid w:val="00E2056A"/>
    <w:rsid w:val="00E2187A"/>
    <w:rsid w:val="00E219E7"/>
    <w:rsid w:val="00E23EE7"/>
    <w:rsid w:val="00E261D9"/>
    <w:rsid w:val="00E26289"/>
    <w:rsid w:val="00E26B49"/>
    <w:rsid w:val="00E2766F"/>
    <w:rsid w:val="00E27D25"/>
    <w:rsid w:val="00E30224"/>
    <w:rsid w:val="00E30771"/>
    <w:rsid w:val="00E30773"/>
    <w:rsid w:val="00E31063"/>
    <w:rsid w:val="00E319DD"/>
    <w:rsid w:val="00E31D2D"/>
    <w:rsid w:val="00E32010"/>
    <w:rsid w:val="00E32915"/>
    <w:rsid w:val="00E33A53"/>
    <w:rsid w:val="00E34AB4"/>
    <w:rsid w:val="00E37F59"/>
    <w:rsid w:val="00E403E1"/>
    <w:rsid w:val="00E40CEF"/>
    <w:rsid w:val="00E40D26"/>
    <w:rsid w:val="00E42423"/>
    <w:rsid w:val="00E431DE"/>
    <w:rsid w:val="00E43519"/>
    <w:rsid w:val="00E44C90"/>
    <w:rsid w:val="00E44DC6"/>
    <w:rsid w:val="00E45217"/>
    <w:rsid w:val="00E45324"/>
    <w:rsid w:val="00E45B3C"/>
    <w:rsid w:val="00E46007"/>
    <w:rsid w:val="00E461F9"/>
    <w:rsid w:val="00E46261"/>
    <w:rsid w:val="00E469BF"/>
    <w:rsid w:val="00E469DD"/>
    <w:rsid w:val="00E47874"/>
    <w:rsid w:val="00E47C33"/>
    <w:rsid w:val="00E516CF"/>
    <w:rsid w:val="00E51BA8"/>
    <w:rsid w:val="00E540C1"/>
    <w:rsid w:val="00E54316"/>
    <w:rsid w:val="00E54902"/>
    <w:rsid w:val="00E549E5"/>
    <w:rsid w:val="00E55C2A"/>
    <w:rsid w:val="00E55E9B"/>
    <w:rsid w:val="00E565B8"/>
    <w:rsid w:val="00E566D5"/>
    <w:rsid w:val="00E56F3D"/>
    <w:rsid w:val="00E5768A"/>
    <w:rsid w:val="00E57D19"/>
    <w:rsid w:val="00E6063D"/>
    <w:rsid w:val="00E614E1"/>
    <w:rsid w:val="00E62727"/>
    <w:rsid w:val="00E62746"/>
    <w:rsid w:val="00E62B0F"/>
    <w:rsid w:val="00E63EDA"/>
    <w:rsid w:val="00E6460A"/>
    <w:rsid w:val="00E65B20"/>
    <w:rsid w:val="00E66026"/>
    <w:rsid w:val="00E66440"/>
    <w:rsid w:val="00E667A8"/>
    <w:rsid w:val="00E700C7"/>
    <w:rsid w:val="00E701DD"/>
    <w:rsid w:val="00E7055F"/>
    <w:rsid w:val="00E705AA"/>
    <w:rsid w:val="00E705D4"/>
    <w:rsid w:val="00E70B39"/>
    <w:rsid w:val="00E70BFC"/>
    <w:rsid w:val="00E71505"/>
    <w:rsid w:val="00E71618"/>
    <w:rsid w:val="00E71AAF"/>
    <w:rsid w:val="00E7296B"/>
    <w:rsid w:val="00E742AD"/>
    <w:rsid w:val="00E74615"/>
    <w:rsid w:val="00E7520E"/>
    <w:rsid w:val="00E75B07"/>
    <w:rsid w:val="00E76140"/>
    <w:rsid w:val="00E76990"/>
    <w:rsid w:val="00E773DD"/>
    <w:rsid w:val="00E77B96"/>
    <w:rsid w:val="00E811D0"/>
    <w:rsid w:val="00E81867"/>
    <w:rsid w:val="00E81C8C"/>
    <w:rsid w:val="00E84AD4"/>
    <w:rsid w:val="00E84CFC"/>
    <w:rsid w:val="00E84E0A"/>
    <w:rsid w:val="00E85E03"/>
    <w:rsid w:val="00E86D8E"/>
    <w:rsid w:val="00E90895"/>
    <w:rsid w:val="00E90A69"/>
    <w:rsid w:val="00E9232E"/>
    <w:rsid w:val="00E93B5C"/>
    <w:rsid w:val="00E949C7"/>
    <w:rsid w:val="00E94A86"/>
    <w:rsid w:val="00E955C7"/>
    <w:rsid w:val="00E95B1E"/>
    <w:rsid w:val="00E95D55"/>
    <w:rsid w:val="00E96DAF"/>
    <w:rsid w:val="00E97388"/>
    <w:rsid w:val="00E97486"/>
    <w:rsid w:val="00E977EF"/>
    <w:rsid w:val="00E97BBD"/>
    <w:rsid w:val="00E97F9D"/>
    <w:rsid w:val="00EA0DC4"/>
    <w:rsid w:val="00EA0E4D"/>
    <w:rsid w:val="00EA0FAE"/>
    <w:rsid w:val="00EA12C2"/>
    <w:rsid w:val="00EA19CF"/>
    <w:rsid w:val="00EA22DB"/>
    <w:rsid w:val="00EA514E"/>
    <w:rsid w:val="00EA5603"/>
    <w:rsid w:val="00EA5699"/>
    <w:rsid w:val="00EA5718"/>
    <w:rsid w:val="00EA5796"/>
    <w:rsid w:val="00EA61FD"/>
    <w:rsid w:val="00EA777B"/>
    <w:rsid w:val="00EA7BA4"/>
    <w:rsid w:val="00EA7CC8"/>
    <w:rsid w:val="00EB0835"/>
    <w:rsid w:val="00EB0D15"/>
    <w:rsid w:val="00EB15F6"/>
    <w:rsid w:val="00EB3635"/>
    <w:rsid w:val="00EB371D"/>
    <w:rsid w:val="00EB3969"/>
    <w:rsid w:val="00EB399A"/>
    <w:rsid w:val="00EB3DE6"/>
    <w:rsid w:val="00EB42A0"/>
    <w:rsid w:val="00EB4B69"/>
    <w:rsid w:val="00EB63DE"/>
    <w:rsid w:val="00EB6B4B"/>
    <w:rsid w:val="00EB7B97"/>
    <w:rsid w:val="00EC0806"/>
    <w:rsid w:val="00EC08E0"/>
    <w:rsid w:val="00EC14C0"/>
    <w:rsid w:val="00EC163A"/>
    <w:rsid w:val="00EC269C"/>
    <w:rsid w:val="00EC271A"/>
    <w:rsid w:val="00EC2C2A"/>
    <w:rsid w:val="00EC315C"/>
    <w:rsid w:val="00EC3724"/>
    <w:rsid w:val="00EC3765"/>
    <w:rsid w:val="00EC4382"/>
    <w:rsid w:val="00EC44A7"/>
    <w:rsid w:val="00EC510E"/>
    <w:rsid w:val="00EC6050"/>
    <w:rsid w:val="00EC6B2C"/>
    <w:rsid w:val="00EC76FB"/>
    <w:rsid w:val="00EC7962"/>
    <w:rsid w:val="00ED0253"/>
    <w:rsid w:val="00ED0E08"/>
    <w:rsid w:val="00ED271E"/>
    <w:rsid w:val="00ED3EE9"/>
    <w:rsid w:val="00ED535C"/>
    <w:rsid w:val="00ED647A"/>
    <w:rsid w:val="00ED6F57"/>
    <w:rsid w:val="00ED72E7"/>
    <w:rsid w:val="00ED73DB"/>
    <w:rsid w:val="00ED797A"/>
    <w:rsid w:val="00EE0C35"/>
    <w:rsid w:val="00EE0F3B"/>
    <w:rsid w:val="00EE1270"/>
    <w:rsid w:val="00EE1958"/>
    <w:rsid w:val="00EE1EEC"/>
    <w:rsid w:val="00EE3237"/>
    <w:rsid w:val="00EE34DC"/>
    <w:rsid w:val="00EE4D78"/>
    <w:rsid w:val="00EE4EC6"/>
    <w:rsid w:val="00EE5465"/>
    <w:rsid w:val="00EE6093"/>
    <w:rsid w:val="00EE6E74"/>
    <w:rsid w:val="00EE7BE8"/>
    <w:rsid w:val="00EE7E56"/>
    <w:rsid w:val="00EF0B9F"/>
    <w:rsid w:val="00EF11E9"/>
    <w:rsid w:val="00EF16D7"/>
    <w:rsid w:val="00EF2914"/>
    <w:rsid w:val="00EF2E66"/>
    <w:rsid w:val="00EF3445"/>
    <w:rsid w:val="00EF3557"/>
    <w:rsid w:val="00EF3628"/>
    <w:rsid w:val="00EF3C87"/>
    <w:rsid w:val="00EF4064"/>
    <w:rsid w:val="00EF4D14"/>
    <w:rsid w:val="00EF6218"/>
    <w:rsid w:val="00EF650C"/>
    <w:rsid w:val="00EF6B93"/>
    <w:rsid w:val="00EF7630"/>
    <w:rsid w:val="00EF78CA"/>
    <w:rsid w:val="00EF7CB5"/>
    <w:rsid w:val="00EF7E4D"/>
    <w:rsid w:val="00F00401"/>
    <w:rsid w:val="00F00AC2"/>
    <w:rsid w:val="00F02CD7"/>
    <w:rsid w:val="00F02CFE"/>
    <w:rsid w:val="00F041BB"/>
    <w:rsid w:val="00F04355"/>
    <w:rsid w:val="00F04B4D"/>
    <w:rsid w:val="00F05F37"/>
    <w:rsid w:val="00F07A41"/>
    <w:rsid w:val="00F106A4"/>
    <w:rsid w:val="00F10CA2"/>
    <w:rsid w:val="00F11968"/>
    <w:rsid w:val="00F11EDE"/>
    <w:rsid w:val="00F11F50"/>
    <w:rsid w:val="00F128B2"/>
    <w:rsid w:val="00F12F6C"/>
    <w:rsid w:val="00F1358E"/>
    <w:rsid w:val="00F14189"/>
    <w:rsid w:val="00F14D46"/>
    <w:rsid w:val="00F14E42"/>
    <w:rsid w:val="00F156E4"/>
    <w:rsid w:val="00F1587B"/>
    <w:rsid w:val="00F15A3F"/>
    <w:rsid w:val="00F16DDE"/>
    <w:rsid w:val="00F170C1"/>
    <w:rsid w:val="00F174E7"/>
    <w:rsid w:val="00F1753A"/>
    <w:rsid w:val="00F21CEC"/>
    <w:rsid w:val="00F21D1C"/>
    <w:rsid w:val="00F2203F"/>
    <w:rsid w:val="00F225C3"/>
    <w:rsid w:val="00F22C35"/>
    <w:rsid w:val="00F23C9E"/>
    <w:rsid w:val="00F24591"/>
    <w:rsid w:val="00F245C7"/>
    <w:rsid w:val="00F24D9C"/>
    <w:rsid w:val="00F25205"/>
    <w:rsid w:val="00F26044"/>
    <w:rsid w:val="00F2709A"/>
    <w:rsid w:val="00F309CE"/>
    <w:rsid w:val="00F31CC3"/>
    <w:rsid w:val="00F32122"/>
    <w:rsid w:val="00F32183"/>
    <w:rsid w:val="00F32B2C"/>
    <w:rsid w:val="00F332F8"/>
    <w:rsid w:val="00F3359A"/>
    <w:rsid w:val="00F3466B"/>
    <w:rsid w:val="00F34721"/>
    <w:rsid w:val="00F34731"/>
    <w:rsid w:val="00F34ED1"/>
    <w:rsid w:val="00F36996"/>
    <w:rsid w:val="00F37194"/>
    <w:rsid w:val="00F40ABA"/>
    <w:rsid w:val="00F4163D"/>
    <w:rsid w:val="00F4415C"/>
    <w:rsid w:val="00F44506"/>
    <w:rsid w:val="00F4485E"/>
    <w:rsid w:val="00F4686F"/>
    <w:rsid w:val="00F46B39"/>
    <w:rsid w:val="00F476C4"/>
    <w:rsid w:val="00F4798D"/>
    <w:rsid w:val="00F47F08"/>
    <w:rsid w:val="00F500D2"/>
    <w:rsid w:val="00F504A0"/>
    <w:rsid w:val="00F50510"/>
    <w:rsid w:val="00F5199D"/>
    <w:rsid w:val="00F51A9B"/>
    <w:rsid w:val="00F5257D"/>
    <w:rsid w:val="00F5279C"/>
    <w:rsid w:val="00F527C3"/>
    <w:rsid w:val="00F52A8E"/>
    <w:rsid w:val="00F52A93"/>
    <w:rsid w:val="00F52EFE"/>
    <w:rsid w:val="00F530DA"/>
    <w:rsid w:val="00F53722"/>
    <w:rsid w:val="00F5412D"/>
    <w:rsid w:val="00F54BAD"/>
    <w:rsid w:val="00F55C34"/>
    <w:rsid w:val="00F56C1B"/>
    <w:rsid w:val="00F56DC4"/>
    <w:rsid w:val="00F57189"/>
    <w:rsid w:val="00F57831"/>
    <w:rsid w:val="00F57A6D"/>
    <w:rsid w:val="00F60B14"/>
    <w:rsid w:val="00F618EA"/>
    <w:rsid w:val="00F620F7"/>
    <w:rsid w:val="00F630C0"/>
    <w:rsid w:val="00F64C77"/>
    <w:rsid w:val="00F64F37"/>
    <w:rsid w:val="00F65202"/>
    <w:rsid w:val="00F65305"/>
    <w:rsid w:val="00F65369"/>
    <w:rsid w:val="00F65911"/>
    <w:rsid w:val="00F66296"/>
    <w:rsid w:val="00F67500"/>
    <w:rsid w:val="00F67805"/>
    <w:rsid w:val="00F6792A"/>
    <w:rsid w:val="00F70DDE"/>
    <w:rsid w:val="00F71938"/>
    <w:rsid w:val="00F72339"/>
    <w:rsid w:val="00F72A92"/>
    <w:rsid w:val="00F72ADA"/>
    <w:rsid w:val="00F735E6"/>
    <w:rsid w:val="00F741E0"/>
    <w:rsid w:val="00F74A5C"/>
    <w:rsid w:val="00F75EF1"/>
    <w:rsid w:val="00F7664D"/>
    <w:rsid w:val="00F768DA"/>
    <w:rsid w:val="00F77015"/>
    <w:rsid w:val="00F77A73"/>
    <w:rsid w:val="00F8037A"/>
    <w:rsid w:val="00F8125E"/>
    <w:rsid w:val="00F812E6"/>
    <w:rsid w:val="00F81C4B"/>
    <w:rsid w:val="00F81D7F"/>
    <w:rsid w:val="00F8208E"/>
    <w:rsid w:val="00F82FC2"/>
    <w:rsid w:val="00F83223"/>
    <w:rsid w:val="00F8359D"/>
    <w:rsid w:val="00F83E35"/>
    <w:rsid w:val="00F844BD"/>
    <w:rsid w:val="00F8535C"/>
    <w:rsid w:val="00F85E5E"/>
    <w:rsid w:val="00F86067"/>
    <w:rsid w:val="00F862AC"/>
    <w:rsid w:val="00F86761"/>
    <w:rsid w:val="00F873AE"/>
    <w:rsid w:val="00F8778D"/>
    <w:rsid w:val="00F87AD4"/>
    <w:rsid w:val="00F9004A"/>
    <w:rsid w:val="00F90099"/>
    <w:rsid w:val="00F90879"/>
    <w:rsid w:val="00F90AFB"/>
    <w:rsid w:val="00F90C29"/>
    <w:rsid w:val="00F90DA3"/>
    <w:rsid w:val="00F912F3"/>
    <w:rsid w:val="00F916C5"/>
    <w:rsid w:val="00F91ECE"/>
    <w:rsid w:val="00F92064"/>
    <w:rsid w:val="00F92632"/>
    <w:rsid w:val="00F92A66"/>
    <w:rsid w:val="00F93B55"/>
    <w:rsid w:val="00F93E49"/>
    <w:rsid w:val="00F941F1"/>
    <w:rsid w:val="00F942B3"/>
    <w:rsid w:val="00F94C6C"/>
    <w:rsid w:val="00F95182"/>
    <w:rsid w:val="00F95207"/>
    <w:rsid w:val="00F952D4"/>
    <w:rsid w:val="00F95E48"/>
    <w:rsid w:val="00F96787"/>
    <w:rsid w:val="00F96DF1"/>
    <w:rsid w:val="00F97B14"/>
    <w:rsid w:val="00F97E61"/>
    <w:rsid w:val="00FA0325"/>
    <w:rsid w:val="00FA1104"/>
    <w:rsid w:val="00FA3055"/>
    <w:rsid w:val="00FA3249"/>
    <w:rsid w:val="00FA34B0"/>
    <w:rsid w:val="00FA35CE"/>
    <w:rsid w:val="00FA363B"/>
    <w:rsid w:val="00FA38A6"/>
    <w:rsid w:val="00FA45CE"/>
    <w:rsid w:val="00FA49B8"/>
    <w:rsid w:val="00FA647C"/>
    <w:rsid w:val="00FA6850"/>
    <w:rsid w:val="00FA6870"/>
    <w:rsid w:val="00FA6C07"/>
    <w:rsid w:val="00FA6C8E"/>
    <w:rsid w:val="00FA6E22"/>
    <w:rsid w:val="00FA776B"/>
    <w:rsid w:val="00FA77B6"/>
    <w:rsid w:val="00FA7B91"/>
    <w:rsid w:val="00FA7CBD"/>
    <w:rsid w:val="00FB01C8"/>
    <w:rsid w:val="00FB191A"/>
    <w:rsid w:val="00FB3A90"/>
    <w:rsid w:val="00FB3D62"/>
    <w:rsid w:val="00FB3F00"/>
    <w:rsid w:val="00FB4591"/>
    <w:rsid w:val="00FB53B2"/>
    <w:rsid w:val="00FB5557"/>
    <w:rsid w:val="00FB56BC"/>
    <w:rsid w:val="00FB5DF7"/>
    <w:rsid w:val="00FB61E7"/>
    <w:rsid w:val="00FB6465"/>
    <w:rsid w:val="00FC0F61"/>
    <w:rsid w:val="00FC1089"/>
    <w:rsid w:val="00FC12BB"/>
    <w:rsid w:val="00FC1689"/>
    <w:rsid w:val="00FC2B8E"/>
    <w:rsid w:val="00FC2C56"/>
    <w:rsid w:val="00FC2F7B"/>
    <w:rsid w:val="00FC44A2"/>
    <w:rsid w:val="00FC44EB"/>
    <w:rsid w:val="00FC53FB"/>
    <w:rsid w:val="00FC564E"/>
    <w:rsid w:val="00FC56D2"/>
    <w:rsid w:val="00FC58F9"/>
    <w:rsid w:val="00FC5E49"/>
    <w:rsid w:val="00FC6F78"/>
    <w:rsid w:val="00FC7B93"/>
    <w:rsid w:val="00FD0EBB"/>
    <w:rsid w:val="00FD12E4"/>
    <w:rsid w:val="00FD1347"/>
    <w:rsid w:val="00FD19FC"/>
    <w:rsid w:val="00FD20B6"/>
    <w:rsid w:val="00FD2870"/>
    <w:rsid w:val="00FD2953"/>
    <w:rsid w:val="00FD31F1"/>
    <w:rsid w:val="00FD325D"/>
    <w:rsid w:val="00FD3AA9"/>
    <w:rsid w:val="00FD3F87"/>
    <w:rsid w:val="00FD3FB8"/>
    <w:rsid w:val="00FD6334"/>
    <w:rsid w:val="00FD7141"/>
    <w:rsid w:val="00FD714D"/>
    <w:rsid w:val="00FD7961"/>
    <w:rsid w:val="00FD7B1E"/>
    <w:rsid w:val="00FE00C4"/>
    <w:rsid w:val="00FE044C"/>
    <w:rsid w:val="00FE0B6B"/>
    <w:rsid w:val="00FE10DE"/>
    <w:rsid w:val="00FE128A"/>
    <w:rsid w:val="00FE182D"/>
    <w:rsid w:val="00FE2770"/>
    <w:rsid w:val="00FE3148"/>
    <w:rsid w:val="00FE382D"/>
    <w:rsid w:val="00FE5624"/>
    <w:rsid w:val="00FE56C3"/>
    <w:rsid w:val="00FE6818"/>
    <w:rsid w:val="00FE73D3"/>
    <w:rsid w:val="00FE79DF"/>
    <w:rsid w:val="00FE7F8A"/>
    <w:rsid w:val="00FF09A2"/>
    <w:rsid w:val="00FF0C5B"/>
    <w:rsid w:val="00FF135C"/>
    <w:rsid w:val="00FF1860"/>
    <w:rsid w:val="00FF1936"/>
    <w:rsid w:val="00FF28A6"/>
    <w:rsid w:val="00FF3445"/>
    <w:rsid w:val="00FF3C64"/>
    <w:rsid w:val="00FF4164"/>
    <w:rsid w:val="00FF4586"/>
    <w:rsid w:val="00FF45F4"/>
    <w:rsid w:val="00FF4AD6"/>
    <w:rsid w:val="00FF508D"/>
    <w:rsid w:val="00FF538F"/>
    <w:rsid w:val="00FF6344"/>
    <w:rsid w:val="00FF6665"/>
    <w:rsid w:val="04F0673B"/>
    <w:rsid w:val="05625194"/>
    <w:rsid w:val="05FD7346"/>
    <w:rsid w:val="096E4189"/>
    <w:rsid w:val="0A9B34C8"/>
    <w:rsid w:val="0AA74317"/>
    <w:rsid w:val="0B4F35AE"/>
    <w:rsid w:val="0BCD1CC9"/>
    <w:rsid w:val="0E485A86"/>
    <w:rsid w:val="0E63752D"/>
    <w:rsid w:val="0F573F82"/>
    <w:rsid w:val="11450632"/>
    <w:rsid w:val="125C14AE"/>
    <w:rsid w:val="12F06350"/>
    <w:rsid w:val="189A4CDB"/>
    <w:rsid w:val="19423805"/>
    <w:rsid w:val="19C64B2E"/>
    <w:rsid w:val="1D2949A7"/>
    <w:rsid w:val="207E79EA"/>
    <w:rsid w:val="20E73E78"/>
    <w:rsid w:val="22DB2FCC"/>
    <w:rsid w:val="24762952"/>
    <w:rsid w:val="26C23450"/>
    <w:rsid w:val="27424A8F"/>
    <w:rsid w:val="27AE27B7"/>
    <w:rsid w:val="288F151E"/>
    <w:rsid w:val="2D9F2F4C"/>
    <w:rsid w:val="310C25C5"/>
    <w:rsid w:val="32EB4267"/>
    <w:rsid w:val="343C4E59"/>
    <w:rsid w:val="35C15F5B"/>
    <w:rsid w:val="35F96CDE"/>
    <w:rsid w:val="38F97BDD"/>
    <w:rsid w:val="392B0F47"/>
    <w:rsid w:val="39FF7E57"/>
    <w:rsid w:val="3B377F54"/>
    <w:rsid w:val="3D1F13B4"/>
    <w:rsid w:val="3E342D0B"/>
    <w:rsid w:val="3EE049EC"/>
    <w:rsid w:val="3EF60012"/>
    <w:rsid w:val="3F6A0775"/>
    <w:rsid w:val="3FC924BA"/>
    <w:rsid w:val="432F1C36"/>
    <w:rsid w:val="44A40174"/>
    <w:rsid w:val="48662597"/>
    <w:rsid w:val="48C03046"/>
    <w:rsid w:val="49B068F7"/>
    <w:rsid w:val="50651158"/>
    <w:rsid w:val="50E45312"/>
    <w:rsid w:val="52AE201B"/>
    <w:rsid w:val="55F5160D"/>
    <w:rsid w:val="57013D80"/>
    <w:rsid w:val="582E2B50"/>
    <w:rsid w:val="583D7E4D"/>
    <w:rsid w:val="59E656A6"/>
    <w:rsid w:val="5A5E2065"/>
    <w:rsid w:val="5AA30ED5"/>
    <w:rsid w:val="5EB0522D"/>
    <w:rsid w:val="60CD5005"/>
    <w:rsid w:val="624675D2"/>
    <w:rsid w:val="62CC3731"/>
    <w:rsid w:val="631328BA"/>
    <w:rsid w:val="64042C1D"/>
    <w:rsid w:val="66713D18"/>
    <w:rsid w:val="67905394"/>
    <w:rsid w:val="690C729A"/>
    <w:rsid w:val="691B27CD"/>
    <w:rsid w:val="697323E5"/>
    <w:rsid w:val="6A1275D9"/>
    <w:rsid w:val="6AB4455A"/>
    <w:rsid w:val="6DD37C9F"/>
    <w:rsid w:val="6DE80D4D"/>
    <w:rsid w:val="6FCBD0F5"/>
    <w:rsid w:val="705313EC"/>
    <w:rsid w:val="717D5C98"/>
    <w:rsid w:val="741A090D"/>
    <w:rsid w:val="748E2672"/>
    <w:rsid w:val="77137B63"/>
    <w:rsid w:val="77AF28E2"/>
    <w:rsid w:val="77DB4C6E"/>
    <w:rsid w:val="78066E69"/>
    <w:rsid w:val="793A6F5B"/>
    <w:rsid w:val="7A3D0BF9"/>
    <w:rsid w:val="7ABF62B7"/>
    <w:rsid w:val="7C1D615B"/>
    <w:rsid w:val="7F9851E8"/>
    <w:rsid w:val="D6CB2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qFormat="1" w:unhideWhenUsed="0" w:uiPriority="0" w:semiHidden="0" w:name="footnote reference"/>
    <w:lsdException w:qFormat="1" w:unhideWhenUsed="0" w:uiPriority="0" w:semiHidden="0" w:name="annotation reference"/>
    <w:lsdException w:uiPriority="99" w:name="line number" w:locked="1"/>
    <w:lsdException w:qFormat="1" w:unhideWhenUsed="0" w:uiPriority="0" w:semiHidden="0" w:name="page number"/>
    <w:lsdException w:qFormat="1" w:unhideWhenUsed="0" w:uiPriority="0" w:semiHidden="0" w:name="endnote reference" w:locked="1"/>
    <w:lsdException w:qFormat="1" w:unhideWhenUsed="0" w:uiPriority="0" w:semiHidden="0"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iPriority="99" w:semiHidden="0" w:name="Closing" w:locked="1"/>
    <w:lsdException w:uiPriority="99" w:name="Signature" w:locked="1"/>
    <w:lsdException w:uiPriority="1"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qFormat="1" w:uiPriority="99" w:semiHidden="0" w:name="Salutation" w:locked="1"/>
    <w:lsdException w:qFormat="1" w:uiPriority="99" w:semiHidden="0"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22"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0" w:semiHidden="0" w:name="Balloon Text"/>
    <w:lsdException w:qFormat="1" w:unhideWhenUsed="0" w:uiPriority="39" w:semiHidden="0" w:name="Table Grid"/>
    <w:lsdException w:uiPriority="99" w:name="Table Theme" w:locked="1"/>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2"/>
    <w:qFormat/>
    <w:uiPriority w:val="0"/>
    <w:pPr>
      <w:keepNext/>
      <w:keepLines/>
      <w:ind w:firstLine="723" w:firstLineChars="200"/>
      <w:jc w:val="both"/>
      <w:outlineLvl w:val="0"/>
    </w:pPr>
    <w:rPr>
      <w:rFonts w:ascii="Times New Roman" w:hAnsi="Times New Roman" w:eastAsia="黑体" w:cs="Times New Roman"/>
      <w:b/>
      <w:bCs/>
      <w:kern w:val="44"/>
      <w:sz w:val="32"/>
      <w:szCs w:val="44"/>
      <w:lang w:eastAsia="en-US"/>
    </w:rPr>
  </w:style>
  <w:style w:type="paragraph" w:styleId="3">
    <w:name w:val="heading 2"/>
    <w:basedOn w:val="1"/>
    <w:next w:val="1"/>
    <w:link w:val="43"/>
    <w:qFormat/>
    <w:uiPriority w:val="0"/>
    <w:pPr>
      <w:keepNext/>
      <w:keepLines/>
      <w:ind w:firstLine="723" w:firstLineChars="200"/>
      <w:jc w:val="both"/>
      <w:outlineLvl w:val="1"/>
    </w:pPr>
    <w:rPr>
      <w:rFonts w:ascii="Arial" w:hAnsi="Arial" w:eastAsia="楷体" w:cs="Times New Roman"/>
      <w:b/>
      <w:bCs/>
      <w:sz w:val="32"/>
      <w:szCs w:val="32"/>
      <w:lang w:eastAsia="en-US"/>
    </w:rPr>
  </w:style>
  <w:style w:type="paragraph" w:styleId="4">
    <w:name w:val="heading 3"/>
    <w:basedOn w:val="1"/>
    <w:next w:val="1"/>
    <w:link w:val="44"/>
    <w:qFormat/>
    <w:uiPriority w:val="0"/>
    <w:pPr>
      <w:keepNext/>
      <w:keepLines/>
      <w:widowControl w:val="0"/>
      <w:ind w:firstLine="723" w:firstLineChars="200"/>
      <w:jc w:val="both"/>
      <w:outlineLvl w:val="2"/>
    </w:pPr>
    <w:rPr>
      <w:rFonts w:ascii="Times New Roman" w:hAnsi="Times New Roman" w:eastAsia="仿宋_GB2312" w:cs="Times New Roman"/>
      <w:b/>
      <w:bCs/>
      <w:kern w:val="2"/>
      <w:sz w:val="32"/>
      <w:szCs w:val="32"/>
      <w:lang w:eastAsia="en-US"/>
    </w:rPr>
  </w:style>
  <w:style w:type="paragraph" w:styleId="5">
    <w:name w:val="heading 4"/>
    <w:basedOn w:val="1"/>
    <w:next w:val="1"/>
    <w:link w:val="208"/>
    <w:semiHidden/>
    <w:unhideWhenUsed/>
    <w:qFormat/>
    <w:uiPriority w:val="9"/>
    <w:pPr>
      <w:keepNext/>
      <w:keepLines/>
      <w:widowControl w:val="0"/>
      <w:spacing w:before="280" w:after="290" w:line="376" w:lineRule="auto"/>
      <w:jc w:val="both"/>
      <w:outlineLvl w:val="3"/>
    </w:pPr>
    <w:rPr>
      <w:rFonts w:ascii="等线 Light" w:hAnsi="等线 Light" w:eastAsia="等线 Light" w:cs="Times New Roman"/>
      <w:b/>
      <w:bCs/>
      <w:kern w:val="2"/>
      <w:sz w:val="28"/>
      <w:szCs w:val="28"/>
    </w:rPr>
  </w:style>
  <w:style w:type="character" w:default="1" w:styleId="31">
    <w:name w:val="Default Paragraph Font"/>
    <w:semiHidden/>
    <w:unhideWhenUsed/>
    <w:uiPriority w:val="1"/>
  </w:style>
  <w:style w:type="table" w:default="1" w:styleId="40">
    <w:name w:val="Normal Table"/>
    <w:semiHidden/>
    <w:unhideWhenUsed/>
    <w:uiPriority w:val="99"/>
    <w:tblPr>
      <w:tblLayout w:type="fixed"/>
      <w:tblCellMar>
        <w:top w:w="0" w:type="dxa"/>
        <w:left w:w="108" w:type="dxa"/>
        <w:bottom w:w="0" w:type="dxa"/>
        <w:right w:w="108" w:type="dxa"/>
      </w:tblCellMar>
    </w:tblPr>
  </w:style>
  <w:style w:type="paragraph" w:styleId="6">
    <w:name w:val="annotation subject"/>
    <w:basedOn w:val="7"/>
    <w:next w:val="7"/>
    <w:link w:val="54"/>
    <w:qFormat/>
    <w:uiPriority w:val="0"/>
    <w:pPr>
      <w:widowControl w:val="0"/>
    </w:pPr>
    <w:rPr>
      <w:b/>
      <w:bCs/>
      <w:kern w:val="2"/>
      <w:sz w:val="30"/>
      <w:szCs w:val="24"/>
      <w:lang w:eastAsia="zh-CN"/>
    </w:rPr>
  </w:style>
  <w:style w:type="paragraph" w:styleId="7">
    <w:name w:val="annotation text"/>
    <w:basedOn w:val="1"/>
    <w:link w:val="45"/>
    <w:qFormat/>
    <w:uiPriority w:val="0"/>
    <w:pPr>
      <w:ind w:firstLine="723" w:firstLineChars="200"/>
      <w:jc w:val="both"/>
    </w:pPr>
    <w:rPr>
      <w:rFonts w:ascii="Times New Roman" w:hAnsi="Times New Roman" w:eastAsia="仿宋_GB2312" w:cs="Times New Roman"/>
      <w:sz w:val="32"/>
      <w:szCs w:val="22"/>
      <w:lang w:eastAsia="en-US"/>
    </w:rPr>
  </w:style>
  <w:style w:type="paragraph" w:styleId="8">
    <w:name w:val="toc 7"/>
    <w:basedOn w:val="1"/>
    <w:next w:val="1"/>
    <w:unhideWhenUsed/>
    <w:qFormat/>
    <w:uiPriority w:val="39"/>
    <w:pPr>
      <w:widowControl w:val="0"/>
      <w:ind w:left="2520" w:leftChars="1200"/>
      <w:jc w:val="both"/>
    </w:pPr>
    <w:rPr>
      <w:rFonts w:ascii="Calibri" w:hAnsi="Calibri" w:cs="Times New Roman"/>
      <w:kern w:val="2"/>
      <w:sz w:val="21"/>
      <w:szCs w:val="22"/>
    </w:rPr>
  </w:style>
  <w:style w:type="paragraph" w:styleId="9">
    <w:name w:val="Normal Indent"/>
    <w:basedOn w:val="1"/>
    <w:qFormat/>
    <w:uiPriority w:val="99"/>
    <w:pPr>
      <w:widowControl w:val="0"/>
      <w:ind w:firstLine="420" w:firstLineChars="200"/>
      <w:jc w:val="both"/>
    </w:pPr>
    <w:rPr>
      <w:rFonts w:ascii="Times New Roman" w:hAnsi="Times New Roman" w:eastAsia="仿宋_GB2312" w:cs="Times New Roman"/>
      <w:kern w:val="2"/>
      <w:sz w:val="21"/>
      <w:szCs w:val="20"/>
    </w:rPr>
  </w:style>
  <w:style w:type="paragraph" w:styleId="10">
    <w:name w:val="Salutation"/>
    <w:basedOn w:val="1"/>
    <w:next w:val="1"/>
    <w:link w:val="191"/>
    <w:unhideWhenUsed/>
    <w:qFormat/>
    <w:locked/>
    <w:uiPriority w:val="99"/>
    <w:pPr>
      <w:widowControl w:val="0"/>
      <w:ind w:firstLine="200" w:firstLineChars="200"/>
      <w:jc w:val="both"/>
    </w:pPr>
    <w:rPr>
      <w:rFonts w:ascii="Times New Roman" w:hAnsi="Times New Roman" w:eastAsia="仿宋_GB2312" w:cstheme="minorBidi"/>
      <w:kern w:val="2"/>
      <w:sz w:val="28"/>
      <w:szCs w:val="28"/>
    </w:rPr>
  </w:style>
  <w:style w:type="paragraph" w:styleId="11">
    <w:name w:val="Closing"/>
    <w:basedOn w:val="1"/>
    <w:link w:val="192"/>
    <w:unhideWhenUsed/>
    <w:qFormat/>
    <w:locked/>
    <w:uiPriority w:val="99"/>
    <w:pPr>
      <w:widowControl w:val="0"/>
      <w:ind w:left="100" w:leftChars="2100" w:firstLine="200" w:firstLineChars="200"/>
      <w:jc w:val="both"/>
    </w:pPr>
    <w:rPr>
      <w:rFonts w:ascii="Times New Roman" w:hAnsi="Times New Roman" w:eastAsia="仿宋_GB2312" w:cstheme="minorBidi"/>
      <w:kern w:val="2"/>
      <w:sz w:val="28"/>
      <w:szCs w:val="28"/>
    </w:rPr>
  </w:style>
  <w:style w:type="paragraph" w:styleId="12">
    <w:name w:val="Body Text"/>
    <w:basedOn w:val="1"/>
    <w:link w:val="46"/>
    <w:unhideWhenUsed/>
    <w:qFormat/>
    <w:locked/>
    <w:uiPriority w:val="99"/>
    <w:pPr>
      <w:spacing w:after="120"/>
      <w:ind w:firstLine="723" w:firstLineChars="200"/>
      <w:jc w:val="both"/>
    </w:pPr>
    <w:rPr>
      <w:rFonts w:ascii="Times New Roman" w:hAnsi="Times New Roman" w:eastAsia="仿宋_GB2312" w:cs="Times New Roman"/>
      <w:sz w:val="32"/>
      <w:szCs w:val="22"/>
      <w:lang w:eastAsia="en-US"/>
    </w:rPr>
  </w:style>
  <w:style w:type="paragraph" w:styleId="13">
    <w:name w:val="Body Text Indent"/>
    <w:basedOn w:val="1"/>
    <w:link w:val="47"/>
    <w:qFormat/>
    <w:uiPriority w:val="99"/>
    <w:pPr>
      <w:widowControl w:val="0"/>
      <w:spacing w:line="560" w:lineRule="exact"/>
      <w:ind w:firstLine="537" w:firstLineChars="200"/>
      <w:jc w:val="both"/>
    </w:pPr>
    <w:rPr>
      <w:rFonts w:ascii="仿宋_GB2312" w:hAnsi="Times New Roman" w:eastAsia="仿宋_GB2312" w:cs="Times New Roman"/>
      <w:kern w:val="2"/>
      <w:sz w:val="30"/>
    </w:rPr>
  </w:style>
  <w:style w:type="paragraph" w:styleId="14">
    <w:name w:val="toc 5"/>
    <w:basedOn w:val="1"/>
    <w:next w:val="1"/>
    <w:unhideWhenUsed/>
    <w:qFormat/>
    <w:uiPriority w:val="39"/>
    <w:pPr>
      <w:widowControl w:val="0"/>
      <w:ind w:left="1680" w:leftChars="800"/>
      <w:jc w:val="both"/>
    </w:pPr>
    <w:rPr>
      <w:rFonts w:ascii="Calibri" w:hAnsi="Calibri" w:cs="Times New Roman"/>
      <w:kern w:val="2"/>
      <w:sz w:val="21"/>
      <w:szCs w:val="22"/>
    </w:rPr>
  </w:style>
  <w:style w:type="paragraph" w:styleId="15">
    <w:name w:val="toc 3"/>
    <w:basedOn w:val="1"/>
    <w:next w:val="1"/>
    <w:qFormat/>
    <w:uiPriority w:val="39"/>
    <w:pPr>
      <w:ind w:left="840" w:leftChars="400" w:firstLine="723" w:firstLineChars="200"/>
      <w:jc w:val="both"/>
    </w:pPr>
    <w:rPr>
      <w:rFonts w:ascii="Times New Roman" w:hAnsi="Times New Roman" w:eastAsia="仿宋_GB2312" w:cs="Times New Roman"/>
      <w:sz w:val="32"/>
      <w:szCs w:val="22"/>
      <w:lang w:eastAsia="en-US"/>
    </w:rPr>
  </w:style>
  <w:style w:type="paragraph" w:styleId="16">
    <w:name w:val="toc 8"/>
    <w:basedOn w:val="1"/>
    <w:next w:val="1"/>
    <w:unhideWhenUsed/>
    <w:qFormat/>
    <w:uiPriority w:val="39"/>
    <w:pPr>
      <w:widowControl w:val="0"/>
      <w:ind w:left="2940" w:leftChars="1400"/>
      <w:jc w:val="both"/>
    </w:pPr>
    <w:rPr>
      <w:rFonts w:ascii="Calibri" w:hAnsi="Calibri" w:cs="Times New Roman"/>
      <w:kern w:val="2"/>
      <w:sz w:val="21"/>
      <w:szCs w:val="22"/>
    </w:rPr>
  </w:style>
  <w:style w:type="paragraph" w:styleId="17">
    <w:name w:val="Date"/>
    <w:basedOn w:val="1"/>
    <w:next w:val="1"/>
    <w:link w:val="48"/>
    <w:unhideWhenUsed/>
    <w:qFormat/>
    <w:locked/>
    <w:uiPriority w:val="99"/>
    <w:pPr>
      <w:ind w:left="100" w:leftChars="2500" w:firstLine="723" w:firstLineChars="200"/>
      <w:jc w:val="both"/>
    </w:pPr>
    <w:rPr>
      <w:rFonts w:ascii="Times New Roman" w:hAnsi="Times New Roman" w:eastAsia="仿宋_GB2312" w:cs="Times New Roman"/>
      <w:sz w:val="32"/>
      <w:szCs w:val="22"/>
      <w:lang w:eastAsia="en-US"/>
    </w:rPr>
  </w:style>
  <w:style w:type="paragraph" w:styleId="18">
    <w:name w:val="endnote text"/>
    <w:basedOn w:val="1"/>
    <w:link w:val="105"/>
    <w:qFormat/>
    <w:locked/>
    <w:uiPriority w:val="0"/>
    <w:pPr>
      <w:widowControl w:val="0"/>
      <w:snapToGrid w:val="0"/>
    </w:pPr>
    <w:rPr>
      <w:rFonts w:ascii="Calibri" w:hAnsi="Calibri" w:cs="Times New Roman"/>
      <w:kern w:val="2"/>
      <w:sz w:val="21"/>
      <w:szCs w:val="22"/>
    </w:rPr>
  </w:style>
  <w:style w:type="paragraph" w:styleId="19">
    <w:name w:val="Balloon Text"/>
    <w:basedOn w:val="1"/>
    <w:link w:val="49"/>
    <w:qFormat/>
    <w:uiPriority w:val="0"/>
    <w:pPr>
      <w:ind w:firstLine="723" w:firstLineChars="200"/>
      <w:jc w:val="both"/>
    </w:pPr>
    <w:rPr>
      <w:rFonts w:ascii="Times New Roman" w:hAnsi="Times New Roman" w:eastAsia="仿宋_GB2312" w:cs="Times New Roman"/>
      <w:sz w:val="18"/>
      <w:szCs w:val="18"/>
      <w:lang w:eastAsia="en-US"/>
    </w:rPr>
  </w:style>
  <w:style w:type="paragraph" w:styleId="20">
    <w:name w:val="footer"/>
    <w:basedOn w:val="1"/>
    <w:link w:val="50"/>
    <w:qFormat/>
    <w:uiPriority w:val="99"/>
    <w:pPr>
      <w:tabs>
        <w:tab w:val="center" w:pos="4153"/>
        <w:tab w:val="right" w:pos="8306"/>
      </w:tabs>
      <w:snapToGrid w:val="0"/>
      <w:ind w:firstLine="723" w:firstLineChars="200"/>
      <w:jc w:val="both"/>
    </w:pPr>
    <w:rPr>
      <w:rFonts w:ascii="Times New Roman" w:hAnsi="Times New Roman" w:eastAsia="仿宋_GB2312" w:cs="Times New Roman"/>
      <w:sz w:val="18"/>
      <w:szCs w:val="18"/>
      <w:lang w:eastAsia="en-US"/>
    </w:rPr>
  </w:style>
  <w:style w:type="paragraph" w:styleId="21">
    <w:name w:val="header"/>
    <w:basedOn w:val="1"/>
    <w:link w:val="51"/>
    <w:qFormat/>
    <w:uiPriority w:val="99"/>
    <w:pPr>
      <w:pBdr>
        <w:bottom w:val="single" w:color="auto" w:sz="6" w:space="1"/>
      </w:pBdr>
      <w:tabs>
        <w:tab w:val="center" w:pos="4153"/>
        <w:tab w:val="right" w:pos="8306"/>
      </w:tabs>
      <w:snapToGrid w:val="0"/>
      <w:ind w:firstLine="723" w:firstLineChars="200"/>
      <w:jc w:val="center"/>
    </w:pPr>
    <w:rPr>
      <w:rFonts w:ascii="Times New Roman" w:hAnsi="Times New Roman" w:eastAsia="仿宋_GB2312" w:cs="Times New Roman"/>
      <w:sz w:val="18"/>
      <w:szCs w:val="18"/>
      <w:lang w:eastAsia="en-US"/>
    </w:rPr>
  </w:style>
  <w:style w:type="paragraph" w:styleId="22">
    <w:name w:val="toc 1"/>
    <w:basedOn w:val="1"/>
    <w:next w:val="1"/>
    <w:qFormat/>
    <w:uiPriority w:val="39"/>
    <w:pPr>
      <w:widowControl w:val="0"/>
      <w:spacing w:line="560" w:lineRule="exact"/>
      <w:jc w:val="both"/>
    </w:pPr>
    <w:rPr>
      <w:rFonts w:ascii="Times New Roman" w:hAnsi="Times New Roman" w:eastAsia="仿宋_GB2312" w:cs="Times New Roman"/>
      <w:b/>
      <w:kern w:val="2"/>
      <w:sz w:val="32"/>
    </w:rPr>
  </w:style>
  <w:style w:type="paragraph" w:styleId="23">
    <w:name w:val="toc 4"/>
    <w:basedOn w:val="1"/>
    <w:next w:val="1"/>
    <w:unhideWhenUsed/>
    <w:qFormat/>
    <w:uiPriority w:val="39"/>
    <w:pPr>
      <w:widowControl w:val="0"/>
      <w:ind w:left="1260" w:leftChars="600"/>
      <w:jc w:val="both"/>
    </w:pPr>
    <w:rPr>
      <w:rFonts w:ascii="Calibri" w:hAnsi="Calibri" w:cs="Times New Roman"/>
      <w:kern w:val="2"/>
      <w:sz w:val="21"/>
      <w:szCs w:val="22"/>
    </w:rPr>
  </w:style>
  <w:style w:type="paragraph" w:styleId="24">
    <w:name w:val="Subtitle"/>
    <w:basedOn w:val="1"/>
    <w:next w:val="1"/>
    <w:link w:val="107"/>
    <w:qFormat/>
    <w:uiPriority w:val="11"/>
    <w:pPr>
      <w:widowControl w:val="0"/>
      <w:spacing w:line="560" w:lineRule="exact"/>
      <w:jc w:val="center"/>
      <w:outlineLvl w:val="1"/>
    </w:pPr>
    <w:rPr>
      <w:rFonts w:ascii="仿宋_GB2312" w:hAnsi="Calibri" w:eastAsia="仿宋_GB2312" w:cs="Times New Roman"/>
      <w:bCs/>
      <w:kern w:val="28"/>
      <w:sz w:val="21"/>
      <w:szCs w:val="32"/>
    </w:rPr>
  </w:style>
  <w:style w:type="paragraph" w:styleId="25">
    <w:name w:val="footnote text"/>
    <w:basedOn w:val="1"/>
    <w:link w:val="52"/>
    <w:qFormat/>
    <w:uiPriority w:val="0"/>
    <w:pPr>
      <w:snapToGrid w:val="0"/>
      <w:ind w:firstLine="723" w:firstLineChars="200"/>
      <w:jc w:val="both"/>
    </w:pPr>
    <w:rPr>
      <w:rFonts w:ascii="Times New Roman" w:hAnsi="Times New Roman" w:eastAsia="仿宋_GB2312" w:cs="Times New Roman"/>
      <w:sz w:val="18"/>
      <w:szCs w:val="18"/>
      <w:lang w:eastAsia="en-US"/>
    </w:rPr>
  </w:style>
  <w:style w:type="paragraph" w:styleId="26">
    <w:name w:val="toc 6"/>
    <w:basedOn w:val="1"/>
    <w:next w:val="1"/>
    <w:unhideWhenUsed/>
    <w:qFormat/>
    <w:uiPriority w:val="39"/>
    <w:pPr>
      <w:widowControl w:val="0"/>
      <w:ind w:left="2100" w:leftChars="1000"/>
      <w:jc w:val="both"/>
    </w:pPr>
    <w:rPr>
      <w:rFonts w:ascii="Calibri" w:hAnsi="Calibri" w:cs="Times New Roman"/>
      <w:kern w:val="2"/>
      <w:sz w:val="21"/>
      <w:szCs w:val="22"/>
    </w:rPr>
  </w:style>
  <w:style w:type="paragraph" w:styleId="27">
    <w:name w:val="toc 2"/>
    <w:basedOn w:val="1"/>
    <w:next w:val="1"/>
    <w:qFormat/>
    <w:uiPriority w:val="39"/>
    <w:pPr>
      <w:widowControl w:val="0"/>
      <w:spacing w:line="560" w:lineRule="exact"/>
      <w:ind w:firstLine="200" w:firstLineChars="200"/>
      <w:jc w:val="both"/>
    </w:pPr>
    <w:rPr>
      <w:rFonts w:ascii="Times New Roman" w:hAnsi="Times New Roman" w:eastAsia="仿宋_GB2312" w:cs="Times New Roman"/>
      <w:kern w:val="2"/>
      <w:sz w:val="32"/>
    </w:rPr>
  </w:style>
  <w:style w:type="paragraph" w:styleId="28">
    <w:name w:val="toc 9"/>
    <w:basedOn w:val="1"/>
    <w:next w:val="1"/>
    <w:unhideWhenUsed/>
    <w:qFormat/>
    <w:uiPriority w:val="39"/>
    <w:pPr>
      <w:widowControl w:val="0"/>
      <w:ind w:left="3360" w:leftChars="1600"/>
      <w:jc w:val="both"/>
    </w:pPr>
    <w:rPr>
      <w:rFonts w:ascii="Calibri" w:hAnsi="Calibri" w:cs="Times New Roman"/>
      <w:kern w:val="2"/>
      <w:sz w:val="21"/>
      <w:szCs w:val="22"/>
    </w:rPr>
  </w:style>
  <w:style w:type="paragraph" w:styleId="29">
    <w:name w:val="Normal (Web)"/>
    <w:basedOn w:val="1"/>
    <w:qFormat/>
    <w:uiPriority w:val="99"/>
    <w:pPr>
      <w:spacing w:before="100" w:beforeAutospacing="1" w:after="100" w:afterAutospacing="1"/>
      <w:ind w:firstLine="723" w:firstLineChars="200"/>
      <w:jc w:val="both"/>
    </w:pPr>
    <w:rPr>
      <w:rFonts w:eastAsia="仿宋_GB2312"/>
    </w:rPr>
  </w:style>
  <w:style w:type="paragraph" w:styleId="30">
    <w:name w:val="Title"/>
    <w:basedOn w:val="1"/>
    <w:next w:val="1"/>
    <w:link w:val="53"/>
    <w:qFormat/>
    <w:uiPriority w:val="10"/>
    <w:pPr>
      <w:spacing w:before="240" w:after="60"/>
      <w:ind w:firstLine="723" w:firstLineChars="200"/>
      <w:jc w:val="center"/>
      <w:outlineLvl w:val="0"/>
    </w:pPr>
    <w:rPr>
      <w:rFonts w:ascii="Cambria" w:hAnsi="Cambria" w:eastAsia="仿宋_GB2312" w:cs="Times New Roman"/>
      <w:b/>
      <w:bCs/>
      <w:sz w:val="32"/>
      <w:szCs w:val="32"/>
      <w:lang w:eastAsia="en-US"/>
    </w:rPr>
  </w:style>
  <w:style w:type="character" w:styleId="32">
    <w:name w:val="Strong"/>
    <w:qFormat/>
    <w:uiPriority w:val="22"/>
    <w:rPr>
      <w:rFonts w:cs="Times New Roman"/>
      <w:b/>
      <w:bCs/>
    </w:rPr>
  </w:style>
  <w:style w:type="character" w:styleId="33">
    <w:name w:val="endnote reference"/>
    <w:qFormat/>
    <w:locked/>
    <w:uiPriority w:val="0"/>
    <w:rPr>
      <w:rFonts w:ascii="Calibri" w:hAnsi="Calibri" w:eastAsia="宋体" w:cs="Times New Roman"/>
      <w:vertAlign w:val="superscript"/>
    </w:rPr>
  </w:style>
  <w:style w:type="character" w:styleId="34">
    <w:name w:val="page number"/>
    <w:qFormat/>
    <w:uiPriority w:val="0"/>
    <w:rPr>
      <w:rFonts w:cs="Times New Roman"/>
    </w:rPr>
  </w:style>
  <w:style w:type="character" w:styleId="35">
    <w:name w:val="FollowedHyperlink"/>
    <w:semiHidden/>
    <w:unhideWhenUsed/>
    <w:qFormat/>
    <w:locked/>
    <w:uiPriority w:val="99"/>
    <w:rPr>
      <w:color w:val="800080"/>
      <w:u w:val="single"/>
    </w:rPr>
  </w:style>
  <w:style w:type="character" w:styleId="36">
    <w:name w:val="Emphasis"/>
    <w:qFormat/>
    <w:uiPriority w:val="0"/>
    <w:rPr>
      <w:i/>
      <w:iCs/>
    </w:rPr>
  </w:style>
  <w:style w:type="character" w:styleId="37">
    <w:name w:val="Hyperlink"/>
    <w:qFormat/>
    <w:uiPriority w:val="99"/>
    <w:rPr>
      <w:rFonts w:cs="Times New Roman"/>
      <w:color w:val="0000FF"/>
      <w:u w:val="single"/>
    </w:rPr>
  </w:style>
  <w:style w:type="character" w:styleId="38">
    <w:name w:val="annotation reference"/>
    <w:qFormat/>
    <w:uiPriority w:val="0"/>
    <w:rPr>
      <w:rFonts w:cs="Times New Roman"/>
      <w:sz w:val="21"/>
      <w:szCs w:val="21"/>
    </w:rPr>
  </w:style>
  <w:style w:type="character" w:styleId="39">
    <w:name w:val="footnote reference"/>
    <w:qFormat/>
    <w:uiPriority w:val="0"/>
    <w:rPr>
      <w:rFonts w:cs="Times New Roman"/>
      <w:vertAlign w:val="superscript"/>
    </w:rPr>
  </w:style>
  <w:style w:type="table" w:styleId="41">
    <w:name w:val="Table Grid"/>
    <w:basedOn w:val="40"/>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42">
    <w:name w:val="标题 1 Char1"/>
    <w:link w:val="2"/>
    <w:qFormat/>
    <w:locked/>
    <w:uiPriority w:val="0"/>
    <w:rPr>
      <w:rFonts w:ascii="Calibri" w:hAnsi="Calibri" w:eastAsia="黑体" w:cs="Times New Roman"/>
      <w:b/>
      <w:bCs/>
      <w:kern w:val="44"/>
      <w:sz w:val="32"/>
      <w:szCs w:val="44"/>
      <w:lang w:eastAsia="en-US"/>
    </w:rPr>
  </w:style>
  <w:style w:type="character" w:customStyle="1" w:styleId="43">
    <w:name w:val="标题 2 Char1"/>
    <w:link w:val="3"/>
    <w:qFormat/>
    <w:locked/>
    <w:uiPriority w:val="0"/>
    <w:rPr>
      <w:rFonts w:ascii="Arial" w:hAnsi="Arial" w:eastAsia="楷体" w:cs="Times New Roman"/>
      <w:b/>
      <w:bCs/>
      <w:kern w:val="0"/>
      <w:sz w:val="32"/>
      <w:szCs w:val="32"/>
      <w:lang w:eastAsia="en-US"/>
    </w:rPr>
  </w:style>
  <w:style w:type="character" w:customStyle="1" w:styleId="44">
    <w:name w:val="标题 3 Char1"/>
    <w:link w:val="4"/>
    <w:qFormat/>
    <w:uiPriority w:val="0"/>
    <w:rPr>
      <w:rFonts w:ascii="Times New Roman" w:hAnsi="Times New Roman" w:eastAsia="仿宋_GB2312"/>
      <w:b/>
      <w:bCs/>
      <w:kern w:val="2"/>
      <w:sz w:val="32"/>
      <w:szCs w:val="32"/>
    </w:rPr>
  </w:style>
  <w:style w:type="character" w:customStyle="1" w:styleId="45">
    <w:name w:val="批注文字 Char1"/>
    <w:link w:val="7"/>
    <w:qFormat/>
    <w:locked/>
    <w:uiPriority w:val="0"/>
    <w:rPr>
      <w:rFonts w:ascii="Calibri" w:hAnsi="Calibri" w:eastAsia="宋体" w:cs="Times New Roman"/>
      <w:kern w:val="0"/>
      <w:sz w:val="22"/>
      <w:lang w:eastAsia="en-US"/>
    </w:rPr>
  </w:style>
  <w:style w:type="character" w:customStyle="1" w:styleId="46">
    <w:name w:val="正文文本 Char"/>
    <w:link w:val="12"/>
    <w:semiHidden/>
    <w:qFormat/>
    <w:uiPriority w:val="99"/>
    <w:rPr>
      <w:rFonts w:ascii="Times New Roman" w:hAnsi="Times New Roman" w:eastAsia="仿宋_GB2312"/>
      <w:sz w:val="32"/>
      <w:szCs w:val="22"/>
      <w:lang w:eastAsia="en-US"/>
    </w:rPr>
  </w:style>
  <w:style w:type="character" w:customStyle="1" w:styleId="47">
    <w:name w:val="正文文本缩进 Char"/>
    <w:link w:val="13"/>
    <w:qFormat/>
    <w:locked/>
    <w:uiPriority w:val="99"/>
    <w:rPr>
      <w:rFonts w:ascii="仿宋_GB2312" w:hAnsi="Times New Roman" w:eastAsia="仿宋_GB2312" w:cs="Times New Roman"/>
      <w:sz w:val="24"/>
      <w:szCs w:val="24"/>
    </w:rPr>
  </w:style>
  <w:style w:type="character" w:customStyle="1" w:styleId="48">
    <w:name w:val="日期 Char"/>
    <w:link w:val="17"/>
    <w:semiHidden/>
    <w:qFormat/>
    <w:uiPriority w:val="99"/>
    <w:rPr>
      <w:sz w:val="22"/>
      <w:szCs w:val="22"/>
      <w:lang w:eastAsia="en-US"/>
    </w:rPr>
  </w:style>
  <w:style w:type="character" w:customStyle="1" w:styleId="49">
    <w:name w:val="批注框文本 Char1"/>
    <w:link w:val="19"/>
    <w:qFormat/>
    <w:locked/>
    <w:uiPriority w:val="0"/>
    <w:rPr>
      <w:rFonts w:ascii="Calibri" w:hAnsi="Calibri" w:eastAsia="宋体" w:cs="Times New Roman"/>
      <w:kern w:val="0"/>
      <w:sz w:val="18"/>
      <w:szCs w:val="18"/>
      <w:lang w:eastAsia="en-US"/>
    </w:rPr>
  </w:style>
  <w:style w:type="character" w:customStyle="1" w:styleId="50">
    <w:name w:val="页脚 Char1"/>
    <w:link w:val="20"/>
    <w:qFormat/>
    <w:locked/>
    <w:uiPriority w:val="99"/>
    <w:rPr>
      <w:rFonts w:ascii="Calibri" w:hAnsi="Calibri" w:eastAsia="宋体" w:cs="Times New Roman"/>
      <w:kern w:val="0"/>
      <w:sz w:val="18"/>
      <w:szCs w:val="18"/>
      <w:lang w:eastAsia="en-US"/>
    </w:rPr>
  </w:style>
  <w:style w:type="character" w:customStyle="1" w:styleId="51">
    <w:name w:val="页眉 Char1"/>
    <w:link w:val="21"/>
    <w:qFormat/>
    <w:locked/>
    <w:uiPriority w:val="99"/>
    <w:rPr>
      <w:rFonts w:ascii="Calibri" w:hAnsi="Calibri" w:eastAsia="宋体" w:cs="Times New Roman"/>
      <w:kern w:val="0"/>
      <w:sz w:val="18"/>
      <w:szCs w:val="18"/>
      <w:lang w:eastAsia="en-US"/>
    </w:rPr>
  </w:style>
  <w:style w:type="character" w:customStyle="1" w:styleId="52">
    <w:name w:val="脚注文本 Char1"/>
    <w:link w:val="25"/>
    <w:qFormat/>
    <w:locked/>
    <w:uiPriority w:val="0"/>
    <w:rPr>
      <w:rFonts w:ascii="Calibri" w:hAnsi="Calibri" w:eastAsia="宋体" w:cs="Times New Roman"/>
      <w:kern w:val="0"/>
      <w:sz w:val="18"/>
      <w:szCs w:val="18"/>
      <w:lang w:eastAsia="en-US"/>
    </w:rPr>
  </w:style>
  <w:style w:type="character" w:customStyle="1" w:styleId="53">
    <w:name w:val="标题 Char"/>
    <w:link w:val="30"/>
    <w:qFormat/>
    <w:uiPriority w:val="10"/>
    <w:rPr>
      <w:rFonts w:ascii="Cambria" w:hAnsi="Cambria"/>
      <w:b/>
      <w:bCs/>
      <w:sz w:val="32"/>
      <w:szCs w:val="32"/>
      <w:lang w:eastAsia="en-US"/>
    </w:rPr>
  </w:style>
  <w:style w:type="character" w:customStyle="1" w:styleId="54">
    <w:name w:val="批注主题 Char1"/>
    <w:link w:val="6"/>
    <w:qFormat/>
    <w:locked/>
    <w:uiPriority w:val="99"/>
    <w:rPr>
      <w:rFonts w:ascii="Times New Roman" w:hAnsi="Times New Roman" w:eastAsia="仿宋_GB2312"/>
      <w:b/>
      <w:bCs/>
      <w:sz w:val="24"/>
      <w:szCs w:val="24"/>
      <w:lang w:eastAsia="en-US"/>
    </w:rPr>
  </w:style>
  <w:style w:type="paragraph" w:styleId="55">
    <w:name w:val="List Paragraph"/>
    <w:basedOn w:val="1"/>
    <w:qFormat/>
    <w:uiPriority w:val="0"/>
    <w:pPr>
      <w:ind w:firstLine="420" w:firstLineChars="200"/>
      <w:jc w:val="both"/>
    </w:pPr>
    <w:rPr>
      <w:rFonts w:ascii="Times New Roman" w:hAnsi="Times New Roman" w:eastAsia="仿宋_GB2312" w:cs="Times New Roman"/>
      <w:sz w:val="32"/>
      <w:szCs w:val="22"/>
      <w:lang w:eastAsia="en-US"/>
    </w:rPr>
  </w:style>
  <w:style w:type="character" w:customStyle="1" w:styleId="56">
    <w:name w:val="无间隔 Char1"/>
    <w:link w:val="57"/>
    <w:qFormat/>
    <w:locked/>
    <w:uiPriority w:val="99"/>
    <w:rPr>
      <w:kern w:val="2"/>
      <w:sz w:val="22"/>
      <w:szCs w:val="22"/>
      <w:lang w:val="en-US" w:eastAsia="zh-CN" w:bidi="ar-SA"/>
    </w:rPr>
  </w:style>
  <w:style w:type="paragraph" w:styleId="57">
    <w:name w:val="No Spacing"/>
    <w:link w:val="56"/>
    <w:qFormat/>
    <w:uiPriority w:val="1"/>
    <w:rPr>
      <w:rFonts w:ascii="Times New Roman" w:hAnsi="Times New Roman" w:eastAsia="宋体" w:cs="Times New Roman"/>
      <w:kern w:val="2"/>
      <w:sz w:val="22"/>
      <w:szCs w:val="22"/>
      <w:lang w:val="en-US" w:eastAsia="zh-CN" w:bidi="ar-SA"/>
    </w:rPr>
  </w:style>
  <w:style w:type="paragraph" w:customStyle="1" w:styleId="58">
    <w:name w:val="Char Char Char Char Char Char Char Char Char"/>
    <w:basedOn w:val="1"/>
    <w:qFormat/>
    <w:uiPriority w:val="99"/>
    <w:pPr>
      <w:widowControl w:val="0"/>
      <w:ind w:firstLine="723" w:firstLineChars="200"/>
      <w:jc w:val="both"/>
    </w:pPr>
    <w:rPr>
      <w:rFonts w:ascii="Times New Roman" w:hAnsi="Times New Roman" w:eastAsia="仿宋_GB2312" w:cs="Times New Roman"/>
      <w:kern w:val="2"/>
      <w:sz w:val="21"/>
    </w:rPr>
  </w:style>
  <w:style w:type="paragraph" w:customStyle="1" w:styleId="59">
    <w:name w:val="TOC 标题1"/>
    <w:basedOn w:val="2"/>
    <w:next w:val="1"/>
    <w:qFormat/>
    <w:uiPriority w:val="39"/>
    <w:pPr>
      <w:spacing w:before="480" w:line="276" w:lineRule="auto"/>
      <w:outlineLvl w:val="9"/>
    </w:pPr>
    <w:rPr>
      <w:rFonts w:ascii="Cambria" w:hAnsi="Cambria"/>
      <w:color w:val="365F91"/>
      <w:kern w:val="0"/>
      <w:sz w:val="28"/>
      <w:szCs w:val="28"/>
      <w:lang w:eastAsia="zh-CN"/>
    </w:rPr>
  </w:style>
  <w:style w:type="paragraph" w:customStyle="1" w:styleId="60">
    <w:name w:val="font5"/>
    <w:basedOn w:val="1"/>
    <w:qFormat/>
    <w:uiPriority w:val="0"/>
    <w:pPr>
      <w:spacing w:before="100" w:beforeAutospacing="1" w:after="100" w:afterAutospacing="1"/>
      <w:ind w:firstLine="723" w:firstLineChars="200"/>
      <w:jc w:val="both"/>
    </w:pPr>
    <w:rPr>
      <w:rFonts w:eastAsia="仿宋_GB2312"/>
      <w:sz w:val="18"/>
      <w:szCs w:val="18"/>
    </w:rPr>
  </w:style>
  <w:style w:type="paragraph" w:customStyle="1" w:styleId="61">
    <w:name w:val="font6"/>
    <w:basedOn w:val="1"/>
    <w:qFormat/>
    <w:uiPriority w:val="0"/>
    <w:pPr>
      <w:spacing w:before="100" w:beforeAutospacing="1" w:after="100" w:afterAutospacing="1"/>
      <w:ind w:firstLine="723" w:firstLineChars="200"/>
      <w:jc w:val="both"/>
    </w:pPr>
    <w:rPr>
      <w:rFonts w:eastAsia="仿宋_GB2312"/>
      <w:sz w:val="18"/>
      <w:szCs w:val="18"/>
    </w:rPr>
  </w:style>
  <w:style w:type="paragraph" w:customStyle="1" w:styleId="62">
    <w:name w:val="font7"/>
    <w:basedOn w:val="1"/>
    <w:qFormat/>
    <w:uiPriority w:val="0"/>
    <w:pPr>
      <w:spacing w:before="100" w:beforeAutospacing="1" w:after="100" w:afterAutospacing="1"/>
      <w:ind w:firstLine="723" w:firstLineChars="200"/>
      <w:jc w:val="both"/>
    </w:pPr>
    <w:rPr>
      <w:rFonts w:eastAsia="仿宋_GB2312"/>
      <w:color w:val="000000"/>
      <w:sz w:val="20"/>
      <w:szCs w:val="20"/>
    </w:rPr>
  </w:style>
  <w:style w:type="paragraph" w:customStyle="1" w:styleId="63">
    <w:name w:val="font8"/>
    <w:basedOn w:val="1"/>
    <w:qFormat/>
    <w:uiPriority w:val="99"/>
    <w:pPr>
      <w:spacing w:before="100" w:beforeAutospacing="1" w:after="100" w:afterAutospacing="1"/>
      <w:ind w:firstLine="723" w:firstLineChars="200"/>
      <w:jc w:val="both"/>
    </w:pPr>
    <w:rPr>
      <w:rFonts w:eastAsia="仿宋_GB2312"/>
      <w:color w:val="000000"/>
      <w:sz w:val="20"/>
      <w:szCs w:val="20"/>
    </w:rPr>
  </w:style>
  <w:style w:type="paragraph" w:customStyle="1" w:styleId="64">
    <w:name w:val="font9"/>
    <w:basedOn w:val="1"/>
    <w:qFormat/>
    <w:uiPriority w:val="99"/>
    <w:pPr>
      <w:spacing w:before="100" w:beforeAutospacing="1" w:after="100" w:afterAutospacing="1"/>
      <w:ind w:firstLine="723" w:firstLineChars="200"/>
      <w:jc w:val="both"/>
    </w:pPr>
    <w:rPr>
      <w:rFonts w:ascii="仿宋_GB2312" w:eastAsia="仿宋_GB2312"/>
      <w:color w:val="000000"/>
      <w:sz w:val="20"/>
      <w:szCs w:val="20"/>
    </w:rPr>
  </w:style>
  <w:style w:type="paragraph" w:customStyle="1" w:styleId="65">
    <w:name w:val="xl66"/>
    <w:basedOn w:val="1"/>
    <w:qFormat/>
    <w:uiPriority w:val="0"/>
    <w:pPr>
      <w:spacing w:before="100" w:beforeAutospacing="1" w:after="100" w:afterAutospacing="1"/>
      <w:ind w:firstLine="723" w:firstLineChars="200"/>
      <w:jc w:val="center"/>
    </w:pPr>
    <w:rPr>
      <w:rFonts w:eastAsia="仿宋_GB2312"/>
      <w:sz w:val="18"/>
      <w:szCs w:val="18"/>
    </w:rPr>
  </w:style>
  <w:style w:type="paragraph" w:customStyle="1" w:styleId="66">
    <w:name w:val="xl67"/>
    <w:basedOn w:val="1"/>
    <w:qFormat/>
    <w:uiPriority w:val="0"/>
    <w:pPr>
      <w:spacing w:before="100" w:beforeAutospacing="1" w:after="100" w:afterAutospacing="1"/>
      <w:ind w:firstLine="723" w:firstLineChars="200"/>
      <w:jc w:val="both"/>
    </w:pPr>
    <w:rPr>
      <w:rFonts w:eastAsia="仿宋_GB2312"/>
      <w:sz w:val="18"/>
      <w:szCs w:val="18"/>
    </w:rPr>
  </w:style>
  <w:style w:type="paragraph" w:customStyle="1" w:styleId="67">
    <w:name w:val="xl68"/>
    <w:basedOn w:val="1"/>
    <w:qFormat/>
    <w:uiPriority w:val="0"/>
    <w:pPr>
      <w:spacing w:before="100" w:beforeAutospacing="1" w:after="100" w:afterAutospacing="1"/>
      <w:ind w:firstLine="723" w:firstLineChars="200"/>
      <w:jc w:val="center"/>
    </w:pPr>
    <w:rPr>
      <w:rFonts w:eastAsia="仿宋_GB2312"/>
      <w:sz w:val="18"/>
      <w:szCs w:val="18"/>
    </w:rPr>
  </w:style>
  <w:style w:type="paragraph" w:customStyle="1" w:styleId="68">
    <w:name w:val="xl69"/>
    <w:basedOn w:val="1"/>
    <w:qFormat/>
    <w:uiPriority w:val="0"/>
    <w:pPr>
      <w:spacing w:before="100" w:beforeAutospacing="1" w:after="100" w:afterAutospacing="1"/>
      <w:ind w:firstLine="723" w:firstLineChars="200"/>
      <w:jc w:val="center"/>
    </w:pPr>
    <w:rPr>
      <w:rFonts w:eastAsia="仿宋_GB2312"/>
      <w:sz w:val="18"/>
      <w:szCs w:val="18"/>
    </w:rPr>
  </w:style>
  <w:style w:type="paragraph" w:customStyle="1" w:styleId="69">
    <w:name w:val="xl70"/>
    <w:basedOn w:val="1"/>
    <w:qFormat/>
    <w:uiPriority w:val="0"/>
    <w:pPr>
      <w:spacing w:before="100" w:beforeAutospacing="1" w:after="100" w:afterAutospacing="1"/>
      <w:ind w:firstLine="723" w:firstLineChars="200"/>
      <w:jc w:val="center"/>
    </w:pPr>
    <w:rPr>
      <w:rFonts w:eastAsia="仿宋_GB2312"/>
      <w:sz w:val="18"/>
      <w:szCs w:val="18"/>
    </w:rPr>
  </w:style>
  <w:style w:type="paragraph" w:customStyle="1" w:styleId="70">
    <w:name w:val="xl71"/>
    <w:basedOn w:val="1"/>
    <w:qFormat/>
    <w:uiPriority w:val="0"/>
    <w:pPr>
      <w:shd w:val="clear" w:color="000000" w:fill="FFFF00"/>
      <w:spacing w:before="100" w:beforeAutospacing="1" w:after="100" w:afterAutospacing="1"/>
      <w:ind w:firstLine="723" w:firstLineChars="200"/>
      <w:jc w:val="center"/>
    </w:pPr>
    <w:rPr>
      <w:rFonts w:eastAsia="仿宋_GB2312"/>
      <w:sz w:val="18"/>
      <w:szCs w:val="18"/>
    </w:rPr>
  </w:style>
  <w:style w:type="paragraph" w:customStyle="1" w:styleId="71">
    <w:name w:val="xl72"/>
    <w:basedOn w:val="1"/>
    <w:qFormat/>
    <w:uiPriority w:val="0"/>
    <w:pPr>
      <w:shd w:val="clear" w:color="000000" w:fill="FFFF00"/>
      <w:spacing w:before="100" w:beforeAutospacing="1" w:after="100" w:afterAutospacing="1"/>
      <w:ind w:firstLine="723" w:firstLineChars="200"/>
      <w:jc w:val="both"/>
    </w:pPr>
    <w:rPr>
      <w:rFonts w:eastAsia="仿宋_GB2312"/>
      <w:sz w:val="18"/>
      <w:szCs w:val="18"/>
    </w:rPr>
  </w:style>
  <w:style w:type="paragraph" w:customStyle="1" w:styleId="72">
    <w:name w:val="xl73"/>
    <w:basedOn w:val="1"/>
    <w:qFormat/>
    <w:uiPriority w:val="0"/>
    <w:pPr>
      <w:shd w:val="clear" w:color="000000" w:fill="FFFF00"/>
      <w:spacing w:before="100" w:beforeAutospacing="1" w:after="100" w:afterAutospacing="1"/>
      <w:ind w:firstLine="723" w:firstLineChars="200"/>
      <w:jc w:val="center"/>
    </w:pPr>
    <w:rPr>
      <w:rFonts w:eastAsia="仿宋_GB2312"/>
      <w:sz w:val="18"/>
      <w:szCs w:val="18"/>
    </w:rPr>
  </w:style>
  <w:style w:type="paragraph" w:customStyle="1" w:styleId="73">
    <w:name w:val="xl74"/>
    <w:basedOn w:val="1"/>
    <w:qFormat/>
    <w:uiPriority w:val="0"/>
    <w:pPr>
      <w:spacing w:before="100" w:beforeAutospacing="1" w:after="100" w:afterAutospacing="1"/>
      <w:ind w:firstLine="723" w:firstLineChars="200"/>
      <w:jc w:val="both"/>
    </w:pPr>
    <w:rPr>
      <w:rFonts w:eastAsia="仿宋_GB2312"/>
      <w:b/>
      <w:bCs/>
      <w:sz w:val="18"/>
      <w:szCs w:val="18"/>
    </w:rPr>
  </w:style>
  <w:style w:type="paragraph" w:customStyle="1" w:styleId="74">
    <w:name w:val="xl75"/>
    <w:basedOn w:val="1"/>
    <w:qFormat/>
    <w:uiPriority w:val="0"/>
    <w:pPr>
      <w:spacing w:before="100" w:beforeAutospacing="1" w:after="100" w:afterAutospacing="1"/>
      <w:ind w:firstLine="723" w:firstLineChars="200"/>
      <w:jc w:val="both"/>
    </w:pPr>
    <w:rPr>
      <w:rFonts w:eastAsia="仿宋_GB2312"/>
      <w:color w:val="FF0000"/>
      <w:sz w:val="18"/>
      <w:szCs w:val="18"/>
    </w:rPr>
  </w:style>
  <w:style w:type="paragraph" w:customStyle="1" w:styleId="75">
    <w:name w:val="xl76"/>
    <w:basedOn w:val="1"/>
    <w:qFormat/>
    <w:uiPriority w:val="0"/>
    <w:pPr>
      <w:spacing w:before="100" w:beforeAutospacing="1" w:after="100" w:afterAutospacing="1"/>
      <w:ind w:firstLine="723" w:firstLineChars="200"/>
      <w:jc w:val="both"/>
    </w:pPr>
    <w:rPr>
      <w:rFonts w:eastAsia="仿宋_GB2312"/>
      <w:sz w:val="20"/>
      <w:szCs w:val="20"/>
    </w:rPr>
  </w:style>
  <w:style w:type="paragraph" w:customStyle="1" w:styleId="76">
    <w:name w:val="xl77"/>
    <w:basedOn w:val="1"/>
    <w:qFormat/>
    <w:uiPriority w:val="0"/>
    <w:pPr>
      <w:spacing w:before="100" w:beforeAutospacing="1" w:after="100" w:afterAutospacing="1"/>
      <w:ind w:firstLine="723" w:firstLineChars="200"/>
      <w:jc w:val="center"/>
    </w:pPr>
    <w:rPr>
      <w:rFonts w:eastAsia="仿宋_GB2312"/>
      <w:b/>
      <w:bCs/>
      <w:sz w:val="18"/>
      <w:szCs w:val="18"/>
    </w:rPr>
  </w:style>
  <w:style w:type="paragraph" w:customStyle="1" w:styleId="77">
    <w:name w:val="xl78"/>
    <w:basedOn w:val="1"/>
    <w:qFormat/>
    <w:uiPriority w:val="0"/>
    <w:pPr>
      <w:spacing w:before="100" w:beforeAutospacing="1" w:after="100" w:afterAutospacing="1"/>
      <w:ind w:firstLine="723" w:firstLineChars="200"/>
      <w:jc w:val="center"/>
    </w:pPr>
    <w:rPr>
      <w:rFonts w:eastAsia="仿宋_GB2312"/>
      <w:b/>
      <w:bCs/>
      <w:sz w:val="18"/>
      <w:szCs w:val="18"/>
    </w:rPr>
  </w:style>
  <w:style w:type="paragraph" w:customStyle="1" w:styleId="78">
    <w:name w:val="xl79"/>
    <w:basedOn w:val="1"/>
    <w:qFormat/>
    <w:uiPriority w:val="0"/>
    <w:pPr>
      <w:spacing w:before="100" w:beforeAutospacing="1" w:after="100" w:afterAutospacing="1"/>
      <w:ind w:firstLine="723" w:firstLineChars="200"/>
      <w:jc w:val="center"/>
    </w:pPr>
    <w:rPr>
      <w:rFonts w:eastAsia="仿宋_GB2312"/>
      <w:b/>
      <w:bCs/>
      <w:sz w:val="20"/>
      <w:szCs w:val="20"/>
    </w:rPr>
  </w:style>
  <w:style w:type="paragraph" w:customStyle="1" w:styleId="79">
    <w:name w:val="Char Char Char1 Char Char Char1 Char Char Char Char Char Char Char Char Char Char Char Char Char"/>
    <w:basedOn w:val="1"/>
    <w:qFormat/>
    <w:uiPriority w:val="99"/>
    <w:pPr>
      <w:widowControl w:val="0"/>
      <w:ind w:firstLine="723" w:firstLineChars="200"/>
      <w:jc w:val="both"/>
    </w:pPr>
    <w:rPr>
      <w:rFonts w:ascii="Times New Roman" w:hAnsi="Times New Roman" w:eastAsia="仿宋_GB2312" w:cs="Times New Roman"/>
      <w:kern w:val="2"/>
      <w:sz w:val="21"/>
    </w:rPr>
  </w:style>
  <w:style w:type="character" w:customStyle="1" w:styleId="80">
    <w:name w:val="zhengwen1"/>
    <w:qFormat/>
    <w:uiPriority w:val="99"/>
    <w:rPr>
      <w:color w:val="000000"/>
      <w:sz w:val="14"/>
      <w:u w:val="none"/>
    </w:rPr>
  </w:style>
  <w:style w:type="character" w:customStyle="1" w:styleId="81">
    <w:name w:val="正文-闻政 Char"/>
    <w:link w:val="82"/>
    <w:qFormat/>
    <w:locked/>
    <w:uiPriority w:val="99"/>
    <w:rPr>
      <w:rFonts w:ascii="Times New Roman" w:hAnsi="Times New Roman" w:eastAsia="仿宋_GB2312"/>
      <w:kern w:val="2"/>
      <w:sz w:val="28"/>
      <w:szCs w:val="22"/>
      <w:lang w:val="en-US" w:eastAsia="zh-CN" w:bidi="ar-SA"/>
    </w:rPr>
  </w:style>
  <w:style w:type="paragraph" w:customStyle="1" w:styleId="82">
    <w:name w:val="正文-闻政"/>
    <w:link w:val="81"/>
    <w:qFormat/>
    <w:uiPriority w:val="99"/>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character" w:customStyle="1" w:styleId="83">
    <w:name w:val="Char Char5"/>
    <w:qFormat/>
    <w:uiPriority w:val="99"/>
    <w:rPr>
      <w:rFonts w:ascii="Calibri" w:hAnsi="Calibri" w:cs="Times New Roman"/>
      <w:b/>
      <w:bCs/>
      <w:kern w:val="44"/>
      <w:sz w:val="44"/>
      <w:szCs w:val="44"/>
      <w:lang w:eastAsia="en-US"/>
    </w:rPr>
  </w:style>
  <w:style w:type="character" w:customStyle="1" w:styleId="84">
    <w:name w:val="Char Char4"/>
    <w:qFormat/>
    <w:uiPriority w:val="99"/>
    <w:rPr>
      <w:rFonts w:ascii="Arial" w:hAnsi="Arial" w:eastAsia="黑体" w:cs="Times New Roman"/>
      <w:b/>
      <w:bCs/>
      <w:sz w:val="32"/>
      <w:szCs w:val="32"/>
      <w:lang w:eastAsia="en-US"/>
    </w:rPr>
  </w:style>
  <w:style w:type="character" w:customStyle="1" w:styleId="85">
    <w:name w:val="Char Char3"/>
    <w:qFormat/>
    <w:uiPriority w:val="99"/>
    <w:rPr>
      <w:rFonts w:eastAsia="仿宋_GB2312" w:cs="Times New Roman"/>
      <w:kern w:val="2"/>
      <w:sz w:val="18"/>
      <w:szCs w:val="18"/>
    </w:rPr>
  </w:style>
  <w:style w:type="character" w:customStyle="1" w:styleId="86">
    <w:name w:val="Char Char2"/>
    <w:qFormat/>
    <w:uiPriority w:val="99"/>
    <w:rPr>
      <w:rFonts w:eastAsia="仿宋_GB2312" w:cs="Times New Roman"/>
      <w:kern w:val="2"/>
      <w:sz w:val="18"/>
      <w:szCs w:val="18"/>
    </w:rPr>
  </w:style>
  <w:style w:type="character" w:customStyle="1" w:styleId="87">
    <w:name w:val="Char Char1"/>
    <w:qFormat/>
    <w:uiPriority w:val="99"/>
    <w:rPr>
      <w:rFonts w:ascii="Calibri" w:hAnsi="Calibri" w:cs="Times New Roman"/>
      <w:sz w:val="18"/>
      <w:szCs w:val="18"/>
      <w:lang w:eastAsia="en-US"/>
    </w:rPr>
  </w:style>
  <w:style w:type="character" w:customStyle="1" w:styleId="88">
    <w:name w:val="无间隔 Char"/>
    <w:link w:val="89"/>
    <w:qFormat/>
    <w:locked/>
    <w:uiPriority w:val="99"/>
    <w:rPr>
      <w:sz w:val="22"/>
      <w:szCs w:val="22"/>
      <w:lang w:val="en-US" w:eastAsia="zh-CN" w:bidi="ar-SA"/>
    </w:rPr>
  </w:style>
  <w:style w:type="paragraph" w:customStyle="1" w:styleId="89">
    <w:name w:val="无间隔1"/>
    <w:link w:val="88"/>
    <w:qFormat/>
    <w:uiPriority w:val="99"/>
    <w:rPr>
      <w:rFonts w:ascii="Times New Roman" w:hAnsi="Times New Roman" w:eastAsia="宋体" w:cs="Times New Roman"/>
      <w:sz w:val="22"/>
      <w:szCs w:val="22"/>
      <w:lang w:val="en-US" w:eastAsia="zh-CN" w:bidi="ar-SA"/>
    </w:rPr>
  </w:style>
  <w:style w:type="character" w:customStyle="1" w:styleId="90">
    <w:name w:val="Char Char"/>
    <w:qFormat/>
    <w:uiPriority w:val="99"/>
    <w:rPr>
      <w:rFonts w:eastAsia="仿宋_GB2312" w:cs="Times New Roman"/>
      <w:kern w:val="2"/>
      <w:sz w:val="18"/>
      <w:szCs w:val="18"/>
    </w:rPr>
  </w:style>
  <w:style w:type="paragraph" w:customStyle="1" w:styleId="91">
    <w:name w:val="Char Char Char Char Char Char Char Char Char1"/>
    <w:basedOn w:val="1"/>
    <w:qFormat/>
    <w:uiPriority w:val="99"/>
    <w:pPr>
      <w:widowControl w:val="0"/>
      <w:ind w:firstLine="723" w:firstLineChars="200"/>
      <w:jc w:val="both"/>
    </w:pPr>
    <w:rPr>
      <w:rFonts w:ascii="Times New Roman" w:hAnsi="Times New Roman" w:eastAsia="仿宋_GB2312" w:cs="Times New Roman"/>
      <w:kern w:val="2"/>
      <w:sz w:val="21"/>
    </w:rPr>
  </w:style>
  <w:style w:type="paragraph" w:customStyle="1" w:styleId="92">
    <w:name w:val="TOC 标题11"/>
    <w:basedOn w:val="2"/>
    <w:next w:val="1"/>
    <w:qFormat/>
    <w:uiPriority w:val="39"/>
    <w:pPr>
      <w:spacing w:before="480" w:line="276" w:lineRule="auto"/>
      <w:outlineLvl w:val="9"/>
    </w:pPr>
    <w:rPr>
      <w:rFonts w:ascii="Cambria" w:hAnsi="Cambria"/>
      <w:color w:val="365F91"/>
      <w:kern w:val="0"/>
      <w:sz w:val="28"/>
      <w:szCs w:val="28"/>
      <w:lang w:eastAsia="zh-CN"/>
    </w:rPr>
  </w:style>
  <w:style w:type="paragraph" w:customStyle="1" w:styleId="93">
    <w:name w:val="列出段落1"/>
    <w:basedOn w:val="1"/>
    <w:qFormat/>
    <w:uiPriority w:val="0"/>
    <w:pPr>
      <w:widowControl w:val="0"/>
      <w:ind w:firstLine="420" w:firstLineChars="200"/>
      <w:jc w:val="both"/>
    </w:pPr>
    <w:rPr>
      <w:rFonts w:ascii="Times New Roman" w:hAnsi="Times New Roman" w:eastAsia="仿宋_GB2312" w:cs="Times New Roman"/>
      <w:kern w:val="2"/>
      <w:sz w:val="21"/>
    </w:rPr>
  </w:style>
  <w:style w:type="paragraph" w:customStyle="1" w:styleId="94">
    <w:name w:val="Char Char Char1 Char Char Char1 Char Char Char Char Char Char Char Char Char Char Char Char Char1"/>
    <w:basedOn w:val="1"/>
    <w:qFormat/>
    <w:uiPriority w:val="99"/>
    <w:pPr>
      <w:widowControl w:val="0"/>
      <w:ind w:firstLine="723" w:firstLineChars="200"/>
      <w:jc w:val="both"/>
    </w:pPr>
    <w:rPr>
      <w:rFonts w:ascii="Times New Roman" w:hAnsi="Times New Roman" w:eastAsia="仿宋_GB2312" w:cs="Times New Roman"/>
      <w:kern w:val="2"/>
      <w:sz w:val="21"/>
    </w:rPr>
  </w:style>
  <w:style w:type="paragraph" w:customStyle="1" w:styleId="95">
    <w:name w:val="列表段落1"/>
    <w:basedOn w:val="1"/>
    <w:qFormat/>
    <w:uiPriority w:val="34"/>
    <w:pPr>
      <w:ind w:firstLine="420" w:firstLineChars="200"/>
      <w:jc w:val="both"/>
    </w:pPr>
    <w:rPr>
      <w:rFonts w:ascii="Times New Roman" w:hAnsi="Times New Roman" w:eastAsia="仿宋_GB2312" w:cs="Times New Roman"/>
      <w:sz w:val="32"/>
      <w:szCs w:val="22"/>
      <w:lang w:eastAsia="en-US"/>
    </w:rPr>
  </w:style>
  <w:style w:type="paragraph" w:customStyle="1" w:styleId="9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7">
    <w:name w:val="Table Paragraph"/>
    <w:basedOn w:val="1"/>
    <w:qFormat/>
    <w:uiPriority w:val="0"/>
    <w:pPr>
      <w:widowControl w:val="0"/>
      <w:autoSpaceDE w:val="0"/>
      <w:autoSpaceDN w:val="0"/>
      <w:ind w:firstLine="723" w:firstLineChars="200"/>
    </w:pPr>
    <w:rPr>
      <w:rFonts w:hint="eastAsia" w:ascii="仿宋" w:hAnsi="仿宋" w:eastAsia="仿宋" w:cs="Times New Roman"/>
      <w:sz w:val="22"/>
      <w:szCs w:val="22"/>
    </w:rPr>
  </w:style>
  <w:style w:type="character" w:customStyle="1" w:styleId="98">
    <w:name w:val="font51"/>
    <w:qFormat/>
    <w:uiPriority w:val="0"/>
    <w:rPr>
      <w:rFonts w:hint="eastAsia" w:ascii="宋体" w:hAnsi="宋体" w:eastAsia="宋体"/>
      <w:color w:val="000000"/>
      <w:sz w:val="20"/>
      <w:szCs w:val="20"/>
      <w:u w:val="none"/>
    </w:rPr>
  </w:style>
  <w:style w:type="character" w:customStyle="1" w:styleId="99">
    <w:name w:val="font21"/>
    <w:qFormat/>
    <w:uiPriority w:val="0"/>
    <w:rPr>
      <w:rFonts w:hint="eastAsia" w:ascii="宋体" w:hAnsi="宋体" w:eastAsia="宋体"/>
      <w:color w:val="000000"/>
      <w:sz w:val="20"/>
      <w:szCs w:val="20"/>
      <w:u w:val="none"/>
    </w:rPr>
  </w:style>
  <w:style w:type="character" w:customStyle="1" w:styleId="100">
    <w:name w:val="font81"/>
    <w:qFormat/>
    <w:uiPriority w:val="0"/>
    <w:rPr>
      <w:rFonts w:hint="eastAsia" w:ascii="仿宋_GB2312" w:eastAsia="仿宋_GB2312"/>
      <w:color w:val="000000"/>
      <w:sz w:val="20"/>
      <w:szCs w:val="20"/>
      <w:u w:val="none"/>
    </w:rPr>
  </w:style>
  <w:style w:type="character" w:customStyle="1" w:styleId="101">
    <w:name w:val="font11"/>
    <w:qFormat/>
    <w:uiPriority w:val="0"/>
    <w:rPr>
      <w:rFonts w:hint="default" w:ascii="Times New Roman" w:hAnsi="Times New Roman" w:cs="Times New Roman"/>
      <w:color w:val="000000"/>
      <w:sz w:val="20"/>
      <w:szCs w:val="20"/>
      <w:u w:val="none"/>
    </w:rPr>
  </w:style>
  <w:style w:type="character" w:customStyle="1" w:styleId="102">
    <w:name w:val="font71"/>
    <w:qFormat/>
    <w:uiPriority w:val="0"/>
    <w:rPr>
      <w:rFonts w:hint="eastAsia" w:ascii="宋体" w:hAnsi="宋体" w:eastAsia="宋体"/>
      <w:color w:val="000000"/>
      <w:sz w:val="20"/>
      <w:szCs w:val="20"/>
      <w:u w:val="none"/>
    </w:rPr>
  </w:style>
  <w:style w:type="paragraph" w:customStyle="1" w:styleId="103">
    <w:name w:val="厚贤正文"/>
    <w:basedOn w:val="1"/>
    <w:link w:val="104"/>
    <w:qFormat/>
    <w:uiPriority w:val="0"/>
    <w:pPr>
      <w:widowControl w:val="0"/>
      <w:spacing w:line="520" w:lineRule="exact"/>
      <w:ind w:firstLine="200" w:firstLineChars="200"/>
    </w:pPr>
    <w:rPr>
      <w:rFonts w:ascii="Times New Roman" w:hAnsi="Times New Roman" w:eastAsia="仿宋_GB2312" w:cs="Times New Roman"/>
      <w:kern w:val="2"/>
      <w:sz w:val="28"/>
      <w:szCs w:val="32"/>
    </w:rPr>
  </w:style>
  <w:style w:type="character" w:customStyle="1" w:styleId="104">
    <w:name w:val="厚贤正文 字符"/>
    <w:link w:val="103"/>
    <w:qFormat/>
    <w:uiPriority w:val="0"/>
    <w:rPr>
      <w:rFonts w:eastAsia="仿宋_GB2312"/>
      <w:kern w:val="2"/>
      <w:sz w:val="28"/>
      <w:szCs w:val="32"/>
    </w:rPr>
  </w:style>
  <w:style w:type="character" w:customStyle="1" w:styleId="105">
    <w:name w:val="尾注文本 Char1"/>
    <w:link w:val="18"/>
    <w:qFormat/>
    <w:uiPriority w:val="0"/>
    <w:rPr>
      <w:rFonts w:ascii="Calibri" w:hAnsi="Calibri"/>
      <w:kern w:val="2"/>
      <w:sz w:val="21"/>
      <w:szCs w:val="22"/>
    </w:rPr>
  </w:style>
  <w:style w:type="character" w:customStyle="1" w:styleId="106">
    <w:name w:val="尾注文本 字符"/>
    <w:semiHidden/>
    <w:qFormat/>
    <w:uiPriority w:val="99"/>
    <w:rPr>
      <w:rFonts w:eastAsia="仿宋_GB2312"/>
      <w:sz w:val="32"/>
      <w:szCs w:val="22"/>
      <w:lang w:eastAsia="en-US"/>
    </w:rPr>
  </w:style>
  <w:style w:type="character" w:customStyle="1" w:styleId="107">
    <w:name w:val="副标题 Char"/>
    <w:link w:val="24"/>
    <w:qFormat/>
    <w:uiPriority w:val="11"/>
    <w:rPr>
      <w:rFonts w:ascii="仿宋_GB2312" w:hAnsi="Calibri" w:eastAsia="仿宋_GB2312"/>
      <w:bCs/>
      <w:kern w:val="28"/>
      <w:sz w:val="21"/>
      <w:szCs w:val="32"/>
    </w:rPr>
  </w:style>
  <w:style w:type="character" w:customStyle="1" w:styleId="108">
    <w:name w:val="批注文字 字符1"/>
    <w:qFormat/>
    <w:uiPriority w:val="0"/>
    <w:rPr>
      <w:rFonts w:ascii="Times New Roman" w:hAnsi="Times New Roman" w:eastAsia="宋体" w:cs="Times New Roman"/>
      <w:szCs w:val="24"/>
    </w:rPr>
  </w:style>
  <w:style w:type="paragraph" w:customStyle="1" w:styleId="109">
    <w:name w:val="厚贤表头1"/>
    <w:basedOn w:val="1"/>
    <w:link w:val="110"/>
    <w:qFormat/>
    <w:uiPriority w:val="0"/>
    <w:pPr>
      <w:widowControl w:val="0"/>
      <w:spacing w:line="560" w:lineRule="exact"/>
      <w:jc w:val="center"/>
    </w:pPr>
    <w:rPr>
      <w:rFonts w:ascii="仿宋_GB2312" w:hAnsi="Times New Roman" w:eastAsia="仿宋_GB2312" w:cs="Times New Roman"/>
      <w:b/>
      <w:kern w:val="2"/>
    </w:rPr>
  </w:style>
  <w:style w:type="character" w:customStyle="1" w:styleId="110">
    <w:name w:val="厚贤表头1 字符"/>
    <w:link w:val="109"/>
    <w:qFormat/>
    <w:uiPriority w:val="0"/>
    <w:rPr>
      <w:rFonts w:ascii="仿宋_GB2312" w:eastAsia="仿宋_GB2312"/>
      <w:b/>
      <w:kern w:val="2"/>
      <w:sz w:val="24"/>
      <w:szCs w:val="24"/>
    </w:rPr>
  </w:style>
  <w:style w:type="paragraph" w:customStyle="1" w:styleId="111">
    <w:name w:val="厚贤表内容1"/>
    <w:basedOn w:val="109"/>
    <w:link w:val="112"/>
    <w:qFormat/>
    <w:uiPriority w:val="0"/>
    <w:pPr>
      <w:spacing w:line="240" w:lineRule="auto"/>
      <w:jc w:val="both"/>
    </w:pPr>
    <w:rPr>
      <w:b w:val="0"/>
    </w:rPr>
  </w:style>
  <w:style w:type="character" w:customStyle="1" w:styleId="112">
    <w:name w:val="厚贤表内容1 字符"/>
    <w:link w:val="111"/>
    <w:qFormat/>
    <w:uiPriority w:val="0"/>
    <w:rPr>
      <w:rFonts w:ascii="仿宋_GB2312" w:eastAsia="仿宋_GB2312"/>
      <w:kern w:val="2"/>
      <w:sz w:val="24"/>
      <w:szCs w:val="24"/>
    </w:rPr>
  </w:style>
  <w:style w:type="paragraph" w:customStyle="1" w:styleId="113">
    <w:name w:val="底稿"/>
    <w:basedOn w:val="1"/>
    <w:link w:val="114"/>
    <w:qFormat/>
    <w:uiPriority w:val="0"/>
    <w:pPr>
      <w:widowControl w:val="0"/>
      <w:spacing w:line="560" w:lineRule="exact"/>
      <w:ind w:firstLine="560" w:firstLineChars="200"/>
      <w:jc w:val="both"/>
    </w:pPr>
    <w:rPr>
      <w:rFonts w:ascii="仿宋_GB2312" w:hAnsi="仿宋" w:eastAsia="仿宋_GB2312" w:cs="Times New Roman"/>
      <w:kern w:val="2"/>
      <w:sz w:val="28"/>
      <w:szCs w:val="21"/>
    </w:rPr>
  </w:style>
  <w:style w:type="character" w:customStyle="1" w:styleId="114">
    <w:name w:val="底稿 字符"/>
    <w:link w:val="113"/>
    <w:qFormat/>
    <w:uiPriority w:val="0"/>
    <w:rPr>
      <w:rFonts w:ascii="仿宋_GB2312" w:hAnsi="仿宋" w:eastAsia="仿宋_GB2312"/>
      <w:kern w:val="2"/>
      <w:sz w:val="28"/>
      <w:szCs w:val="21"/>
    </w:rPr>
  </w:style>
  <w:style w:type="paragraph" w:customStyle="1" w:styleId="115">
    <w:name w:val="列表段落11"/>
    <w:basedOn w:val="1"/>
    <w:qFormat/>
    <w:uiPriority w:val="0"/>
    <w:pPr>
      <w:widowControl w:val="0"/>
      <w:ind w:firstLine="420" w:firstLineChars="200"/>
      <w:jc w:val="both"/>
    </w:pPr>
    <w:rPr>
      <w:rFonts w:ascii="Times New Roman" w:hAnsi="Times New Roman" w:eastAsia="仿宋_GB2312" w:cs="Times New Roman"/>
      <w:kern w:val="2"/>
      <w:sz w:val="28"/>
    </w:rPr>
  </w:style>
  <w:style w:type="paragraph" w:customStyle="1" w:styleId="116">
    <w:name w:val="样式1"/>
    <w:basedOn w:val="1"/>
    <w:link w:val="198"/>
    <w:qFormat/>
    <w:uiPriority w:val="0"/>
    <w:pPr>
      <w:widowControl w:val="0"/>
      <w:spacing w:line="560" w:lineRule="exact"/>
      <w:ind w:firstLine="630" w:firstLineChars="196"/>
      <w:jc w:val="both"/>
    </w:pPr>
    <w:rPr>
      <w:rFonts w:ascii="黑体" w:hAnsi="Times New Roman" w:eastAsia="黑体" w:cs="Times New Roman"/>
      <w:b/>
      <w:kern w:val="2"/>
      <w:sz w:val="32"/>
      <w:szCs w:val="32"/>
    </w:rPr>
  </w:style>
  <w:style w:type="paragraph" w:customStyle="1" w:styleId="117">
    <w:name w:val="样式2"/>
    <w:basedOn w:val="1"/>
    <w:qFormat/>
    <w:uiPriority w:val="0"/>
    <w:pPr>
      <w:widowControl w:val="0"/>
      <w:spacing w:line="560" w:lineRule="exact"/>
      <w:ind w:firstLine="472" w:firstLineChars="147"/>
      <w:jc w:val="both"/>
    </w:pPr>
    <w:rPr>
      <w:rFonts w:ascii="楷体_GB2312" w:eastAsia="楷体_GB2312" w:cs="Times New Roman"/>
      <w:b/>
      <w:kern w:val="2"/>
      <w:sz w:val="32"/>
      <w:szCs w:val="32"/>
    </w:rPr>
  </w:style>
  <w:style w:type="character" w:customStyle="1" w:styleId="118">
    <w:name w:val="脚注文本 字符1"/>
    <w:qFormat/>
    <w:uiPriority w:val="0"/>
    <w:rPr>
      <w:rFonts w:ascii="Calibri" w:hAnsi="Calibri" w:eastAsia="宋体" w:cs="Times New Roman"/>
      <w:sz w:val="18"/>
      <w:szCs w:val="18"/>
    </w:rPr>
  </w:style>
  <w:style w:type="character" w:customStyle="1" w:styleId="119">
    <w:name w:val="批注主题 字符1"/>
    <w:qFormat/>
    <w:uiPriority w:val="0"/>
    <w:rPr>
      <w:rFonts w:ascii="Calibri" w:hAnsi="Calibri" w:eastAsia="宋体" w:cs="Times New Roman"/>
      <w:b/>
      <w:bCs/>
    </w:rPr>
  </w:style>
  <w:style w:type="paragraph" w:customStyle="1" w:styleId="120">
    <w:name w:val="发文机关标识"/>
    <w:basedOn w:val="1"/>
    <w:qFormat/>
    <w:uiPriority w:val="0"/>
    <w:pPr>
      <w:widowControl w:val="0"/>
      <w:jc w:val="center"/>
    </w:pPr>
    <w:rPr>
      <w:rFonts w:ascii="Times New Roman" w:hAnsi="Times New Roman" w:eastAsia="仿宋_GB2312" w:cs="Times New Roman"/>
      <w:b/>
      <w:color w:val="FF0000"/>
      <w:kern w:val="2"/>
      <w:sz w:val="72"/>
      <w:szCs w:val="20"/>
    </w:rPr>
  </w:style>
  <w:style w:type="paragraph" w:customStyle="1" w:styleId="121">
    <w:name w:val="主送机关"/>
    <w:basedOn w:val="1"/>
    <w:qFormat/>
    <w:uiPriority w:val="0"/>
    <w:pPr>
      <w:widowControl w:val="0"/>
      <w:jc w:val="both"/>
    </w:pPr>
    <w:rPr>
      <w:rFonts w:ascii="Times New Roman" w:hAnsi="Times New Roman" w:eastAsia="仿宋_GB2312" w:cs="Times New Roman"/>
      <w:kern w:val="2"/>
      <w:sz w:val="32"/>
      <w:szCs w:val="20"/>
    </w:rPr>
  </w:style>
  <w:style w:type="character" w:customStyle="1" w:styleId="122">
    <w:name w:val="页脚 字符1"/>
    <w:qFormat/>
    <w:uiPriority w:val="0"/>
    <w:rPr>
      <w:rFonts w:ascii="Calibri" w:hAnsi="Calibri" w:eastAsia="宋体" w:cs="Times New Roman"/>
      <w:sz w:val="18"/>
      <w:szCs w:val="18"/>
    </w:rPr>
  </w:style>
  <w:style w:type="character" w:customStyle="1" w:styleId="123">
    <w:name w:val="页眉 字符1"/>
    <w:qFormat/>
    <w:uiPriority w:val="0"/>
    <w:rPr>
      <w:rFonts w:ascii="Calibri" w:hAnsi="Calibri" w:eastAsia="宋体" w:cs="Times New Roman"/>
      <w:sz w:val="18"/>
      <w:szCs w:val="18"/>
    </w:rPr>
  </w:style>
  <w:style w:type="character" w:customStyle="1" w:styleId="124">
    <w:name w:val="标题 1 字符1"/>
    <w:qFormat/>
    <w:uiPriority w:val="0"/>
    <w:rPr>
      <w:rFonts w:ascii="等线" w:hAnsi="等线" w:eastAsia="等线" w:cs="Times New Roman"/>
      <w:b/>
      <w:bCs/>
      <w:kern w:val="44"/>
      <w:sz w:val="44"/>
      <w:szCs w:val="44"/>
    </w:rPr>
  </w:style>
  <w:style w:type="character" w:customStyle="1" w:styleId="125">
    <w:name w:val="标题 2 字符1"/>
    <w:qFormat/>
    <w:uiPriority w:val="0"/>
    <w:rPr>
      <w:rFonts w:ascii="等线 Light" w:hAnsi="等线 Light" w:eastAsia="等线 Light" w:cs="Times New Roman"/>
      <w:b/>
      <w:bCs/>
      <w:sz w:val="32"/>
      <w:szCs w:val="32"/>
    </w:rPr>
  </w:style>
  <w:style w:type="character" w:customStyle="1" w:styleId="126">
    <w:name w:val="标题 3 字符1"/>
    <w:qFormat/>
    <w:uiPriority w:val="0"/>
    <w:rPr>
      <w:rFonts w:ascii="等线" w:hAnsi="等线" w:eastAsia="等线" w:cs="Times New Roman"/>
      <w:b/>
      <w:bCs/>
      <w:sz w:val="32"/>
      <w:szCs w:val="32"/>
    </w:rPr>
  </w:style>
  <w:style w:type="character" w:customStyle="1" w:styleId="127">
    <w:name w:val="批注框文本 字符1"/>
    <w:qFormat/>
    <w:uiPriority w:val="0"/>
    <w:rPr>
      <w:rFonts w:ascii="Calibri" w:hAnsi="Calibri" w:eastAsia="宋体" w:cs="Times New Roman"/>
      <w:sz w:val="18"/>
      <w:szCs w:val="18"/>
    </w:rPr>
  </w:style>
  <w:style w:type="paragraph" w:customStyle="1" w:styleId="128">
    <w:name w:val="列出段落11"/>
    <w:basedOn w:val="1"/>
    <w:qFormat/>
    <w:uiPriority w:val="0"/>
    <w:pPr>
      <w:widowControl w:val="0"/>
      <w:ind w:firstLine="420" w:firstLineChars="200"/>
      <w:jc w:val="both"/>
    </w:pPr>
    <w:rPr>
      <w:rFonts w:ascii="等线" w:hAnsi="等线" w:eastAsia="等线" w:cs="Times New Roman"/>
      <w:kern w:val="2"/>
      <w:sz w:val="21"/>
      <w:szCs w:val="22"/>
    </w:rPr>
  </w:style>
  <w:style w:type="table" w:customStyle="1" w:styleId="129">
    <w:name w:val="网格型1"/>
    <w:basedOn w:val="40"/>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0">
    <w:name w:val="页脚 Char"/>
    <w:qFormat/>
    <w:uiPriority w:val="0"/>
    <w:rPr>
      <w:rFonts w:ascii="Calibri" w:hAnsi="Calibri" w:eastAsia="宋体" w:cs="Times New Roman"/>
      <w:sz w:val="18"/>
      <w:szCs w:val="18"/>
    </w:rPr>
  </w:style>
  <w:style w:type="character" w:customStyle="1" w:styleId="131">
    <w:name w:val="页眉 Char"/>
    <w:qFormat/>
    <w:uiPriority w:val="0"/>
    <w:rPr>
      <w:rFonts w:ascii="Calibri" w:hAnsi="Calibri" w:eastAsia="宋体" w:cs="Times New Roman"/>
      <w:sz w:val="18"/>
      <w:szCs w:val="18"/>
    </w:rPr>
  </w:style>
  <w:style w:type="character" w:customStyle="1" w:styleId="132">
    <w:name w:val="脚注文本 Char"/>
    <w:qFormat/>
    <w:uiPriority w:val="0"/>
    <w:rPr>
      <w:rFonts w:ascii="Calibri" w:hAnsi="Calibri" w:eastAsia="宋体" w:cs="Times New Roman"/>
      <w:sz w:val="18"/>
      <w:szCs w:val="18"/>
    </w:rPr>
  </w:style>
  <w:style w:type="character" w:customStyle="1" w:styleId="133">
    <w:name w:val="标题 1 Char"/>
    <w:qFormat/>
    <w:uiPriority w:val="0"/>
    <w:rPr>
      <w:rFonts w:ascii="等线" w:hAnsi="等线" w:eastAsia="等线" w:cs="Times New Roman"/>
      <w:b/>
      <w:bCs/>
      <w:kern w:val="44"/>
      <w:sz w:val="44"/>
      <w:szCs w:val="44"/>
    </w:rPr>
  </w:style>
  <w:style w:type="character" w:customStyle="1" w:styleId="134">
    <w:name w:val="标题 2 Char"/>
    <w:qFormat/>
    <w:uiPriority w:val="0"/>
    <w:rPr>
      <w:rFonts w:ascii="等线 Light" w:hAnsi="等线 Light" w:eastAsia="等线 Light" w:cs="Times New Roman"/>
      <w:b/>
      <w:bCs/>
      <w:sz w:val="32"/>
      <w:szCs w:val="32"/>
    </w:rPr>
  </w:style>
  <w:style w:type="character" w:customStyle="1" w:styleId="135">
    <w:name w:val="标题 3 Char"/>
    <w:qFormat/>
    <w:uiPriority w:val="0"/>
    <w:rPr>
      <w:rFonts w:ascii="等线" w:hAnsi="等线" w:eastAsia="等线" w:cs="Times New Roman"/>
      <w:b/>
      <w:bCs/>
      <w:sz w:val="32"/>
      <w:szCs w:val="32"/>
    </w:rPr>
  </w:style>
  <w:style w:type="character" w:customStyle="1" w:styleId="136">
    <w:name w:val="批注文字 Char"/>
    <w:qFormat/>
    <w:uiPriority w:val="0"/>
    <w:rPr>
      <w:rFonts w:ascii="Calibri" w:hAnsi="Calibri" w:eastAsia="宋体" w:cs="Times New Roman"/>
    </w:rPr>
  </w:style>
  <w:style w:type="character" w:customStyle="1" w:styleId="137">
    <w:name w:val="批注主题 Char"/>
    <w:qFormat/>
    <w:uiPriority w:val="0"/>
    <w:rPr>
      <w:rFonts w:ascii="Calibri" w:hAnsi="Calibri" w:eastAsia="宋体" w:cs="Times New Roman"/>
      <w:b/>
      <w:bCs/>
    </w:rPr>
  </w:style>
  <w:style w:type="character" w:customStyle="1" w:styleId="138">
    <w:name w:val="批注框文本 Char"/>
    <w:qFormat/>
    <w:uiPriority w:val="0"/>
    <w:rPr>
      <w:rFonts w:ascii="Calibri" w:hAnsi="Calibri" w:eastAsia="宋体" w:cs="Times New Roman"/>
      <w:sz w:val="18"/>
      <w:szCs w:val="18"/>
    </w:rPr>
  </w:style>
  <w:style w:type="character" w:customStyle="1" w:styleId="139">
    <w:name w:val="尾注文本 Char"/>
    <w:qFormat/>
    <w:uiPriority w:val="0"/>
    <w:rPr>
      <w:rFonts w:ascii="Calibri" w:hAnsi="Calibri" w:eastAsia="宋体" w:cs="Times New Roman"/>
    </w:rPr>
  </w:style>
  <w:style w:type="paragraph" w:customStyle="1" w:styleId="140">
    <w:name w:val="msonormal"/>
    <w:basedOn w:val="1"/>
    <w:qFormat/>
    <w:uiPriority w:val="0"/>
    <w:pPr>
      <w:spacing w:before="100" w:beforeAutospacing="1" w:after="100" w:afterAutospacing="1"/>
    </w:pPr>
  </w:style>
  <w:style w:type="paragraph" w:customStyle="1" w:styleId="141">
    <w:name w:val="xl12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eastAsia="仿宋_GB2312"/>
      <w:color w:val="000000"/>
      <w:sz w:val="20"/>
      <w:szCs w:val="20"/>
    </w:rPr>
  </w:style>
  <w:style w:type="paragraph" w:customStyle="1" w:styleId="142">
    <w:name w:val="xl120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eastAsia="仿宋_GB2312"/>
      <w:b/>
      <w:bCs/>
      <w:color w:val="000000"/>
      <w:sz w:val="20"/>
      <w:szCs w:val="20"/>
    </w:rPr>
  </w:style>
  <w:style w:type="paragraph" w:customStyle="1" w:styleId="143">
    <w:name w:val="xl120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eastAsia="仿宋_GB2312"/>
      <w:b/>
      <w:bCs/>
      <w:color w:val="000000"/>
      <w:sz w:val="16"/>
      <w:szCs w:val="16"/>
    </w:rPr>
  </w:style>
  <w:style w:type="paragraph" w:customStyle="1" w:styleId="144">
    <w:name w:val="xl120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eastAsia="仿宋_GB2312"/>
      <w:sz w:val="18"/>
      <w:szCs w:val="18"/>
    </w:rPr>
  </w:style>
  <w:style w:type="paragraph" w:customStyle="1" w:styleId="145">
    <w:name w:val="xl120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eastAsia="仿宋_GB2312"/>
      <w:b/>
      <w:bCs/>
      <w:sz w:val="18"/>
      <w:szCs w:val="18"/>
    </w:rPr>
  </w:style>
  <w:style w:type="paragraph" w:customStyle="1" w:styleId="146">
    <w:name w:val="xl120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eastAsia="仿宋_GB2312"/>
      <w:color w:val="000000"/>
      <w:sz w:val="18"/>
      <w:szCs w:val="18"/>
    </w:rPr>
  </w:style>
  <w:style w:type="paragraph" w:customStyle="1" w:styleId="147">
    <w:name w:val="xl1209"/>
    <w:basedOn w:val="1"/>
    <w:qFormat/>
    <w:uiPriority w:val="0"/>
    <w:pPr>
      <w:pBdr>
        <w:top w:val="single" w:color="auto" w:sz="4" w:space="0"/>
        <w:left w:val="single" w:color="auto" w:sz="4" w:space="0"/>
        <w:right w:val="single" w:color="auto" w:sz="4" w:space="0"/>
      </w:pBdr>
      <w:spacing w:before="100" w:beforeAutospacing="1" w:after="100" w:afterAutospacing="1"/>
      <w:jc w:val="center"/>
    </w:pPr>
    <w:rPr>
      <w:rFonts w:ascii="仿宋_GB2312" w:eastAsia="仿宋_GB2312"/>
      <w:sz w:val="18"/>
      <w:szCs w:val="18"/>
    </w:rPr>
  </w:style>
  <w:style w:type="paragraph" w:customStyle="1" w:styleId="148">
    <w:name w:val="xl1210"/>
    <w:basedOn w:val="1"/>
    <w:qFormat/>
    <w:uiPriority w:val="0"/>
    <w:pPr>
      <w:pBdr>
        <w:left w:val="single" w:color="auto" w:sz="4" w:space="0"/>
        <w:right w:val="single" w:color="auto" w:sz="4" w:space="0"/>
      </w:pBdr>
      <w:spacing w:before="100" w:beforeAutospacing="1" w:after="100" w:afterAutospacing="1"/>
      <w:jc w:val="center"/>
    </w:pPr>
    <w:rPr>
      <w:rFonts w:ascii="仿宋_GB2312" w:eastAsia="仿宋_GB2312"/>
      <w:sz w:val="18"/>
      <w:szCs w:val="18"/>
    </w:rPr>
  </w:style>
  <w:style w:type="paragraph" w:customStyle="1" w:styleId="149">
    <w:name w:val="xl1211"/>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rFonts w:ascii="仿宋_GB2312" w:eastAsia="仿宋_GB2312"/>
      <w:sz w:val="18"/>
      <w:szCs w:val="18"/>
    </w:rPr>
  </w:style>
  <w:style w:type="paragraph" w:customStyle="1" w:styleId="150">
    <w:name w:val="xl121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_GB2312" w:eastAsia="仿宋_GB2312"/>
      <w:sz w:val="18"/>
      <w:szCs w:val="18"/>
    </w:rPr>
  </w:style>
  <w:style w:type="character" w:customStyle="1" w:styleId="151">
    <w:name w:val="未处理的提及1"/>
    <w:semiHidden/>
    <w:unhideWhenUsed/>
    <w:qFormat/>
    <w:uiPriority w:val="99"/>
    <w:rPr>
      <w:color w:val="605E5C"/>
      <w:shd w:val="clear" w:color="auto" w:fill="E1DFDD"/>
    </w:rPr>
  </w:style>
  <w:style w:type="paragraph" w:customStyle="1" w:styleId="152">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sz w:val="26"/>
      <w:szCs w:val="26"/>
    </w:rPr>
  </w:style>
  <w:style w:type="paragraph" w:customStyle="1" w:styleId="153">
    <w:name w:val="xl64"/>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sz w:val="26"/>
      <w:szCs w:val="26"/>
    </w:rPr>
  </w:style>
  <w:style w:type="paragraph" w:customStyle="1" w:styleId="154">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sz w:val="26"/>
      <w:szCs w:val="26"/>
    </w:rPr>
  </w:style>
  <w:style w:type="paragraph" w:customStyle="1" w:styleId="155">
    <w:name w:val="xl80"/>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style>
  <w:style w:type="paragraph" w:customStyle="1" w:styleId="156">
    <w:name w:val="xl81"/>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style>
  <w:style w:type="paragraph" w:customStyle="1" w:styleId="157">
    <w:name w:val="xl82"/>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style>
  <w:style w:type="paragraph" w:customStyle="1" w:styleId="158">
    <w:name w:val="xl83"/>
    <w:basedOn w:val="1"/>
    <w:qFormat/>
    <w:uiPriority w:val="0"/>
    <w:pPr>
      <w:pBdr>
        <w:top w:val="single" w:color="auto" w:sz="4" w:space="0"/>
        <w:left w:val="single" w:color="auto" w:sz="8" w:space="0"/>
        <w:bottom w:val="single" w:color="auto" w:sz="4" w:space="0"/>
        <w:right w:val="single" w:color="auto" w:sz="8" w:space="0"/>
      </w:pBdr>
      <w:spacing w:before="100" w:beforeAutospacing="1" w:after="100" w:afterAutospacing="1"/>
      <w:jc w:val="center"/>
      <w:textAlignment w:val="center"/>
    </w:pPr>
    <w:rPr>
      <w:b/>
      <w:bCs/>
      <w:sz w:val="26"/>
      <w:szCs w:val="26"/>
    </w:rPr>
  </w:style>
  <w:style w:type="paragraph" w:customStyle="1" w:styleId="159">
    <w:name w:val="xl84"/>
    <w:basedOn w:val="1"/>
    <w:qFormat/>
    <w:uiPriority w:val="0"/>
    <w:pPr>
      <w:pBdr>
        <w:bottom w:val="single" w:color="auto" w:sz="4" w:space="0"/>
        <w:right w:val="single" w:color="auto" w:sz="8" w:space="0"/>
      </w:pBdr>
      <w:spacing w:before="100" w:beforeAutospacing="1" w:after="100" w:afterAutospacing="1"/>
      <w:jc w:val="center"/>
      <w:textAlignment w:val="center"/>
    </w:pPr>
    <w:rPr>
      <w:b/>
      <w:bCs/>
      <w:sz w:val="26"/>
      <w:szCs w:val="26"/>
    </w:rPr>
  </w:style>
  <w:style w:type="paragraph" w:customStyle="1" w:styleId="160">
    <w:name w:val="xl85"/>
    <w:basedOn w:val="1"/>
    <w:qFormat/>
    <w:uiPriority w:val="0"/>
    <w:pPr>
      <w:pBdr>
        <w:left w:val="single" w:color="auto" w:sz="4" w:space="0"/>
        <w:bottom w:val="single" w:color="auto" w:sz="4" w:space="0"/>
        <w:right w:val="single" w:color="auto" w:sz="8" w:space="0"/>
      </w:pBdr>
      <w:spacing w:before="100" w:beforeAutospacing="1" w:after="100" w:afterAutospacing="1"/>
      <w:jc w:val="center"/>
      <w:textAlignment w:val="center"/>
    </w:pPr>
    <w:rPr>
      <w:b/>
      <w:bCs/>
      <w:sz w:val="26"/>
      <w:szCs w:val="26"/>
    </w:rPr>
  </w:style>
  <w:style w:type="paragraph" w:customStyle="1" w:styleId="161">
    <w:name w:val="xl86"/>
    <w:basedOn w:val="1"/>
    <w:qFormat/>
    <w:uiPriority w:val="0"/>
    <w:pPr>
      <w:pBdr>
        <w:left w:val="single" w:color="auto" w:sz="4" w:space="0"/>
        <w:bottom w:val="single" w:color="auto" w:sz="4" w:space="0"/>
        <w:right w:val="single" w:color="auto" w:sz="8" w:space="0"/>
      </w:pBdr>
      <w:shd w:val="clear" w:color="000000" w:fill="FFFFFF"/>
      <w:spacing w:before="100" w:beforeAutospacing="1" w:after="100" w:afterAutospacing="1"/>
      <w:jc w:val="center"/>
      <w:textAlignment w:val="center"/>
    </w:pPr>
    <w:rPr>
      <w:b/>
      <w:bCs/>
      <w:sz w:val="26"/>
      <w:szCs w:val="26"/>
    </w:rPr>
  </w:style>
  <w:style w:type="paragraph" w:customStyle="1" w:styleId="162">
    <w:name w:val="xl87"/>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style>
  <w:style w:type="paragraph" w:customStyle="1" w:styleId="163">
    <w:name w:val="xl88"/>
    <w:basedOn w:val="1"/>
    <w:qFormat/>
    <w:uiPriority w:val="0"/>
    <w:pPr>
      <w:pBdr>
        <w:left w:val="single" w:color="auto" w:sz="8" w:space="0"/>
        <w:bottom w:val="single" w:color="auto" w:sz="4" w:space="0"/>
        <w:right w:val="single" w:color="auto" w:sz="8" w:space="0"/>
      </w:pBdr>
      <w:shd w:val="clear" w:color="000000" w:fill="FFFFFF"/>
      <w:spacing w:before="100" w:beforeAutospacing="1" w:after="100" w:afterAutospacing="1"/>
      <w:jc w:val="center"/>
      <w:textAlignment w:val="center"/>
    </w:pPr>
    <w:rPr>
      <w:b/>
      <w:bCs/>
      <w:sz w:val="26"/>
      <w:szCs w:val="26"/>
    </w:rPr>
  </w:style>
  <w:style w:type="paragraph" w:customStyle="1" w:styleId="164">
    <w:name w:val="xl89"/>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b/>
      <w:bCs/>
    </w:rPr>
  </w:style>
  <w:style w:type="paragraph" w:customStyle="1" w:styleId="165">
    <w:name w:val="xl90"/>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b/>
      <w:bCs/>
    </w:rPr>
  </w:style>
  <w:style w:type="paragraph" w:customStyle="1" w:styleId="166">
    <w:name w:val="xl91"/>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style>
  <w:style w:type="paragraph" w:customStyle="1" w:styleId="167">
    <w:name w:val="xl92"/>
    <w:basedOn w:val="1"/>
    <w:qFormat/>
    <w:uiPriority w:val="0"/>
    <w:pPr>
      <w:pBdr>
        <w:top w:val="single" w:color="auto" w:sz="8" w:space="0"/>
        <w:left w:val="single" w:color="auto" w:sz="8" w:space="0"/>
        <w:bottom w:val="single" w:color="auto" w:sz="4" w:space="0"/>
        <w:right w:val="single" w:color="auto" w:sz="8" w:space="0"/>
      </w:pBdr>
      <w:spacing w:before="100" w:beforeAutospacing="1" w:after="100" w:afterAutospacing="1"/>
      <w:jc w:val="center"/>
      <w:textAlignment w:val="center"/>
    </w:pPr>
  </w:style>
  <w:style w:type="paragraph" w:customStyle="1" w:styleId="168">
    <w:name w:val="xl93"/>
    <w:basedOn w:val="1"/>
    <w:qFormat/>
    <w:uiPriority w:val="0"/>
    <w:pPr>
      <w:pBdr>
        <w:top w:val="single" w:color="auto" w:sz="4" w:space="0"/>
        <w:left w:val="single" w:color="auto" w:sz="8" w:space="0"/>
        <w:bottom w:val="single" w:color="auto" w:sz="8" w:space="0"/>
        <w:right w:val="single" w:color="auto" w:sz="8" w:space="0"/>
      </w:pBdr>
      <w:spacing w:before="100" w:beforeAutospacing="1" w:after="100" w:afterAutospacing="1"/>
      <w:jc w:val="center"/>
      <w:textAlignment w:val="center"/>
    </w:pPr>
    <w:rPr>
      <w:b/>
      <w:bCs/>
    </w:rPr>
  </w:style>
  <w:style w:type="paragraph" w:customStyle="1" w:styleId="169">
    <w:name w:val="xl94"/>
    <w:basedOn w:val="1"/>
    <w:qFormat/>
    <w:uiPriority w:val="0"/>
    <w:pPr>
      <w:pBdr>
        <w:top w:val="single" w:color="auto" w:sz="8" w:space="0"/>
        <w:left w:val="single" w:color="auto" w:sz="8" w:space="0"/>
        <w:bottom w:val="single" w:color="auto" w:sz="4" w:space="0"/>
        <w:right w:val="single" w:color="auto" w:sz="8" w:space="0"/>
      </w:pBdr>
      <w:spacing w:before="100" w:beforeAutospacing="1" w:after="100" w:afterAutospacing="1"/>
      <w:jc w:val="center"/>
      <w:textAlignment w:val="center"/>
    </w:pPr>
  </w:style>
  <w:style w:type="paragraph" w:customStyle="1" w:styleId="170">
    <w:name w:val="xl95"/>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b/>
      <w:bCs/>
      <w:sz w:val="26"/>
      <w:szCs w:val="26"/>
    </w:rPr>
  </w:style>
  <w:style w:type="paragraph" w:customStyle="1" w:styleId="171">
    <w:name w:val="xl96"/>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b/>
      <w:bCs/>
      <w:sz w:val="26"/>
      <w:szCs w:val="26"/>
    </w:rPr>
  </w:style>
  <w:style w:type="paragraph" w:customStyle="1" w:styleId="172">
    <w:name w:val="xl97"/>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jc w:val="center"/>
      <w:textAlignment w:val="center"/>
    </w:pPr>
    <w:rPr>
      <w:b/>
      <w:bCs/>
      <w:sz w:val="26"/>
      <w:szCs w:val="26"/>
    </w:rPr>
  </w:style>
  <w:style w:type="paragraph" w:customStyle="1" w:styleId="173">
    <w:name w:val="xl98"/>
    <w:basedOn w:val="1"/>
    <w:qFormat/>
    <w:uiPriority w:val="0"/>
    <w:pPr>
      <w:pBdr>
        <w:top w:val="single" w:color="auto" w:sz="4" w:space="0"/>
        <w:bottom w:val="single" w:color="auto" w:sz="8" w:space="0"/>
        <w:right w:val="single" w:color="auto" w:sz="4" w:space="0"/>
      </w:pBdr>
      <w:spacing w:before="100" w:beforeAutospacing="1" w:after="100" w:afterAutospacing="1"/>
      <w:jc w:val="center"/>
      <w:textAlignment w:val="center"/>
    </w:pPr>
    <w:rPr>
      <w:b/>
      <w:bCs/>
      <w:sz w:val="26"/>
      <w:szCs w:val="26"/>
    </w:rPr>
  </w:style>
  <w:style w:type="paragraph" w:customStyle="1" w:styleId="174">
    <w:name w:val="xl99"/>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jc w:val="center"/>
      <w:textAlignment w:val="center"/>
    </w:pPr>
    <w:rPr>
      <w:b/>
      <w:bCs/>
    </w:rPr>
  </w:style>
  <w:style w:type="paragraph" w:customStyle="1" w:styleId="175">
    <w:name w:val="xl100"/>
    <w:basedOn w:val="1"/>
    <w:qFormat/>
    <w:uiPriority w:val="0"/>
    <w:pPr>
      <w:pBdr>
        <w:top w:val="single" w:color="auto" w:sz="4" w:space="0"/>
        <w:left w:val="single" w:color="auto" w:sz="8" w:space="0"/>
        <w:right w:val="single" w:color="auto" w:sz="4" w:space="0"/>
      </w:pBdr>
      <w:spacing w:before="100" w:beforeAutospacing="1" w:after="100" w:afterAutospacing="1"/>
      <w:jc w:val="center"/>
      <w:textAlignment w:val="center"/>
    </w:pPr>
    <w:rPr>
      <w:b/>
      <w:bCs/>
      <w:sz w:val="26"/>
      <w:szCs w:val="26"/>
    </w:rPr>
  </w:style>
  <w:style w:type="paragraph" w:customStyle="1" w:styleId="176">
    <w:name w:val="xl101"/>
    <w:basedOn w:val="1"/>
    <w:qFormat/>
    <w:uiPriority w:val="0"/>
    <w:pPr>
      <w:pBdr>
        <w:left w:val="single" w:color="auto" w:sz="8" w:space="0"/>
        <w:right w:val="single" w:color="auto" w:sz="4" w:space="0"/>
      </w:pBdr>
      <w:spacing w:before="100" w:beforeAutospacing="1" w:after="100" w:afterAutospacing="1"/>
      <w:jc w:val="center"/>
      <w:textAlignment w:val="center"/>
    </w:pPr>
    <w:rPr>
      <w:b/>
      <w:bCs/>
      <w:sz w:val="26"/>
      <w:szCs w:val="26"/>
    </w:rPr>
  </w:style>
  <w:style w:type="paragraph" w:customStyle="1" w:styleId="177">
    <w:name w:val="xl102"/>
    <w:basedOn w:val="1"/>
    <w:qFormat/>
    <w:uiPriority w:val="0"/>
    <w:pPr>
      <w:pBdr>
        <w:left w:val="single" w:color="auto" w:sz="8" w:space="0"/>
        <w:bottom w:val="single" w:color="auto" w:sz="4" w:space="0"/>
        <w:right w:val="single" w:color="auto" w:sz="4" w:space="0"/>
      </w:pBdr>
      <w:spacing w:before="100" w:beforeAutospacing="1" w:after="100" w:afterAutospacing="1"/>
      <w:jc w:val="center"/>
      <w:textAlignment w:val="center"/>
    </w:pPr>
    <w:rPr>
      <w:b/>
      <w:bCs/>
      <w:sz w:val="26"/>
      <w:szCs w:val="26"/>
    </w:rPr>
  </w:style>
  <w:style w:type="paragraph" w:customStyle="1" w:styleId="178">
    <w:name w:val="xl103"/>
    <w:basedOn w:val="1"/>
    <w:qFormat/>
    <w:uiPriority w:val="0"/>
    <w:pPr>
      <w:pBdr>
        <w:left w:val="single" w:color="auto" w:sz="4" w:space="0"/>
        <w:right w:val="single" w:color="auto" w:sz="4" w:space="0"/>
      </w:pBdr>
      <w:spacing w:before="100" w:beforeAutospacing="1" w:after="100" w:afterAutospacing="1"/>
      <w:jc w:val="center"/>
      <w:textAlignment w:val="center"/>
    </w:pPr>
    <w:rPr>
      <w:sz w:val="26"/>
      <w:szCs w:val="26"/>
    </w:rPr>
  </w:style>
  <w:style w:type="paragraph" w:customStyle="1" w:styleId="179">
    <w:name w:val="xl104"/>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sz w:val="26"/>
      <w:szCs w:val="26"/>
    </w:rPr>
  </w:style>
  <w:style w:type="paragraph" w:customStyle="1" w:styleId="180">
    <w:name w:val="xl105"/>
    <w:basedOn w:val="1"/>
    <w:qFormat/>
    <w:uiPriority w:val="0"/>
    <w:pPr>
      <w:pBdr>
        <w:top w:val="single" w:color="auto" w:sz="4" w:space="0"/>
        <w:left w:val="single" w:color="auto" w:sz="8" w:space="0"/>
        <w:bottom w:val="single" w:color="auto" w:sz="8" w:space="0"/>
      </w:pBdr>
      <w:spacing w:before="100" w:beforeAutospacing="1" w:after="100" w:afterAutospacing="1"/>
      <w:jc w:val="center"/>
      <w:textAlignment w:val="center"/>
    </w:pPr>
    <w:rPr>
      <w:b/>
      <w:bCs/>
    </w:rPr>
  </w:style>
  <w:style w:type="paragraph" w:customStyle="1" w:styleId="181">
    <w:name w:val="xl106"/>
    <w:basedOn w:val="1"/>
    <w:qFormat/>
    <w:uiPriority w:val="0"/>
    <w:pPr>
      <w:pBdr>
        <w:top w:val="single" w:color="auto" w:sz="4" w:space="0"/>
        <w:bottom w:val="single" w:color="auto" w:sz="8" w:space="0"/>
      </w:pBdr>
      <w:spacing w:before="100" w:beforeAutospacing="1" w:after="100" w:afterAutospacing="1"/>
      <w:jc w:val="center"/>
      <w:textAlignment w:val="center"/>
    </w:pPr>
    <w:rPr>
      <w:b/>
      <w:bCs/>
    </w:rPr>
  </w:style>
  <w:style w:type="paragraph" w:customStyle="1" w:styleId="182">
    <w:name w:val="xl107"/>
    <w:basedOn w:val="1"/>
    <w:qFormat/>
    <w:uiPriority w:val="0"/>
    <w:pPr>
      <w:pBdr>
        <w:top w:val="single" w:color="auto" w:sz="4" w:space="0"/>
        <w:bottom w:val="single" w:color="auto" w:sz="8" w:space="0"/>
        <w:right w:val="single" w:color="auto" w:sz="8" w:space="0"/>
      </w:pBdr>
      <w:spacing w:before="100" w:beforeAutospacing="1" w:after="100" w:afterAutospacing="1"/>
      <w:jc w:val="center"/>
      <w:textAlignment w:val="center"/>
    </w:pPr>
    <w:rPr>
      <w:b/>
      <w:bCs/>
    </w:rPr>
  </w:style>
  <w:style w:type="paragraph" w:customStyle="1" w:styleId="183">
    <w:name w:val="xl108"/>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26"/>
      <w:szCs w:val="26"/>
    </w:rPr>
  </w:style>
  <w:style w:type="paragraph" w:customStyle="1" w:styleId="184">
    <w:name w:val="xl109"/>
    <w:basedOn w:val="1"/>
    <w:qFormat/>
    <w:uiPriority w:val="0"/>
    <w:pPr>
      <w:pBdr>
        <w:top w:val="single" w:color="auto" w:sz="4" w:space="0"/>
      </w:pBdr>
      <w:spacing w:before="100" w:beforeAutospacing="1" w:after="100" w:afterAutospacing="1"/>
      <w:jc w:val="center"/>
      <w:textAlignment w:val="center"/>
    </w:pPr>
    <w:rPr>
      <w:b/>
      <w:bCs/>
      <w:sz w:val="32"/>
      <w:szCs w:val="32"/>
    </w:rPr>
  </w:style>
  <w:style w:type="paragraph" w:customStyle="1" w:styleId="185">
    <w:name w:val="xl110"/>
    <w:basedOn w:val="1"/>
    <w:qFormat/>
    <w:uiPriority w:val="0"/>
    <w:pPr>
      <w:pBdr>
        <w:top w:val="single" w:color="auto" w:sz="4" w:space="0"/>
        <w:right w:val="single" w:color="auto" w:sz="8" w:space="0"/>
      </w:pBdr>
      <w:spacing w:before="100" w:beforeAutospacing="1" w:after="100" w:afterAutospacing="1"/>
      <w:jc w:val="center"/>
      <w:textAlignment w:val="center"/>
    </w:pPr>
    <w:rPr>
      <w:b/>
      <w:bCs/>
      <w:sz w:val="32"/>
      <w:szCs w:val="32"/>
    </w:rPr>
  </w:style>
  <w:style w:type="paragraph" w:customStyle="1" w:styleId="186">
    <w:name w:val="xl111"/>
    <w:basedOn w:val="1"/>
    <w:qFormat/>
    <w:uiPriority w:val="0"/>
    <w:pPr>
      <w:pBdr>
        <w:bottom w:val="single" w:color="auto" w:sz="4" w:space="0"/>
      </w:pBdr>
      <w:spacing w:before="100" w:beforeAutospacing="1" w:after="100" w:afterAutospacing="1"/>
      <w:jc w:val="center"/>
      <w:textAlignment w:val="center"/>
    </w:pPr>
    <w:rPr>
      <w:b/>
      <w:bCs/>
      <w:sz w:val="32"/>
      <w:szCs w:val="32"/>
    </w:rPr>
  </w:style>
  <w:style w:type="paragraph" w:customStyle="1" w:styleId="187">
    <w:name w:val="xl112"/>
    <w:basedOn w:val="1"/>
    <w:qFormat/>
    <w:uiPriority w:val="0"/>
    <w:pPr>
      <w:pBdr>
        <w:bottom w:val="single" w:color="auto" w:sz="4" w:space="0"/>
        <w:right w:val="single" w:color="auto" w:sz="8" w:space="0"/>
      </w:pBdr>
      <w:spacing w:before="100" w:beforeAutospacing="1" w:after="100" w:afterAutospacing="1"/>
      <w:jc w:val="center"/>
      <w:textAlignment w:val="center"/>
    </w:pPr>
    <w:rPr>
      <w:b/>
      <w:bCs/>
      <w:sz w:val="32"/>
      <w:szCs w:val="32"/>
    </w:rPr>
  </w:style>
  <w:style w:type="paragraph" w:customStyle="1" w:styleId="188">
    <w:name w:val="xl113"/>
    <w:basedOn w:val="1"/>
    <w:qFormat/>
    <w:uiPriority w:val="0"/>
    <w:pPr>
      <w:pBdr>
        <w:bottom w:val="single" w:color="auto" w:sz="4" w:space="0"/>
      </w:pBdr>
      <w:spacing w:before="100" w:beforeAutospacing="1" w:after="100" w:afterAutospacing="1"/>
      <w:jc w:val="center"/>
      <w:textAlignment w:val="center"/>
    </w:pPr>
    <w:rPr>
      <w:b/>
      <w:bCs/>
      <w:sz w:val="32"/>
      <w:szCs w:val="32"/>
    </w:rPr>
  </w:style>
  <w:style w:type="paragraph" w:customStyle="1" w:styleId="189">
    <w:name w:val="xl114"/>
    <w:basedOn w:val="1"/>
    <w:qFormat/>
    <w:uiPriority w:val="0"/>
    <w:pPr>
      <w:pBdr>
        <w:bottom w:val="single" w:color="auto" w:sz="4" w:space="0"/>
        <w:right w:val="single" w:color="auto" w:sz="8" w:space="0"/>
      </w:pBdr>
      <w:spacing w:before="100" w:beforeAutospacing="1" w:after="100" w:afterAutospacing="1"/>
      <w:jc w:val="center"/>
      <w:textAlignment w:val="center"/>
    </w:pPr>
    <w:rPr>
      <w:b/>
      <w:bCs/>
      <w:sz w:val="32"/>
      <w:szCs w:val="32"/>
    </w:rPr>
  </w:style>
  <w:style w:type="paragraph" w:customStyle="1" w:styleId="190">
    <w:name w:val="修订1"/>
    <w:hidden/>
    <w:unhideWhenUsed/>
    <w:qFormat/>
    <w:uiPriority w:val="99"/>
    <w:rPr>
      <w:rFonts w:ascii="Times New Roman" w:hAnsi="Times New Roman" w:eastAsia="仿宋_GB2312" w:cs="Times New Roman"/>
      <w:sz w:val="32"/>
      <w:szCs w:val="22"/>
      <w:lang w:val="en-US" w:eastAsia="en-US" w:bidi="ar-SA"/>
    </w:rPr>
  </w:style>
  <w:style w:type="character" w:customStyle="1" w:styleId="191">
    <w:name w:val="称呼 Char"/>
    <w:basedOn w:val="31"/>
    <w:link w:val="10"/>
    <w:qFormat/>
    <w:uiPriority w:val="99"/>
    <w:rPr>
      <w:rFonts w:eastAsia="仿宋_GB2312" w:cstheme="minorBidi"/>
      <w:kern w:val="2"/>
      <w:sz w:val="28"/>
      <w:szCs w:val="28"/>
    </w:rPr>
  </w:style>
  <w:style w:type="character" w:customStyle="1" w:styleId="192">
    <w:name w:val="结束语 Char"/>
    <w:basedOn w:val="31"/>
    <w:link w:val="11"/>
    <w:qFormat/>
    <w:uiPriority w:val="99"/>
    <w:rPr>
      <w:rFonts w:eastAsia="仿宋_GB2312" w:cstheme="minorBidi"/>
      <w:kern w:val="2"/>
      <w:sz w:val="28"/>
      <w:szCs w:val="28"/>
    </w:rPr>
  </w:style>
  <w:style w:type="paragraph" w:customStyle="1" w:styleId="193">
    <w:name w:val="一级标题"/>
    <w:basedOn w:val="1"/>
    <w:link w:val="194"/>
    <w:qFormat/>
    <w:uiPriority w:val="0"/>
    <w:pPr>
      <w:widowControl w:val="0"/>
      <w:spacing w:line="360" w:lineRule="auto"/>
      <w:ind w:firstLine="602" w:firstLineChars="200"/>
      <w:jc w:val="both"/>
    </w:pPr>
    <w:rPr>
      <w:rFonts w:ascii="Times New Roman" w:hAnsi="Times New Roman" w:eastAsia="黑体" w:cs="Times New Roman"/>
      <w:b/>
      <w:bCs/>
      <w:kern w:val="2"/>
      <w:sz w:val="30"/>
      <w:szCs w:val="30"/>
    </w:rPr>
  </w:style>
  <w:style w:type="character" w:customStyle="1" w:styleId="194">
    <w:name w:val="一级标题 字符"/>
    <w:basedOn w:val="31"/>
    <w:link w:val="193"/>
    <w:qFormat/>
    <w:uiPriority w:val="0"/>
    <w:rPr>
      <w:rFonts w:eastAsia="黑体"/>
      <w:b/>
      <w:bCs/>
      <w:kern w:val="2"/>
      <w:sz w:val="30"/>
      <w:szCs w:val="30"/>
    </w:rPr>
  </w:style>
  <w:style w:type="paragraph" w:customStyle="1" w:styleId="195">
    <w:name w:val="二级标题"/>
    <w:basedOn w:val="1"/>
    <w:link w:val="196"/>
    <w:qFormat/>
    <w:uiPriority w:val="0"/>
    <w:pPr>
      <w:widowControl w:val="0"/>
      <w:spacing w:line="360" w:lineRule="auto"/>
      <w:ind w:firstLine="602" w:firstLineChars="200"/>
      <w:jc w:val="both"/>
    </w:pPr>
    <w:rPr>
      <w:rFonts w:ascii="Times New Roman" w:hAnsi="Times New Roman" w:eastAsia="仿宋_GB2312" w:cs="Times New Roman"/>
      <w:b/>
      <w:bCs/>
      <w:kern w:val="2"/>
      <w:sz w:val="30"/>
      <w:szCs w:val="30"/>
    </w:rPr>
  </w:style>
  <w:style w:type="character" w:customStyle="1" w:styleId="196">
    <w:name w:val="二级标题 字符"/>
    <w:basedOn w:val="31"/>
    <w:link w:val="195"/>
    <w:qFormat/>
    <w:uiPriority w:val="0"/>
    <w:rPr>
      <w:rFonts w:eastAsia="仿宋_GB2312"/>
      <w:b/>
      <w:bCs/>
      <w:kern w:val="2"/>
      <w:sz w:val="30"/>
      <w:szCs w:val="30"/>
    </w:rPr>
  </w:style>
  <w:style w:type="paragraph" w:customStyle="1" w:styleId="197">
    <w:name w:val="p"/>
    <w:basedOn w:val="1"/>
    <w:qFormat/>
    <w:uiPriority w:val="0"/>
    <w:pPr>
      <w:spacing w:before="100" w:beforeAutospacing="1" w:after="100" w:afterAutospacing="1"/>
    </w:pPr>
  </w:style>
  <w:style w:type="character" w:customStyle="1" w:styleId="198">
    <w:name w:val="样式1 字符"/>
    <w:basedOn w:val="42"/>
    <w:link w:val="116"/>
    <w:qFormat/>
    <w:uiPriority w:val="0"/>
    <w:rPr>
      <w:rFonts w:ascii="黑体" w:hAnsi="Calibri" w:eastAsia="黑体" w:cs="Times New Roman"/>
      <w:bCs w:val="0"/>
      <w:kern w:val="2"/>
      <w:sz w:val="32"/>
      <w:szCs w:val="32"/>
      <w:lang w:eastAsia="en-US"/>
    </w:rPr>
  </w:style>
  <w:style w:type="character" w:customStyle="1" w:styleId="199">
    <w:name w:val="未处理的提及2"/>
    <w:basedOn w:val="31"/>
    <w:semiHidden/>
    <w:unhideWhenUsed/>
    <w:qFormat/>
    <w:uiPriority w:val="99"/>
    <w:rPr>
      <w:color w:val="605E5C"/>
      <w:shd w:val="clear" w:color="auto" w:fill="E1DFDD"/>
    </w:rPr>
  </w:style>
  <w:style w:type="paragraph" w:customStyle="1" w:styleId="200">
    <w:name w:val="闻政正文"/>
    <w:basedOn w:val="1"/>
    <w:link w:val="201"/>
    <w:qFormat/>
    <w:uiPriority w:val="99"/>
    <w:pPr>
      <w:widowControl w:val="0"/>
      <w:spacing w:line="500" w:lineRule="exact"/>
      <w:ind w:firstLine="560" w:firstLineChars="200"/>
      <w:jc w:val="both"/>
    </w:pPr>
    <w:rPr>
      <w:rFonts w:ascii="Times New Roman" w:hAnsi="Times New Roman" w:eastAsia="仿宋_GB2312" w:cs="Times New Roman"/>
      <w:sz w:val="28"/>
      <w:szCs w:val="28"/>
      <w:lang w:val="zh-CN"/>
    </w:rPr>
  </w:style>
  <w:style w:type="character" w:customStyle="1" w:styleId="201">
    <w:name w:val="闻政正文 Char"/>
    <w:link w:val="200"/>
    <w:qFormat/>
    <w:uiPriority w:val="99"/>
    <w:rPr>
      <w:rFonts w:eastAsia="仿宋_GB2312"/>
      <w:sz w:val="28"/>
      <w:szCs w:val="28"/>
      <w:lang w:val="zh-CN"/>
    </w:rPr>
  </w:style>
  <w:style w:type="character" w:customStyle="1" w:styleId="202">
    <w:name w:val="闻政标题5 Char"/>
    <w:link w:val="203"/>
    <w:qFormat/>
    <w:uiPriority w:val="99"/>
    <w:rPr>
      <w:rFonts w:eastAsia="仿宋_GB2312"/>
      <w:b/>
      <w:sz w:val="28"/>
      <w:szCs w:val="28"/>
    </w:rPr>
  </w:style>
  <w:style w:type="paragraph" w:customStyle="1" w:styleId="203">
    <w:name w:val="闻政标题5"/>
    <w:basedOn w:val="1"/>
    <w:link w:val="202"/>
    <w:qFormat/>
    <w:uiPriority w:val="99"/>
    <w:pPr>
      <w:widowControl w:val="0"/>
      <w:spacing w:before="120" w:after="60" w:line="500" w:lineRule="exact"/>
      <w:ind w:firstLine="200" w:firstLineChars="200"/>
      <w:jc w:val="both"/>
    </w:pPr>
    <w:rPr>
      <w:rFonts w:ascii="Times New Roman" w:hAnsi="Times New Roman" w:eastAsia="仿宋_GB2312" w:cs="Times New Roman"/>
      <w:b/>
      <w:sz w:val="28"/>
      <w:szCs w:val="28"/>
    </w:rPr>
  </w:style>
  <w:style w:type="character" w:customStyle="1" w:styleId="204">
    <w:name w:val="PD正文内容 Char"/>
    <w:link w:val="205"/>
    <w:qFormat/>
    <w:uiPriority w:val="99"/>
    <w:rPr>
      <w:rFonts w:eastAsia="仿宋_GB2312"/>
      <w:sz w:val="28"/>
      <w:szCs w:val="28"/>
    </w:rPr>
  </w:style>
  <w:style w:type="paragraph" w:customStyle="1" w:styleId="205">
    <w:name w:val="PD正文内容"/>
    <w:basedOn w:val="1"/>
    <w:link w:val="204"/>
    <w:qFormat/>
    <w:uiPriority w:val="99"/>
    <w:pPr>
      <w:widowControl w:val="0"/>
      <w:spacing w:line="500" w:lineRule="exact"/>
      <w:ind w:firstLine="200" w:firstLineChars="200"/>
      <w:jc w:val="both"/>
    </w:pPr>
    <w:rPr>
      <w:rFonts w:ascii="Times New Roman" w:hAnsi="Times New Roman" w:eastAsia="仿宋_GB2312" w:cs="Times New Roman"/>
      <w:sz w:val="28"/>
      <w:szCs w:val="28"/>
    </w:rPr>
  </w:style>
  <w:style w:type="paragraph" w:customStyle="1" w:styleId="206">
    <w:name w:val="表格"/>
    <w:basedOn w:val="1"/>
    <w:link w:val="207"/>
    <w:qFormat/>
    <w:uiPriority w:val="0"/>
    <w:pPr>
      <w:widowControl w:val="0"/>
      <w:jc w:val="center"/>
    </w:pPr>
    <w:rPr>
      <w:rFonts w:ascii="Times New Roman" w:hAnsi="Times New Roman" w:eastAsia="楷体" w:cs="Times New Roman"/>
      <w:b/>
      <w:bCs/>
      <w:kern w:val="2"/>
    </w:rPr>
  </w:style>
  <w:style w:type="character" w:customStyle="1" w:styleId="207">
    <w:name w:val="表格 字符"/>
    <w:basedOn w:val="31"/>
    <w:link w:val="206"/>
    <w:qFormat/>
    <w:uiPriority w:val="0"/>
    <w:rPr>
      <w:rFonts w:eastAsia="楷体"/>
      <w:b/>
      <w:bCs/>
      <w:kern w:val="2"/>
      <w:sz w:val="24"/>
      <w:szCs w:val="24"/>
    </w:rPr>
  </w:style>
  <w:style w:type="character" w:customStyle="1" w:styleId="208">
    <w:name w:val="标题 4 Char"/>
    <w:basedOn w:val="31"/>
    <w:link w:val="5"/>
    <w:semiHidden/>
    <w:qFormat/>
    <w:uiPriority w:val="9"/>
    <w:rPr>
      <w:rFonts w:ascii="等线 Light" w:hAnsi="等线 Light" w:eastAsia="等线 Light"/>
      <w:b/>
      <w:bCs/>
      <w:kern w:val="2"/>
      <w:sz w:val="28"/>
      <w:szCs w:val="28"/>
    </w:rPr>
  </w:style>
  <w:style w:type="paragraph" w:customStyle="1" w:styleId="209">
    <w:name w:val="青浦-正文"/>
    <w:basedOn w:val="1"/>
    <w:link w:val="210"/>
    <w:qFormat/>
    <w:uiPriority w:val="0"/>
    <w:pPr>
      <w:widowControl w:val="0"/>
      <w:spacing w:line="560" w:lineRule="exact"/>
      <w:ind w:firstLine="640" w:firstLineChars="200"/>
      <w:jc w:val="both"/>
    </w:pPr>
    <w:rPr>
      <w:rFonts w:ascii="Times New Roman" w:hAnsi="Times New Roman" w:eastAsia="仿宋_GB2312" w:cs="Times New Roman"/>
      <w:kern w:val="2"/>
      <w:sz w:val="32"/>
      <w:szCs w:val="32"/>
    </w:rPr>
  </w:style>
  <w:style w:type="character" w:customStyle="1" w:styleId="210">
    <w:name w:val="青浦-正文 字符"/>
    <w:basedOn w:val="31"/>
    <w:link w:val="209"/>
    <w:qFormat/>
    <w:uiPriority w:val="0"/>
    <w:rPr>
      <w:rFonts w:eastAsia="仿宋_GB2312"/>
      <w:kern w:val="2"/>
      <w:sz w:val="32"/>
      <w:szCs w:val="32"/>
    </w:rPr>
  </w:style>
  <w:style w:type="character" w:styleId="211">
    <w:name w:val="Placeholder Text"/>
    <w:basedOn w:val="31"/>
    <w:unhideWhenUsed/>
    <w:qFormat/>
    <w:uiPriority w:val="99"/>
    <w:rPr>
      <w:color w:val="808080"/>
    </w:rPr>
  </w:style>
  <w:style w:type="paragraph" w:customStyle="1" w:styleId="212">
    <w:name w:val="大标题 一、"/>
    <w:basedOn w:val="1"/>
    <w:qFormat/>
    <w:uiPriority w:val="0"/>
    <w:pPr>
      <w:spacing w:line="500" w:lineRule="exact"/>
      <w:jc w:val="both"/>
    </w:pPr>
    <w:rPr>
      <w:rFonts w:ascii="Calibri" w:hAnsi="Calibri" w:eastAsia="仿宋_GB2312" w:cs="黑体"/>
      <w:b/>
      <w:szCs w:val="22"/>
    </w:rPr>
  </w:style>
  <w:style w:type="paragraph" w:customStyle="1" w:styleId="213">
    <w:name w:val="闻政标题6"/>
    <w:basedOn w:val="1"/>
    <w:qFormat/>
    <w:uiPriority w:val="0"/>
    <w:pPr>
      <w:widowControl w:val="0"/>
      <w:spacing w:before="120" w:after="60" w:line="500" w:lineRule="exact"/>
      <w:ind w:firstLine="200" w:firstLineChars="200"/>
      <w:jc w:val="both"/>
    </w:pPr>
    <w:rPr>
      <w:rFonts w:ascii="Times New Roman" w:hAnsi="Times New Roman" w:eastAsia="仿宋_GB2312" w:cs="Times New Roman"/>
      <w:b/>
      <w:sz w:val="28"/>
      <w:szCs w:val="28"/>
    </w:rPr>
  </w:style>
  <w:style w:type="paragraph" w:customStyle="1" w:styleId="214">
    <w:name w:val="TOC Heading"/>
    <w:basedOn w:val="2"/>
    <w:next w:val="1"/>
    <w:qFormat/>
    <w:uiPriority w:val="39"/>
    <w:pPr>
      <w:spacing w:before="480" w:line="276" w:lineRule="auto"/>
      <w:outlineLvl w:val="9"/>
    </w:pPr>
    <w:rPr>
      <w:rFonts w:ascii="Cambria" w:hAnsi="Cambria"/>
      <w:color w:val="365F91"/>
      <w:kern w:val="0"/>
      <w:sz w:val="28"/>
      <w:szCs w:val="28"/>
      <w:lang w:eastAsia="zh-CN"/>
    </w:rPr>
  </w:style>
  <w:style w:type="paragraph" w:customStyle="1" w:styleId="215">
    <w:name w:val="Revision"/>
    <w:hidden/>
    <w:unhideWhenUsed/>
    <w:uiPriority w:val="99"/>
    <w:rPr>
      <w:rFonts w:ascii="Times New Roman" w:hAnsi="Times New Roman" w:eastAsia="仿宋_GB2312" w:cs="Times New Roman"/>
      <w:sz w:val="32"/>
      <w:szCs w:val="22"/>
      <w:lang w:val="en-US" w:eastAsia="en-US" w:bidi="ar-SA"/>
    </w:rPr>
  </w:style>
  <w:style w:type="character" w:customStyle="1" w:styleId="216">
    <w:name w:val="未处理的提及3"/>
    <w:basedOn w:val="31"/>
    <w:semiHidden/>
    <w:unhideWhenUsed/>
    <w:qFormat/>
    <w:uiPriority w:val="99"/>
    <w:rPr>
      <w:color w:val="605E5C"/>
      <w:shd w:val="clear" w:color="auto" w:fill="E1DFDD"/>
    </w:rPr>
  </w:style>
  <w:style w:type="character" w:customStyle="1" w:styleId="217">
    <w:name w:val="NormalCharacter"/>
    <w:semiHidden/>
    <w:qFormat/>
    <w:uiPriority w:val="0"/>
  </w:style>
  <w:style w:type="character" w:customStyle="1" w:styleId="218">
    <w:name w:val="font61"/>
    <w:uiPriority w:val="0"/>
    <w:rPr>
      <w:rFonts w:ascii="Calibri" w:hAnsi="Calibri" w:cs="Calibri"/>
      <w:color w:val="000000"/>
      <w:sz w:val="24"/>
      <w:szCs w:val="24"/>
      <w:u w:val="none"/>
      <w:lang w:bidi="ar-SA"/>
    </w:rPr>
  </w:style>
  <w:style w:type="character" w:customStyle="1" w:styleId="219">
    <w:name w:val="font121"/>
    <w:uiPriority w:val="0"/>
    <w:rPr>
      <w:rFonts w:ascii="Calibri" w:hAnsi="Calibri" w:cs="Calibri"/>
      <w:color w:val="000000"/>
      <w:sz w:val="22"/>
      <w:szCs w:val="22"/>
      <w:u w:val="none"/>
      <w:lang w:bidi="ar-SA"/>
    </w:rPr>
  </w:style>
  <w:style w:type="character" w:customStyle="1" w:styleId="220">
    <w:name w:val="font01"/>
    <w:qFormat/>
    <w:uiPriority w:val="0"/>
    <w:rPr>
      <w:rFonts w:ascii="font-weight : 400" w:hAnsi="font-weight : 400" w:eastAsia="font-weight : 400" w:cs="font-weight : 400"/>
      <w:color w:val="000000"/>
      <w:sz w:val="22"/>
      <w:szCs w:val="22"/>
      <w:u w:val="none"/>
      <w:lang w:bidi="ar-SA"/>
    </w:rPr>
  </w:style>
  <w:style w:type="table" w:customStyle="1" w:styleId="221">
    <w:name w:val="网格型2"/>
    <w:basedOn w:val="40"/>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2">
    <w:name w:val="cf01"/>
    <w:basedOn w:val="31"/>
    <w:qFormat/>
    <w:uiPriority w:val="0"/>
    <w:rPr>
      <w:rFonts w:hint="eastAsia" w:ascii="Microsoft YaHei UI" w:hAnsi="Microsoft YaHei UI" w:eastAsia="Microsoft YaHei UI"/>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5.png"/><Relationship Id="rId3" Type="http://schemas.openxmlformats.org/officeDocument/2006/relationships/footnotes" Target="footnotes.xml"/><Relationship Id="rId29" Type="http://schemas.openxmlformats.org/officeDocument/2006/relationships/image" Target="media/image4.png"/><Relationship Id="rId28" Type="http://schemas.openxmlformats.org/officeDocument/2006/relationships/image" Target="media/image3.png"/><Relationship Id="rId27" Type="http://schemas.openxmlformats.org/officeDocument/2006/relationships/image" Target="media/image2.jpeg"/><Relationship Id="rId26" Type="http://schemas.openxmlformats.org/officeDocument/2006/relationships/image" Target="media/image1.png"/><Relationship Id="rId25" Type="http://schemas.openxmlformats.org/officeDocument/2006/relationships/theme" Target="theme/theme1.xml"/><Relationship Id="rId24" Type="http://schemas.openxmlformats.org/officeDocument/2006/relationships/footer" Target="footer11.xml"/><Relationship Id="rId23" Type="http://schemas.openxmlformats.org/officeDocument/2006/relationships/header" Target="header10.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515820-2261-4AA3-B78F-1794C1CC4BC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24579</Words>
  <Characters>140106</Characters>
  <Lines>1167</Lines>
  <Paragraphs>328</Paragraphs>
  <TotalTime>0</TotalTime>
  <ScaleCrop>false</ScaleCrop>
  <LinksUpToDate>false</LinksUpToDate>
  <CharactersWithSpaces>164357</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2023-06-07T14:28:00Z</dcterms:created>
  <dc:creator>Lenovo User</dc:creator>
  <cp:lastModifiedBy>cmcz</cp:lastModifiedBy>
  <cp:lastPrinted>2023-07-16T08:21:00Z</cp:lastPrinted>
  <dcterms:modified xsi:type="dcterms:W3CDTF">2023-11-22T07:27:57Z</dcterms:modified>
  <dc:title>政府奖学金</dc:title>
  <cp:revision>552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E94F67FF29014AD0A368DF1207E11BB3</vt:lpwstr>
  </property>
</Properties>
</file>