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adjustRightInd w:val="0"/>
        <w:jc w:val="center"/>
        <w:outlineLvl w:val="0"/>
        <w:rPr>
          <w:rFonts w:hint="eastAsia" w:ascii="宋体" w:hAnsi="宋体"/>
          <w:b/>
          <w:bCs/>
          <w:sz w:val="36"/>
          <w:szCs w:val="36"/>
        </w:rPr>
      </w:pPr>
    </w:p>
    <w:p>
      <w:pPr>
        <w:autoSpaceDE w:val="0"/>
        <w:autoSpaceDN w:val="0"/>
        <w:adjustRightInd w:val="0"/>
        <w:jc w:val="center"/>
        <w:outlineLvl w:val="0"/>
        <w:rPr>
          <w:rFonts w:hint="eastAsia" w:ascii="宋体" w:hAnsi="宋体"/>
          <w:b/>
          <w:bCs/>
          <w:sz w:val="36"/>
          <w:szCs w:val="36"/>
        </w:rPr>
      </w:pPr>
    </w:p>
    <w:p>
      <w:pPr>
        <w:autoSpaceDE w:val="0"/>
        <w:autoSpaceDN w:val="0"/>
        <w:adjustRightInd w:val="0"/>
        <w:jc w:val="center"/>
        <w:outlineLvl w:val="0"/>
        <w:rPr>
          <w:rFonts w:hint="eastAsia" w:ascii="宋体" w:hAnsi="宋体"/>
          <w:b/>
          <w:bCs/>
          <w:sz w:val="36"/>
          <w:szCs w:val="36"/>
        </w:rPr>
      </w:pPr>
    </w:p>
    <w:p>
      <w:pPr>
        <w:autoSpaceDE w:val="0"/>
        <w:autoSpaceDN w:val="0"/>
        <w:adjustRightInd w:val="0"/>
        <w:jc w:val="center"/>
        <w:outlineLvl w:val="0"/>
        <w:rPr>
          <w:rFonts w:hint="eastAsia" w:ascii="宋体" w:hAnsi="宋体"/>
          <w:b/>
          <w:bCs/>
          <w:sz w:val="36"/>
          <w:szCs w:val="36"/>
        </w:rPr>
      </w:pPr>
    </w:p>
    <w:p>
      <w:pPr>
        <w:autoSpaceDE w:val="0"/>
        <w:autoSpaceDN w:val="0"/>
        <w:adjustRightInd w:val="0"/>
        <w:jc w:val="center"/>
        <w:outlineLvl w:val="0"/>
        <w:rPr>
          <w:rFonts w:hint="eastAsia" w:ascii="宋体" w:hAnsi="宋体"/>
          <w:b/>
          <w:bCs/>
          <w:sz w:val="36"/>
          <w:szCs w:val="36"/>
        </w:rPr>
      </w:pPr>
    </w:p>
    <w:p>
      <w:pPr>
        <w:autoSpaceDE w:val="0"/>
        <w:autoSpaceDN w:val="0"/>
        <w:adjustRightInd w:val="0"/>
        <w:jc w:val="center"/>
        <w:outlineLvl w:val="0"/>
        <w:rPr>
          <w:rFonts w:hint="eastAsia" w:ascii="宋体" w:hAnsi="宋体"/>
          <w:b/>
          <w:bCs/>
          <w:sz w:val="36"/>
          <w:szCs w:val="36"/>
        </w:rPr>
      </w:pPr>
    </w:p>
    <w:p>
      <w:pPr>
        <w:spacing w:line="360" w:lineRule="auto"/>
        <w:jc w:val="center"/>
        <w:rPr>
          <w:rFonts w:hint="eastAsia" w:ascii="华文中宋" w:hAnsi="华文中宋" w:eastAsia="华文中宋"/>
          <w:b/>
          <w:sz w:val="72"/>
          <w:szCs w:val="72"/>
          <w:lang w:eastAsia="zh-CN"/>
        </w:rPr>
      </w:pPr>
      <w:r>
        <w:rPr>
          <w:rFonts w:hint="eastAsia" w:ascii="华文中宋" w:hAnsi="华文中宋" w:eastAsia="华文中宋"/>
          <w:b/>
          <w:sz w:val="72"/>
          <w:szCs w:val="72"/>
        </w:rPr>
        <w:t>上海市</w:t>
      </w:r>
      <w:r>
        <w:rPr>
          <w:rFonts w:hint="eastAsia" w:ascii="华文中宋" w:hAnsi="华文中宋" w:eastAsia="华文中宋"/>
          <w:b/>
          <w:sz w:val="72"/>
          <w:szCs w:val="72"/>
          <w:lang w:eastAsia="zh-CN"/>
        </w:rPr>
        <w:t>崇明区</w:t>
      </w:r>
    </w:p>
    <w:p>
      <w:pPr>
        <w:spacing w:line="360" w:lineRule="auto"/>
        <w:jc w:val="center"/>
        <w:rPr>
          <w:rFonts w:hint="eastAsia" w:ascii="华文中宋" w:hAnsi="华文中宋" w:eastAsia="华文中宋"/>
          <w:b/>
          <w:sz w:val="72"/>
          <w:szCs w:val="72"/>
          <w:lang w:eastAsia="zh-CN"/>
        </w:rPr>
      </w:pPr>
      <w:r>
        <w:rPr>
          <w:rFonts w:hint="eastAsia" w:ascii="华文中宋" w:hAnsi="华文中宋" w:eastAsia="华文中宋"/>
          <w:b/>
          <w:sz w:val="72"/>
          <w:szCs w:val="72"/>
          <w:lang w:eastAsia="zh-CN"/>
        </w:rPr>
        <w:t>乡村振兴服务中心</w:t>
      </w:r>
    </w:p>
    <w:p>
      <w:pPr>
        <w:spacing w:line="360" w:lineRule="auto"/>
        <w:jc w:val="center"/>
        <w:rPr>
          <w:rFonts w:hint="eastAsia" w:ascii="华文中宋" w:hAnsi="华文中宋" w:eastAsia="华文中宋"/>
          <w:b/>
          <w:sz w:val="72"/>
          <w:szCs w:val="72"/>
          <w:lang w:eastAsia="zh-CN"/>
        </w:rPr>
      </w:pPr>
      <w:r>
        <w:rPr>
          <w:rFonts w:hint="eastAsia" w:ascii="华文中宋" w:hAnsi="华文中宋" w:eastAsia="华文中宋"/>
          <w:b/>
          <w:sz w:val="72"/>
          <w:szCs w:val="72"/>
          <w:lang w:eastAsia="zh-CN"/>
        </w:rPr>
        <w:t>2024年</w:t>
      </w:r>
      <w:r>
        <w:rPr>
          <w:rFonts w:hint="eastAsia" w:ascii="华文中宋" w:hAnsi="华文中宋" w:eastAsia="华文中宋"/>
          <w:b/>
          <w:sz w:val="72"/>
          <w:szCs w:val="72"/>
        </w:rPr>
        <w:t>度</w:t>
      </w:r>
      <w:r>
        <w:rPr>
          <w:rFonts w:hint="eastAsia" w:ascii="华文中宋" w:hAnsi="华文中宋" w:eastAsia="华文中宋"/>
          <w:b/>
          <w:sz w:val="72"/>
          <w:szCs w:val="72"/>
          <w:lang w:eastAsia="zh-CN"/>
        </w:rPr>
        <w:t>国有资产</w:t>
      </w:r>
    </w:p>
    <w:p>
      <w:pPr>
        <w:spacing w:line="360" w:lineRule="auto"/>
        <w:jc w:val="center"/>
        <w:rPr>
          <w:rFonts w:hint="eastAsia" w:ascii="华文中宋" w:hAnsi="华文中宋" w:eastAsia="华文中宋"/>
          <w:b/>
          <w:sz w:val="72"/>
          <w:szCs w:val="72"/>
          <w:lang w:eastAsia="zh-CN"/>
        </w:rPr>
      </w:pPr>
      <w:r>
        <w:rPr>
          <w:rFonts w:hint="eastAsia" w:ascii="华文中宋" w:hAnsi="华文中宋" w:eastAsia="华文中宋"/>
          <w:b/>
          <w:sz w:val="72"/>
          <w:szCs w:val="72"/>
          <w:lang w:eastAsia="zh-CN"/>
        </w:rPr>
        <w:t>管理情况</w:t>
      </w:r>
    </w:p>
    <w:p>
      <w:pPr>
        <w:autoSpaceDE w:val="0"/>
        <w:autoSpaceDN w:val="0"/>
        <w:adjustRightInd w:val="0"/>
        <w:jc w:val="center"/>
        <w:outlineLvl w:val="0"/>
        <w:rPr>
          <w:rFonts w:hint="eastAsia" w:ascii="宋体" w:hAnsi="宋体"/>
          <w:b/>
          <w:bCs/>
          <w:sz w:val="36"/>
          <w:szCs w:val="36"/>
        </w:rPr>
      </w:pPr>
    </w:p>
    <w:p>
      <w:pPr>
        <w:autoSpaceDE w:val="0"/>
        <w:autoSpaceDN w:val="0"/>
        <w:adjustRightInd w:val="0"/>
        <w:jc w:val="center"/>
        <w:outlineLvl w:val="0"/>
        <w:rPr>
          <w:rFonts w:hint="eastAsia" w:ascii="宋体" w:hAnsi="宋体"/>
          <w:b/>
          <w:bCs/>
          <w:sz w:val="36"/>
          <w:szCs w:val="36"/>
        </w:rPr>
      </w:pPr>
    </w:p>
    <w:p>
      <w:pPr>
        <w:autoSpaceDE w:val="0"/>
        <w:autoSpaceDN w:val="0"/>
        <w:adjustRightInd w:val="0"/>
        <w:jc w:val="center"/>
        <w:outlineLvl w:val="0"/>
        <w:rPr>
          <w:rFonts w:hint="eastAsia" w:ascii="宋体" w:hAnsi="宋体"/>
          <w:b/>
          <w:bCs/>
          <w:sz w:val="36"/>
          <w:szCs w:val="36"/>
        </w:rPr>
      </w:pPr>
    </w:p>
    <w:p>
      <w:pPr>
        <w:autoSpaceDE w:val="0"/>
        <w:autoSpaceDN w:val="0"/>
        <w:adjustRightInd w:val="0"/>
        <w:jc w:val="center"/>
        <w:outlineLvl w:val="0"/>
        <w:rPr>
          <w:rFonts w:hint="eastAsia" w:ascii="宋体" w:hAnsi="宋体"/>
          <w:b/>
          <w:bCs/>
          <w:sz w:val="36"/>
          <w:szCs w:val="36"/>
        </w:rPr>
      </w:pPr>
    </w:p>
    <w:p>
      <w:pPr>
        <w:autoSpaceDE w:val="0"/>
        <w:autoSpaceDN w:val="0"/>
        <w:adjustRightInd w:val="0"/>
        <w:jc w:val="center"/>
        <w:outlineLvl w:val="0"/>
        <w:rPr>
          <w:rFonts w:hint="eastAsia" w:ascii="宋体" w:hAnsi="宋体"/>
          <w:b/>
          <w:bCs/>
          <w:sz w:val="36"/>
          <w:szCs w:val="36"/>
        </w:rPr>
      </w:pPr>
    </w:p>
    <w:p>
      <w:pPr>
        <w:autoSpaceDE w:val="0"/>
        <w:autoSpaceDN w:val="0"/>
        <w:adjustRightInd w:val="0"/>
        <w:jc w:val="center"/>
        <w:outlineLvl w:val="0"/>
        <w:rPr>
          <w:rFonts w:hint="eastAsia" w:ascii="宋体" w:hAnsi="宋体"/>
          <w:b/>
          <w:bCs/>
          <w:sz w:val="36"/>
          <w:szCs w:val="36"/>
        </w:rPr>
      </w:pPr>
    </w:p>
    <w:p>
      <w:pPr>
        <w:autoSpaceDE w:val="0"/>
        <w:autoSpaceDN w:val="0"/>
        <w:adjustRightInd w:val="0"/>
        <w:jc w:val="center"/>
        <w:outlineLvl w:val="0"/>
        <w:rPr>
          <w:rFonts w:hint="eastAsia" w:ascii="宋体" w:hAnsi="宋体"/>
          <w:b/>
          <w:bCs/>
          <w:sz w:val="36"/>
          <w:szCs w:val="36"/>
        </w:rPr>
      </w:pPr>
    </w:p>
    <w:p>
      <w:pPr>
        <w:autoSpaceDE w:val="0"/>
        <w:autoSpaceDN w:val="0"/>
        <w:adjustRightInd w:val="0"/>
        <w:jc w:val="both"/>
        <w:outlineLvl w:val="0"/>
        <w:rPr>
          <w:rFonts w:hint="eastAsia" w:ascii="宋体" w:hAnsi="宋体"/>
          <w:b/>
          <w:bCs/>
          <w:sz w:val="36"/>
          <w:szCs w:val="36"/>
        </w:rPr>
      </w:pPr>
    </w:p>
    <w:p>
      <w:pPr>
        <w:autoSpaceDE w:val="0"/>
        <w:autoSpaceDN w:val="0"/>
        <w:adjustRightInd w:val="0"/>
        <w:jc w:val="left"/>
        <w:outlineLvl w:val="0"/>
        <w:rPr>
          <w:rFonts w:hint="eastAsia" w:ascii="黑体" w:hAnsi="黑体" w:eastAsia="黑体" w:cs="黑体"/>
          <w:b w:val="0"/>
          <w:bCs w:val="0"/>
          <w:sz w:val="30"/>
          <w:szCs w:val="30"/>
          <w:lang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autoSpaceDE w:val="0"/>
        <w:autoSpaceDN w:val="0"/>
        <w:adjustRightInd w:val="0"/>
        <w:jc w:val="left"/>
        <w:outlineLvl w:val="0"/>
        <w:rPr>
          <w:rFonts w:hint="eastAsia" w:ascii="黑体" w:hAnsi="黑体" w:eastAsia="黑体" w:cs="黑体"/>
          <w:b w:val="0"/>
          <w:bCs w:val="0"/>
          <w:sz w:val="30"/>
          <w:szCs w:val="30"/>
          <w:lang w:eastAsia="zh-CN"/>
        </w:rPr>
      </w:pPr>
      <w:r>
        <w:rPr>
          <w:rFonts w:hint="eastAsia" w:ascii="黑体" w:hAnsi="黑体" w:eastAsia="黑体" w:cs="黑体"/>
          <w:b w:val="0"/>
          <w:bCs w:val="0"/>
          <w:sz w:val="30"/>
          <w:szCs w:val="30"/>
          <w:lang w:eastAsia="zh-CN"/>
        </w:rPr>
        <w:t>一、资产负债情况表</w:t>
      </w:r>
    </w:p>
    <w:tbl>
      <w:tblPr>
        <w:tblStyle w:val="5"/>
        <w:tblW w:w="10073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90"/>
        <w:gridCol w:w="1070"/>
        <w:gridCol w:w="992"/>
        <w:gridCol w:w="851"/>
        <w:gridCol w:w="97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6190" w:type="dxa"/>
            <w:tcBorders>
              <w:top w:val="nil"/>
              <w:left w:val="nil"/>
              <w:bottom w:val="single" w:color="000000" w:sz="4" w:space="0"/>
              <w:right w:val="nil"/>
            </w:tcBorders>
            <w:vAlign w:val="center"/>
          </w:tcPr>
          <w:p>
            <w:pPr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36"/>
                <w:szCs w:val="36"/>
              </w:rPr>
            </w:pPr>
          </w:p>
        </w:tc>
        <w:tc>
          <w:tcPr>
            <w:tcW w:w="2062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821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righ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单位：万元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619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206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数量</w:t>
            </w:r>
          </w:p>
        </w:tc>
        <w:tc>
          <w:tcPr>
            <w:tcW w:w="182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价值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619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年初数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年末数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年初数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年末数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  <w:t>一、资产合计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2"/>
              </w:rPr>
              <w:t>166.01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2"/>
                <w:lang w:val="en-US" w:eastAsia="zh-CN"/>
              </w:rPr>
              <w:t>158.34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 xml:space="preserve">   （一）流动资产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2"/>
              </w:rPr>
              <w:t>0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2"/>
                <w:lang w:val="en-US" w:eastAsia="zh-CN"/>
              </w:rPr>
              <w:t>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 xml:space="preserve">   （二）固定资产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2"/>
              </w:rPr>
              <w:t>190.98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2"/>
                <w:lang w:val="en-US" w:eastAsia="zh-CN"/>
              </w:rPr>
              <w:t>195.15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 xml:space="preserve">          其中：1.房屋（平方米）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934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934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2"/>
              </w:rPr>
              <w:t>122.36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2"/>
                <w:lang w:val="en-US" w:eastAsia="zh-CN"/>
              </w:rPr>
              <w:t>122.36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 xml:space="preserve">                2.设备</w:t>
            </w:r>
            <w:r>
              <w:rPr>
                <w:rFonts w:hint="default" w:ascii="Times New Roman" w:hAnsi="Times New Roman" w:cs="Times New Roman"/>
                <w:color w:val="auto"/>
                <w:sz w:val="20"/>
                <w:szCs w:val="20"/>
                <w:lang w:eastAsia="zh-CN"/>
              </w:rPr>
              <w:t>（个</w:t>
            </w:r>
            <w:r>
              <w:rPr>
                <w:rFonts w:hint="default" w:ascii="Times New Roman" w:hAnsi="Times New Roman" w:cs="Times New Roman"/>
                <w:color w:val="auto"/>
                <w:sz w:val="20"/>
                <w:szCs w:val="20"/>
                <w:lang w:val="en-US" w:eastAsia="zh-CN"/>
              </w:rPr>
              <w:t>/台/辆等</w:t>
            </w:r>
            <w:r>
              <w:rPr>
                <w:rFonts w:hint="default" w:ascii="Times New Roman" w:hAnsi="Times New Roman" w:cs="Times New Roman"/>
                <w:color w:val="auto"/>
                <w:sz w:val="20"/>
                <w:szCs w:val="20"/>
                <w:lang w:eastAsia="zh-CN"/>
              </w:rPr>
              <w:t>）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ind w:firstLine="200" w:firstLineChars="100"/>
              <w:jc w:val="left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bookmarkStart w:id="0" w:name="_GoBack"/>
            <w:bookmarkEnd w:id="0"/>
            <w:r>
              <w:rPr>
                <w:rFonts w:hint="eastAsia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42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69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2"/>
              </w:rPr>
              <w:t>35.59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2"/>
                <w:lang w:val="en-US" w:eastAsia="zh-CN"/>
              </w:rPr>
              <w:t>37.83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 xml:space="preserve">                     其中：（1）车辆（辆）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cs="Times New Roman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2"/>
              </w:rPr>
              <w:t>0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2"/>
                <w:lang w:val="en-US" w:eastAsia="zh-CN"/>
              </w:rPr>
              <w:t>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 xml:space="preserve">                                 一般公务用车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cs="Times New Roman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2"/>
              </w:rPr>
              <w:t>0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2"/>
                <w:lang w:val="en-US" w:eastAsia="zh-CN"/>
              </w:rPr>
              <w:t>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 xml:space="preserve">                                 执法执勤用车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cs="Times New Roman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2"/>
              </w:rPr>
              <w:t>0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2"/>
                <w:lang w:val="en-US" w:eastAsia="zh-CN"/>
              </w:rPr>
              <w:t>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 xml:space="preserve">                                 特种专业技术用车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cs="Times New Roman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2"/>
              </w:rPr>
              <w:t>0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2"/>
                <w:lang w:val="en-US" w:eastAsia="zh-CN"/>
              </w:rPr>
              <w:t>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 xml:space="preserve">                                 其他用车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cs="Times New Roman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2"/>
              </w:rPr>
              <w:t>0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2"/>
                <w:lang w:val="en-US" w:eastAsia="zh-CN"/>
              </w:rPr>
              <w:t>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 xml:space="preserve">           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 xml:space="preserve">    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 xml:space="preserve"> （2）单价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100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万元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  <w:lang w:eastAsia="zh-CN"/>
              </w:rPr>
              <w:t>（含）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以上设备（不含车辆）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cs="Times New Roman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2"/>
              </w:rPr>
              <w:t>0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2"/>
                <w:lang w:val="en-US" w:eastAsia="zh-CN"/>
              </w:rPr>
              <w:t>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 xml:space="preserve">             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 xml:space="preserve">  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3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.其他固定资产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2"/>
              </w:rPr>
              <w:t>33.03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2"/>
                <w:lang w:val="en-US" w:eastAsia="zh-CN"/>
              </w:rPr>
              <w:t>34.96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 xml:space="preserve">        减：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  <w:lang w:eastAsia="zh-CN"/>
              </w:rPr>
              <w:t>固定资产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累计折旧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2"/>
              </w:rPr>
              <w:t>24.97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2"/>
                <w:lang w:val="en-US" w:eastAsia="zh-CN"/>
              </w:rPr>
              <w:t>37.33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 xml:space="preserve">   （三）长期股权投资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2"/>
              </w:rPr>
              <w:t>0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2"/>
                <w:lang w:val="en-US" w:eastAsia="zh-CN"/>
              </w:rPr>
              <w:t>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 xml:space="preserve">   （四）长期债券投资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2"/>
              </w:rPr>
              <w:t>0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2"/>
                <w:lang w:val="en-US" w:eastAsia="zh-CN"/>
              </w:rPr>
              <w:t>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 xml:space="preserve">   （五）在建工程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2"/>
              </w:rPr>
              <w:t>0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2"/>
                <w:lang w:val="en-US" w:eastAsia="zh-CN"/>
              </w:rPr>
              <w:t>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 xml:space="preserve">   （六）无形资产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2"/>
              </w:rPr>
              <w:t>0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2"/>
                <w:lang w:val="en-US" w:eastAsia="zh-CN"/>
              </w:rPr>
              <w:t>0.52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 xml:space="preserve">        减：</w:t>
            </w: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eastAsia="zh-CN"/>
              </w:rPr>
              <w:t>无形资产</w:t>
            </w: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>累计摊销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2"/>
              </w:rPr>
              <w:t>0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2"/>
                <w:lang w:val="en-US" w:eastAsia="zh-CN"/>
              </w:rPr>
              <w:t>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 xml:space="preserve">   （七）其他资产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2"/>
              </w:rPr>
              <w:t>0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2"/>
                <w:lang w:val="en-US" w:eastAsia="zh-CN"/>
              </w:rPr>
              <w:t>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  <w:t>二、负债合计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2"/>
              </w:rPr>
              <w:t>3.26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2"/>
                <w:lang w:val="en-US" w:eastAsia="zh-CN"/>
              </w:rPr>
              <w:t>4.95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  <w:t>三、净资产合计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2"/>
              </w:rPr>
              <w:t>162.75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2"/>
                <w:lang w:val="en-US" w:eastAsia="zh-CN"/>
              </w:rPr>
              <w:t>153.39</w:t>
            </w:r>
          </w:p>
        </w:tc>
      </w:tr>
    </w:tbl>
    <w:p/>
    <w:p>
      <w:r>
        <w:br w:type="page"/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left="0" w:leftChars="0" w:firstLine="639" w:firstLineChars="213"/>
        <w:textAlignment w:val="auto"/>
        <w:rPr>
          <w:rFonts w:hint="eastAsia" w:ascii="黑体" w:hAnsi="黑体" w:eastAsia="黑体" w:cs="黑体"/>
          <w:b w:val="0"/>
          <w:bCs w:val="0"/>
          <w:sz w:val="30"/>
          <w:szCs w:val="30"/>
          <w:lang w:eastAsia="zh-CN"/>
        </w:rPr>
      </w:pPr>
      <w:r>
        <w:rPr>
          <w:rFonts w:hint="eastAsia" w:ascii="黑体" w:hAnsi="黑体" w:eastAsia="黑体" w:cs="黑体"/>
          <w:b w:val="0"/>
          <w:bCs w:val="0"/>
          <w:sz w:val="30"/>
          <w:szCs w:val="30"/>
          <w:lang w:eastAsia="zh-CN"/>
        </w:rPr>
        <w:t>二、车辆、房屋特殊占用情况说明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left="0" w:leftChars="0" w:firstLine="639" w:firstLineChars="213"/>
        <w:textAlignment w:val="auto"/>
        <w:rPr>
          <w:rFonts w:eastAsia="仿宋_GB2312"/>
          <w:sz w:val="30"/>
          <w:szCs w:val="30"/>
        </w:rPr>
      </w:pPr>
      <w:r>
        <w:rPr>
          <w:rFonts w:hint="eastAsia" w:eastAsia="仿宋_GB2312"/>
          <w:color w:val="000000"/>
          <w:sz w:val="30"/>
          <w:szCs w:val="30"/>
          <w:lang w:eastAsia="zh-CN"/>
        </w:rPr>
        <w:t>本单位</w:t>
      </w:r>
      <w:r>
        <w:rPr>
          <w:rFonts w:hint="eastAsia" w:eastAsia="仿宋_GB2312"/>
          <w:sz w:val="30"/>
          <w:szCs w:val="30"/>
          <w:lang w:eastAsia="zh-CN"/>
        </w:rPr>
        <w:t>2024年</w:t>
      </w:r>
      <w:r>
        <w:rPr>
          <w:rFonts w:eastAsia="仿宋_GB2312"/>
          <w:sz w:val="30"/>
          <w:szCs w:val="30"/>
        </w:rPr>
        <w:t>度无车辆/房屋特殊占用情况说明。</w:t>
      </w:r>
    </w:p>
    <w:p>
      <w:pPr>
        <w:autoSpaceDE w:val="0"/>
        <w:autoSpaceDN w:val="0"/>
        <w:adjustRightInd w:val="0"/>
        <w:jc w:val="left"/>
        <w:outlineLvl w:val="0"/>
        <w:rPr>
          <w:rFonts w:hint="eastAsia" w:ascii="宋体" w:hAnsi="宋体" w:eastAsia="宋体" w:cs="宋体"/>
          <w:b/>
          <w:bCs/>
          <w:sz w:val="30"/>
          <w:szCs w:val="30"/>
          <w:lang w:eastAsia="zh-CN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pgNumType w:fmt="decimal"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anchorCtr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4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FjOGIzNTdmYmQwNGMyNmYxN2UwM2E4NzUyYTlkYWMifQ=="/>
  </w:docVars>
  <w:rsids>
    <w:rsidRoot w:val="7EE91B73"/>
    <w:rsid w:val="16B352D9"/>
    <w:rsid w:val="172306BD"/>
    <w:rsid w:val="1DFD401C"/>
    <w:rsid w:val="1FC7DCDF"/>
    <w:rsid w:val="29111444"/>
    <w:rsid w:val="2D6D10B5"/>
    <w:rsid w:val="2FD363F0"/>
    <w:rsid w:val="33DE431F"/>
    <w:rsid w:val="35FF9DC3"/>
    <w:rsid w:val="3FF4ED1C"/>
    <w:rsid w:val="40E46246"/>
    <w:rsid w:val="45233E4F"/>
    <w:rsid w:val="4838545B"/>
    <w:rsid w:val="58032188"/>
    <w:rsid w:val="65A43F9C"/>
    <w:rsid w:val="68524A8B"/>
    <w:rsid w:val="6B345CC9"/>
    <w:rsid w:val="6DB9C5DA"/>
    <w:rsid w:val="6FED17DC"/>
    <w:rsid w:val="795D10DB"/>
    <w:rsid w:val="7A731DCB"/>
    <w:rsid w:val="7BAD5B72"/>
    <w:rsid w:val="7EE91B73"/>
    <w:rsid w:val="9DA793D5"/>
    <w:rsid w:val="DFB99D9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13</TotalTime>
  <ScaleCrop>false</ScaleCrop>
  <LinksUpToDate>false</LinksUpToDate>
  <CharactersWithSpaces>0</CharactersWithSpaces>
  <Application>WPS Office_10.8.2.7119_F1E327BC-269C-435d-A152-05C5408002CA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2023-05-28T09:21:00Z</dcterms:created>
  <dc:creator>lenovo</dc:creator>
  <cp:lastModifiedBy>小蛇女</cp:lastModifiedBy>
  <cp:lastPrinted>2025-08-18T02:31:51Z</cp:lastPrinted>
  <dcterms:modified xsi:type="dcterms:W3CDTF">2025-08-18T02:34:17Z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ICV">
    <vt:lpwstr>0DD8CEE82FD543B3812A61C2925A48C6_12</vt:lpwstr>
  </property>
</Properties>
</file>