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spacing w:before="1985"/>
        <w:jc w:val="center"/>
        <w:rPr>
          <w:rFonts w:ascii="Times New Roman" w:hAnsi="Times New Roman" w:eastAsia="黑体" w:cs="Times New Roman"/>
          <w:sz w:val="56"/>
          <w:szCs w:val="72"/>
        </w:rPr>
      </w:pPr>
      <w:r>
        <w:rPr>
          <w:rFonts w:ascii="Times New Roman" w:hAnsi="Times New Roman" w:eastAsia="黑体" w:cs="Times New Roman"/>
          <w:sz w:val="56"/>
          <w:szCs w:val="72"/>
        </w:rPr>
        <w:t>崇明区财政支出绩效评价</w:t>
      </w:r>
      <w:r>
        <w:rPr>
          <w:rFonts w:hint="eastAsia" w:ascii="Times New Roman" w:hAnsi="Times New Roman" w:eastAsia="黑体" w:cs="Times New Roman"/>
          <w:sz w:val="56"/>
          <w:szCs w:val="72"/>
        </w:rPr>
        <w:t>报告</w:t>
      </w:r>
    </w:p>
    <w:p>
      <w:pPr>
        <w:pStyle w:val="27"/>
        <w:jc w:val="center"/>
        <w:rPr>
          <w:rFonts w:ascii="Times New Roman" w:hAnsi="Times New Roman" w:eastAsia="仿宋" w:cs="Times New Roman"/>
          <w:sz w:val="36"/>
          <w:szCs w:val="36"/>
        </w:rPr>
      </w:pPr>
    </w:p>
    <w:p>
      <w:pPr>
        <w:pStyle w:val="27"/>
        <w:spacing w:before="567"/>
        <w:jc w:val="center"/>
        <w:rPr>
          <w:rFonts w:ascii="Times New Roman" w:hAnsi="Times New Roman" w:eastAsia="黑体" w:cs="Times New Roman"/>
          <w:sz w:val="56"/>
          <w:szCs w:val="72"/>
        </w:rPr>
      </w:pPr>
    </w:p>
    <w:p>
      <w:pPr>
        <w:pStyle w:val="27"/>
        <w:jc w:val="center"/>
        <w:rPr>
          <w:rFonts w:ascii="Times New Roman" w:hAnsi="Times New Roman" w:eastAsia="仿宋" w:cs="Times New Roman"/>
          <w:sz w:val="36"/>
          <w:szCs w:val="36"/>
        </w:rPr>
      </w:pPr>
    </w:p>
    <w:p>
      <w:pPr>
        <w:pStyle w:val="27"/>
        <w:rPr>
          <w:rFonts w:ascii="Times New Roman" w:hAnsi="Times New Roman" w:eastAsia="仿宋" w:cs="Times New Roman"/>
          <w:sz w:val="36"/>
          <w:szCs w:val="36"/>
        </w:rPr>
      </w:pPr>
    </w:p>
    <w:tbl>
      <w:tblPr>
        <w:tblStyle w:val="12"/>
        <w:tblW w:w="0" w:type="auto"/>
        <w:jc w:val="center"/>
        <w:tblLayout w:type="autofit"/>
        <w:tblCellMar>
          <w:top w:w="0" w:type="dxa"/>
          <w:left w:w="108" w:type="dxa"/>
          <w:bottom w:w="0" w:type="dxa"/>
          <w:right w:w="108" w:type="dxa"/>
        </w:tblCellMar>
      </w:tblPr>
      <w:tblGrid>
        <w:gridCol w:w="2410"/>
        <w:gridCol w:w="4971"/>
      </w:tblGrid>
      <w:tr>
        <w:tblPrEx>
          <w:tblCellMar>
            <w:top w:w="0" w:type="dxa"/>
            <w:left w:w="108" w:type="dxa"/>
            <w:bottom w:w="0" w:type="dxa"/>
            <w:right w:w="108" w:type="dxa"/>
          </w:tblCellMar>
        </w:tblPrEx>
        <w:trPr>
          <w:trHeight w:val="284" w:hRule="atLeast"/>
          <w:jc w:val="center"/>
        </w:trPr>
        <w:tc>
          <w:tcPr>
            <w:tcW w:w="2410" w:type="dxa"/>
          </w:tcPr>
          <w:p>
            <w:pPr>
              <w:spacing w:line="500" w:lineRule="exact"/>
              <w:jc w:val="left"/>
              <w:rPr>
                <w:rFonts w:ascii="Times New Roman" w:hAnsi="Times New Roman" w:eastAsia="黑体" w:cs="Times New Roman"/>
                <w:sz w:val="30"/>
                <w:szCs w:val="30"/>
              </w:rPr>
            </w:pPr>
            <w:bookmarkStart w:id="0" w:name="_Hlk96676133"/>
            <w:r>
              <w:rPr>
                <w:rFonts w:ascii="Times New Roman" w:hAnsi="Times New Roman" w:eastAsia="黑体" w:cs="Times New Roman"/>
                <w:sz w:val="30"/>
                <w:szCs w:val="30"/>
              </w:rPr>
              <w:t>项目支出名称：</w:t>
            </w:r>
          </w:p>
        </w:tc>
        <w:tc>
          <w:tcPr>
            <w:tcW w:w="4971" w:type="dxa"/>
          </w:tcPr>
          <w:p>
            <w:pPr>
              <w:spacing w:line="500" w:lineRule="exact"/>
              <w:jc w:val="left"/>
              <w:rPr>
                <w:rFonts w:ascii="Times New Roman" w:hAnsi="Times New Roman" w:eastAsia="黑体" w:cs="Times New Roman"/>
                <w:sz w:val="30"/>
                <w:szCs w:val="30"/>
              </w:rPr>
            </w:pPr>
            <w:r>
              <w:rPr>
                <w:rFonts w:ascii="Times New Roman" w:hAnsi="Times New Roman" w:eastAsia="黑体" w:cs="Times New Roman"/>
                <w:sz w:val="30"/>
                <w:szCs w:val="30"/>
              </w:rPr>
              <w:t>崇明区污水管网完善工程（堡镇-五效集镇区和新河-新民集镇区）项目支出</w:t>
            </w:r>
          </w:p>
        </w:tc>
      </w:tr>
      <w:bookmarkEnd w:id="0"/>
      <w:tr>
        <w:tblPrEx>
          <w:tblCellMar>
            <w:top w:w="0" w:type="dxa"/>
            <w:left w:w="108" w:type="dxa"/>
            <w:bottom w:w="0" w:type="dxa"/>
            <w:right w:w="108" w:type="dxa"/>
          </w:tblCellMar>
        </w:tblPrEx>
        <w:trPr>
          <w:trHeight w:val="284" w:hRule="atLeast"/>
          <w:jc w:val="center"/>
        </w:trPr>
        <w:tc>
          <w:tcPr>
            <w:tcW w:w="2410" w:type="dxa"/>
          </w:tcPr>
          <w:p>
            <w:pPr>
              <w:spacing w:line="500" w:lineRule="exact"/>
              <w:jc w:val="left"/>
              <w:rPr>
                <w:rFonts w:ascii="Times New Roman" w:hAnsi="Times New Roman" w:eastAsia="黑体" w:cs="Times New Roman"/>
                <w:sz w:val="30"/>
                <w:szCs w:val="30"/>
              </w:rPr>
            </w:pPr>
            <w:r>
              <w:rPr>
                <w:rFonts w:ascii="Times New Roman" w:hAnsi="Times New Roman" w:eastAsia="黑体" w:cs="Times New Roman"/>
                <w:sz w:val="30"/>
                <w:szCs w:val="30"/>
              </w:rPr>
              <w:t>预算单位：</w:t>
            </w:r>
          </w:p>
        </w:tc>
        <w:tc>
          <w:tcPr>
            <w:tcW w:w="4971" w:type="dxa"/>
          </w:tcPr>
          <w:p>
            <w:pPr>
              <w:spacing w:line="500" w:lineRule="exact"/>
              <w:jc w:val="left"/>
              <w:rPr>
                <w:rFonts w:ascii="Times New Roman" w:hAnsi="Times New Roman" w:eastAsia="黑体" w:cs="Times New Roman"/>
                <w:sz w:val="30"/>
                <w:szCs w:val="30"/>
              </w:rPr>
            </w:pPr>
            <w:r>
              <w:rPr>
                <w:rFonts w:ascii="Times New Roman" w:hAnsi="Times New Roman" w:eastAsia="黑体" w:cs="Times New Roman"/>
                <w:sz w:val="30"/>
                <w:szCs w:val="30"/>
              </w:rPr>
              <w:t>崇明区堡镇人民政府</w:t>
            </w:r>
          </w:p>
          <w:p>
            <w:pPr>
              <w:spacing w:line="500" w:lineRule="exact"/>
              <w:jc w:val="left"/>
              <w:rPr>
                <w:rFonts w:ascii="Times New Roman" w:hAnsi="Times New Roman" w:eastAsia="黑体" w:cs="Times New Roman"/>
                <w:sz w:val="30"/>
                <w:szCs w:val="30"/>
              </w:rPr>
            </w:pPr>
            <w:r>
              <w:rPr>
                <w:rFonts w:ascii="Times New Roman" w:hAnsi="Times New Roman" w:eastAsia="黑体" w:cs="Times New Roman"/>
                <w:sz w:val="30"/>
                <w:szCs w:val="30"/>
              </w:rPr>
              <w:t>崇明区新河镇人民政府</w:t>
            </w:r>
          </w:p>
        </w:tc>
      </w:tr>
      <w:tr>
        <w:tblPrEx>
          <w:tblCellMar>
            <w:top w:w="0" w:type="dxa"/>
            <w:left w:w="108" w:type="dxa"/>
            <w:bottom w:w="0" w:type="dxa"/>
            <w:right w:w="108" w:type="dxa"/>
          </w:tblCellMar>
        </w:tblPrEx>
        <w:trPr>
          <w:trHeight w:val="284" w:hRule="atLeast"/>
          <w:jc w:val="center"/>
        </w:trPr>
        <w:tc>
          <w:tcPr>
            <w:tcW w:w="2410" w:type="dxa"/>
          </w:tcPr>
          <w:p>
            <w:pPr>
              <w:spacing w:line="500" w:lineRule="exact"/>
              <w:jc w:val="left"/>
              <w:rPr>
                <w:rFonts w:ascii="Times New Roman" w:hAnsi="Times New Roman" w:eastAsia="黑体" w:cs="Times New Roman"/>
                <w:sz w:val="30"/>
                <w:szCs w:val="30"/>
              </w:rPr>
            </w:pPr>
            <w:r>
              <w:rPr>
                <w:rFonts w:ascii="Times New Roman" w:hAnsi="Times New Roman" w:eastAsia="黑体" w:cs="Times New Roman"/>
                <w:sz w:val="30"/>
                <w:szCs w:val="30"/>
              </w:rPr>
              <w:t>预算主管部门：</w:t>
            </w:r>
          </w:p>
        </w:tc>
        <w:tc>
          <w:tcPr>
            <w:tcW w:w="4971" w:type="dxa"/>
          </w:tcPr>
          <w:p>
            <w:pPr>
              <w:spacing w:line="500" w:lineRule="exact"/>
              <w:jc w:val="left"/>
              <w:rPr>
                <w:rFonts w:ascii="Times New Roman" w:hAnsi="Times New Roman" w:eastAsia="黑体" w:cs="Times New Roman"/>
                <w:sz w:val="30"/>
                <w:szCs w:val="30"/>
              </w:rPr>
            </w:pPr>
            <w:r>
              <w:rPr>
                <w:rFonts w:ascii="Times New Roman" w:hAnsi="Times New Roman" w:eastAsia="黑体" w:cs="Times New Roman"/>
                <w:sz w:val="30"/>
                <w:szCs w:val="30"/>
              </w:rPr>
              <w:t>崇明区堡镇人民政府</w:t>
            </w:r>
          </w:p>
          <w:p>
            <w:pPr>
              <w:spacing w:line="500" w:lineRule="exact"/>
              <w:jc w:val="left"/>
              <w:rPr>
                <w:rFonts w:ascii="Times New Roman" w:hAnsi="Times New Roman" w:eastAsia="黑体" w:cs="Times New Roman"/>
                <w:sz w:val="30"/>
                <w:szCs w:val="30"/>
              </w:rPr>
            </w:pPr>
            <w:r>
              <w:rPr>
                <w:rFonts w:ascii="Times New Roman" w:hAnsi="Times New Roman" w:eastAsia="黑体" w:cs="Times New Roman"/>
                <w:sz w:val="30"/>
                <w:szCs w:val="30"/>
              </w:rPr>
              <w:t>崇明区新河镇人民政府</w:t>
            </w:r>
          </w:p>
        </w:tc>
      </w:tr>
      <w:tr>
        <w:tblPrEx>
          <w:tblCellMar>
            <w:top w:w="0" w:type="dxa"/>
            <w:left w:w="108" w:type="dxa"/>
            <w:bottom w:w="0" w:type="dxa"/>
            <w:right w:w="108" w:type="dxa"/>
          </w:tblCellMar>
        </w:tblPrEx>
        <w:trPr>
          <w:trHeight w:val="284" w:hRule="atLeast"/>
          <w:jc w:val="center"/>
        </w:trPr>
        <w:tc>
          <w:tcPr>
            <w:tcW w:w="2410" w:type="dxa"/>
          </w:tcPr>
          <w:p>
            <w:pPr>
              <w:spacing w:line="500" w:lineRule="exact"/>
              <w:jc w:val="left"/>
              <w:rPr>
                <w:rFonts w:ascii="Times New Roman" w:hAnsi="Times New Roman" w:eastAsia="黑体" w:cs="Times New Roman"/>
                <w:sz w:val="30"/>
                <w:szCs w:val="30"/>
              </w:rPr>
            </w:pPr>
            <w:r>
              <w:rPr>
                <w:rFonts w:ascii="Times New Roman" w:hAnsi="Times New Roman" w:eastAsia="黑体" w:cs="Times New Roman"/>
                <w:sz w:val="30"/>
                <w:szCs w:val="30"/>
              </w:rPr>
              <w:t>委托部门：</w:t>
            </w:r>
          </w:p>
        </w:tc>
        <w:tc>
          <w:tcPr>
            <w:tcW w:w="4971" w:type="dxa"/>
          </w:tcPr>
          <w:p>
            <w:pPr>
              <w:spacing w:line="500" w:lineRule="exact"/>
              <w:jc w:val="left"/>
              <w:rPr>
                <w:rFonts w:ascii="Times New Roman" w:hAnsi="Times New Roman" w:eastAsia="黑体" w:cs="Times New Roman"/>
                <w:sz w:val="30"/>
                <w:szCs w:val="30"/>
              </w:rPr>
            </w:pPr>
            <w:r>
              <w:rPr>
                <w:rFonts w:ascii="Times New Roman" w:hAnsi="Times New Roman" w:eastAsia="黑体" w:cs="Times New Roman"/>
                <w:sz w:val="30"/>
                <w:szCs w:val="30"/>
              </w:rPr>
              <w:t>上海市崇明区财政局</w:t>
            </w:r>
          </w:p>
        </w:tc>
      </w:tr>
      <w:tr>
        <w:tblPrEx>
          <w:tblCellMar>
            <w:top w:w="0" w:type="dxa"/>
            <w:left w:w="108" w:type="dxa"/>
            <w:bottom w:w="0" w:type="dxa"/>
            <w:right w:w="108" w:type="dxa"/>
          </w:tblCellMar>
        </w:tblPrEx>
        <w:trPr>
          <w:trHeight w:val="487" w:hRule="atLeast"/>
          <w:jc w:val="center"/>
        </w:trPr>
        <w:tc>
          <w:tcPr>
            <w:tcW w:w="2410" w:type="dxa"/>
          </w:tcPr>
          <w:p>
            <w:pPr>
              <w:spacing w:line="500" w:lineRule="exact"/>
              <w:jc w:val="left"/>
              <w:rPr>
                <w:rFonts w:ascii="Times New Roman" w:hAnsi="Times New Roman" w:eastAsia="黑体" w:cs="Times New Roman"/>
                <w:sz w:val="30"/>
                <w:szCs w:val="30"/>
              </w:rPr>
            </w:pPr>
            <w:r>
              <w:rPr>
                <w:rFonts w:ascii="Times New Roman" w:hAnsi="Times New Roman" w:eastAsia="黑体" w:cs="Times New Roman"/>
                <w:sz w:val="30"/>
                <w:szCs w:val="30"/>
              </w:rPr>
              <w:t>评价机构：</w:t>
            </w:r>
          </w:p>
        </w:tc>
        <w:tc>
          <w:tcPr>
            <w:tcW w:w="4971" w:type="dxa"/>
          </w:tcPr>
          <w:p>
            <w:pPr>
              <w:spacing w:line="500" w:lineRule="exact"/>
              <w:jc w:val="left"/>
              <w:rPr>
                <w:rFonts w:ascii="Times New Roman" w:hAnsi="Times New Roman" w:eastAsia="黑体" w:cs="Times New Roman"/>
                <w:sz w:val="30"/>
                <w:szCs w:val="30"/>
              </w:rPr>
            </w:pPr>
            <w:bookmarkStart w:id="1" w:name="_Hlk162731019"/>
            <w:r>
              <w:rPr>
                <w:rFonts w:ascii="Times New Roman" w:hAnsi="Times New Roman" w:eastAsia="黑体" w:cs="Times New Roman"/>
                <w:sz w:val="30"/>
                <w:szCs w:val="30"/>
              </w:rPr>
              <w:t>上海灏略企业管理咨询有限公司</w:t>
            </w:r>
            <w:bookmarkEnd w:id="1"/>
          </w:p>
        </w:tc>
      </w:tr>
    </w:tbl>
    <w:p>
      <w:pPr>
        <w:pStyle w:val="27"/>
        <w:spacing w:line="500" w:lineRule="exact"/>
        <w:ind w:firstLine="1280" w:firstLineChars="400"/>
        <w:jc w:val="both"/>
        <w:rPr>
          <w:rFonts w:ascii="Times New Roman" w:hAnsi="Times New Roman" w:eastAsia="仿宋" w:cs="Times New Roman"/>
          <w:sz w:val="32"/>
          <w:szCs w:val="32"/>
        </w:rPr>
      </w:pPr>
    </w:p>
    <w:p>
      <w:pPr>
        <w:pStyle w:val="27"/>
        <w:spacing w:line="500" w:lineRule="exact"/>
        <w:ind w:firstLine="1280" w:firstLineChars="400"/>
        <w:jc w:val="both"/>
        <w:rPr>
          <w:rFonts w:ascii="Times New Roman" w:hAnsi="Times New Roman" w:eastAsia="仿宋" w:cs="Times New Roman"/>
          <w:sz w:val="32"/>
          <w:szCs w:val="32"/>
        </w:rPr>
      </w:pPr>
    </w:p>
    <w:p>
      <w:pPr>
        <w:pStyle w:val="27"/>
        <w:spacing w:line="500" w:lineRule="exact"/>
        <w:jc w:val="center"/>
        <w:rPr>
          <w:rFonts w:ascii="Times New Roman" w:hAnsi="Times New Roman" w:eastAsia="黑体" w:cs="Times New Roman"/>
          <w:kern w:val="2"/>
          <w:sz w:val="30"/>
          <w:szCs w:val="30"/>
        </w:rPr>
      </w:pPr>
      <w:r>
        <w:rPr>
          <w:rFonts w:ascii="Times New Roman" w:hAnsi="Times New Roman" w:eastAsia="黑体" w:cs="Times New Roman"/>
          <w:kern w:val="2"/>
          <w:sz w:val="30"/>
          <w:szCs w:val="30"/>
        </w:rPr>
        <w:t>2024年</w:t>
      </w:r>
      <w:r>
        <w:rPr>
          <w:rFonts w:hint="eastAsia" w:ascii="Times New Roman" w:hAnsi="Times New Roman" w:eastAsia="黑体" w:cs="Times New Roman"/>
          <w:kern w:val="2"/>
          <w:sz w:val="30"/>
          <w:szCs w:val="30"/>
        </w:rPr>
        <w:t>5</w:t>
      </w:r>
      <w:r>
        <w:rPr>
          <w:rFonts w:ascii="Times New Roman" w:hAnsi="Times New Roman" w:eastAsia="黑体" w:cs="Times New Roman"/>
          <w:kern w:val="2"/>
          <w:sz w:val="30"/>
          <w:szCs w:val="30"/>
        </w:rPr>
        <w:t>月</w:t>
      </w:r>
    </w:p>
    <w:p>
      <w:pPr>
        <w:widowControl/>
        <w:jc w:val="left"/>
        <w:rPr>
          <w:rFonts w:ascii="Times New Roman" w:hAnsi="Times New Roman" w:eastAsia="仿宋" w:cs="Times New Roman"/>
          <w:kern w:val="0"/>
          <w:sz w:val="32"/>
          <w:szCs w:val="32"/>
        </w:rPr>
      </w:pPr>
      <w:r>
        <w:rPr>
          <w:rFonts w:ascii="Times New Roman" w:hAnsi="Times New Roman" w:eastAsia="仿宋" w:cs="Times New Roman"/>
          <w:sz w:val="32"/>
          <w:szCs w:val="32"/>
        </w:rPr>
        <w:br w:type="page"/>
      </w:r>
    </w:p>
    <w:p>
      <w:pPr>
        <w:widowControl/>
        <w:jc w:val="left"/>
        <w:rPr>
          <w:rFonts w:ascii="Times New Roman" w:hAnsi="Times New Roman" w:eastAsia="仿宋_GB2312" w:cs="Times New Roman"/>
          <w:sz w:val="28"/>
          <w:szCs w:val="28"/>
        </w:rPr>
      </w:pPr>
      <w:r>
        <w:rPr>
          <w:rFonts w:ascii="Times New Roman" w:hAnsi="Times New Roman" w:eastAsia="仿宋_GB2312" w:cs="Times New Roman"/>
          <w:sz w:val="28"/>
          <w:szCs w:val="28"/>
        </w:rPr>
        <w:br w:type="page"/>
      </w:r>
    </w:p>
    <w:p>
      <w:pPr>
        <w:tabs>
          <w:tab w:val="left" w:pos="1540"/>
        </w:tabs>
        <w:snapToGrid w:val="0"/>
        <w:spacing w:before="156" w:beforeLines="50" w:after="156" w:afterLines="50" w:line="300" w:lineRule="auto"/>
        <w:rPr>
          <w:rFonts w:ascii="Times New Roman" w:hAnsi="Times New Roman" w:eastAsia="仿宋_GB2312" w:cs="Times New Roman"/>
          <w:sz w:val="28"/>
          <w:szCs w:val="28"/>
        </w:rPr>
      </w:pPr>
    </w:p>
    <w:p>
      <w:pPr>
        <w:tabs>
          <w:tab w:val="left" w:pos="1540"/>
        </w:tabs>
        <w:snapToGrid w:val="0"/>
        <w:spacing w:before="156" w:beforeLines="50" w:after="156" w:afterLines="50" w:line="30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评价机构：上海灏略企业管理咨询有限公司（盖章）</w:t>
      </w:r>
    </w:p>
    <w:p>
      <w:pPr>
        <w:tabs>
          <w:tab w:val="left" w:pos="1540"/>
        </w:tabs>
        <w:snapToGrid w:val="0"/>
        <w:spacing w:before="156" w:beforeLines="50" w:after="156" w:afterLines="50" w:line="300" w:lineRule="auto"/>
        <w:rPr>
          <w:rFonts w:ascii="Times New Roman" w:hAnsi="Times New Roman" w:eastAsia="仿宋_GB2312" w:cs="Times New Roman"/>
          <w:sz w:val="28"/>
          <w:szCs w:val="28"/>
        </w:rPr>
      </w:pPr>
    </w:p>
    <w:p>
      <w:pPr>
        <w:tabs>
          <w:tab w:val="left" w:pos="1540"/>
        </w:tabs>
        <w:snapToGrid w:val="0"/>
        <w:spacing w:before="156" w:beforeLines="50" w:after="156" w:afterLines="50" w:line="30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 </w:t>
      </w:r>
    </w:p>
    <w:p>
      <w:pPr>
        <w:snapToGrid w:val="0"/>
        <w:spacing w:line="30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主评人：刘鹏飞</w:t>
      </w:r>
    </w:p>
    <w:p>
      <w:pPr>
        <w:snapToGrid w:val="0"/>
        <w:spacing w:line="30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联系方式：50900619</w:t>
      </w:r>
    </w:p>
    <w:p>
      <w:pPr>
        <w:snapToGrid w:val="0"/>
        <w:spacing w:line="300" w:lineRule="auto"/>
        <w:rPr>
          <w:rFonts w:ascii="Times New Roman" w:hAnsi="Times New Roman" w:eastAsia="仿宋_GB2312" w:cs="Times New Roman"/>
          <w:sz w:val="28"/>
          <w:szCs w:val="28"/>
        </w:rPr>
      </w:pPr>
    </w:p>
    <w:p>
      <w:pPr>
        <w:snapToGrid w:val="0"/>
        <w:spacing w:line="300" w:lineRule="auto"/>
        <w:rPr>
          <w:rFonts w:ascii="Times New Roman" w:hAnsi="Times New Roman" w:eastAsia="仿宋_GB2312" w:cs="Times New Roman"/>
          <w:sz w:val="28"/>
          <w:szCs w:val="28"/>
        </w:rPr>
      </w:pPr>
    </w:p>
    <w:p>
      <w:pPr>
        <w:snapToGrid w:val="0"/>
        <w:spacing w:line="30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复审人：张莉琼 项目总监</w:t>
      </w:r>
    </w:p>
    <w:p>
      <w:pPr>
        <w:snapToGrid w:val="0"/>
        <w:spacing w:line="300" w:lineRule="auto"/>
        <w:rPr>
          <w:rFonts w:ascii="Times New Roman" w:hAnsi="Times New Roman" w:eastAsia="仿宋_GB2312" w:cs="Times New Roman"/>
          <w:sz w:val="28"/>
          <w:szCs w:val="28"/>
        </w:rPr>
      </w:pPr>
    </w:p>
    <w:p>
      <w:pPr>
        <w:snapToGrid w:val="0"/>
        <w:spacing w:line="300" w:lineRule="auto"/>
        <w:rPr>
          <w:rFonts w:ascii="Times New Roman" w:hAnsi="Times New Roman" w:eastAsia="仿宋_GB2312" w:cs="Times New Roman"/>
          <w:sz w:val="28"/>
          <w:szCs w:val="28"/>
        </w:rPr>
      </w:pPr>
    </w:p>
    <w:p>
      <w:pPr>
        <w:snapToGrid w:val="0"/>
        <w:spacing w:line="30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终审人：谷雪娟 项目总负责</w:t>
      </w:r>
    </w:p>
    <w:p>
      <w:pPr>
        <w:widowControl/>
        <w:jc w:val="left"/>
        <w:rPr>
          <w:rFonts w:ascii="Times New Roman" w:hAnsi="Times New Roman" w:eastAsia="仿宋_GB2312" w:cs="Times New Roman"/>
          <w:sz w:val="28"/>
          <w:szCs w:val="28"/>
        </w:rPr>
      </w:pPr>
      <w:r>
        <w:rPr>
          <w:rFonts w:ascii="Times New Roman" w:hAnsi="Times New Roman" w:eastAsia="仿宋_GB2312" w:cs="Times New Roman"/>
          <w:sz w:val="28"/>
          <w:szCs w:val="28"/>
        </w:rPr>
        <w:br w:type="page"/>
      </w:r>
    </w:p>
    <w:p>
      <w:pPr>
        <w:snapToGrid w:val="0"/>
        <w:spacing w:line="300" w:lineRule="auto"/>
        <w:rPr>
          <w:rFonts w:ascii="Times New Roman" w:hAnsi="Times New Roman" w:eastAsia="仿宋_GB2312" w:cs="Times New Roman"/>
          <w:sz w:val="28"/>
          <w:szCs w:val="28"/>
        </w:rPr>
      </w:pPr>
    </w:p>
    <w:p>
      <w:pPr>
        <w:widowControl/>
        <w:jc w:val="left"/>
        <w:rPr>
          <w:rFonts w:ascii="Times New Roman" w:hAnsi="Times New Roman" w:eastAsia="仿宋_GB2312" w:cs="Times New Roman"/>
          <w:sz w:val="28"/>
          <w:szCs w:val="28"/>
        </w:rPr>
      </w:pPr>
      <w:r>
        <w:rPr>
          <w:rFonts w:ascii="Times New Roman" w:hAnsi="Times New Roman" w:eastAsia="仿宋_GB2312" w:cs="Times New Roman"/>
          <w:sz w:val="28"/>
          <w:szCs w:val="28"/>
        </w:rPr>
        <w:br w:type="page"/>
      </w:r>
    </w:p>
    <w:sdt>
      <w:sdtPr>
        <w:rPr>
          <w:rFonts w:ascii="Times New Roman" w:hAnsi="Times New Roman" w:cs="Times New Roman" w:eastAsiaTheme="minorEastAsia"/>
          <w:color w:val="auto"/>
          <w:kern w:val="2"/>
          <w:sz w:val="21"/>
          <w:szCs w:val="22"/>
          <w:lang w:val="zh-CN"/>
        </w:rPr>
        <w:id w:val="773214452"/>
        <w:docPartObj>
          <w:docPartGallery w:val="Table of Contents"/>
          <w:docPartUnique/>
        </w:docPartObj>
      </w:sdtPr>
      <w:sdtEndPr>
        <w:rPr>
          <w:rFonts w:ascii="Times New Roman" w:hAnsi="Times New Roman" w:cs="Times New Roman" w:eastAsiaTheme="minorEastAsia"/>
          <w:b/>
          <w:bCs/>
          <w:color w:val="auto"/>
          <w:kern w:val="2"/>
          <w:sz w:val="21"/>
          <w:szCs w:val="22"/>
          <w:lang w:val="zh-CN"/>
        </w:rPr>
      </w:sdtEndPr>
      <w:sdtContent>
        <w:p>
          <w:pPr>
            <w:pStyle w:val="28"/>
            <w:jc w:val="center"/>
            <w:rPr>
              <w:rFonts w:ascii="Times New Roman" w:hAnsi="Times New Roman" w:eastAsia="黑体" w:cs="Times New Roman"/>
              <w:b/>
              <w:bCs/>
              <w:color w:val="auto"/>
            </w:rPr>
          </w:pPr>
          <w:r>
            <w:rPr>
              <w:rFonts w:ascii="Times New Roman" w:hAnsi="Times New Roman" w:eastAsia="黑体" w:cs="Times New Roman"/>
              <w:b/>
              <w:bCs/>
              <w:color w:val="auto"/>
              <w:lang w:val="zh-CN"/>
            </w:rPr>
            <w:t>目  录</w:t>
          </w:r>
        </w:p>
        <w:p>
          <w:pPr>
            <w:pStyle w:val="8"/>
            <w:rPr>
              <w:b w:val="0"/>
              <w:bCs w:val="0"/>
              <w14:ligatures w14:val="standardContextual"/>
            </w:rPr>
          </w:pPr>
          <w:r>
            <w:fldChar w:fldCharType="begin"/>
          </w:r>
          <w:r>
            <w:instrText xml:space="preserve"> TOC \o "1-3" \h \z \u </w:instrText>
          </w:r>
          <w:r>
            <w:fldChar w:fldCharType="separate"/>
          </w:r>
          <w:r>
            <w:fldChar w:fldCharType="begin"/>
          </w:r>
          <w:r>
            <w:instrText xml:space="preserve"> HYPERLINK \l "_Toc171093900" </w:instrText>
          </w:r>
          <w:r>
            <w:fldChar w:fldCharType="separate"/>
          </w:r>
          <w:r>
            <w:rPr>
              <w:rStyle w:val="15"/>
              <w:color w:val="auto"/>
            </w:rPr>
            <w:t>摘要</w:t>
          </w:r>
          <w:r>
            <w:tab/>
          </w:r>
          <w:r>
            <w:fldChar w:fldCharType="begin"/>
          </w:r>
          <w:r>
            <w:instrText xml:space="preserve"> PAGEREF _Toc171093900 \h </w:instrText>
          </w:r>
          <w:r>
            <w:fldChar w:fldCharType="separate"/>
          </w:r>
          <w:r>
            <w:t>1</w:t>
          </w:r>
          <w:r>
            <w:fldChar w:fldCharType="end"/>
          </w:r>
          <w:r>
            <w:fldChar w:fldCharType="end"/>
          </w:r>
        </w:p>
        <w:p>
          <w:pPr>
            <w:pStyle w:val="8"/>
            <w:rPr>
              <w:b w:val="0"/>
              <w:bCs w:val="0"/>
              <w14:ligatures w14:val="standardContextual"/>
            </w:rPr>
          </w:pPr>
          <w:r>
            <w:fldChar w:fldCharType="begin"/>
          </w:r>
          <w:r>
            <w:instrText xml:space="preserve"> HYPERLINK \l "_Toc171093906" </w:instrText>
          </w:r>
          <w:r>
            <w:fldChar w:fldCharType="separate"/>
          </w:r>
          <w:r>
            <w:rPr>
              <w:rStyle w:val="15"/>
              <w:color w:val="auto"/>
            </w:rPr>
            <w:t>一、项目基本情况</w:t>
          </w:r>
          <w:r>
            <w:tab/>
          </w:r>
          <w:r>
            <w:fldChar w:fldCharType="begin"/>
          </w:r>
          <w:r>
            <w:instrText xml:space="preserve"> PAGEREF _Toc171093906 \h </w:instrText>
          </w:r>
          <w:r>
            <w:fldChar w:fldCharType="separate"/>
          </w:r>
          <w:r>
            <w:t>1</w:t>
          </w:r>
          <w:r>
            <w:fldChar w:fldCharType="end"/>
          </w:r>
          <w:r>
            <w:fldChar w:fldCharType="end"/>
          </w:r>
        </w:p>
        <w:p>
          <w:pPr>
            <w:pStyle w:val="10"/>
            <w:tabs>
              <w:tab w:val="right" w:leader="dot" w:pos="8835"/>
            </w:tabs>
            <w:spacing w:line="560" w:lineRule="exact"/>
            <w:rPr>
              <w:rFonts w:ascii="Times New Roman" w:hAnsi="Times New Roman" w:eastAsia="仿宋_GB2312" w:cs="Times New Roman"/>
              <w:sz w:val="32"/>
              <w:szCs w:val="32"/>
              <w14:ligatures w14:val="standardContextual"/>
            </w:rPr>
          </w:pPr>
          <w:r>
            <w:fldChar w:fldCharType="begin"/>
          </w:r>
          <w:r>
            <w:instrText xml:space="preserve"> HYPERLINK \l "_Toc171093907" </w:instrText>
          </w:r>
          <w:r>
            <w:fldChar w:fldCharType="separate"/>
          </w:r>
          <w:r>
            <w:rPr>
              <w:rStyle w:val="15"/>
              <w:rFonts w:ascii="Times New Roman" w:hAnsi="Times New Roman" w:eastAsia="仿宋_GB2312" w:cs="Times New Roman"/>
              <w:color w:val="auto"/>
              <w:sz w:val="32"/>
              <w:szCs w:val="32"/>
            </w:rPr>
            <w:t>（一）项目立项背景、目的和依据</w:t>
          </w:r>
          <w:r>
            <w:rPr>
              <w:rFonts w:ascii="Times New Roman" w:hAnsi="Times New Roman" w:eastAsia="仿宋_GB2312" w:cs="Times New Roman"/>
              <w:sz w:val="32"/>
              <w:szCs w:val="32"/>
            </w:rPr>
            <w:tab/>
          </w:r>
          <w:r>
            <w:rPr>
              <w:rFonts w:ascii="Times New Roman" w:hAnsi="Times New Roman" w:eastAsia="仿宋_GB2312" w:cs="Times New Roman"/>
              <w:sz w:val="32"/>
              <w:szCs w:val="32"/>
            </w:rPr>
            <w:fldChar w:fldCharType="begin"/>
          </w:r>
          <w:r>
            <w:rPr>
              <w:rFonts w:ascii="Times New Roman" w:hAnsi="Times New Roman" w:eastAsia="仿宋_GB2312" w:cs="Times New Roman"/>
              <w:sz w:val="32"/>
              <w:szCs w:val="32"/>
            </w:rPr>
            <w:instrText xml:space="preserve"> PAGEREF _Toc171093907 \h </w:instrText>
          </w:r>
          <w:r>
            <w:rPr>
              <w:rFonts w:ascii="Times New Roman" w:hAnsi="Times New Roman" w:eastAsia="仿宋_GB2312" w:cs="Times New Roman"/>
              <w:sz w:val="32"/>
              <w:szCs w:val="32"/>
            </w:rPr>
            <w:fldChar w:fldCharType="separate"/>
          </w:r>
          <w:r>
            <w:rPr>
              <w:rFonts w:ascii="Times New Roman" w:hAnsi="Times New Roman" w:eastAsia="仿宋_GB2312" w:cs="Times New Roman"/>
              <w:sz w:val="32"/>
              <w:szCs w:val="32"/>
            </w:rPr>
            <w:t>2</w:t>
          </w:r>
          <w:r>
            <w:rPr>
              <w:rFonts w:ascii="Times New Roman" w:hAnsi="Times New Roman" w:eastAsia="仿宋_GB2312" w:cs="Times New Roman"/>
              <w:sz w:val="32"/>
              <w:szCs w:val="32"/>
            </w:rPr>
            <w:fldChar w:fldCharType="end"/>
          </w:r>
          <w:r>
            <w:rPr>
              <w:rFonts w:ascii="Times New Roman" w:hAnsi="Times New Roman" w:eastAsia="仿宋_GB2312" w:cs="Times New Roman"/>
              <w:sz w:val="32"/>
              <w:szCs w:val="32"/>
            </w:rPr>
            <w:fldChar w:fldCharType="end"/>
          </w:r>
        </w:p>
        <w:p>
          <w:pPr>
            <w:pStyle w:val="10"/>
            <w:tabs>
              <w:tab w:val="right" w:leader="dot" w:pos="8835"/>
            </w:tabs>
            <w:spacing w:line="560" w:lineRule="exact"/>
            <w:rPr>
              <w:rFonts w:ascii="Times New Roman" w:hAnsi="Times New Roman" w:eastAsia="仿宋_GB2312" w:cs="Times New Roman"/>
              <w:sz w:val="32"/>
              <w:szCs w:val="32"/>
              <w14:ligatures w14:val="standardContextual"/>
            </w:rPr>
          </w:pPr>
          <w:r>
            <w:fldChar w:fldCharType="begin"/>
          </w:r>
          <w:r>
            <w:instrText xml:space="preserve"> HYPERLINK \l "_Toc171093911" </w:instrText>
          </w:r>
          <w:r>
            <w:fldChar w:fldCharType="separate"/>
          </w:r>
          <w:r>
            <w:rPr>
              <w:rStyle w:val="15"/>
              <w:rFonts w:ascii="Times New Roman" w:hAnsi="Times New Roman" w:eastAsia="仿宋_GB2312" w:cs="Times New Roman"/>
              <w:color w:val="auto"/>
              <w:sz w:val="32"/>
              <w:szCs w:val="32"/>
            </w:rPr>
            <w:t>（二）项目实施计划及完成情况</w:t>
          </w:r>
          <w:r>
            <w:rPr>
              <w:rFonts w:ascii="Times New Roman" w:hAnsi="Times New Roman" w:eastAsia="仿宋_GB2312" w:cs="Times New Roman"/>
              <w:sz w:val="32"/>
              <w:szCs w:val="32"/>
            </w:rPr>
            <w:tab/>
          </w:r>
          <w:r>
            <w:rPr>
              <w:rFonts w:ascii="Times New Roman" w:hAnsi="Times New Roman" w:eastAsia="仿宋_GB2312" w:cs="Times New Roman"/>
              <w:sz w:val="32"/>
              <w:szCs w:val="32"/>
            </w:rPr>
            <w:fldChar w:fldCharType="begin"/>
          </w:r>
          <w:r>
            <w:rPr>
              <w:rFonts w:ascii="Times New Roman" w:hAnsi="Times New Roman" w:eastAsia="仿宋_GB2312" w:cs="Times New Roman"/>
              <w:sz w:val="32"/>
              <w:szCs w:val="32"/>
            </w:rPr>
            <w:instrText xml:space="preserve"> PAGEREF _Toc171093911 \h </w:instrText>
          </w:r>
          <w:r>
            <w:rPr>
              <w:rFonts w:ascii="Times New Roman" w:hAnsi="Times New Roman" w:eastAsia="仿宋_GB2312" w:cs="Times New Roman"/>
              <w:sz w:val="32"/>
              <w:szCs w:val="32"/>
            </w:rPr>
            <w:fldChar w:fldCharType="separate"/>
          </w:r>
          <w:r>
            <w:rPr>
              <w:rFonts w:ascii="Times New Roman" w:hAnsi="Times New Roman" w:eastAsia="仿宋_GB2312" w:cs="Times New Roman"/>
              <w:sz w:val="32"/>
              <w:szCs w:val="32"/>
            </w:rPr>
            <w:t>7</w:t>
          </w:r>
          <w:r>
            <w:rPr>
              <w:rFonts w:ascii="Times New Roman" w:hAnsi="Times New Roman" w:eastAsia="仿宋_GB2312" w:cs="Times New Roman"/>
              <w:sz w:val="32"/>
              <w:szCs w:val="32"/>
            </w:rPr>
            <w:fldChar w:fldCharType="end"/>
          </w:r>
          <w:r>
            <w:rPr>
              <w:rFonts w:ascii="Times New Roman" w:hAnsi="Times New Roman" w:eastAsia="仿宋_GB2312" w:cs="Times New Roman"/>
              <w:sz w:val="32"/>
              <w:szCs w:val="32"/>
            </w:rPr>
            <w:fldChar w:fldCharType="end"/>
          </w:r>
        </w:p>
        <w:p>
          <w:pPr>
            <w:pStyle w:val="10"/>
            <w:tabs>
              <w:tab w:val="right" w:leader="dot" w:pos="8835"/>
            </w:tabs>
            <w:spacing w:line="560" w:lineRule="exact"/>
            <w:rPr>
              <w:rFonts w:ascii="Times New Roman" w:hAnsi="Times New Roman" w:eastAsia="仿宋_GB2312" w:cs="Times New Roman"/>
              <w:sz w:val="32"/>
              <w:szCs w:val="32"/>
              <w14:ligatures w14:val="standardContextual"/>
            </w:rPr>
          </w:pPr>
          <w:r>
            <w:fldChar w:fldCharType="begin"/>
          </w:r>
          <w:r>
            <w:instrText xml:space="preserve"> HYPERLINK \l "_Toc171093915" </w:instrText>
          </w:r>
          <w:r>
            <w:fldChar w:fldCharType="separate"/>
          </w:r>
          <w:r>
            <w:rPr>
              <w:rStyle w:val="15"/>
              <w:rFonts w:ascii="Times New Roman" w:hAnsi="Times New Roman" w:eastAsia="仿宋_GB2312" w:cs="Times New Roman"/>
              <w:color w:val="auto"/>
              <w:sz w:val="32"/>
              <w:szCs w:val="32"/>
            </w:rPr>
            <w:t>（三）项目资金来源、项目预算及资金使用情况</w:t>
          </w:r>
          <w:r>
            <w:rPr>
              <w:rFonts w:ascii="Times New Roman" w:hAnsi="Times New Roman" w:eastAsia="仿宋_GB2312" w:cs="Times New Roman"/>
              <w:sz w:val="32"/>
              <w:szCs w:val="32"/>
            </w:rPr>
            <w:tab/>
          </w:r>
          <w:r>
            <w:rPr>
              <w:rFonts w:ascii="Times New Roman" w:hAnsi="Times New Roman" w:eastAsia="仿宋_GB2312" w:cs="Times New Roman"/>
              <w:sz w:val="32"/>
              <w:szCs w:val="32"/>
            </w:rPr>
            <w:fldChar w:fldCharType="begin"/>
          </w:r>
          <w:r>
            <w:rPr>
              <w:rFonts w:ascii="Times New Roman" w:hAnsi="Times New Roman" w:eastAsia="仿宋_GB2312" w:cs="Times New Roman"/>
              <w:sz w:val="32"/>
              <w:szCs w:val="32"/>
            </w:rPr>
            <w:instrText xml:space="preserve"> PAGEREF _Toc171093915 \h </w:instrText>
          </w:r>
          <w:r>
            <w:rPr>
              <w:rFonts w:ascii="Times New Roman" w:hAnsi="Times New Roman" w:eastAsia="仿宋_GB2312" w:cs="Times New Roman"/>
              <w:sz w:val="32"/>
              <w:szCs w:val="32"/>
            </w:rPr>
            <w:fldChar w:fldCharType="separate"/>
          </w:r>
          <w:r>
            <w:rPr>
              <w:rFonts w:ascii="Times New Roman" w:hAnsi="Times New Roman" w:eastAsia="仿宋_GB2312" w:cs="Times New Roman"/>
              <w:sz w:val="32"/>
              <w:szCs w:val="32"/>
            </w:rPr>
            <w:t>19</w:t>
          </w:r>
          <w:r>
            <w:rPr>
              <w:rFonts w:ascii="Times New Roman" w:hAnsi="Times New Roman" w:eastAsia="仿宋_GB2312" w:cs="Times New Roman"/>
              <w:sz w:val="32"/>
              <w:szCs w:val="32"/>
            </w:rPr>
            <w:fldChar w:fldCharType="end"/>
          </w:r>
          <w:r>
            <w:rPr>
              <w:rFonts w:ascii="Times New Roman" w:hAnsi="Times New Roman" w:eastAsia="仿宋_GB2312" w:cs="Times New Roman"/>
              <w:sz w:val="32"/>
              <w:szCs w:val="32"/>
            </w:rPr>
            <w:fldChar w:fldCharType="end"/>
          </w:r>
        </w:p>
        <w:p>
          <w:pPr>
            <w:pStyle w:val="10"/>
            <w:tabs>
              <w:tab w:val="right" w:leader="dot" w:pos="8835"/>
            </w:tabs>
            <w:spacing w:line="560" w:lineRule="exact"/>
            <w:rPr>
              <w:rFonts w:ascii="Times New Roman" w:hAnsi="Times New Roman" w:eastAsia="仿宋_GB2312" w:cs="Times New Roman"/>
              <w:sz w:val="32"/>
              <w:szCs w:val="32"/>
              <w14:ligatures w14:val="standardContextual"/>
            </w:rPr>
          </w:pPr>
          <w:r>
            <w:fldChar w:fldCharType="begin"/>
          </w:r>
          <w:r>
            <w:instrText xml:space="preserve"> HYPERLINK \l "_Toc171093920" </w:instrText>
          </w:r>
          <w:r>
            <w:fldChar w:fldCharType="separate"/>
          </w:r>
          <w:r>
            <w:rPr>
              <w:rStyle w:val="15"/>
              <w:rFonts w:ascii="Times New Roman" w:hAnsi="Times New Roman" w:eastAsia="仿宋_GB2312" w:cs="Times New Roman"/>
              <w:color w:val="auto"/>
              <w:sz w:val="32"/>
              <w:szCs w:val="32"/>
            </w:rPr>
            <w:t>（四）项目的组织及管理</w:t>
          </w:r>
          <w:r>
            <w:rPr>
              <w:rFonts w:ascii="Times New Roman" w:hAnsi="Times New Roman" w:eastAsia="仿宋_GB2312" w:cs="Times New Roman"/>
              <w:sz w:val="32"/>
              <w:szCs w:val="32"/>
            </w:rPr>
            <w:tab/>
          </w:r>
          <w:r>
            <w:rPr>
              <w:rFonts w:ascii="Times New Roman" w:hAnsi="Times New Roman" w:eastAsia="仿宋_GB2312" w:cs="Times New Roman"/>
              <w:sz w:val="32"/>
              <w:szCs w:val="32"/>
            </w:rPr>
            <w:fldChar w:fldCharType="begin"/>
          </w:r>
          <w:r>
            <w:rPr>
              <w:rFonts w:ascii="Times New Roman" w:hAnsi="Times New Roman" w:eastAsia="仿宋_GB2312" w:cs="Times New Roman"/>
              <w:sz w:val="32"/>
              <w:szCs w:val="32"/>
            </w:rPr>
            <w:instrText xml:space="preserve"> PAGEREF _Toc171093920 \h </w:instrText>
          </w:r>
          <w:r>
            <w:rPr>
              <w:rFonts w:ascii="Times New Roman" w:hAnsi="Times New Roman" w:eastAsia="仿宋_GB2312" w:cs="Times New Roman"/>
              <w:sz w:val="32"/>
              <w:szCs w:val="32"/>
            </w:rPr>
            <w:fldChar w:fldCharType="separate"/>
          </w:r>
          <w:r>
            <w:rPr>
              <w:rFonts w:ascii="Times New Roman" w:hAnsi="Times New Roman" w:eastAsia="仿宋_GB2312" w:cs="Times New Roman"/>
              <w:sz w:val="32"/>
              <w:szCs w:val="32"/>
            </w:rPr>
            <w:t>35</w:t>
          </w:r>
          <w:r>
            <w:rPr>
              <w:rFonts w:ascii="Times New Roman" w:hAnsi="Times New Roman" w:eastAsia="仿宋_GB2312" w:cs="Times New Roman"/>
              <w:sz w:val="32"/>
              <w:szCs w:val="32"/>
            </w:rPr>
            <w:fldChar w:fldCharType="end"/>
          </w:r>
          <w:r>
            <w:rPr>
              <w:rFonts w:ascii="Times New Roman" w:hAnsi="Times New Roman" w:eastAsia="仿宋_GB2312" w:cs="Times New Roman"/>
              <w:sz w:val="32"/>
              <w:szCs w:val="32"/>
            </w:rPr>
            <w:fldChar w:fldCharType="end"/>
          </w:r>
        </w:p>
        <w:p>
          <w:pPr>
            <w:pStyle w:val="10"/>
            <w:tabs>
              <w:tab w:val="right" w:leader="dot" w:pos="8835"/>
            </w:tabs>
            <w:spacing w:line="560" w:lineRule="exact"/>
            <w:rPr>
              <w:rFonts w:ascii="Times New Roman" w:hAnsi="Times New Roman" w:eastAsia="仿宋_GB2312" w:cs="Times New Roman"/>
              <w:sz w:val="32"/>
              <w:szCs w:val="32"/>
              <w14:ligatures w14:val="standardContextual"/>
            </w:rPr>
          </w:pPr>
          <w:r>
            <w:fldChar w:fldCharType="begin"/>
          </w:r>
          <w:r>
            <w:instrText xml:space="preserve"> HYPERLINK \l "_Toc171093924" </w:instrText>
          </w:r>
          <w:r>
            <w:fldChar w:fldCharType="separate"/>
          </w:r>
          <w:r>
            <w:rPr>
              <w:rStyle w:val="15"/>
              <w:rFonts w:ascii="Times New Roman" w:hAnsi="Times New Roman" w:eastAsia="仿宋_GB2312" w:cs="Times New Roman"/>
              <w:color w:val="auto"/>
              <w:sz w:val="32"/>
              <w:szCs w:val="32"/>
            </w:rPr>
            <w:t>（五）项目绩效目标</w:t>
          </w:r>
          <w:r>
            <w:rPr>
              <w:rFonts w:ascii="Times New Roman" w:hAnsi="Times New Roman" w:eastAsia="仿宋_GB2312" w:cs="Times New Roman"/>
              <w:sz w:val="32"/>
              <w:szCs w:val="32"/>
            </w:rPr>
            <w:tab/>
          </w:r>
          <w:r>
            <w:rPr>
              <w:rFonts w:ascii="Times New Roman" w:hAnsi="Times New Roman" w:eastAsia="仿宋_GB2312" w:cs="Times New Roman"/>
              <w:sz w:val="32"/>
              <w:szCs w:val="32"/>
            </w:rPr>
            <w:fldChar w:fldCharType="begin"/>
          </w:r>
          <w:r>
            <w:rPr>
              <w:rFonts w:ascii="Times New Roman" w:hAnsi="Times New Roman" w:eastAsia="仿宋_GB2312" w:cs="Times New Roman"/>
              <w:sz w:val="32"/>
              <w:szCs w:val="32"/>
            </w:rPr>
            <w:instrText xml:space="preserve"> PAGEREF _Toc171093924 \h </w:instrText>
          </w:r>
          <w:r>
            <w:rPr>
              <w:rFonts w:ascii="Times New Roman" w:hAnsi="Times New Roman" w:eastAsia="仿宋_GB2312" w:cs="Times New Roman"/>
              <w:sz w:val="32"/>
              <w:szCs w:val="32"/>
            </w:rPr>
            <w:fldChar w:fldCharType="separate"/>
          </w:r>
          <w:r>
            <w:rPr>
              <w:rFonts w:ascii="Times New Roman" w:hAnsi="Times New Roman" w:eastAsia="仿宋_GB2312" w:cs="Times New Roman"/>
              <w:sz w:val="32"/>
              <w:szCs w:val="32"/>
            </w:rPr>
            <w:t>49</w:t>
          </w:r>
          <w:r>
            <w:rPr>
              <w:rFonts w:ascii="Times New Roman" w:hAnsi="Times New Roman" w:eastAsia="仿宋_GB2312" w:cs="Times New Roman"/>
              <w:sz w:val="32"/>
              <w:szCs w:val="32"/>
            </w:rPr>
            <w:fldChar w:fldCharType="end"/>
          </w:r>
          <w:r>
            <w:rPr>
              <w:rFonts w:ascii="Times New Roman" w:hAnsi="Times New Roman" w:eastAsia="仿宋_GB2312" w:cs="Times New Roman"/>
              <w:sz w:val="32"/>
              <w:szCs w:val="32"/>
            </w:rPr>
            <w:fldChar w:fldCharType="end"/>
          </w:r>
        </w:p>
        <w:p>
          <w:pPr>
            <w:pStyle w:val="8"/>
            <w:rPr>
              <w:b w:val="0"/>
              <w:bCs w:val="0"/>
              <w14:ligatures w14:val="standardContextual"/>
            </w:rPr>
          </w:pPr>
          <w:r>
            <w:fldChar w:fldCharType="begin"/>
          </w:r>
          <w:r>
            <w:instrText xml:space="preserve"> HYPERLINK \l "_Toc171093927" </w:instrText>
          </w:r>
          <w:r>
            <w:fldChar w:fldCharType="separate"/>
          </w:r>
          <w:r>
            <w:rPr>
              <w:rStyle w:val="15"/>
              <w:color w:val="auto"/>
            </w:rPr>
            <w:t>二、绩效评价工作情况</w:t>
          </w:r>
          <w:r>
            <w:tab/>
          </w:r>
          <w:r>
            <w:fldChar w:fldCharType="begin"/>
          </w:r>
          <w:r>
            <w:instrText xml:space="preserve"> PAGEREF _Toc171093927 \h </w:instrText>
          </w:r>
          <w:r>
            <w:fldChar w:fldCharType="separate"/>
          </w:r>
          <w:r>
            <w:t>51</w:t>
          </w:r>
          <w:r>
            <w:fldChar w:fldCharType="end"/>
          </w:r>
          <w:r>
            <w:fldChar w:fldCharType="end"/>
          </w:r>
        </w:p>
        <w:p>
          <w:pPr>
            <w:pStyle w:val="10"/>
            <w:tabs>
              <w:tab w:val="right" w:leader="dot" w:pos="8835"/>
            </w:tabs>
            <w:spacing w:line="560" w:lineRule="exact"/>
            <w:rPr>
              <w:rFonts w:ascii="Times New Roman" w:hAnsi="Times New Roman" w:eastAsia="仿宋_GB2312" w:cs="Times New Roman"/>
              <w:sz w:val="32"/>
              <w:szCs w:val="32"/>
              <w14:ligatures w14:val="standardContextual"/>
            </w:rPr>
          </w:pPr>
          <w:r>
            <w:fldChar w:fldCharType="begin"/>
          </w:r>
          <w:r>
            <w:instrText xml:space="preserve"> HYPERLINK \l "_Toc171093928" </w:instrText>
          </w:r>
          <w:r>
            <w:fldChar w:fldCharType="separate"/>
          </w:r>
          <w:r>
            <w:rPr>
              <w:rStyle w:val="15"/>
              <w:rFonts w:ascii="Times New Roman" w:hAnsi="Times New Roman" w:eastAsia="仿宋_GB2312" w:cs="Times New Roman"/>
              <w:color w:val="auto"/>
              <w:sz w:val="32"/>
              <w:szCs w:val="32"/>
            </w:rPr>
            <w:t>（一）绩效评价目的、对象和范围</w:t>
          </w:r>
          <w:r>
            <w:rPr>
              <w:rFonts w:ascii="Times New Roman" w:hAnsi="Times New Roman" w:eastAsia="仿宋_GB2312" w:cs="Times New Roman"/>
              <w:sz w:val="32"/>
              <w:szCs w:val="32"/>
            </w:rPr>
            <w:tab/>
          </w:r>
          <w:r>
            <w:rPr>
              <w:rFonts w:ascii="Times New Roman" w:hAnsi="Times New Roman" w:eastAsia="仿宋_GB2312" w:cs="Times New Roman"/>
              <w:sz w:val="32"/>
              <w:szCs w:val="32"/>
            </w:rPr>
            <w:fldChar w:fldCharType="begin"/>
          </w:r>
          <w:r>
            <w:rPr>
              <w:rFonts w:ascii="Times New Roman" w:hAnsi="Times New Roman" w:eastAsia="仿宋_GB2312" w:cs="Times New Roman"/>
              <w:sz w:val="32"/>
              <w:szCs w:val="32"/>
            </w:rPr>
            <w:instrText xml:space="preserve"> PAGEREF _Toc171093928 \h </w:instrText>
          </w:r>
          <w:r>
            <w:rPr>
              <w:rFonts w:ascii="Times New Roman" w:hAnsi="Times New Roman" w:eastAsia="仿宋_GB2312" w:cs="Times New Roman"/>
              <w:sz w:val="32"/>
              <w:szCs w:val="32"/>
            </w:rPr>
            <w:fldChar w:fldCharType="separate"/>
          </w:r>
          <w:r>
            <w:rPr>
              <w:rFonts w:ascii="Times New Roman" w:hAnsi="Times New Roman" w:eastAsia="仿宋_GB2312" w:cs="Times New Roman"/>
              <w:sz w:val="32"/>
              <w:szCs w:val="32"/>
            </w:rPr>
            <w:t>51</w:t>
          </w:r>
          <w:r>
            <w:rPr>
              <w:rFonts w:ascii="Times New Roman" w:hAnsi="Times New Roman" w:eastAsia="仿宋_GB2312" w:cs="Times New Roman"/>
              <w:sz w:val="32"/>
              <w:szCs w:val="32"/>
            </w:rPr>
            <w:fldChar w:fldCharType="end"/>
          </w:r>
          <w:r>
            <w:rPr>
              <w:rFonts w:ascii="Times New Roman" w:hAnsi="Times New Roman" w:eastAsia="仿宋_GB2312" w:cs="Times New Roman"/>
              <w:sz w:val="32"/>
              <w:szCs w:val="32"/>
            </w:rPr>
            <w:fldChar w:fldCharType="end"/>
          </w:r>
        </w:p>
        <w:p>
          <w:pPr>
            <w:pStyle w:val="10"/>
            <w:tabs>
              <w:tab w:val="right" w:leader="dot" w:pos="8835"/>
            </w:tabs>
            <w:spacing w:line="560" w:lineRule="exact"/>
            <w:rPr>
              <w:rFonts w:ascii="Times New Roman" w:hAnsi="Times New Roman" w:eastAsia="仿宋_GB2312" w:cs="Times New Roman"/>
              <w:sz w:val="32"/>
              <w:szCs w:val="32"/>
              <w14:ligatures w14:val="standardContextual"/>
            </w:rPr>
          </w:pPr>
          <w:r>
            <w:fldChar w:fldCharType="begin"/>
          </w:r>
          <w:r>
            <w:instrText xml:space="preserve"> HYPERLINK \l "_Toc171093932" </w:instrText>
          </w:r>
          <w:r>
            <w:fldChar w:fldCharType="separate"/>
          </w:r>
          <w:r>
            <w:rPr>
              <w:rStyle w:val="15"/>
              <w:rFonts w:ascii="Times New Roman" w:hAnsi="Times New Roman" w:eastAsia="仿宋_GB2312" w:cs="Times New Roman"/>
              <w:color w:val="auto"/>
              <w:sz w:val="32"/>
              <w:szCs w:val="32"/>
            </w:rPr>
            <w:t>（二）绩效评价的依据</w:t>
          </w:r>
          <w:r>
            <w:rPr>
              <w:rFonts w:ascii="Times New Roman" w:hAnsi="Times New Roman" w:eastAsia="仿宋_GB2312" w:cs="Times New Roman"/>
              <w:sz w:val="32"/>
              <w:szCs w:val="32"/>
            </w:rPr>
            <w:tab/>
          </w:r>
          <w:r>
            <w:rPr>
              <w:rFonts w:ascii="Times New Roman" w:hAnsi="Times New Roman" w:eastAsia="仿宋_GB2312" w:cs="Times New Roman"/>
              <w:sz w:val="32"/>
              <w:szCs w:val="32"/>
            </w:rPr>
            <w:fldChar w:fldCharType="begin"/>
          </w:r>
          <w:r>
            <w:rPr>
              <w:rFonts w:ascii="Times New Roman" w:hAnsi="Times New Roman" w:eastAsia="仿宋_GB2312" w:cs="Times New Roman"/>
              <w:sz w:val="32"/>
              <w:szCs w:val="32"/>
            </w:rPr>
            <w:instrText xml:space="preserve"> PAGEREF _Toc171093932 \h </w:instrText>
          </w:r>
          <w:r>
            <w:rPr>
              <w:rFonts w:ascii="Times New Roman" w:hAnsi="Times New Roman" w:eastAsia="仿宋_GB2312" w:cs="Times New Roman"/>
              <w:sz w:val="32"/>
              <w:szCs w:val="32"/>
            </w:rPr>
            <w:fldChar w:fldCharType="separate"/>
          </w:r>
          <w:r>
            <w:rPr>
              <w:rFonts w:ascii="Times New Roman" w:hAnsi="Times New Roman" w:eastAsia="仿宋_GB2312" w:cs="Times New Roman"/>
              <w:sz w:val="32"/>
              <w:szCs w:val="32"/>
            </w:rPr>
            <w:t>52</w:t>
          </w:r>
          <w:r>
            <w:rPr>
              <w:rFonts w:ascii="Times New Roman" w:hAnsi="Times New Roman" w:eastAsia="仿宋_GB2312" w:cs="Times New Roman"/>
              <w:sz w:val="32"/>
              <w:szCs w:val="32"/>
            </w:rPr>
            <w:fldChar w:fldCharType="end"/>
          </w:r>
          <w:r>
            <w:rPr>
              <w:rFonts w:ascii="Times New Roman" w:hAnsi="Times New Roman" w:eastAsia="仿宋_GB2312" w:cs="Times New Roman"/>
              <w:sz w:val="32"/>
              <w:szCs w:val="32"/>
            </w:rPr>
            <w:fldChar w:fldCharType="end"/>
          </w:r>
        </w:p>
        <w:p>
          <w:pPr>
            <w:pStyle w:val="10"/>
            <w:tabs>
              <w:tab w:val="right" w:leader="dot" w:pos="8835"/>
            </w:tabs>
            <w:spacing w:line="560" w:lineRule="exact"/>
            <w:rPr>
              <w:rFonts w:ascii="Times New Roman" w:hAnsi="Times New Roman" w:eastAsia="仿宋_GB2312" w:cs="Times New Roman"/>
              <w:sz w:val="32"/>
              <w:szCs w:val="32"/>
              <w14:ligatures w14:val="standardContextual"/>
            </w:rPr>
          </w:pPr>
          <w:r>
            <w:fldChar w:fldCharType="begin"/>
          </w:r>
          <w:r>
            <w:instrText xml:space="preserve"> HYPERLINK \l "_Toc171093936" </w:instrText>
          </w:r>
          <w:r>
            <w:fldChar w:fldCharType="separate"/>
          </w:r>
          <w:r>
            <w:rPr>
              <w:rStyle w:val="15"/>
              <w:rFonts w:ascii="Times New Roman" w:hAnsi="Times New Roman" w:eastAsia="仿宋_GB2312" w:cs="Times New Roman"/>
              <w:color w:val="auto"/>
              <w:sz w:val="32"/>
              <w:szCs w:val="32"/>
            </w:rPr>
            <w:t>（三）绩效评价原则、评价方法等</w:t>
          </w:r>
          <w:r>
            <w:rPr>
              <w:rFonts w:ascii="Times New Roman" w:hAnsi="Times New Roman" w:eastAsia="仿宋_GB2312" w:cs="Times New Roman"/>
              <w:sz w:val="32"/>
              <w:szCs w:val="32"/>
            </w:rPr>
            <w:tab/>
          </w:r>
          <w:r>
            <w:rPr>
              <w:rFonts w:ascii="Times New Roman" w:hAnsi="Times New Roman" w:eastAsia="仿宋_GB2312" w:cs="Times New Roman"/>
              <w:sz w:val="32"/>
              <w:szCs w:val="32"/>
            </w:rPr>
            <w:fldChar w:fldCharType="begin"/>
          </w:r>
          <w:r>
            <w:rPr>
              <w:rFonts w:ascii="Times New Roman" w:hAnsi="Times New Roman" w:eastAsia="仿宋_GB2312" w:cs="Times New Roman"/>
              <w:sz w:val="32"/>
              <w:szCs w:val="32"/>
            </w:rPr>
            <w:instrText xml:space="preserve"> PAGEREF _Toc171093936 \h </w:instrText>
          </w:r>
          <w:r>
            <w:rPr>
              <w:rFonts w:ascii="Times New Roman" w:hAnsi="Times New Roman" w:eastAsia="仿宋_GB2312" w:cs="Times New Roman"/>
              <w:sz w:val="32"/>
              <w:szCs w:val="32"/>
            </w:rPr>
            <w:fldChar w:fldCharType="separate"/>
          </w:r>
          <w:r>
            <w:rPr>
              <w:rFonts w:ascii="Times New Roman" w:hAnsi="Times New Roman" w:eastAsia="仿宋_GB2312" w:cs="Times New Roman"/>
              <w:sz w:val="32"/>
              <w:szCs w:val="32"/>
            </w:rPr>
            <w:t>55</w:t>
          </w:r>
          <w:r>
            <w:rPr>
              <w:rFonts w:ascii="Times New Roman" w:hAnsi="Times New Roman" w:eastAsia="仿宋_GB2312" w:cs="Times New Roman"/>
              <w:sz w:val="32"/>
              <w:szCs w:val="32"/>
            </w:rPr>
            <w:fldChar w:fldCharType="end"/>
          </w:r>
          <w:r>
            <w:rPr>
              <w:rFonts w:ascii="Times New Roman" w:hAnsi="Times New Roman" w:eastAsia="仿宋_GB2312" w:cs="Times New Roman"/>
              <w:sz w:val="32"/>
              <w:szCs w:val="32"/>
            </w:rPr>
            <w:fldChar w:fldCharType="end"/>
          </w:r>
        </w:p>
        <w:p>
          <w:pPr>
            <w:pStyle w:val="10"/>
            <w:tabs>
              <w:tab w:val="right" w:leader="dot" w:pos="8835"/>
            </w:tabs>
            <w:spacing w:line="560" w:lineRule="exact"/>
            <w:rPr>
              <w:rFonts w:ascii="Times New Roman" w:hAnsi="Times New Roman" w:eastAsia="仿宋_GB2312" w:cs="Times New Roman"/>
              <w:sz w:val="32"/>
              <w:szCs w:val="32"/>
              <w14:ligatures w14:val="standardContextual"/>
            </w:rPr>
          </w:pPr>
          <w:r>
            <w:fldChar w:fldCharType="begin"/>
          </w:r>
          <w:r>
            <w:instrText xml:space="preserve"> HYPERLINK \l "_Toc171093939" </w:instrText>
          </w:r>
          <w:r>
            <w:fldChar w:fldCharType="separate"/>
          </w:r>
          <w:r>
            <w:rPr>
              <w:rStyle w:val="15"/>
              <w:rFonts w:ascii="Times New Roman" w:hAnsi="Times New Roman" w:eastAsia="仿宋_GB2312" w:cs="Times New Roman"/>
              <w:color w:val="auto"/>
              <w:sz w:val="32"/>
              <w:szCs w:val="32"/>
            </w:rPr>
            <w:t>（四）绩效评价工作方案制定过程</w:t>
          </w:r>
          <w:r>
            <w:rPr>
              <w:rFonts w:ascii="Times New Roman" w:hAnsi="Times New Roman" w:eastAsia="仿宋_GB2312" w:cs="Times New Roman"/>
              <w:sz w:val="32"/>
              <w:szCs w:val="32"/>
            </w:rPr>
            <w:tab/>
          </w:r>
          <w:r>
            <w:rPr>
              <w:rFonts w:ascii="Times New Roman" w:hAnsi="Times New Roman" w:eastAsia="仿宋_GB2312" w:cs="Times New Roman"/>
              <w:sz w:val="32"/>
              <w:szCs w:val="32"/>
            </w:rPr>
            <w:fldChar w:fldCharType="begin"/>
          </w:r>
          <w:r>
            <w:rPr>
              <w:rFonts w:ascii="Times New Roman" w:hAnsi="Times New Roman" w:eastAsia="仿宋_GB2312" w:cs="Times New Roman"/>
              <w:sz w:val="32"/>
              <w:szCs w:val="32"/>
            </w:rPr>
            <w:instrText xml:space="preserve"> PAGEREF _Toc171093939 \h </w:instrText>
          </w:r>
          <w:r>
            <w:rPr>
              <w:rFonts w:ascii="Times New Roman" w:hAnsi="Times New Roman" w:eastAsia="仿宋_GB2312" w:cs="Times New Roman"/>
              <w:sz w:val="32"/>
              <w:szCs w:val="32"/>
            </w:rPr>
            <w:fldChar w:fldCharType="separate"/>
          </w:r>
          <w:r>
            <w:rPr>
              <w:rFonts w:ascii="Times New Roman" w:hAnsi="Times New Roman" w:eastAsia="仿宋_GB2312" w:cs="Times New Roman"/>
              <w:sz w:val="32"/>
              <w:szCs w:val="32"/>
            </w:rPr>
            <w:t>57</w:t>
          </w:r>
          <w:r>
            <w:rPr>
              <w:rFonts w:ascii="Times New Roman" w:hAnsi="Times New Roman" w:eastAsia="仿宋_GB2312" w:cs="Times New Roman"/>
              <w:sz w:val="32"/>
              <w:szCs w:val="32"/>
            </w:rPr>
            <w:fldChar w:fldCharType="end"/>
          </w:r>
          <w:r>
            <w:rPr>
              <w:rFonts w:ascii="Times New Roman" w:hAnsi="Times New Roman" w:eastAsia="仿宋_GB2312" w:cs="Times New Roman"/>
              <w:sz w:val="32"/>
              <w:szCs w:val="32"/>
            </w:rPr>
            <w:fldChar w:fldCharType="end"/>
          </w:r>
        </w:p>
        <w:p>
          <w:pPr>
            <w:pStyle w:val="10"/>
            <w:tabs>
              <w:tab w:val="right" w:leader="dot" w:pos="8835"/>
            </w:tabs>
            <w:spacing w:line="560" w:lineRule="exact"/>
            <w:rPr>
              <w:rFonts w:ascii="Times New Roman" w:hAnsi="Times New Roman" w:eastAsia="仿宋_GB2312" w:cs="Times New Roman"/>
              <w:sz w:val="32"/>
              <w:szCs w:val="32"/>
              <w14:ligatures w14:val="standardContextual"/>
            </w:rPr>
          </w:pPr>
          <w:r>
            <w:fldChar w:fldCharType="begin"/>
          </w:r>
          <w:r>
            <w:instrText xml:space="preserve"> HYPERLINK \l "_Toc171093940" </w:instrText>
          </w:r>
          <w:r>
            <w:fldChar w:fldCharType="separate"/>
          </w:r>
          <w:r>
            <w:rPr>
              <w:rStyle w:val="15"/>
              <w:rFonts w:ascii="Times New Roman" w:hAnsi="Times New Roman" w:eastAsia="仿宋_GB2312" w:cs="Times New Roman"/>
              <w:color w:val="auto"/>
              <w:sz w:val="32"/>
              <w:szCs w:val="32"/>
            </w:rPr>
            <w:t>（五）绩效评价实施过程</w:t>
          </w:r>
          <w:r>
            <w:rPr>
              <w:rFonts w:ascii="Times New Roman" w:hAnsi="Times New Roman" w:eastAsia="仿宋_GB2312" w:cs="Times New Roman"/>
              <w:sz w:val="32"/>
              <w:szCs w:val="32"/>
            </w:rPr>
            <w:tab/>
          </w:r>
          <w:r>
            <w:rPr>
              <w:rFonts w:ascii="Times New Roman" w:hAnsi="Times New Roman" w:eastAsia="仿宋_GB2312" w:cs="Times New Roman"/>
              <w:sz w:val="32"/>
              <w:szCs w:val="32"/>
            </w:rPr>
            <w:fldChar w:fldCharType="begin"/>
          </w:r>
          <w:r>
            <w:rPr>
              <w:rFonts w:ascii="Times New Roman" w:hAnsi="Times New Roman" w:eastAsia="仿宋_GB2312" w:cs="Times New Roman"/>
              <w:sz w:val="32"/>
              <w:szCs w:val="32"/>
            </w:rPr>
            <w:instrText xml:space="preserve"> PAGEREF _Toc171093940 \h </w:instrText>
          </w:r>
          <w:r>
            <w:rPr>
              <w:rFonts w:ascii="Times New Roman" w:hAnsi="Times New Roman" w:eastAsia="仿宋_GB2312" w:cs="Times New Roman"/>
              <w:sz w:val="32"/>
              <w:szCs w:val="32"/>
            </w:rPr>
            <w:fldChar w:fldCharType="separate"/>
          </w:r>
          <w:r>
            <w:rPr>
              <w:rFonts w:ascii="Times New Roman" w:hAnsi="Times New Roman" w:eastAsia="仿宋_GB2312" w:cs="Times New Roman"/>
              <w:sz w:val="32"/>
              <w:szCs w:val="32"/>
            </w:rPr>
            <w:t>57</w:t>
          </w:r>
          <w:r>
            <w:rPr>
              <w:rFonts w:ascii="Times New Roman" w:hAnsi="Times New Roman" w:eastAsia="仿宋_GB2312" w:cs="Times New Roman"/>
              <w:sz w:val="32"/>
              <w:szCs w:val="32"/>
            </w:rPr>
            <w:fldChar w:fldCharType="end"/>
          </w:r>
          <w:r>
            <w:rPr>
              <w:rFonts w:ascii="Times New Roman" w:hAnsi="Times New Roman" w:eastAsia="仿宋_GB2312" w:cs="Times New Roman"/>
              <w:sz w:val="32"/>
              <w:szCs w:val="32"/>
            </w:rPr>
            <w:fldChar w:fldCharType="end"/>
          </w:r>
        </w:p>
        <w:p>
          <w:pPr>
            <w:pStyle w:val="8"/>
            <w:rPr>
              <w:b w:val="0"/>
              <w:bCs w:val="0"/>
              <w14:ligatures w14:val="standardContextual"/>
            </w:rPr>
          </w:pPr>
          <w:r>
            <w:fldChar w:fldCharType="begin"/>
          </w:r>
          <w:r>
            <w:instrText xml:space="preserve"> HYPERLINK \l "_Toc171093941" </w:instrText>
          </w:r>
          <w:r>
            <w:fldChar w:fldCharType="separate"/>
          </w:r>
          <w:r>
            <w:rPr>
              <w:rStyle w:val="15"/>
              <w:color w:val="auto"/>
            </w:rPr>
            <w:t>三、评价结论与绩效分析</w:t>
          </w:r>
          <w:r>
            <w:tab/>
          </w:r>
          <w:r>
            <w:fldChar w:fldCharType="begin"/>
          </w:r>
          <w:r>
            <w:instrText xml:space="preserve"> PAGEREF _Toc171093941 \h </w:instrText>
          </w:r>
          <w:r>
            <w:fldChar w:fldCharType="separate"/>
          </w:r>
          <w:r>
            <w:t>59</w:t>
          </w:r>
          <w:r>
            <w:fldChar w:fldCharType="end"/>
          </w:r>
          <w:r>
            <w:fldChar w:fldCharType="end"/>
          </w:r>
        </w:p>
        <w:p>
          <w:pPr>
            <w:pStyle w:val="10"/>
            <w:tabs>
              <w:tab w:val="right" w:leader="dot" w:pos="8835"/>
            </w:tabs>
            <w:spacing w:line="560" w:lineRule="exact"/>
            <w:rPr>
              <w:rFonts w:ascii="Times New Roman" w:hAnsi="Times New Roman" w:eastAsia="仿宋_GB2312" w:cs="Times New Roman"/>
              <w:sz w:val="32"/>
              <w:szCs w:val="32"/>
              <w14:ligatures w14:val="standardContextual"/>
            </w:rPr>
          </w:pPr>
          <w:r>
            <w:fldChar w:fldCharType="begin"/>
          </w:r>
          <w:r>
            <w:instrText xml:space="preserve"> HYPERLINK \l "_Toc171093942" </w:instrText>
          </w:r>
          <w:r>
            <w:fldChar w:fldCharType="separate"/>
          </w:r>
          <w:r>
            <w:rPr>
              <w:rStyle w:val="15"/>
              <w:rFonts w:ascii="Times New Roman" w:hAnsi="Times New Roman" w:eastAsia="仿宋_GB2312" w:cs="Times New Roman"/>
              <w:color w:val="auto"/>
              <w:sz w:val="32"/>
              <w:szCs w:val="32"/>
            </w:rPr>
            <w:t>（一）评价结论</w:t>
          </w:r>
          <w:r>
            <w:rPr>
              <w:rFonts w:ascii="Times New Roman" w:hAnsi="Times New Roman" w:eastAsia="仿宋_GB2312" w:cs="Times New Roman"/>
              <w:sz w:val="32"/>
              <w:szCs w:val="32"/>
            </w:rPr>
            <w:tab/>
          </w:r>
          <w:r>
            <w:rPr>
              <w:rFonts w:ascii="Times New Roman" w:hAnsi="Times New Roman" w:eastAsia="仿宋_GB2312" w:cs="Times New Roman"/>
              <w:sz w:val="32"/>
              <w:szCs w:val="32"/>
            </w:rPr>
            <w:fldChar w:fldCharType="begin"/>
          </w:r>
          <w:r>
            <w:rPr>
              <w:rFonts w:ascii="Times New Roman" w:hAnsi="Times New Roman" w:eastAsia="仿宋_GB2312" w:cs="Times New Roman"/>
              <w:sz w:val="32"/>
              <w:szCs w:val="32"/>
            </w:rPr>
            <w:instrText xml:space="preserve"> PAGEREF _Toc171093942 \h </w:instrText>
          </w:r>
          <w:r>
            <w:rPr>
              <w:rFonts w:ascii="Times New Roman" w:hAnsi="Times New Roman" w:eastAsia="仿宋_GB2312" w:cs="Times New Roman"/>
              <w:sz w:val="32"/>
              <w:szCs w:val="32"/>
            </w:rPr>
            <w:fldChar w:fldCharType="separate"/>
          </w:r>
          <w:r>
            <w:rPr>
              <w:rFonts w:ascii="Times New Roman" w:hAnsi="Times New Roman" w:eastAsia="仿宋_GB2312" w:cs="Times New Roman"/>
              <w:sz w:val="32"/>
              <w:szCs w:val="32"/>
            </w:rPr>
            <w:t>59</w:t>
          </w:r>
          <w:r>
            <w:rPr>
              <w:rFonts w:ascii="Times New Roman" w:hAnsi="Times New Roman" w:eastAsia="仿宋_GB2312" w:cs="Times New Roman"/>
              <w:sz w:val="32"/>
              <w:szCs w:val="32"/>
            </w:rPr>
            <w:fldChar w:fldCharType="end"/>
          </w:r>
          <w:r>
            <w:rPr>
              <w:rFonts w:ascii="Times New Roman" w:hAnsi="Times New Roman" w:eastAsia="仿宋_GB2312" w:cs="Times New Roman"/>
              <w:sz w:val="32"/>
              <w:szCs w:val="32"/>
            </w:rPr>
            <w:fldChar w:fldCharType="end"/>
          </w:r>
        </w:p>
        <w:p>
          <w:pPr>
            <w:pStyle w:val="10"/>
            <w:tabs>
              <w:tab w:val="right" w:leader="dot" w:pos="8835"/>
            </w:tabs>
            <w:spacing w:line="560" w:lineRule="exact"/>
            <w:rPr>
              <w:rFonts w:ascii="Times New Roman" w:hAnsi="Times New Roman" w:eastAsia="仿宋_GB2312" w:cs="Times New Roman"/>
              <w:sz w:val="32"/>
              <w:szCs w:val="32"/>
              <w14:ligatures w14:val="standardContextual"/>
            </w:rPr>
          </w:pPr>
          <w:r>
            <w:fldChar w:fldCharType="begin"/>
          </w:r>
          <w:r>
            <w:instrText xml:space="preserve"> HYPERLINK \l "_Toc171093945" </w:instrText>
          </w:r>
          <w:r>
            <w:fldChar w:fldCharType="separate"/>
          </w:r>
          <w:r>
            <w:rPr>
              <w:rStyle w:val="15"/>
              <w:rFonts w:ascii="Times New Roman" w:hAnsi="Times New Roman" w:eastAsia="仿宋_GB2312" w:cs="Times New Roman"/>
              <w:color w:val="auto"/>
              <w:sz w:val="32"/>
              <w:szCs w:val="32"/>
            </w:rPr>
            <w:t>（二）具体绩效分析</w:t>
          </w:r>
          <w:r>
            <w:rPr>
              <w:rFonts w:ascii="Times New Roman" w:hAnsi="Times New Roman" w:eastAsia="仿宋_GB2312" w:cs="Times New Roman"/>
              <w:sz w:val="32"/>
              <w:szCs w:val="32"/>
            </w:rPr>
            <w:tab/>
          </w:r>
          <w:r>
            <w:rPr>
              <w:rFonts w:ascii="Times New Roman" w:hAnsi="Times New Roman" w:eastAsia="仿宋_GB2312" w:cs="Times New Roman"/>
              <w:sz w:val="32"/>
              <w:szCs w:val="32"/>
            </w:rPr>
            <w:fldChar w:fldCharType="begin"/>
          </w:r>
          <w:r>
            <w:rPr>
              <w:rFonts w:ascii="Times New Roman" w:hAnsi="Times New Roman" w:eastAsia="仿宋_GB2312" w:cs="Times New Roman"/>
              <w:sz w:val="32"/>
              <w:szCs w:val="32"/>
            </w:rPr>
            <w:instrText xml:space="preserve"> PAGEREF _Toc171093945 \h </w:instrText>
          </w:r>
          <w:r>
            <w:rPr>
              <w:rFonts w:ascii="Times New Roman" w:hAnsi="Times New Roman" w:eastAsia="仿宋_GB2312" w:cs="Times New Roman"/>
              <w:sz w:val="32"/>
              <w:szCs w:val="32"/>
            </w:rPr>
            <w:fldChar w:fldCharType="separate"/>
          </w:r>
          <w:r>
            <w:rPr>
              <w:rFonts w:ascii="Times New Roman" w:hAnsi="Times New Roman" w:eastAsia="仿宋_GB2312" w:cs="Times New Roman"/>
              <w:sz w:val="32"/>
              <w:szCs w:val="32"/>
            </w:rPr>
            <w:t>63</w:t>
          </w:r>
          <w:r>
            <w:rPr>
              <w:rFonts w:ascii="Times New Roman" w:hAnsi="Times New Roman" w:eastAsia="仿宋_GB2312" w:cs="Times New Roman"/>
              <w:sz w:val="32"/>
              <w:szCs w:val="32"/>
            </w:rPr>
            <w:fldChar w:fldCharType="end"/>
          </w:r>
          <w:r>
            <w:rPr>
              <w:rFonts w:ascii="Times New Roman" w:hAnsi="Times New Roman" w:eastAsia="仿宋_GB2312" w:cs="Times New Roman"/>
              <w:sz w:val="32"/>
              <w:szCs w:val="32"/>
            </w:rPr>
            <w:fldChar w:fldCharType="end"/>
          </w:r>
        </w:p>
        <w:p>
          <w:pPr>
            <w:pStyle w:val="8"/>
            <w:rPr>
              <w:b w:val="0"/>
              <w:bCs w:val="0"/>
              <w14:ligatures w14:val="standardContextual"/>
            </w:rPr>
          </w:pPr>
          <w:r>
            <w:fldChar w:fldCharType="begin"/>
          </w:r>
          <w:r>
            <w:instrText xml:space="preserve"> HYPERLINK \l "_Toc171093950" </w:instrText>
          </w:r>
          <w:r>
            <w:fldChar w:fldCharType="separate"/>
          </w:r>
          <w:r>
            <w:rPr>
              <w:rStyle w:val="15"/>
              <w:color w:val="auto"/>
            </w:rPr>
            <w:t>四、主要经验及做法、存在问题和建议</w:t>
          </w:r>
          <w:r>
            <w:tab/>
          </w:r>
          <w:r>
            <w:fldChar w:fldCharType="begin"/>
          </w:r>
          <w:r>
            <w:instrText xml:space="preserve"> PAGEREF _Toc171093950 \h </w:instrText>
          </w:r>
          <w:r>
            <w:fldChar w:fldCharType="separate"/>
          </w:r>
          <w:r>
            <w:t>93</w:t>
          </w:r>
          <w:r>
            <w:fldChar w:fldCharType="end"/>
          </w:r>
          <w:r>
            <w:fldChar w:fldCharType="end"/>
          </w:r>
        </w:p>
        <w:p>
          <w:pPr>
            <w:pStyle w:val="10"/>
            <w:tabs>
              <w:tab w:val="right" w:leader="dot" w:pos="8835"/>
            </w:tabs>
            <w:spacing w:line="560" w:lineRule="exact"/>
            <w:rPr>
              <w:rFonts w:ascii="Times New Roman" w:hAnsi="Times New Roman" w:eastAsia="仿宋_GB2312" w:cs="Times New Roman"/>
              <w:sz w:val="32"/>
              <w:szCs w:val="32"/>
              <w14:ligatures w14:val="standardContextual"/>
            </w:rPr>
          </w:pPr>
          <w:r>
            <w:fldChar w:fldCharType="begin"/>
          </w:r>
          <w:r>
            <w:instrText xml:space="preserve"> HYPERLINK \l "_Toc171093951" </w:instrText>
          </w:r>
          <w:r>
            <w:fldChar w:fldCharType="separate"/>
          </w:r>
          <w:r>
            <w:rPr>
              <w:rStyle w:val="15"/>
              <w:rFonts w:ascii="Times New Roman" w:hAnsi="Times New Roman" w:eastAsia="仿宋_GB2312" w:cs="Times New Roman"/>
              <w:color w:val="auto"/>
              <w:sz w:val="32"/>
              <w:szCs w:val="32"/>
            </w:rPr>
            <w:t>（一）主要经验及做法</w:t>
          </w:r>
          <w:r>
            <w:rPr>
              <w:rFonts w:ascii="Times New Roman" w:hAnsi="Times New Roman" w:eastAsia="仿宋_GB2312" w:cs="Times New Roman"/>
              <w:sz w:val="32"/>
              <w:szCs w:val="32"/>
            </w:rPr>
            <w:tab/>
          </w:r>
          <w:r>
            <w:rPr>
              <w:rFonts w:ascii="Times New Roman" w:hAnsi="Times New Roman" w:eastAsia="仿宋_GB2312" w:cs="Times New Roman"/>
              <w:sz w:val="32"/>
              <w:szCs w:val="32"/>
            </w:rPr>
            <w:fldChar w:fldCharType="begin"/>
          </w:r>
          <w:r>
            <w:rPr>
              <w:rFonts w:ascii="Times New Roman" w:hAnsi="Times New Roman" w:eastAsia="仿宋_GB2312" w:cs="Times New Roman"/>
              <w:sz w:val="32"/>
              <w:szCs w:val="32"/>
            </w:rPr>
            <w:instrText xml:space="preserve"> PAGEREF _Toc171093951 \h </w:instrText>
          </w:r>
          <w:r>
            <w:rPr>
              <w:rFonts w:ascii="Times New Roman" w:hAnsi="Times New Roman" w:eastAsia="仿宋_GB2312" w:cs="Times New Roman"/>
              <w:sz w:val="32"/>
              <w:szCs w:val="32"/>
            </w:rPr>
            <w:fldChar w:fldCharType="separate"/>
          </w:r>
          <w:r>
            <w:rPr>
              <w:rFonts w:ascii="Times New Roman" w:hAnsi="Times New Roman" w:eastAsia="仿宋_GB2312" w:cs="Times New Roman"/>
              <w:sz w:val="32"/>
              <w:szCs w:val="32"/>
            </w:rPr>
            <w:t>93</w:t>
          </w:r>
          <w:r>
            <w:rPr>
              <w:rFonts w:ascii="Times New Roman" w:hAnsi="Times New Roman" w:eastAsia="仿宋_GB2312" w:cs="Times New Roman"/>
              <w:sz w:val="32"/>
              <w:szCs w:val="32"/>
            </w:rPr>
            <w:fldChar w:fldCharType="end"/>
          </w:r>
          <w:r>
            <w:rPr>
              <w:rFonts w:ascii="Times New Roman" w:hAnsi="Times New Roman" w:eastAsia="仿宋_GB2312" w:cs="Times New Roman"/>
              <w:sz w:val="32"/>
              <w:szCs w:val="32"/>
            </w:rPr>
            <w:fldChar w:fldCharType="end"/>
          </w:r>
        </w:p>
        <w:p>
          <w:pPr>
            <w:pStyle w:val="10"/>
            <w:tabs>
              <w:tab w:val="right" w:leader="dot" w:pos="8835"/>
            </w:tabs>
            <w:spacing w:line="560" w:lineRule="exact"/>
            <w:rPr>
              <w:rFonts w:ascii="Times New Roman" w:hAnsi="Times New Roman" w:eastAsia="仿宋_GB2312" w:cs="Times New Roman"/>
              <w:sz w:val="32"/>
              <w:szCs w:val="32"/>
              <w14:ligatures w14:val="standardContextual"/>
            </w:rPr>
          </w:pPr>
          <w:r>
            <w:fldChar w:fldCharType="begin"/>
          </w:r>
          <w:r>
            <w:instrText xml:space="preserve"> HYPERLINK \l "_Toc171093952" </w:instrText>
          </w:r>
          <w:r>
            <w:fldChar w:fldCharType="separate"/>
          </w:r>
          <w:r>
            <w:rPr>
              <w:rStyle w:val="15"/>
              <w:rFonts w:ascii="Times New Roman" w:hAnsi="Times New Roman" w:eastAsia="仿宋_GB2312" w:cs="Times New Roman"/>
              <w:color w:val="auto"/>
              <w:sz w:val="32"/>
              <w:szCs w:val="32"/>
            </w:rPr>
            <w:t>（二）存在问题</w:t>
          </w:r>
          <w:r>
            <w:rPr>
              <w:rFonts w:ascii="Times New Roman" w:hAnsi="Times New Roman" w:eastAsia="仿宋_GB2312" w:cs="Times New Roman"/>
              <w:sz w:val="32"/>
              <w:szCs w:val="32"/>
            </w:rPr>
            <w:tab/>
          </w:r>
          <w:r>
            <w:rPr>
              <w:rFonts w:ascii="Times New Roman" w:hAnsi="Times New Roman" w:eastAsia="仿宋_GB2312" w:cs="Times New Roman"/>
              <w:sz w:val="32"/>
              <w:szCs w:val="32"/>
            </w:rPr>
            <w:fldChar w:fldCharType="begin"/>
          </w:r>
          <w:r>
            <w:rPr>
              <w:rFonts w:ascii="Times New Roman" w:hAnsi="Times New Roman" w:eastAsia="仿宋_GB2312" w:cs="Times New Roman"/>
              <w:sz w:val="32"/>
              <w:szCs w:val="32"/>
            </w:rPr>
            <w:instrText xml:space="preserve"> PAGEREF _Toc171093952 \h </w:instrText>
          </w:r>
          <w:r>
            <w:rPr>
              <w:rFonts w:ascii="Times New Roman" w:hAnsi="Times New Roman" w:eastAsia="仿宋_GB2312" w:cs="Times New Roman"/>
              <w:sz w:val="32"/>
              <w:szCs w:val="32"/>
            </w:rPr>
            <w:fldChar w:fldCharType="separate"/>
          </w:r>
          <w:r>
            <w:rPr>
              <w:rFonts w:ascii="Times New Roman" w:hAnsi="Times New Roman" w:eastAsia="仿宋_GB2312" w:cs="Times New Roman"/>
              <w:sz w:val="32"/>
              <w:szCs w:val="32"/>
            </w:rPr>
            <w:t>94</w:t>
          </w:r>
          <w:r>
            <w:rPr>
              <w:rFonts w:ascii="Times New Roman" w:hAnsi="Times New Roman" w:eastAsia="仿宋_GB2312" w:cs="Times New Roman"/>
              <w:sz w:val="32"/>
              <w:szCs w:val="32"/>
            </w:rPr>
            <w:fldChar w:fldCharType="end"/>
          </w:r>
          <w:r>
            <w:rPr>
              <w:rFonts w:ascii="Times New Roman" w:hAnsi="Times New Roman" w:eastAsia="仿宋_GB2312" w:cs="Times New Roman"/>
              <w:sz w:val="32"/>
              <w:szCs w:val="32"/>
            </w:rPr>
            <w:fldChar w:fldCharType="end"/>
          </w:r>
        </w:p>
        <w:p>
          <w:pPr>
            <w:pStyle w:val="10"/>
            <w:tabs>
              <w:tab w:val="right" w:leader="dot" w:pos="8835"/>
            </w:tabs>
            <w:spacing w:line="560" w:lineRule="exact"/>
            <w:rPr>
              <w:rFonts w:ascii="Times New Roman" w:hAnsi="Times New Roman" w:eastAsia="仿宋_GB2312" w:cs="Times New Roman"/>
              <w:sz w:val="32"/>
              <w:szCs w:val="32"/>
              <w14:ligatures w14:val="standardContextual"/>
            </w:rPr>
          </w:pPr>
          <w:r>
            <w:fldChar w:fldCharType="begin"/>
          </w:r>
          <w:r>
            <w:instrText xml:space="preserve"> HYPERLINK \l "_Toc171093953" </w:instrText>
          </w:r>
          <w:r>
            <w:fldChar w:fldCharType="separate"/>
          </w:r>
          <w:r>
            <w:rPr>
              <w:rStyle w:val="15"/>
              <w:rFonts w:ascii="Times New Roman" w:hAnsi="Times New Roman" w:eastAsia="仿宋_GB2312" w:cs="Times New Roman"/>
              <w:color w:val="auto"/>
              <w:sz w:val="32"/>
              <w:szCs w:val="32"/>
            </w:rPr>
            <w:t>（三）建议和改进举措</w:t>
          </w:r>
          <w:r>
            <w:rPr>
              <w:rFonts w:ascii="Times New Roman" w:hAnsi="Times New Roman" w:eastAsia="仿宋_GB2312" w:cs="Times New Roman"/>
              <w:sz w:val="32"/>
              <w:szCs w:val="32"/>
            </w:rPr>
            <w:tab/>
          </w:r>
          <w:r>
            <w:rPr>
              <w:rFonts w:ascii="Times New Roman" w:hAnsi="Times New Roman" w:eastAsia="仿宋_GB2312" w:cs="Times New Roman"/>
              <w:sz w:val="32"/>
              <w:szCs w:val="32"/>
            </w:rPr>
            <w:fldChar w:fldCharType="begin"/>
          </w:r>
          <w:r>
            <w:rPr>
              <w:rFonts w:ascii="Times New Roman" w:hAnsi="Times New Roman" w:eastAsia="仿宋_GB2312" w:cs="Times New Roman"/>
              <w:sz w:val="32"/>
              <w:szCs w:val="32"/>
            </w:rPr>
            <w:instrText xml:space="preserve"> PAGEREF _Toc171093953 \h </w:instrText>
          </w:r>
          <w:r>
            <w:rPr>
              <w:rFonts w:ascii="Times New Roman" w:hAnsi="Times New Roman" w:eastAsia="仿宋_GB2312" w:cs="Times New Roman"/>
              <w:sz w:val="32"/>
              <w:szCs w:val="32"/>
            </w:rPr>
            <w:fldChar w:fldCharType="separate"/>
          </w:r>
          <w:r>
            <w:rPr>
              <w:rFonts w:ascii="Times New Roman" w:hAnsi="Times New Roman" w:eastAsia="仿宋_GB2312" w:cs="Times New Roman"/>
              <w:sz w:val="32"/>
              <w:szCs w:val="32"/>
            </w:rPr>
            <w:t>97</w:t>
          </w:r>
          <w:r>
            <w:rPr>
              <w:rFonts w:ascii="Times New Roman" w:hAnsi="Times New Roman" w:eastAsia="仿宋_GB2312" w:cs="Times New Roman"/>
              <w:sz w:val="32"/>
              <w:szCs w:val="32"/>
            </w:rPr>
            <w:fldChar w:fldCharType="end"/>
          </w:r>
          <w:r>
            <w:rPr>
              <w:rFonts w:ascii="Times New Roman" w:hAnsi="Times New Roman" w:eastAsia="仿宋_GB2312" w:cs="Times New Roman"/>
              <w:sz w:val="32"/>
              <w:szCs w:val="32"/>
            </w:rPr>
            <w:fldChar w:fldCharType="end"/>
          </w:r>
        </w:p>
        <w:p>
          <w:pPr>
            <w:pStyle w:val="10"/>
            <w:tabs>
              <w:tab w:val="right" w:leader="dot" w:pos="8835"/>
            </w:tabs>
            <w:spacing w:line="560" w:lineRule="exact"/>
            <w:ind w:left="0" w:leftChars="0" w:firstLine="0" w:firstLineChars="0"/>
            <w:rPr>
              <w:rFonts w:ascii="Times New Roman" w:hAnsi="Times New Roman" w:eastAsia="仿宋_GB2312" w:cs="Times New Roman"/>
              <w:sz w:val="32"/>
              <w:szCs w:val="32"/>
              <w14:ligatures w14:val="standardContextual"/>
            </w:rPr>
          </w:pPr>
        </w:p>
        <w:p>
          <w:pPr>
            <w:spacing w:line="560" w:lineRule="exact"/>
            <w:rPr>
              <w:rFonts w:ascii="Times New Roman" w:hAnsi="Times New Roman" w:cs="Times New Roman"/>
            </w:rPr>
          </w:pPr>
          <w:r>
            <w:rPr>
              <w:rFonts w:ascii="Times New Roman" w:hAnsi="Times New Roman" w:eastAsia="仿宋_GB2312" w:cs="Times New Roman"/>
              <w:b/>
              <w:bCs/>
              <w:sz w:val="32"/>
              <w:szCs w:val="32"/>
              <w:lang w:val="zh-CN"/>
            </w:rPr>
            <w:fldChar w:fldCharType="end"/>
          </w:r>
        </w:p>
      </w:sdtContent>
    </w:sdt>
    <w:p>
      <w:pPr>
        <w:spacing w:line="560" w:lineRule="exact"/>
        <w:jc w:val="center"/>
        <w:rPr>
          <w:rFonts w:ascii="方正小标宋简体" w:eastAsia="方正小标宋简体"/>
          <w:sz w:val="44"/>
          <w:szCs w:val="44"/>
        </w:rPr>
        <w:sectPr>
          <w:pgSz w:w="11906" w:h="16838"/>
          <w:pgMar w:top="2098" w:right="1474" w:bottom="1984" w:left="1587" w:header="851" w:footer="992" w:gutter="0"/>
          <w:pgNumType w:start="1"/>
          <w:cols w:space="0" w:num="1"/>
          <w:docGrid w:type="lines" w:linePitch="312" w:charSpace="0"/>
        </w:sectPr>
      </w:pPr>
    </w:p>
    <w:p>
      <w:pPr>
        <w:widowControl/>
        <w:jc w:val="center"/>
        <w:outlineLvl w:val="0"/>
        <w:rPr>
          <w:rFonts w:ascii="方正小标宋简体" w:eastAsia="方正小标宋简体"/>
          <w:sz w:val="32"/>
          <w:szCs w:val="32"/>
        </w:rPr>
      </w:pPr>
      <w:bookmarkStart w:id="2" w:name="_Toc171093900"/>
      <w:r>
        <w:rPr>
          <w:rStyle w:val="34"/>
          <w:rFonts w:hint="eastAsia"/>
        </w:rPr>
        <w:t>摘要</w:t>
      </w:r>
      <w:bookmarkEnd w:id="2"/>
    </w:p>
    <w:p>
      <w:pPr>
        <w:widowControl/>
        <w:ind w:firstLine="640" w:firstLineChars="200"/>
        <w:jc w:val="left"/>
        <w:rPr>
          <w:rStyle w:val="34"/>
        </w:rPr>
      </w:pPr>
      <w:bookmarkStart w:id="3" w:name="_Toc171093901"/>
      <w:bookmarkStart w:id="4" w:name="_Toc169390930"/>
      <w:bookmarkStart w:id="5" w:name="_Toc169439167"/>
      <w:bookmarkStart w:id="6" w:name="_Toc169382335"/>
      <w:r>
        <w:rPr>
          <w:rStyle w:val="34"/>
          <w:rFonts w:hint="eastAsia"/>
        </w:rPr>
        <w:t>一、项目概况</w:t>
      </w:r>
      <w:bookmarkEnd w:id="3"/>
      <w:bookmarkEnd w:id="4"/>
      <w:bookmarkEnd w:id="5"/>
      <w:bookmarkEnd w:id="6"/>
    </w:p>
    <w:p>
      <w:pPr>
        <w:pStyle w:val="22"/>
      </w:pPr>
      <w:r>
        <w:t>城市污水处理处置设施是城市运行的重要保障。2021年我国发布《“十四五”城镇污水处理及资源化利用发展规划》，明确提出到2025年，基本消除城市建成区生活污水直排口和收集处理设施空白区，全国城市生活污水集中收集率力争达到70%以上。为推进上海市水系统治理，上海市制定并发布《上海市水系统治理“十四五”规划》，提出到2025年城镇污水处理率≥99%的目标。</w:t>
      </w:r>
    </w:p>
    <w:p>
      <w:pPr>
        <w:pStyle w:val="22"/>
      </w:pPr>
      <w:r>
        <w:t>为贯彻落实上级</w:t>
      </w:r>
      <w:r>
        <w:rPr>
          <w:rFonts w:hint="eastAsia"/>
        </w:rPr>
        <w:t>要求</w:t>
      </w:r>
      <w:r>
        <w:t>，</w:t>
      </w:r>
      <w:r>
        <w:rPr>
          <w:rFonts w:hint="eastAsia"/>
        </w:rPr>
        <w:t>崇明区自2018年起实施污水管网完善工作，</w:t>
      </w:r>
      <w:r>
        <w:t>截至“十三五”期末城镇污水集中处理率≥95％</w:t>
      </w:r>
      <w:r>
        <w:rPr>
          <w:rFonts w:hint="eastAsia"/>
        </w:rPr>
        <w:t>，为实现</w:t>
      </w:r>
      <w:r>
        <w:t>2025年城镇污水处理率达到99%以上</w:t>
      </w:r>
      <w:r>
        <w:rPr>
          <w:rFonts w:hint="eastAsia"/>
        </w:rPr>
        <w:t>的</w:t>
      </w:r>
      <w:r>
        <w:t>目标</w:t>
      </w:r>
      <w:r>
        <w:rPr>
          <w:rFonts w:hint="eastAsia"/>
        </w:rPr>
        <w:t>，“十四五”初期城桥、新河等11镇实施了污水管网完善工程，在镇区以外的镇管社区区域</w:t>
      </w:r>
      <w:r>
        <w:t>中，</w:t>
      </w:r>
      <w:r>
        <w:rPr>
          <w:rFonts w:hint="eastAsia"/>
        </w:rPr>
        <w:t>10个撤制镇按照</w:t>
      </w:r>
      <w:r>
        <w:t>《上海市崇明区人民政府办公室关于印发&lt;崇明区水务“十四五”规划&gt;的通知》（沪崇府办发〔2021〕21号）提出</w:t>
      </w:r>
      <w:r>
        <w:rPr>
          <w:rFonts w:hint="eastAsia"/>
        </w:rPr>
        <w:t>的</w:t>
      </w:r>
      <w:r>
        <w:t>“完成10个撤制乡镇（农场）实现污水管网收集系统盲区全覆盖”</w:t>
      </w:r>
      <w:r>
        <w:rPr>
          <w:rFonts w:hint="eastAsia"/>
        </w:rPr>
        <w:t>的要求陆续实施了污水管网完善工程，截至2022年底，全区</w:t>
      </w:r>
      <w:r>
        <w:t>城镇污水集中处理率</w:t>
      </w:r>
      <w:r>
        <w:rPr>
          <w:rFonts w:hint="eastAsia"/>
        </w:rPr>
        <w:t>达到97.8%。</w:t>
      </w:r>
    </w:p>
    <w:p>
      <w:pPr>
        <w:pStyle w:val="22"/>
      </w:pPr>
      <w:r>
        <w:t>本次评价</w:t>
      </w:r>
      <w:r>
        <w:rPr>
          <w:rFonts w:hint="eastAsia"/>
        </w:rPr>
        <w:t>范围为</w:t>
      </w:r>
      <w:r>
        <w:t>10个撤制镇中</w:t>
      </w:r>
      <w:r>
        <w:rPr>
          <w:rFonts w:hint="eastAsia"/>
        </w:rPr>
        <w:t>的2个，即</w:t>
      </w:r>
      <w:r>
        <w:t>堡镇-五效集镇区和新河-新民集镇区污水管网完善工程，</w:t>
      </w:r>
      <w:r>
        <w:rPr>
          <w:rFonts w:hint="eastAsia"/>
        </w:rPr>
        <w:t>项目法人单位分别为堡镇</w:t>
      </w:r>
      <w:r>
        <w:t>人民政府和新河镇人民政府</w:t>
      </w:r>
      <w:r>
        <w:rPr>
          <w:rFonts w:hint="eastAsia"/>
        </w:rPr>
        <w:t>。该项目为新增一次性工程建设项目，批复建设内容主要包括敷设管道、新建泵站、检查井等，堡镇、新河镇</w:t>
      </w:r>
      <w:r>
        <w:t>批复投资</w:t>
      </w:r>
      <w:r>
        <w:rPr>
          <w:rFonts w:hint="eastAsia"/>
        </w:rPr>
        <w:t>估算</w:t>
      </w:r>
      <w:r>
        <w:t>分别为1881.31万元、4824.1万元，</w:t>
      </w:r>
      <w:r>
        <w:rPr>
          <w:rFonts w:hint="eastAsia"/>
        </w:rPr>
        <w:t>批复的投资概算分别为1880.15万元、</w:t>
      </w:r>
      <w:r>
        <w:t>482</w:t>
      </w:r>
      <w:r>
        <w:rPr>
          <w:rFonts w:hint="eastAsia"/>
        </w:rPr>
        <w:t>3.85</w:t>
      </w:r>
      <w:r>
        <w:t>万元</w:t>
      </w:r>
      <w:r>
        <w:rPr>
          <w:rFonts w:hint="eastAsia"/>
        </w:rPr>
        <w:t>。</w:t>
      </w:r>
    </w:p>
    <w:p>
      <w:pPr>
        <w:pStyle w:val="22"/>
      </w:pPr>
      <w:r>
        <w:rPr>
          <w:rFonts w:hint="eastAsia"/>
        </w:rPr>
        <w:t>两镇项目的资金实际</w:t>
      </w:r>
      <w:r>
        <w:t>由市、区、镇三级承担，其中：</w:t>
      </w:r>
      <w:r>
        <w:rPr>
          <w:b/>
          <w:bCs w:val="0"/>
        </w:rPr>
        <w:t>市级</w:t>
      </w:r>
      <w:r>
        <w:t>资金来源于市级建设财力资金</w:t>
      </w:r>
      <w:r>
        <w:rPr>
          <w:rFonts w:hint="eastAsia"/>
        </w:rPr>
        <w:t>；</w:t>
      </w:r>
      <w:r>
        <w:rPr>
          <w:b/>
          <w:bCs w:val="0"/>
        </w:rPr>
        <w:t>区级</w:t>
      </w:r>
      <w:r>
        <w:t>资金来源于专项债券资金，</w:t>
      </w:r>
      <w:r>
        <w:rPr>
          <w:rFonts w:hint="eastAsia"/>
        </w:rPr>
        <w:t>财政部明确2022年专项债券资金重点用于 “交通基础设施、能源、农林水利、生态环保、社会事业、城乡冷链等物流基础设施、市政和产业园区基础设施、国家重大战略项目、保障性安居工程等9大领域”，该项目属于其中的生态环保领域，经区级相关部门测算：堡镇项目的债券融资规模为1000万元，新河镇为2600万元，债券期限10年，利息按半年支付，债券偿付资金来源为根据《关于在区级土地出让收入中计提生态环保项目建设基金的实施意见》（沪崇财预〔2020〕6号）在区级土地出让收入中计提的生态环保项目建设基金；</w:t>
      </w:r>
      <w:r>
        <w:rPr>
          <w:b/>
          <w:bCs w:val="0"/>
        </w:rPr>
        <w:t>镇级</w:t>
      </w:r>
      <w:r>
        <w:t>资金来源为一般公共预算资金，</w:t>
      </w:r>
      <w:r>
        <w:rPr>
          <w:rFonts w:hint="eastAsia"/>
        </w:rPr>
        <w:t>市、区资金主要由区财政转移支付至镇级部门。目前区财政共转移支付市级资金730万元、区级资金1000万元至堡镇，堡镇配套355.37万元；转移支付市级资金1920万元、区级资金2600万元至新河镇，新河镇配套222.87万元。堡镇项目的审计金额为1745.64万元，目前共支付</w:t>
      </w:r>
      <w:r>
        <w:t>1457.43万元</w:t>
      </w:r>
      <w:r>
        <w:rPr>
          <w:rFonts w:hint="eastAsia"/>
        </w:rPr>
        <w:t>至各参建单位（上级资金1102.06万元、镇级资金355.37万元），已请款待核付资金共225.44万元，待支付后支出总额将占审计金额的96.40％。新河镇</w:t>
      </w:r>
      <w:r>
        <w:t>项目</w:t>
      </w:r>
      <w:r>
        <w:rPr>
          <w:rFonts w:hint="eastAsia"/>
        </w:rPr>
        <w:t>中与各第三方单位签订的合同金额共计4535.27万元，目前共支付3621.04</w:t>
      </w:r>
      <w:r>
        <w:t>万元</w:t>
      </w:r>
      <w:r>
        <w:rPr>
          <w:rFonts w:hint="eastAsia"/>
        </w:rPr>
        <w:t>（上级资金</w:t>
      </w:r>
      <w:r>
        <w:t>3398.17</w:t>
      </w:r>
      <w:r>
        <w:rPr>
          <w:rFonts w:hint="eastAsia"/>
        </w:rPr>
        <w:t>万元、镇级资金</w:t>
      </w:r>
      <w:r>
        <w:t>222.8</w:t>
      </w:r>
      <w:r>
        <w:rPr>
          <w:rFonts w:hint="eastAsia"/>
        </w:rPr>
        <w:t>7万元），占合同金额的79.84%</w:t>
      </w:r>
      <w:r>
        <w:t>。</w:t>
      </w:r>
      <w:r>
        <w:rPr>
          <w:rFonts w:hint="eastAsia"/>
        </w:rPr>
        <w:t>实际支出资金主要</w:t>
      </w:r>
      <w:r>
        <w:t>用于支付工程建设费用和勘察、设计、监理等二类费用。</w:t>
      </w:r>
      <w:r>
        <w:rPr>
          <w:rFonts w:hint="eastAsia"/>
        </w:rPr>
        <w:t>目前堡镇已完成审价、审计及竣工验收，项目已结项；新河镇项目已完成审价和竣工验收，项目已送审，两镇污水管网均已投入使用。</w:t>
      </w:r>
    </w:p>
    <w:p>
      <w:pPr>
        <w:widowControl/>
        <w:ind w:firstLine="640" w:firstLineChars="200"/>
        <w:jc w:val="left"/>
        <w:rPr>
          <w:rStyle w:val="34"/>
        </w:rPr>
      </w:pPr>
      <w:bookmarkStart w:id="7" w:name="_Toc171093902"/>
      <w:bookmarkStart w:id="8" w:name="_Toc169390931"/>
      <w:bookmarkStart w:id="9" w:name="_Toc169385126"/>
      <w:bookmarkStart w:id="10" w:name="_Toc169382336"/>
      <w:bookmarkStart w:id="11" w:name="_Toc169439168"/>
      <w:r>
        <w:rPr>
          <w:rStyle w:val="34"/>
          <w:rFonts w:hint="eastAsia"/>
        </w:rPr>
        <w:t>二、评价工作开展情况</w:t>
      </w:r>
      <w:bookmarkEnd w:id="7"/>
      <w:bookmarkEnd w:id="8"/>
      <w:bookmarkEnd w:id="9"/>
      <w:bookmarkEnd w:id="10"/>
      <w:bookmarkEnd w:id="11"/>
    </w:p>
    <w:p>
      <w:pPr>
        <w:pStyle w:val="22"/>
        <w:rPr>
          <w:rStyle w:val="23"/>
          <w:bCs w:val="0"/>
        </w:rPr>
      </w:pPr>
      <w:r>
        <w:rPr>
          <w:rStyle w:val="23"/>
          <w:rFonts w:hint="eastAsia"/>
          <w:bCs w:val="0"/>
        </w:rPr>
        <w:t>本次</w:t>
      </w:r>
      <w:r>
        <w:t>堡镇</w:t>
      </w:r>
      <w:r>
        <w:rPr>
          <w:rFonts w:hint="eastAsia"/>
        </w:rPr>
        <w:t>项目的</w:t>
      </w:r>
      <w:r>
        <w:rPr>
          <w:rStyle w:val="23"/>
          <w:rFonts w:hint="eastAsia"/>
          <w:bCs w:val="0"/>
        </w:rPr>
        <w:t>绩效评价时段</w:t>
      </w:r>
      <w:r>
        <w:rPr>
          <w:rFonts w:hint="eastAsia"/>
        </w:rPr>
        <w:t>为</w:t>
      </w:r>
      <w:r>
        <w:t>2021年6月3日-2023年11月21日</w:t>
      </w:r>
      <w:r>
        <w:rPr>
          <w:rFonts w:hint="eastAsia"/>
        </w:rPr>
        <w:t>，新河镇项目为</w:t>
      </w:r>
      <w:r>
        <w:t>2021年6月3日-2024年4月10日。</w:t>
      </w:r>
      <w:r>
        <w:rPr>
          <w:rStyle w:val="23"/>
          <w:rFonts w:hint="eastAsia"/>
          <w:bCs w:val="0"/>
        </w:rPr>
        <w:t>2024年3月上旬绩效评价工作正式启动，5月初方案定稿并开展评价工作，评价小组从项目基本情况入手，在对项目立项流程、实施内容、实施效果等进行分析的基础上，通过发放问卷、访谈以及实地走访等方式收集数据，依据绩效指标评分标准开展量化评价，对项目的主要成效和经验进行总结，针对存在的问题与不足提出改进建议，形成绩效评价报告，全面掌握污水管网工程的施工情况，为进一步规范工程类项目申报立项、实施、工程量变更、竣工验收、资产归属等提供建议。</w:t>
      </w:r>
    </w:p>
    <w:p>
      <w:pPr>
        <w:widowControl/>
        <w:ind w:firstLine="640" w:firstLineChars="200"/>
        <w:jc w:val="left"/>
        <w:rPr>
          <w:rStyle w:val="34"/>
        </w:rPr>
      </w:pPr>
      <w:bookmarkStart w:id="12" w:name="_Toc171093903"/>
      <w:bookmarkStart w:id="13" w:name="_Toc169390932"/>
      <w:bookmarkStart w:id="14" w:name="_Toc169439169"/>
      <w:bookmarkStart w:id="15" w:name="_Toc169385127"/>
      <w:bookmarkStart w:id="16" w:name="_Toc169382337"/>
      <w:r>
        <w:rPr>
          <w:rStyle w:val="34"/>
          <w:rFonts w:hint="eastAsia"/>
        </w:rPr>
        <w:t>三、评价结论和主要绩效</w:t>
      </w:r>
      <w:bookmarkEnd w:id="12"/>
      <w:bookmarkEnd w:id="13"/>
      <w:bookmarkEnd w:id="14"/>
      <w:bookmarkEnd w:id="15"/>
      <w:bookmarkEnd w:id="16"/>
    </w:p>
    <w:p>
      <w:pPr>
        <w:pStyle w:val="22"/>
        <w:rPr>
          <w:rStyle w:val="34"/>
          <w:rFonts w:eastAsia="仿宋"/>
          <w:szCs w:val="28"/>
        </w:rPr>
      </w:pPr>
      <w:bookmarkStart w:id="17" w:name="_Toc169439170"/>
      <w:bookmarkStart w:id="18" w:name="_Toc171093904"/>
      <w:bookmarkStart w:id="19" w:name="_Toc169385128"/>
      <w:bookmarkStart w:id="20" w:name="_Toc169382338"/>
      <w:bookmarkStart w:id="21" w:name="_Toc169390933"/>
      <w:r>
        <w:rPr>
          <w:rStyle w:val="34"/>
          <w:rFonts w:hint="eastAsia" w:eastAsia="仿宋"/>
          <w:szCs w:val="28"/>
        </w:rPr>
        <w:t>我司通过数据采集、社会调查等方式，运用绩效评价指标体系，从项目决策、项目过程、项目产出、项目效益等四方面进行客观评价，最终评分结果为84.45分，绩效评级为“良”。其中，</w:t>
      </w:r>
      <w:bookmarkEnd w:id="17"/>
      <w:bookmarkEnd w:id="18"/>
      <w:r>
        <w:rPr>
          <w:rFonts w:hint="eastAsia"/>
        </w:rPr>
        <w:t>其中，得分率最高的是决策类指标，其次为产出类指标，效益类指标再次之，具体为：（1）项目决策类指标标准分20分，实际得分18.25分，得分率91.27%；（2）项目过程类指标标准分20分，实际得分13.95分，得分率</w:t>
      </w:r>
      <w:r>
        <w:rPr>
          <w:rStyle w:val="34"/>
          <w:rFonts w:hint="eastAsia" w:eastAsia="仿宋"/>
          <w:szCs w:val="28"/>
        </w:rPr>
        <w:t>69.75%</w:t>
      </w:r>
      <w:r>
        <w:rPr>
          <w:rFonts w:hint="eastAsia"/>
        </w:rPr>
        <w:t>；（3）项目产出类指标标准分30分，实际得分26.25分，得分率87.50%；（4）项目效益类指标标准分30分，实际得分26分，得分率86.67%。</w:t>
      </w:r>
      <w:r>
        <w:rPr>
          <w:rStyle w:val="34"/>
          <w:rFonts w:hint="eastAsia" w:eastAsia="仿宋"/>
          <w:szCs w:val="28"/>
        </w:rPr>
        <w:t>其中堡镇项目的指标标准分49分，实际得分41.15分，得分率83.98%，；新河镇项目的指标标准分51分，实际得分43.31分，得分率84.92%。</w:t>
      </w:r>
    </w:p>
    <w:bookmarkEnd w:id="19"/>
    <w:bookmarkEnd w:id="20"/>
    <w:bookmarkEnd w:id="21"/>
    <w:p>
      <w:pPr>
        <w:pStyle w:val="22"/>
        <w:rPr>
          <w:rStyle w:val="34"/>
          <w:rFonts w:eastAsia="仿宋"/>
          <w:szCs w:val="28"/>
        </w:rPr>
      </w:pPr>
      <w:r>
        <w:rPr>
          <w:rFonts w:hint="eastAsia"/>
        </w:rPr>
        <w:t>从</w:t>
      </w:r>
      <w:r>
        <w:rPr>
          <w:rStyle w:val="34"/>
          <w:rFonts w:hint="eastAsia" w:eastAsia="仿宋"/>
          <w:szCs w:val="28"/>
        </w:rPr>
        <w:t>指标得分情况看，堡镇、新河镇污水管网完善工程项目达到了基本要求，实施效果较好，在管理环节存在一定风险，主要体现在工程量变更流程不明晰、合同管理及执行有效性不足、资金支付进度与项目建设进度不匹配、后续管养主体不明确等方面。项目主要绩效方面，堡镇项目敷设了污水管道8117.29米，建设检查井149座、截流井1座、一体化泵站3座，完成3912.27平方米道路拆除修复等；新河镇项目敷设了污水管道7966.08米，建设2座泵站、检查井186座、雨水口38座、标志牌20个，完成4595.75平方米道路修复和局部树脂固化、绿化修复等内容；两镇项目均一次性通过通水验收和竣工验收，目前堡镇项目已完成审计，新河镇项目已送审，污水管网已投入使用。项目实施后两镇的基本实现了雨污水分流；新建的污水管网与堡镇污水厂、新河污水厂衔接，2个集镇区的污水通过管网排入污水厂集中处理达标后排放，改善了周边河道的水质，堡镇、新河镇受访对象的满意度分别达到了98.03%、90.61%。</w:t>
      </w:r>
    </w:p>
    <w:p>
      <w:pPr>
        <w:widowControl/>
        <w:ind w:firstLine="640" w:firstLineChars="200"/>
        <w:jc w:val="left"/>
        <w:rPr>
          <w:rStyle w:val="34"/>
        </w:rPr>
      </w:pPr>
      <w:bookmarkStart w:id="22" w:name="_Toc171093905"/>
      <w:bookmarkStart w:id="23" w:name="_Toc169385130"/>
      <w:bookmarkStart w:id="24" w:name="_Toc169439171"/>
      <w:bookmarkStart w:id="25" w:name="_Toc169390935"/>
      <w:bookmarkStart w:id="26" w:name="_Toc169382340"/>
      <w:r>
        <w:rPr>
          <w:rStyle w:val="34"/>
          <w:rFonts w:hint="eastAsia"/>
        </w:rPr>
        <w:t>四、主要经验、问题和建议</w:t>
      </w:r>
      <w:bookmarkEnd w:id="22"/>
      <w:bookmarkEnd w:id="23"/>
      <w:bookmarkEnd w:id="24"/>
      <w:bookmarkEnd w:id="25"/>
      <w:bookmarkEnd w:id="26"/>
    </w:p>
    <w:p>
      <w:pPr>
        <w:pStyle w:val="26"/>
        <w:ind w:firstLine="640"/>
        <w:outlineLvl w:val="9"/>
      </w:pPr>
      <w:r>
        <w:rPr>
          <w:rFonts w:hint="eastAsia"/>
        </w:rPr>
        <w:t>（一）主要经验及做法</w:t>
      </w:r>
    </w:p>
    <w:p>
      <w:pPr>
        <w:pStyle w:val="22"/>
        <w:ind w:firstLine="643"/>
      </w:pPr>
      <w:r>
        <w:rPr>
          <w:rFonts w:hint="eastAsia"/>
          <w:b/>
          <w:bCs w:val="0"/>
        </w:rPr>
        <w:t>1.全面统筹考虑，实现新建管网与现状管网有效衔接。</w:t>
      </w:r>
      <w:r>
        <w:rPr>
          <w:rFonts w:hint="eastAsia"/>
        </w:rPr>
        <w:t>项目规划实施前期，堡镇人民政府和新河镇人民政府统筹考虑区域市政管网和农村生活污水管网敷设现状，排除已纳管区域避免重复开挖，项目实施后污水管网100%覆盖2个撤制镇区且实现了雨污分流，加快了区域污水收集率及处理率，避免了污水对河道、地下水造成污染，同时有利于降低污水处理成本。</w:t>
      </w:r>
    </w:p>
    <w:p>
      <w:pPr>
        <w:pStyle w:val="22"/>
        <w:ind w:firstLine="643"/>
      </w:pPr>
      <w:r>
        <w:rPr>
          <w:rFonts w:hint="eastAsia"/>
          <w:b/>
          <w:bCs w:val="0"/>
        </w:rPr>
        <w:t>2.</w:t>
      </w:r>
      <w:r>
        <w:rPr>
          <w:rFonts w:hint="eastAsia"/>
        </w:rPr>
        <w:t xml:space="preserve"> </w:t>
      </w:r>
      <w:r>
        <w:rPr>
          <w:rFonts w:hint="eastAsia"/>
          <w:b/>
          <w:bCs w:val="0"/>
        </w:rPr>
        <w:t>预留市政接口，确保污水排放长效长治。</w:t>
      </w:r>
      <w:r>
        <w:rPr>
          <w:rFonts w:hint="eastAsia"/>
        </w:rPr>
        <w:t>项目施工过程中，堡镇和新河镇从区域整体排水角度出发，对于目前无法接入已建管网的区域，在对其接入条件进行考量后预留了市政接口。其中：五滧养老院、登瀛小学片区污水因农污已将区域污水做纳管处理，因此新增一座提升泵对农污污水处理站后污水进行接纳排管，经提升泵提升通过拖拉管方式穿越四滧港排至合五公路新建污水管道。新河镇在工业厂房处预留了接入井，今后预留沿线企业如有需要可直接接入污水管道进行输送。</w:t>
      </w:r>
    </w:p>
    <w:p>
      <w:pPr>
        <w:pStyle w:val="26"/>
        <w:ind w:firstLine="640"/>
        <w:outlineLvl w:val="9"/>
      </w:pPr>
      <w:r>
        <w:rPr>
          <w:rFonts w:hint="eastAsia"/>
        </w:rPr>
        <w:t>（二）存在问题</w:t>
      </w:r>
    </w:p>
    <w:p>
      <w:pPr>
        <w:pStyle w:val="22"/>
        <w:ind w:firstLine="643"/>
        <w:rPr>
          <w:b/>
          <w:bCs w:val="0"/>
        </w:rPr>
      </w:pPr>
      <w:r>
        <w:rPr>
          <w:rFonts w:hint="eastAsia"/>
          <w:b/>
          <w:bCs w:val="0"/>
        </w:rPr>
        <w:t>1.建设周期超规定时限，合同制定及执行尚需加强</w:t>
      </w:r>
    </w:p>
    <w:p>
      <w:pPr>
        <w:pStyle w:val="22"/>
        <w:ind w:firstLine="643"/>
        <w:rPr>
          <w:b/>
        </w:rPr>
      </w:pPr>
      <w:r>
        <w:rPr>
          <w:rFonts w:hint="eastAsia"/>
          <w:b/>
        </w:rPr>
        <w:t>一</w:t>
      </w:r>
      <w:r>
        <w:rPr>
          <w:b/>
        </w:rPr>
        <w:t>是</w:t>
      </w:r>
      <w:r>
        <w:rPr>
          <w:rFonts w:hint="eastAsia"/>
          <w:b/>
        </w:rPr>
        <w:t>个别</w:t>
      </w:r>
      <w:r>
        <w:rPr>
          <w:b/>
        </w:rPr>
        <w:t>合同要素填写</w:t>
      </w:r>
      <w:r>
        <w:rPr>
          <w:rFonts w:hint="eastAsia"/>
          <w:b/>
        </w:rPr>
        <w:t>不规范</w:t>
      </w:r>
      <w:r>
        <w:rPr>
          <w:b/>
        </w:rPr>
        <w:t>。</w:t>
      </w:r>
      <w:r>
        <w:t>如堡镇前期咨询合同中未填写合同结束日期</w:t>
      </w:r>
      <w:r>
        <w:rPr>
          <w:rFonts w:hint="eastAsia"/>
        </w:rPr>
        <w:t>；</w:t>
      </w:r>
      <w:r>
        <w:t>新河镇施工监理合同缺少签订日期</w:t>
      </w:r>
      <w:r>
        <w:rPr>
          <w:rFonts w:hint="eastAsia"/>
        </w:rPr>
        <w:t>，其次是</w:t>
      </w:r>
      <w:r>
        <w:rPr>
          <w:bCs w:val="0"/>
        </w:rPr>
        <w:t>施工合同</w:t>
      </w:r>
      <w:r>
        <w:t>中标通知书于2021年9月28日发布，</w:t>
      </w:r>
      <w:r>
        <w:rPr>
          <w:rFonts w:hint="eastAsia"/>
        </w:rPr>
        <w:t>双方于</w:t>
      </w:r>
      <w:r>
        <w:t>10月8日签订合同</w:t>
      </w:r>
      <w:r>
        <w:rPr>
          <w:rFonts w:hint="eastAsia"/>
        </w:rPr>
        <w:t>，</w:t>
      </w:r>
      <w:r>
        <w:t>工期为2021年10月1日至2022年5月28日，</w:t>
      </w:r>
      <w:r>
        <w:rPr>
          <w:rFonts w:hint="eastAsia"/>
          <w:bCs w:val="0"/>
        </w:rPr>
        <w:t>签订时间晚于起始时间，</w:t>
      </w:r>
      <w:r>
        <w:rPr>
          <w:rFonts w:hint="eastAsia"/>
        </w:rPr>
        <w:t>实际于11月4日取得开工令后施工。二</w:t>
      </w:r>
      <w:r>
        <w:rPr>
          <w:b/>
        </w:rPr>
        <w:t>是两镇</w:t>
      </w:r>
      <w:r>
        <w:rPr>
          <w:rFonts w:hint="eastAsia"/>
          <w:b/>
        </w:rPr>
        <w:t>开竣工</w:t>
      </w:r>
      <w:r>
        <w:rPr>
          <w:b/>
        </w:rPr>
        <w:t>晚于督察组</w:t>
      </w:r>
      <w:r>
        <w:rPr>
          <w:rFonts w:hint="eastAsia"/>
          <w:b/>
        </w:rPr>
        <w:t>要求时限，且工程</w:t>
      </w:r>
      <w:r>
        <w:rPr>
          <w:b/>
        </w:rPr>
        <w:t>实际建设周期超出合同</w:t>
      </w:r>
      <w:r>
        <w:rPr>
          <w:rFonts w:hint="eastAsia"/>
          <w:b/>
        </w:rPr>
        <w:t>约定天数</w:t>
      </w:r>
      <w:r>
        <w:rPr>
          <w:b/>
        </w:rPr>
        <w:t>。</w:t>
      </w:r>
      <w:r>
        <w:rPr>
          <w:rFonts w:hint="eastAsia"/>
          <w:bCs w:val="0"/>
        </w:rPr>
        <w:t>第一，</w:t>
      </w:r>
      <w:r>
        <w:t>上海市第四生态环境保护督察组提出需在2021年完成撤制乡镇污水收集处理建设任务，实际两镇均于2021年中旬启动前期报批并于2022年下旬竣工，主要是受2022年初疫情防控因素影响</w:t>
      </w:r>
      <w:r>
        <w:rPr>
          <w:rFonts w:hint="eastAsia"/>
        </w:rPr>
        <w:t>，全区撤制镇的污水管网完善项目均启动较晚</w:t>
      </w:r>
      <w:r>
        <w:t>。</w:t>
      </w:r>
      <w:r>
        <w:rPr>
          <w:rFonts w:hint="eastAsia"/>
        </w:rPr>
        <w:t>第二，</w:t>
      </w:r>
      <w:r>
        <w:t>堡镇施工合同约定的工期</w:t>
      </w:r>
      <w:r>
        <w:rPr>
          <w:rFonts w:hint="eastAsia"/>
        </w:rPr>
        <w:t>共90个日历天</w:t>
      </w:r>
      <w:r>
        <w:t>，实际</w:t>
      </w:r>
      <w:r>
        <w:rPr>
          <w:rFonts w:hint="eastAsia"/>
          <w:bCs w:val="0"/>
        </w:rPr>
        <w:t>历时236个日历天，工期拉长，进度滞后</w:t>
      </w:r>
      <w:r>
        <w:rPr>
          <w:rFonts w:hint="eastAsia"/>
        </w:rPr>
        <w:t>；</w:t>
      </w:r>
      <w:r>
        <w:t>新河镇约定工期共240个日历天，实际</w:t>
      </w:r>
      <w:r>
        <w:rPr>
          <w:rFonts w:hint="eastAsia"/>
          <w:bCs w:val="0"/>
        </w:rPr>
        <w:t>历时262个日历天，工期有所延后</w:t>
      </w:r>
      <w:r>
        <w:rPr>
          <w:rFonts w:hint="eastAsia"/>
        </w:rPr>
        <w:t>，</w:t>
      </w:r>
      <w:r>
        <w:t>项目单位反馈主要是</w:t>
      </w:r>
      <w:r>
        <w:rPr>
          <w:rFonts w:hint="eastAsia"/>
        </w:rPr>
        <w:t>受</w:t>
      </w:r>
      <w:r>
        <w:t>工程量变化影响，但工程量变更后未同步调整合同</w:t>
      </w:r>
      <w:r>
        <w:rPr>
          <w:rFonts w:hint="eastAsia"/>
        </w:rPr>
        <w:t>内容。</w:t>
      </w:r>
      <w:r>
        <w:rPr>
          <w:rFonts w:hint="eastAsia"/>
          <w:b/>
        </w:rPr>
        <w:t>三</w:t>
      </w:r>
      <w:r>
        <w:rPr>
          <w:b/>
        </w:rPr>
        <w:t>是部分</w:t>
      </w:r>
      <w:r>
        <w:rPr>
          <w:rFonts w:hint="eastAsia"/>
          <w:b/>
        </w:rPr>
        <w:t>工程款未及时支付。</w:t>
      </w:r>
      <w:r>
        <w:rPr>
          <w:rFonts w:hint="eastAsia"/>
        </w:rPr>
        <w:t>堡镇项目目前已结项，相关设施设备已经入养护阶段；新河镇项目已通过竣工验收，正在进行审计。根据施工合同约定堡镇应支付至审定价的90%，目前支付至87.64%，剩余部分已提交请款材料；新河镇应支付至工程量价款的85%，目前支付了83.61%合同款。</w:t>
      </w:r>
    </w:p>
    <w:p>
      <w:pPr>
        <w:pStyle w:val="22"/>
        <w:ind w:firstLine="643"/>
        <w:rPr>
          <w:b/>
          <w:bCs w:val="0"/>
        </w:rPr>
      </w:pPr>
      <w:r>
        <w:rPr>
          <w:rFonts w:hint="eastAsia"/>
          <w:b/>
          <w:bCs w:val="0"/>
        </w:rPr>
        <w:t>2.工程变更及费用支出不严谨</w:t>
      </w:r>
      <w:r>
        <w:rPr>
          <w:b/>
          <w:bCs w:val="0"/>
        </w:rPr>
        <w:t>，</w:t>
      </w:r>
      <w:r>
        <w:rPr>
          <w:rFonts w:hint="eastAsia"/>
          <w:b/>
          <w:bCs w:val="0"/>
        </w:rPr>
        <w:t>过程管理有待规范</w:t>
      </w:r>
    </w:p>
    <w:p>
      <w:pPr>
        <w:pStyle w:val="22"/>
        <w:ind w:firstLine="643"/>
      </w:pPr>
      <w:r>
        <w:rPr>
          <w:rFonts w:hint="eastAsia"/>
          <w:b/>
          <w:bCs w:val="0"/>
        </w:rPr>
        <w:t>一是工程</w:t>
      </w:r>
      <w:r>
        <w:rPr>
          <w:b/>
          <w:bCs w:val="0"/>
        </w:rPr>
        <w:t>变更</w:t>
      </w:r>
      <w:r>
        <w:rPr>
          <w:rFonts w:hint="eastAsia"/>
          <w:b/>
          <w:bCs w:val="0"/>
        </w:rPr>
        <w:t>报批流程有待规范。</w:t>
      </w:r>
      <w:r>
        <w:rPr>
          <w:rFonts w:hint="eastAsia"/>
        </w:rPr>
        <w:t>堡镇和新河镇的建设工程量较合同约定均存在不同程度变更，堡镇项目建安工程费的审定价较中标价减少1.34%，新河镇项目建安工程费的审价金额较中标价增加0.65%；针对变更内容，堡镇施工单位形成了</w:t>
      </w:r>
      <w:r>
        <w:t>5份签证单和2份设计变更通知单</w:t>
      </w:r>
      <w:r>
        <w:rPr>
          <w:rFonts w:hint="eastAsia"/>
        </w:rPr>
        <w:t>，</w:t>
      </w:r>
      <w:r>
        <w:t>新河镇</w:t>
      </w:r>
      <w:r>
        <w:rPr>
          <w:rFonts w:hint="eastAsia"/>
        </w:rPr>
        <w:t>施工单位</w:t>
      </w:r>
      <w:r>
        <w:t>填写了4份业务联系单</w:t>
      </w:r>
      <w:r>
        <w:rPr>
          <w:rFonts w:hint="eastAsia"/>
        </w:rPr>
        <w:t>。《上海市崇明区政府投资项目管理办法》（沪崇发改〔2020〕478</w:t>
      </w:r>
      <w:r>
        <w:t>号</w:t>
      </w:r>
      <w:r>
        <w:rPr>
          <w:rFonts w:hint="eastAsia"/>
        </w:rPr>
        <w:t>）中提出“项目建安费调增比例小于中标价5%或调增资金500万元以下，且未超出经批准的概算建安费（或估算建安费）的，区级行业管理部门会同项目（法人）单位应当及时向区发展改革委、区财政局报备”，</w:t>
      </w:r>
      <w:r>
        <w:t xml:space="preserve"> </w:t>
      </w:r>
      <w:r>
        <w:rPr>
          <w:rFonts w:hint="eastAsia"/>
        </w:rPr>
        <w:t>项目单位反馈</w:t>
      </w:r>
      <w:r>
        <w:rPr>
          <w:rFonts w:hint="eastAsia"/>
          <w:bCs w:val="0"/>
        </w:rPr>
        <w:t>对于变更情况与区发改委进行了口头沟通，未形成相关的报备审批材料。</w:t>
      </w:r>
      <w:r>
        <w:rPr>
          <w:rFonts w:hint="eastAsia"/>
          <w:b/>
          <w:bCs w:val="0"/>
        </w:rPr>
        <w:t>二是两镇支出了批复范围以外的资金。</w:t>
      </w:r>
      <w:r>
        <w:rPr>
          <w:rFonts w:hint="eastAsia"/>
        </w:rPr>
        <w:t>堡镇已签订合同中的选线规划费、涉河论证费、竣工档案编制费、审计费不在批复的投资估算及概算明细内，涉及费用共计23.02万元；新河镇已签订合同中的选线规划费、涉河论证费、跟测费、绿化补植、临时使用公益林地可行性研究咨询费均不在批复内容中，涉及费用共计41.21万元。经与镇级部门项目负责人沟通了解，批复外所涉费用均为项目开展实际所需，最终结算时的总费用不会超出批复金额。</w:t>
      </w:r>
    </w:p>
    <w:p>
      <w:pPr>
        <w:pStyle w:val="22"/>
        <w:ind w:firstLine="643"/>
      </w:pPr>
      <w:r>
        <w:rPr>
          <w:rFonts w:hint="eastAsia"/>
          <w:b/>
          <w:bCs w:val="0"/>
        </w:rPr>
        <w:t>3.</w:t>
      </w:r>
      <w:r>
        <w:rPr>
          <w:b/>
          <w:bCs w:val="0"/>
        </w:rPr>
        <w:t>资产归属及管养主体不明确，</w:t>
      </w:r>
      <w:r>
        <w:rPr>
          <w:rFonts w:hint="eastAsia"/>
          <w:b/>
          <w:bCs w:val="0"/>
        </w:rPr>
        <w:t>长效机制有待完善</w:t>
      </w:r>
    </w:p>
    <w:p>
      <w:pPr>
        <w:pStyle w:val="22"/>
      </w:pPr>
      <w:r>
        <w:t>堡镇、新河镇以前年度建成的市政管网由区水务局统一运行维护并承担养护费用，目前农村污水管网的资产、管理权限等归属于镇级，区级对于养护费用进行补贴。撤制镇污水管网的性质介于城镇、农村之间，实际操作中业务管理参照城镇污水管网执行，但养护费用区级不承担，现资产归属及管理权限均为镇级部门，养护费用也由镇级自行承担。针对已建成撤制镇区污水管网后续的资产归属、管养主体、养护费用来源等不够明确，政策依据有待形成和进一步完善。</w:t>
      </w:r>
    </w:p>
    <w:p>
      <w:pPr>
        <w:pStyle w:val="26"/>
        <w:ind w:firstLine="640"/>
        <w:outlineLvl w:val="9"/>
      </w:pPr>
      <w:r>
        <w:rPr>
          <w:rFonts w:hint="eastAsia"/>
        </w:rPr>
        <w:t>（三）建议和改进举措</w:t>
      </w:r>
    </w:p>
    <w:p>
      <w:pPr>
        <w:pStyle w:val="22"/>
        <w:ind w:firstLine="643"/>
        <w:rPr>
          <w:b/>
          <w:bCs w:val="0"/>
        </w:rPr>
      </w:pPr>
      <w:r>
        <w:rPr>
          <w:rFonts w:hint="eastAsia"/>
          <w:b/>
          <w:bCs w:val="0"/>
        </w:rPr>
        <w:t>1.强化合同全生命周期管理，推动合同条款有效履行</w:t>
      </w:r>
    </w:p>
    <w:p>
      <w:pPr>
        <w:pStyle w:val="22"/>
      </w:pPr>
      <w:r>
        <w:rPr>
          <w:rFonts w:hint="eastAsia"/>
        </w:rPr>
        <w:t>建议项目单位今后年度实施同类项目或其他大型项目时，</w:t>
      </w:r>
      <w:r>
        <w:rPr>
          <w:rFonts w:hint="eastAsia"/>
          <w:b/>
          <w:bCs w:val="0"/>
        </w:rPr>
        <w:t>一是规范合同签订流程。</w:t>
      </w:r>
      <w:r>
        <w:rPr>
          <w:rFonts w:hint="eastAsia"/>
        </w:rPr>
        <w:t>项目批复立项后即开展采购工作，待确定中标单位后按照中标事项及时签订合同，明确合同内容、服务期限等。</w:t>
      </w:r>
      <w:r>
        <w:rPr>
          <w:rFonts w:hint="eastAsia"/>
          <w:b/>
          <w:bCs w:val="0"/>
        </w:rPr>
        <w:t>二是加强项目合同要素管理及审核。</w:t>
      </w:r>
      <w:r>
        <w:rPr>
          <w:rFonts w:hint="eastAsia"/>
        </w:rPr>
        <w:t>与第三方单位签订各类合同时按照规定，明确合同标的、数量、质量、价款、履行期限、地点和方式、违约责任等要素，同时做好合同审核，及时核实并补充遗漏事项，确保其法律效力。若存在客观影响因素导致项目延期的情况，建议在延期申请审批通过后以补充协议的方式同步调整合同履行期限。</w:t>
      </w:r>
      <w:r>
        <w:rPr>
          <w:rFonts w:hint="eastAsia"/>
          <w:b/>
          <w:bCs w:val="0"/>
        </w:rPr>
        <w:t>三是按照项目建设进度及合同约定及时核付相关费用。</w:t>
      </w:r>
      <w:r>
        <w:rPr>
          <w:rFonts w:hint="eastAsia"/>
        </w:rPr>
        <w:t>目前堡镇污水管网完善工程项目已基本结项，新河镇项目正在审计中，对于尚未支付资金，建议按照财政相关要求加快请款并在资金到位后及时核付。今后同类项目实施过程中若因中标单位原因导致延期，建议按照违约条款的相关规定执行。</w:t>
      </w:r>
    </w:p>
    <w:p>
      <w:pPr>
        <w:pStyle w:val="22"/>
        <w:ind w:firstLine="643"/>
        <w:rPr>
          <w:b/>
        </w:rPr>
      </w:pPr>
      <w:r>
        <w:rPr>
          <w:rFonts w:hint="eastAsia"/>
          <w:b/>
        </w:rPr>
        <w:t>2.完善工程变更报批流程，规范使用项目资金</w:t>
      </w:r>
    </w:p>
    <w:p>
      <w:pPr>
        <w:pStyle w:val="22"/>
        <w:ind w:firstLine="643"/>
        <w:rPr>
          <w:b/>
        </w:rPr>
      </w:pPr>
      <w:r>
        <w:rPr>
          <w:rFonts w:hint="eastAsia"/>
          <w:b/>
          <w:bCs w:val="0"/>
        </w:rPr>
        <w:t>第一，</w:t>
      </w:r>
      <w:r>
        <w:rPr>
          <w:rFonts w:hint="eastAsia"/>
        </w:rPr>
        <w:t>针对污水管网完善工程项目，对于堡镇、新河镇人民政府，建议结合区级要求，依据审计金额或审价金额补充提交变更材料，明确变更内容及对应费用的变更情况；对于区财政局，建议在进行资金清算前，要求两镇提交工程建设费用变更情况的相关材料。对于区发改委，若今后年度相关单位实施同类项目或其他大型项目时，督促项目（法人）单位在建设内容发生变更时及时提交报批材料并做好变更内容的审核工作，规范项目实施。</w:t>
      </w:r>
      <w:r>
        <w:rPr>
          <w:rFonts w:hint="eastAsia"/>
          <w:b/>
        </w:rPr>
        <w:t>第二，</w:t>
      </w:r>
      <w:r>
        <w:rPr>
          <w:rFonts w:hint="eastAsia"/>
        </w:rPr>
        <w:t>建议两镇加紧与区财政局、区水务局、区发改委、区建管委相关部门沟通协调，商榷批复投资估算及概算明细外的工程建设其他费用是否可以使用本项目资金支付，确定后续资金列支方式及承担主体。若不可使用本项目资金支付，建议做好相关资金及财务处理。</w:t>
      </w:r>
    </w:p>
    <w:p>
      <w:pPr>
        <w:pStyle w:val="22"/>
        <w:ind w:firstLine="643"/>
        <w:rPr>
          <w:b/>
        </w:rPr>
      </w:pPr>
      <w:r>
        <w:rPr>
          <w:rFonts w:hint="eastAsia"/>
          <w:b/>
        </w:rPr>
        <w:t>3.明确责任和资产归属，健全撤制镇污水管网养护长效机制</w:t>
      </w:r>
    </w:p>
    <w:p>
      <w:pPr>
        <w:pStyle w:val="22"/>
        <w:ind w:firstLine="643"/>
        <w:sectPr>
          <w:footerReference r:id="rId4" w:type="default"/>
          <w:pgSz w:w="11906" w:h="16838"/>
          <w:pgMar w:top="2098" w:right="1474" w:bottom="1984" w:left="1587" w:header="851" w:footer="992" w:gutter="0"/>
          <w:pgNumType w:start="1"/>
          <w:cols w:space="0" w:num="1"/>
          <w:docGrid w:type="lines" w:linePitch="312" w:charSpace="0"/>
        </w:sectPr>
      </w:pPr>
      <w:r>
        <w:rPr>
          <w:rFonts w:hint="eastAsia"/>
          <w:b/>
        </w:rPr>
        <w:t>区级层面，</w:t>
      </w:r>
      <w:r>
        <w:rPr>
          <w:rFonts w:hint="eastAsia"/>
          <w:bCs w:val="0"/>
        </w:rPr>
        <w:t>一是建议相关单位结合行业规范文件及崇明区实际，明确责任部门及各部门职能职责、项目实施环节及流程、重大变更及一般变更划分、变更审批与监管等相关内容，规范项目开展。</w:t>
      </w:r>
      <w:r>
        <w:rPr>
          <w:rFonts w:hint="eastAsia"/>
          <w:b/>
        </w:rPr>
        <w:t>镇级层面，</w:t>
      </w:r>
      <w:r>
        <w:rPr>
          <w:rFonts w:hint="eastAsia"/>
          <w:bCs w:val="0"/>
        </w:rPr>
        <w:t>建议结合上位法文件制定大型工程类项目管理的相关制度，明确镇级条线的组织机构及职责和项目立项、招投标、施工、审价、审计、验收、资金结算、材料归档、项目考核等方面的管理要求；针对工程量变更的情况，结合行业要求及目前两镇实际模式，建议届时由施工单位形成</w:t>
      </w:r>
      <w:r>
        <w:rPr>
          <w:rFonts w:hint="eastAsia"/>
        </w:rPr>
        <w:t>工程变更签证单等书面材料，经代建单位、监理单位、设计单位和项目法人单位分别确认并核实其变更率，当变更率超出规定比例时需由区发改委、区建委进行审批，规范项目变更手续。</w:t>
      </w:r>
      <w:r>
        <w:rPr>
          <w:rFonts w:hint="eastAsia"/>
          <w:b/>
        </w:rPr>
        <w:t>区镇联动层面，</w:t>
      </w:r>
      <w:r>
        <w:rPr>
          <w:rFonts w:hint="eastAsia"/>
          <w:bCs w:val="0"/>
        </w:rPr>
        <w:t>建议区水务局与两镇加强沟通，商讨确定污水管网及配套设施的管养体系，明确资产管理部门、管养主体及维护费用承担主体等，为项目后续管理提供</w:t>
      </w:r>
      <w:r>
        <w:t>政策依据。</w:t>
      </w: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崇明区财政项目支出绩效评价报告</w:t>
      </w:r>
    </w:p>
    <w:p>
      <w:pPr>
        <w:spacing w:before="156" w:beforeLines="50" w:line="560" w:lineRule="exact"/>
        <w:ind w:firstLine="640" w:firstLineChars="200"/>
        <w:jc w:val="left"/>
        <w:rPr>
          <w:rFonts w:hint="eastAsia" w:ascii="仿宋_GB2312" w:hAnsi="仿宋" w:eastAsia="仿宋_GB2312"/>
          <w:sz w:val="32"/>
          <w:szCs w:val="32"/>
        </w:rPr>
      </w:pPr>
    </w:p>
    <w:p>
      <w:pPr>
        <w:spacing w:before="156" w:beforeLines="50" w:line="560" w:lineRule="exact"/>
        <w:ind w:firstLine="640" w:firstLineChars="200"/>
        <w:jc w:val="left"/>
        <w:rPr>
          <w:rFonts w:ascii="Times New Roman" w:hAnsi="Times New Roman" w:eastAsia="仿宋" w:cs="Times New Roman"/>
          <w:sz w:val="32"/>
          <w:szCs w:val="32"/>
        </w:rPr>
      </w:pPr>
      <w:r>
        <w:rPr>
          <w:rFonts w:hint="eastAsia" w:ascii="Times New Roman" w:hAnsi="Times New Roman" w:eastAsia="仿宋" w:cs="Times New Roman"/>
          <w:sz w:val="32"/>
          <w:szCs w:val="32"/>
        </w:rPr>
        <w:t>为贯彻落实上海市全面实施预算绩效管理的工作要求，加强崇明区财政支出管理，提高财政资金使用效益，根据《关于印发&lt;上海市财政项目支出预算绩效管理办法（试行）&gt;的通知》（沪财绩〔2020〕6 号）、《中共上海市崇明区委 上海市崇明区人民政府关于我区全面实施预算绩效管理的实施意见》（崇委发〔2019〕21号）、《关于印发&lt;2024年崇明区预算绩效管理工作要点&gt;的通知》（沪崇财绩〔2024〕1号）等文件，上海灏略企业管理咨询有限公司受崇明区财政局的委托，对污水管网完善工程（堡镇-五效集镇区和新河-新民集镇区）项目</w:t>
      </w:r>
      <w:r>
        <w:rPr>
          <w:rFonts w:hint="eastAsia" w:ascii="Times New Roman" w:hAnsi="Times New Roman" w:eastAsia="仿宋" w:cs="Times New Roman"/>
          <w:sz w:val="32"/>
          <w:szCs w:val="32"/>
          <w:vertAlign w:val="superscript"/>
        </w:rPr>
        <w:footnoteReference w:id="0"/>
      </w:r>
      <w:r>
        <w:rPr>
          <w:rFonts w:hint="eastAsia" w:ascii="Times New Roman" w:hAnsi="Times New Roman" w:eastAsia="仿宋" w:cs="Times New Roman"/>
          <w:sz w:val="32"/>
          <w:szCs w:val="32"/>
        </w:rPr>
        <w:t>及其对应的</w:t>
      </w:r>
      <w:r>
        <w:rPr>
          <w:rStyle w:val="23"/>
          <w:rFonts w:hint="eastAsia"/>
        </w:rPr>
        <w:t>6704万元批复投资概算</w:t>
      </w:r>
      <w:r>
        <w:rPr>
          <w:rFonts w:hint="eastAsia" w:ascii="Times New Roman" w:hAnsi="Times New Roman" w:eastAsia="仿宋" w:cs="Times New Roman"/>
          <w:sz w:val="32"/>
          <w:szCs w:val="32"/>
        </w:rPr>
        <w:t>进行绩效评价，该项目为新增一次性工程类建设项目，评价时段为堡镇2021年6月3日至2023年11月21日、新河镇2021年6月3日至2024年4月10日。本次评价旨在对项目实际完成工程量、预算资金使用、实施效果等进行考察，反映污水管网工程的施工情况，为进一步规范工程类项目申报、实施、工程量变更、竣工验收、资产归属等提供建议。评价小组在取数、调研以及分析基础上，并按照专家评审后的绩效评价方案，围绕评价关注的重点，形成了本报告。</w:t>
      </w:r>
    </w:p>
    <w:p>
      <w:pPr>
        <w:pStyle w:val="33"/>
      </w:pPr>
      <w:bookmarkStart w:id="27" w:name="_Toc171093906"/>
      <w:r>
        <w:rPr>
          <w:rFonts w:hint="eastAsia"/>
        </w:rPr>
        <w:t>一、项目基本情况</w:t>
      </w:r>
      <w:bookmarkEnd w:id="27"/>
    </w:p>
    <w:p>
      <w:pPr>
        <w:pStyle w:val="26"/>
        <w:ind w:firstLine="640"/>
      </w:pPr>
      <w:bookmarkStart w:id="28" w:name="_Toc171093907"/>
      <w:r>
        <w:rPr>
          <w:rFonts w:hint="eastAsia"/>
        </w:rPr>
        <w:t>（一）项目立项背景、目的和依据</w:t>
      </w:r>
      <w:bookmarkEnd w:id="28"/>
    </w:p>
    <w:p>
      <w:pPr>
        <w:pStyle w:val="24"/>
        <w:ind w:firstLine="643"/>
      </w:pPr>
      <w:bookmarkStart w:id="29" w:name="_Toc169390938"/>
      <w:bookmarkStart w:id="30" w:name="_Toc169439174"/>
      <w:bookmarkStart w:id="31" w:name="_Toc171093908"/>
      <w:r>
        <w:rPr>
          <w:rFonts w:hint="eastAsia"/>
        </w:rPr>
        <w:t>1.立项背景</w:t>
      </w:r>
      <w:bookmarkEnd w:id="29"/>
      <w:bookmarkEnd w:id="30"/>
      <w:bookmarkEnd w:id="31"/>
    </w:p>
    <w:p>
      <w:pPr>
        <w:pStyle w:val="22"/>
      </w:pPr>
      <w:r>
        <w:t>城市污水处理处置设施，是让城市更有序、更安全、更干净运行的重要保障。传统混合式排水系统将雨水和污水混合在一起，造成了大量污水流入河道水体，增加了处理负荷和运营成本，引发雨污混合水漫溢、水体污染、污水处理厂运行不稳定等问题。2021年，为加快补齐城镇污水收集和处理设施短板，全面提升污水收集处理及资源化利用能力水平，我国发布《“十四五”城镇污水处理及资源化利用发展规划》，明确提出到2025年，基本消除城市建成区生活污水直排口和收集处理设施空白区，全国城市生活污水集中收集率力争达到70%以上，城市和县城污水处理能力基本满足经济社会发展需要，县城污水处理率达到95%以上。</w:t>
      </w:r>
    </w:p>
    <w:p>
      <w:pPr>
        <w:pStyle w:val="22"/>
      </w:pPr>
      <w:r>
        <w:t>为推进上海市水系统治理，上海市制定并发布《上海市水系统治理“十四五”规划》，提出到2025年城镇污水处理率≥99%的目标。要求完善污水管网，增强污水片区输送保障能力和系统安全性。</w:t>
      </w:r>
    </w:p>
    <w:p>
      <w:pPr>
        <w:pStyle w:val="22"/>
      </w:pPr>
      <w:r>
        <w:t>崇明区地处上海市远郊，下辖16个镇和2个乡，城市基础设施相对薄弱。近年来，上海市先后发布了《崇明生态岛建设纲要（2010—2020年）》《崇明世界级生态岛发展“十三五”规划》《上海市崇明区总体规划暨土地利用总体规划2017—2035》等重要文件，将崇明生态岛规划建设提高到全新的高度，这对于崇明世界级生态岛污水处理系统规划建设也提出了新的更高要求。</w:t>
      </w:r>
    </w:p>
    <w:p>
      <w:pPr>
        <w:pStyle w:val="22"/>
      </w:pPr>
      <w:r>
        <w:t>为贯彻落实上级</w:t>
      </w:r>
      <w:r>
        <w:rPr>
          <w:rFonts w:hint="eastAsia"/>
        </w:rPr>
        <w:t>要求</w:t>
      </w:r>
      <w:r>
        <w:t>，</w:t>
      </w:r>
      <w:r>
        <w:rPr>
          <w:rFonts w:hint="eastAsia"/>
        </w:rPr>
        <w:t>崇明区自2018年起实施污水管网完善工作，</w:t>
      </w:r>
      <w:r>
        <w:t>截至“十三五”期末初步形成</w:t>
      </w:r>
      <w:r>
        <w:rPr>
          <w:rFonts w:hint="eastAsia"/>
        </w:rPr>
        <w:t>了</w:t>
      </w:r>
      <w:r>
        <w:t>覆盖18个乡镇和广大农村区域的“5厂＋15站＋X农污”三位一体的污水处理格局，城镇污水集中处理率≥95％</w:t>
      </w:r>
      <w:r>
        <w:rPr>
          <w:rFonts w:hint="eastAsia"/>
        </w:rPr>
        <w:t>。</w:t>
      </w:r>
      <w:r>
        <w:t>为构建与“世界级生态岛”生态环境相匹配、满足水环境功能区划要求的水环境治理体系，崇明区水务局（以下简称“区水务局”）编制了《崇明区污水处理系统及污泥处理处置专业规划2020-2035）》（2021年），提出2025年崇明区城镇污水处理率要达到99%以上、2035年达到100%，至2035年全面实现城乡污水管网全覆盖等目标。</w:t>
      </w:r>
    </w:p>
    <w:p>
      <w:pPr>
        <w:pStyle w:val="22"/>
      </w:pPr>
      <w:r>
        <w:rPr>
          <w:rFonts w:hint="eastAsia"/>
        </w:rPr>
        <w:t>由于“十三五”末</w:t>
      </w:r>
      <w:r>
        <w:t>城镇污水集中处理率</w:t>
      </w:r>
      <w:r>
        <w:rPr>
          <w:rFonts w:hint="eastAsia"/>
        </w:rPr>
        <w:t>的达成情况与</w:t>
      </w:r>
      <w:r>
        <w:t>“十四五”99%的目标仍存在一定差距</w:t>
      </w:r>
      <w:r>
        <w:rPr>
          <w:rFonts w:hint="eastAsia"/>
        </w:rPr>
        <w:t>，因此，“十四五”初期城桥、新河等11镇实施了污水管网完善工程。在镇区以外的镇管社区区域</w:t>
      </w:r>
      <w:r>
        <w:t>中，10个撤制乡镇</w:t>
      </w:r>
      <w:r>
        <w:rPr>
          <w:rStyle w:val="17"/>
        </w:rPr>
        <w:footnoteReference w:id="1"/>
      </w:r>
      <w:r>
        <w:t>集镇区域污水管网建设</w:t>
      </w:r>
      <w:r>
        <w:rPr>
          <w:rFonts w:hint="eastAsia"/>
        </w:rPr>
        <w:t>也</w:t>
      </w:r>
      <w:r>
        <w:t>存在突出短板</w:t>
      </w:r>
      <w:r>
        <w:rPr>
          <w:rStyle w:val="17"/>
        </w:rPr>
        <w:footnoteReference w:id="2"/>
      </w:r>
      <w:r>
        <w:rPr>
          <w:rFonts w:hint="eastAsia"/>
        </w:rPr>
        <w:t>，</w:t>
      </w:r>
      <w:r>
        <w:t>根据《关于加快推进本区撤制乡镇污水管网完善工程的通知》（崇河长办〔2021〕11号）文件，针对2019年上海市第四生态环境保护督察组来崇督察提出的撤制乡镇集镇区域污水直排河道影响环境的问题，亟需完善撤制乡镇污水管网，加快补齐污水管网建设短板，减少水污染，提升水环境质量。根据环保督察整改要求，需在2021年完成撤制乡镇污水收集处理建设任务。同时，《上海市崇明区人民政府办公室关于印发&lt;崇明区水务“十四五”规划&gt;的通知》（沪崇府办发〔2021〕21号）也提出要“完成10个撤制乡镇（农场）实现污水管网收集系统盲区全覆盖”，并“形成‘六片九厂X站’</w:t>
      </w:r>
      <w:r>
        <w:rPr>
          <w:rStyle w:val="17"/>
        </w:rPr>
        <w:footnoteReference w:id="3"/>
      </w:r>
      <w:r>
        <w:t>城镇污水处理总格局”等，而完善污水管网是崇明区各污水处理厂、处理站正常运行的必要前提</w:t>
      </w:r>
      <w:r>
        <w:rPr>
          <w:rFonts w:hint="eastAsia"/>
        </w:rPr>
        <w:t>。因此，10个撤制镇也陆续实施了污水管网完善工程，截至2022年底，全区</w:t>
      </w:r>
      <w:r>
        <w:t>城镇污水集中处理率</w:t>
      </w:r>
      <w:r>
        <w:rPr>
          <w:rFonts w:hint="eastAsia"/>
        </w:rPr>
        <w:t>达到97.8%。</w:t>
      </w:r>
    </w:p>
    <w:p>
      <w:pPr>
        <w:pStyle w:val="22"/>
      </w:pPr>
      <w:r>
        <w:t>本次评价的污水管网完善工程，包含10个撤制镇中的2个</w:t>
      </w:r>
      <w:r>
        <w:rPr>
          <w:rFonts w:hint="eastAsia"/>
        </w:rPr>
        <w:t>，</w:t>
      </w:r>
      <w:r>
        <w:t>具体为堡镇-五效集镇区和新河-新民集镇区，项目法人单位分别为堡镇人民政府和新河镇人民政府。其中，</w:t>
      </w:r>
      <w:r>
        <w:rPr>
          <w:b/>
        </w:rPr>
        <w:t>五效集镇区</w:t>
      </w:r>
      <w:r>
        <w:t>（原五效</w:t>
      </w:r>
      <w:r>
        <w:rPr>
          <w:rFonts w:hint="eastAsia" w:ascii="仿宋_GB2312" w:hAnsi="仿宋_GB2312" w:cs="仿宋_GB2312"/>
        </w:rPr>
        <w:t>乡）位于堡镇内，</w:t>
      </w:r>
      <w:r>
        <w:t>2000年12月撤销堡镇镇和五效</w:t>
      </w:r>
      <w:r>
        <w:rPr>
          <w:rFonts w:hint="eastAsia" w:ascii="仿宋_GB2312" w:hAnsi="仿宋_GB2312" w:cs="仿宋_GB2312"/>
        </w:rPr>
        <w:t>乡合并建立堡镇，镇区合并后五效镇污水排入堡镇污水厂。堡镇污水厂主要服务于堡镇镇区，以及港沿、竖新、竖河、五</w:t>
      </w:r>
      <w:r>
        <w:t>效</w:t>
      </w:r>
      <w:r>
        <w:rPr>
          <w:rFonts w:hint="eastAsia" w:ascii="仿宋_GB2312" w:hAnsi="仿宋_GB2312" w:cs="仿宋_GB2312"/>
        </w:rPr>
        <w:t>等</w:t>
      </w:r>
      <w:r>
        <w:t>4个集镇和沿线农村地区，污水厂尾水排放至长江。</w:t>
      </w:r>
      <w:r>
        <w:rPr>
          <w:b/>
        </w:rPr>
        <w:t>新民集镇区</w:t>
      </w:r>
      <w:r>
        <w:t>位于崇明新河镇内，2000年12月撤新河镇和新民镇二镇全并建新河镇，镇区合并后，新河污水厂主要服务于新河镇（包括富盛经济开发区）以及新民、大同2个集镇和沿线农村地区。</w:t>
      </w:r>
    </w:p>
    <w:p>
      <w:pPr>
        <w:pStyle w:val="22"/>
      </w:pPr>
      <w:r>
        <w:t>2021年，为进一步加快推进雨污混接综合整治工作，减少雨污混接对水环境的影响，改善区域水环境质量，堡镇人民政府和新河镇人民政府</w:t>
      </w:r>
      <w:r>
        <w:rPr>
          <w:rFonts w:hint="eastAsia"/>
        </w:rPr>
        <w:t>分别</w:t>
      </w:r>
      <w:r>
        <w:t>申请实施“污水管网完善工程”</w:t>
      </w:r>
      <w:r>
        <w:rPr>
          <w:rFonts w:hint="eastAsia"/>
        </w:rPr>
        <w:t>。污水管网建设前期，两个集镇区均为雨污混接，项目实施后原管道用于雨水输送，新建管网用于污水输送，基本实现雨污分流。该项目为新增一次性工程建设项目，立项前期崇明区发展和改革委员会（以下简称“区发改委”）、崇明区建设和管理委员会（以下简称“区建管委”）分别对项目估算和概算进行了审批，根据批复，两镇主要建设内容包括敷设管道、新建泵站、检查井等，堡镇、新河镇</w:t>
      </w:r>
      <w:r>
        <w:t>批复投资</w:t>
      </w:r>
      <w:r>
        <w:rPr>
          <w:rFonts w:hint="eastAsia"/>
        </w:rPr>
        <w:t>估算</w:t>
      </w:r>
      <w:r>
        <w:t>分别为1881.31万元、4824.1万元，</w:t>
      </w:r>
      <w:r>
        <w:rPr>
          <w:rFonts w:hint="eastAsia"/>
        </w:rPr>
        <w:t>批复的投资概算分别为1880.15万元、</w:t>
      </w:r>
      <w:r>
        <w:t>482</w:t>
      </w:r>
      <w:r>
        <w:rPr>
          <w:rFonts w:hint="eastAsia"/>
        </w:rPr>
        <w:t>3.85</w:t>
      </w:r>
      <w:r>
        <w:t>万元</w:t>
      </w:r>
      <w:r>
        <w:rPr>
          <w:rFonts w:hint="eastAsia"/>
        </w:rPr>
        <w:t>。实际</w:t>
      </w:r>
      <w:r>
        <w:t>资金由市、区、镇三级承担，其中：市级资金来源于市级建设财力资金，区级资金来源于专项债券资金，镇级资金来源为一般公共预算资金，</w:t>
      </w:r>
      <w:r>
        <w:rPr>
          <w:rFonts w:hint="eastAsia"/>
        </w:rPr>
        <w:t>市、区资金由区财政转移支付至镇级部门。三级资金主要</w:t>
      </w:r>
      <w:r>
        <w:t>用于支付污水管道、检查井、泵站等工程建设费用和勘察、设计、监理等二类费用。</w:t>
      </w:r>
      <w:r>
        <w:rPr>
          <w:rFonts w:hint="eastAsia"/>
        </w:rPr>
        <w:t>目前，堡镇已完成审价、审计及竣工验收，项目已结项；新河镇已完成审价和竣工验收，项目已送审，两镇污水管网均已投入使用。</w:t>
      </w:r>
    </w:p>
    <w:p>
      <w:pPr>
        <w:pStyle w:val="24"/>
        <w:ind w:firstLine="643"/>
      </w:pPr>
      <w:bookmarkStart w:id="32" w:name="_Toc169439175"/>
      <w:bookmarkStart w:id="33" w:name="_Toc171093909"/>
      <w:bookmarkStart w:id="34" w:name="_Toc169390939"/>
      <w:r>
        <w:rPr>
          <w:rFonts w:hint="eastAsia"/>
        </w:rPr>
        <w:t>2.立项目的</w:t>
      </w:r>
      <w:bookmarkEnd w:id="32"/>
      <w:bookmarkEnd w:id="33"/>
      <w:bookmarkEnd w:id="34"/>
    </w:p>
    <w:p>
      <w:pPr>
        <w:pStyle w:val="22"/>
      </w:pPr>
      <w:r>
        <w:t>通过实施污水管网完善工程（堡镇-五效集镇区和新河-新民集镇区）项目，敷设污水管道并建设相应的检查井、泵站等，解决堡镇-五效集镇区和新河-新民集镇区的雨污混接问题，</w:t>
      </w:r>
      <w:r>
        <w:rPr>
          <w:rFonts w:hint="eastAsia"/>
        </w:rPr>
        <w:t>实现雨污分流，</w:t>
      </w:r>
      <w:r>
        <w:t>进一步提高居民生活环境质量和区域污水处理效率，减轻污水厂运行负荷和地表水污染，从而促进崇明区水环境质量的改善及城市排水能力的提高。</w:t>
      </w:r>
    </w:p>
    <w:p>
      <w:pPr>
        <w:pStyle w:val="24"/>
        <w:ind w:firstLine="643"/>
      </w:pPr>
      <w:bookmarkStart w:id="35" w:name="_Toc169439176"/>
      <w:bookmarkStart w:id="36" w:name="_Toc169390940"/>
      <w:bookmarkStart w:id="37" w:name="_Toc171093910"/>
      <w:r>
        <w:rPr>
          <w:rFonts w:hint="eastAsia"/>
        </w:rPr>
        <w:t>3.立项依据</w:t>
      </w:r>
      <w:bookmarkEnd w:id="35"/>
      <w:bookmarkEnd w:id="36"/>
      <w:bookmarkEnd w:id="37"/>
    </w:p>
    <w:p>
      <w:pPr>
        <w:pStyle w:val="22"/>
      </w:pPr>
      <w:r>
        <w:rPr>
          <w:rFonts w:hint="eastAsia"/>
        </w:rPr>
        <w:t>下表仅列示与该项目直接相关的文件及条款，其余文件详见附件4。</w:t>
      </w:r>
    </w:p>
    <w:p>
      <w:pPr>
        <w:pStyle w:val="22"/>
        <w:ind w:firstLine="0" w:firstLineChars="0"/>
        <w:jc w:val="center"/>
        <w:rPr>
          <w:b/>
          <w:bCs w:val="0"/>
          <w:sz w:val="28"/>
          <w:szCs w:val="24"/>
        </w:rPr>
      </w:pPr>
      <w:r>
        <w:rPr>
          <w:b/>
          <w:bCs w:val="0"/>
          <w:sz w:val="28"/>
          <w:szCs w:val="24"/>
        </w:rPr>
        <w:t>表1-1：立项依据文件统计表</w:t>
      </w:r>
    </w:p>
    <w:tbl>
      <w:tblPr>
        <w:tblStyle w:val="12"/>
        <w:tblW w:w="5000" w:type="pct"/>
        <w:tblInd w:w="0" w:type="dxa"/>
        <w:tblLayout w:type="autofit"/>
        <w:tblCellMar>
          <w:top w:w="0" w:type="dxa"/>
          <w:left w:w="108" w:type="dxa"/>
          <w:bottom w:w="0" w:type="dxa"/>
          <w:right w:w="108" w:type="dxa"/>
        </w:tblCellMar>
      </w:tblPr>
      <w:tblGrid>
        <w:gridCol w:w="520"/>
        <w:gridCol w:w="1851"/>
        <w:gridCol w:w="1307"/>
        <w:gridCol w:w="5383"/>
      </w:tblGrid>
      <w:tr>
        <w:tblPrEx>
          <w:tblCellMar>
            <w:top w:w="0" w:type="dxa"/>
            <w:left w:w="108" w:type="dxa"/>
            <w:bottom w:w="0" w:type="dxa"/>
            <w:right w:w="108" w:type="dxa"/>
          </w:tblCellMar>
        </w:tblPrEx>
        <w:trPr>
          <w:trHeight w:val="20" w:hRule="atLeast"/>
          <w:tblHeader/>
        </w:trPr>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序号</w:t>
            </w:r>
          </w:p>
        </w:tc>
        <w:tc>
          <w:tcPr>
            <w:tcW w:w="10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文件名称</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文号</w:t>
            </w:r>
          </w:p>
        </w:tc>
        <w:tc>
          <w:tcPr>
            <w:tcW w:w="30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相关政策条款</w:t>
            </w:r>
          </w:p>
        </w:tc>
      </w:tr>
      <w:tr>
        <w:tblPrEx>
          <w:tblCellMar>
            <w:top w:w="0" w:type="dxa"/>
            <w:left w:w="108" w:type="dxa"/>
            <w:bottom w:w="0" w:type="dxa"/>
            <w:right w:w="108" w:type="dxa"/>
          </w:tblCellMar>
        </w:tblPrEx>
        <w:trPr>
          <w:trHeight w:val="20" w:hRule="atLeast"/>
        </w:trPr>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1</w:t>
            </w:r>
          </w:p>
        </w:tc>
        <w:tc>
          <w:tcPr>
            <w:tcW w:w="10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《上海市崇明区人民政府办公室关于印发&lt;崇明区水务“十四五”规划&gt;的通知》</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沪崇府办发〔2021〕21号</w:t>
            </w:r>
          </w:p>
        </w:tc>
        <w:tc>
          <w:tcPr>
            <w:tcW w:w="30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（1）实现全区城镇污水处理率由95％提高至99％；</w:t>
            </w:r>
            <w:r>
              <w:rPr>
                <w:rFonts w:ascii="Times New Roman" w:hAnsi="Times New Roman" w:eastAsia="仿宋_GB2312" w:cs="Times New Roman"/>
                <w:kern w:val="0"/>
                <w:sz w:val="24"/>
                <w:szCs w:val="24"/>
              </w:rPr>
              <w:br w:type="textWrapping"/>
            </w:r>
            <w:r>
              <w:rPr>
                <w:rFonts w:ascii="Times New Roman" w:hAnsi="Times New Roman" w:eastAsia="仿宋_GB2312" w:cs="Times New Roman"/>
                <w:kern w:val="0"/>
                <w:sz w:val="24"/>
                <w:szCs w:val="24"/>
              </w:rPr>
              <w:t>（</w:t>
            </w:r>
            <w:r>
              <w:rPr>
                <w:rFonts w:hint="eastAsia" w:ascii="Times New Roman" w:hAnsi="Times New Roman" w:eastAsia="仿宋_GB2312" w:cs="Times New Roman"/>
                <w:kern w:val="0"/>
                <w:sz w:val="24"/>
                <w:szCs w:val="24"/>
              </w:rPr>
              <w:t>2</w:t>
            </w:r>
            <w:r>
              <w:rPr>
                <w:rFonts w:ascii="Times New Roman" w:hAnsi="Times New Roman" w:eastAsia="仿宋_GB2312" w:cs="Times New Roman"/>
                <w:kern w:val="0"/>
                <w:sz w:val="24"/>
                <w:szCs w:val="24"/>
              </w:rPr>
              <w:t>）完成10个撤制乡镇（农场）实现污水管网收集系统盲区全覆盖。</w:t>
            </w:r>
          </w:p>
        </w:tc>
      </w:tr>
      <w:tr>
        <w:tblPrEx>
          <w:tblCellMar>
            <w:top w:w="0" w:type="dxa"/>
            <w:left w:w="108" w:type="dxa"/>
            <w:bottom w:w="0" w:type="dxa"/>
            <w:right w:w="108" w:type="dxa"/>
          </w:tblCellMar>
        </w:tblPrEx>
        <w:trPr>
          <w:trHeight w:val="20" w:hRule="atLeast"/>
        </w:trPr>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2</w:t>
            </w:r>
          </w:p>
        </w:tc>
        <w:tc>
          <w:tcPr>
            <w:tcW w:w="10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《关于加快推进本区撤制乡镇污水管网完善工程的通知》</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崇河长办〔2021〕11号</w:t>
            </w:r>
          </w:p>
        </w:tc>
        <w:tc>
          <w:tcPr>
            <w:tcW w:w="30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根据环保督察整改要求，需在2021年完成撤制乡镇污水收集处理建设任务，工程任务繁重，时间紧迫。现请区发改委、财政局抓紧制定工程资金的区、镇两级财政承担政策；区水务局加强行业指导，提供工程技术支撑；相关乡镇积极推进工程实施，确保按期完成环保督查整改任务。</w:t>
            </w:r>
          </w:p>
        </w:tc>
      </w:tr>
      <w:tr>
        <w:tblPrEx>
          <w:tblCellMar>
            <w:top w:w="0" w:type="dxa"/>
            <w:left w:w="108" w:type="dxa"/>
            <w:bottom w:w="0" w:type="dxa"/>
            <w:right w:w="108" w:type="dxa"/>
          </w:tblCellMar>
        </w:tblPrEx>
        <w:trPr>
          <w:trHeight w:val="20" w:hRule="atLeast"/>
        </w:trPr>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3</w:t>
            </w:r>
          </w:p>
        </w:tc>
        <w:tc>
          <w:tcPr>
            <w:tcW w:w="10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《上海市崇明区发展和改革委员会关于堡镇污水管网完善工程可行性研究报告（兼项目建议书）的批复》</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沪崇发改〔2021〕183号</w:t>
            </w:r>
          </w:p>
        </w:tc>
        <w:tc>
          <w:tcPr>
            <w:tcW w:w="30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（1）建设内容：项目位于五效镇区，主要建设内容为敷设De110～DN300污水管道9307米，检查井230座，化粪池1座，一体化泵站4座，截流井3座及道路修复等；</w:t>
            </w:r>
          </w:p>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（2）投资估算和资金来源：总投资估算为1881.31万元，其中工程费用1582.16万元，其他费用215.23万元，预备费53.92万元，前期费用30万元。所需资金除区财政补贴外，不足部分自筹。</w:t>
            </w:r>
          </w:p>
        </w:tc>
      </w:tr>
      <w:tr>
        <w:tblPrEx>
          <w:tblCellMar>
            <w:top w:w="0" w:type="dxa"/>
            <w:left w:w="108" w:type="dxa"/>
            <w:bottom w:w="0" w:type="dxa"/>
            <w:right w:w="108" w:type="dxa"/>
          </w:tblCellMar>
        </w:tblPrEx>
        <w:trPr>
          <w:trHeight w:val="20" w:hRule="atLeast"/>
        </w:trPr>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4</w:t>
            </w:r>
          </w:p>
        </w:tc>
        <w:tc>
          <w:tcPr>
            <w:tcW w:w="10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《上海市崇明区发展和改革委员会关于新河镇污水管网完善工程可行性研究报告（兼项目建议书）的批复》</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沪崇发改〔2021〕184号</w:t>
            </w:r>
          </w:p>
        </w:tc>
        <w:tc>
          <w:tcPr>
            <w:tcW w:w="30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建设内容：项目位于新民镇区，主要建设内容为敷设DN200～DN400污水管道7600米，新建泵站2座，检查井152座，压力井13座，沉井54座，泄压井2座，排气阀井14座，雨水口45座，DN600合流管修复300米及道路、绿化修复等；</w:t>
            </w:r>
          </w:p>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（2）投资估算和资金来源：总投资估算为4824.1万元，其中工程费用4101.75万元，其他费用581.84万元，预备费140.51万元。所需资金除区财政补贴外，不足部分自筹。</w:t>
            </w:r>
          </w:p>
        </w:tc>
      </w:tr>
      <w:tr>
        <w:tblPrEx>
          <w:tblCellMar>
            <w:top w:w="0" w:type="dxa"/>
            <w:left w:w="108" w:type="dxa"/>
            <w:bottom w:w="0" w:type="dxa"/>
            <w:right w:w="108" w:type="dxa"/>
          </w:tblCellMar>
        </w:tblPrEx>
        <w:trPr>
          <w:trHeight w:val="20" w:hRule="atLeast"/>
        </w:trPr>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5</w:t>
            </w:r>
          </w:p>
        </w:tc>
        <w:tc>
          <w:tcPr>
            <w:tcW w:w="10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《关于堡镇污水管网完善工程初步设计的批复》</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沪崇建管〔2021〕75号</w:t>
            </w:r>
          </w:p>
        </w:tc>
        <w:tc>
          <w:tcPr>
            <w:tcW w:w="30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（1）建设内容与标准：本工程在五效镇区敷设De110～DN300污水管道9440米，检查井213座，化粪池1座，一体化泵站4座，截流井2座及道路修复；</w:t>
            </w:r>
          </w:p>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（2）本工程总投资概算为1880.15万元。其中建安费为1584.48万元，工程建设其他费用为215.4万元，预备费为54万元，前期费用26.27万元。所需资金除区财政补贴外，不足部分自筹。</w:t>
            </w:r>
          </w:p>
        </w:tc>
      </w:tr>
      <w:tr>
        <w:tblPrEx>
          <w:tblCellMar>
            <w:top w:w="0" w:type="dxa"/>
            <w:left w:w="108" w:type="dxa"/>
            <w:bottom w:w="0" w:type="dxa"/>
            <w:right w:w="108" w:type="dxa"/>
          </w:tblCellMar>
        </w:tblPrEx>
        <w:trPr>
          <w:trHeight w:val="20" w:hRule="atLeast"/>
        </w:trPr>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6</w:t>
            </w:r>
          </w:p>
        </w:tc>
        <w:tc>
          <w:tcPr>
            <w:tcW w:w="10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《关于新河镇污水管网完善工程初步设计的批复》</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沪崇建管〔2021〕79号</w:t>
            </w:r>
          </w:p>
        </w:tc>
        <w:tc>
          <w:tcPr>
            <w:tcW w:w="30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（1）建设内容与标准：本工程在新民镇区敷设DN200～DN400污水管道7532米，新建泵站2座，检查井152座，压力井13座，沉井54座，泄压井2座，排气阀井14座，雨水口45座，DN600合流管修复300米及道路、绿化修复等；</w:t>
            </w:r>
          </w:p>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（2）本工程投资概算为4823.85万元。其中建安费为4089.6万元，工程建设其他费用为593.75万元，预备费为140.5万元。所需资金除区财政补贴外，不足部分自筹。</w:t>
            </w:r>
          </w:p>
        </w:tc>
      </w:tr>
    </w:tbl>
    <w:p>
      <w:pPr>
        <w:pStyle w:val="26"/>
        <w:ind w:firstLine="640"/>
      </w:pPr>
      <w:bookmarkStart w:id="38" w:name="_Toc171093911"/>
      <w:r>
        <w:rPr>
          <w:rFonts w:hint="eastAsia"/>
        </w:rPr>
        <w:t>（二）项目实施计划及完成情况</w:t>
      </w:r>
      <w:bookmarkEnd w:id="38"/>
    </w:p>
    <w:p>
      <w:pPr>
        <w:pStyle w:val="22"/>
      </w:pPr>
      <w:r>
        <w:rPr>
          <w:rFonts w:hint="eastAsia"/>
        </w:rPr>
        <w:t>污水管网及配套设施建设受施工环境、施工条件、路面质量、开挖长度等综合因素影响，需要采取的技术手段会有所差异，管道铺设的成本不仅取决于管道直径，还受到管材、施工难度、工程规模和地理位置等因素的影响。</w:t>
      </w:r>
      <w:r>
        <w:t>该项目</w:t>
      </w:r>
      <w:r>
        <w:rPr>
          <w:rFonts w:hint="eastAsia"/>
        </w:rPr>
        <w:t>实施单位为堡镇人民政府和新河镇人民政府，两镇采用的工艺不同，且每条路段施工现场的环境不完全一致，</w:t>
      </w:r>
      <w:r>
        <w:t>以下分别介绍</w:t>
      </w:r>
      <w:r>
        <w:rPr>
          <w:rFonts w:hint="eastAsia"/>
        </w:rPr>
        <w:t>两镇项目的建设内容</w:t>
      </w:r>
      <w:r>
        <w:t>：</w:t>
      </w:r>
    </w:p>
    <w:p>
      <w:pPr>
        <w:pStyle w:val="24"/>
        <w:ind w:firstLine="643"/>
      </w:pPr>
      <w:bookmarkStart w:id="39" w:name="_Toc163570354"/>
      <w:bookmarkStart w:id="40" w:name="_Toc169390942"/>
      <w:bookmarkStart w:id="41" w:name="_Toc169439178"/>
      <w:bookmarkStart w:id="42" w:name="_Toc171093912"/>
      <w:bookmarkStart w:id="43" w:name="_Toc165914603"/>
      <w:r>
        <w:t>1.堡镇-五效集镇区</w:t>
      </w:r>
      <w:bookmarkEnd w:id="39"/>
      <w:bookmarkEnd w:id="40"/>
      <w:bookmarkEnd w:id="41"/>
      <w:bookmarkEnd w:id="42"/>
      <w:bookmarkEnd w:id="43"/>
    </w:p>
    <w:p>
      <w:pPr>
        <w:pStyle w:val="22"/>
        <w:ind w:firstLine="643"/>
        <w:rPr>
          <w:b/>
          <w:bCs w:val="0"/>
        </w:rPr>
      </w:pPr>
      <w:bookmarkStart w:id="44" w:name="_Hlk169358507"/>
      <w:r>
        <w:rPr>
          <w:rFonts w:hint="eastAsia"/>
          <w:b/>
          <w:bCs w:val="0"/>
        </w:rPr>
        <w:t>（1）实施计划：</w:t>
      </w:r>
      <w:r>
        <w:rPr>
          <w:rFonts w:hint="eastAsia"/>
        </w:rPr>
        <w:t>堡镇项目计划于2021年10月开展招投标，至2022年6月完成施工。实际于2021年6月3日区发改委下达可研批复，7月21日区建管委下达初设批复；堡镇取得项目批复开展施工招投标并于9月29日发布中标通知书，中标单位为上海瑞昆建设股份有限公司，9月30日双方签订施工合同，明确合同工期为2021年10月2日至2021年12月30日共90个日历天。合同签订后，中标单位于10月29日取得施工许可证，完成报监等相关手续，11月8日开工并于2022年7月1日竣工，竣工时间晚于合同约定时间。项目竣工后于8月18日通过通水验收，8月30日通过了区发改委、区财政局、区水务局、区水务质监站等部门参与的竣工验收。</w:t>
      </w:r>
    </w:p>
    <w:p>
      <w:pPr>
        <w:pStyle w:val="22"/>
        <w:ind w:firstLine="643"/>
      </w:pPr>
      <w:r>
        <w:rPr>
          <w:b/>
          <w:bCs w:val="0"/>
        </w:rPr>
        <w:t>（</w:t>
      </w:r>
      <w:r>
        <w:rPr>
          <w:rFonts w:hint="eastAsia"/>
          <w:b/>
          <w:bCs w:val="0"/>
        </w:rPr>
        <w:t>2</w:t>
      </w:r>
      <w:r>
        <w:rPr>
          <w:b/>
          <w:bCs w:val="0"/>
        </w:rPr>
        <w:t>）</w:t>
      </w:r>
      <w:r>
        <w:rPr>
          <w:rFonts w:hint="eastAsia"/>
          <w:b/>
          <w:bCs w:val="0"/>
        </w:rPr>
        <w:t>计划建设内容：</w:t>
      </w:r>
      <w:r>
        <w:rPr>
          <w:rFonts w:hint="eastAsia"/>
        </w:rPr>
        <w:t>根据可研批复及初设批复，项目主要建设内容包括</w:t>
      </w:r>
      <w:r>
        <w:t>在五</w:t>
      </w:r>
      <w:r>
        <w:rPr>
          <w:rFonts w:hint="eastAsia"/>
        </w:rPr>
        <w:t>效</w:t>
      </w:r>
      <w:r>
        <w:rPr>
          <w:rFonts w:hint="eastAsia" w:ascii="仿宋_GB2312" w:hAnsi="仿宋_GB2312" w:cs="仿宋_GB2312"/>
        </w:rPr>
        <w:t>镇区敷设污水管道</w:t>
      </w:r>
      <w:r>
        <w:rPr>
          <w:rFonts w:hint="eastAsia"/>
        </w:rPr>
        <w:t>，新建</w:t>
      </w:r>
      <w:r>
        <w:t>检查井</w:t>
      </w:r>
      <w:r>
        <w:rPr>
          <w:rFonts w:hint="eastAsia"/>
        </w:rPr>
        <w:t>、</w:t>
      </w:r>
      <w:r>
        <w:t>化粪池</w:t>
      </w:r>
      <w:r>
        <w:rPr>
          <w:rFonts w:hint="eastAsia"/>
        </w:rPr>
        <w:t>、</w:t>
      </w:r>
      <w:r>
        <w:t>一体化泵站</w:t>
      </w:r>
      <w:r>
        <w:rPr>
          <w:rFonts w:hint="eastAsia"/>
        </w:rPr>
        <w:t>、</w:t>
      </w:r>
      <w:r>
        <w:t>截流井及道路修复等。</w:t>
      </w:r>
      <w:r>
        <w:rPr>
          <w:rFonts w:hint="eastAsia"/>
        </w:rPr>
        <w:t>堡镇人民政府根据概算批复金额1880.15万元细化工程量清单并编制了招标文件。</w:t>
      </w:r>
    </w:p>
    <w:p>
      <w:pPr>
        <w:pStyle w:val="22"/>
      </w:pPr>
      <w:bookmarkStart w:id="45" w:name="_Hlk165914177"/>
      <w:r>
        <w:rPr>
          <w:rFonts w:hint="eastAsia"/>
        </w:rPr>
        <w:t>根据中标单位投标文件、施工合同、审计报告，项目工程量主要包括：敷设9441米</w:t>
      </w:r>
      <w:r>
        <w:t>污水管道，</w:t>
      </w:r>
      <w:r>
        <w:rPr>
          <w:rFonts w:hint="eastAsia"/>
        </w:rPr>
        <w:t>新建</w:t>
      </w:r>
      <w:r>
        <w:t>检查井</w:t>
      </w:r>
      <w:r>
        <w:rPr>
          <w:rFonts w:hint="eastAsia"/>
        </w:rPr>
        <w:t>275</w:t>
      </w:r>
      <w:r>
        <w:t>座，一体化</w:t>
      </w:r>
      <w:r>
        <w:rPr>
          <w:rFonts w:hint="eastAsia"/>
        </w:rPr>
        <w:t>预制</w:t>
      </w:r>
      <w:r>
        <w:t>泵站4座，修复</w:t>
      </w:r>
      <w:r>
        <w:rPr>
          <w:rFonts w:hint="eastAsia"/>
        </w:rPr>
        <w:t>6964平方米</w:t>
      </w:r>
      <w:r>
        <w:t>道路。</w:t>
      </w:r>
    </w:p>
    <w:bookmarkEnd w:id="44"/>
    <w:bookmarkEnd w:id="45"/>
    <w:p>
      <w:pPr>
        <w:pStyle w:val="22"/>
        <w:ind w:firstLine="643"/>
      </w:pPr>
      <w:bookmarkStart w:id="46" w:name="_Hlk169358486"/>
      <w:r>
        <w:rPr>
          <w:rFonts w:hint="eastAsia"/>
          <w:b/>
          <w:bCs w:val="0"/>
        </w:rPr>
        <w:t>（3）实际建设内容：</w:t>
      </w:r>
      <w:bookmarkStart w:id="47" w:name="_Hlk169367890"/>
      <w:r>
        <w:t>项目实际建设</w:t>
      </w:r>
      <w:r>
        <w:rPr>
          <w:rFonts w:hint="eastAsia"/>
        </w:rPr>
        <w:t>完成了大部分合同约定工程量，同时新增了一部分工程量，实际</w:t>
      </w:r>
      <w:r>
        <w:t>敷设De110～DN300污水管道8117.29米，</w:t>
      </w:r>
      <w:r>
        <w:rPr>
          <w:rFonts w:hint="eastAsia"/>
        </w:rPr>
        <w:t>建设</w:t>
      </w:r>
      <w:r>
        <w:t>检查井1</w:t>
      </w:r>
      <w:r>
        <w:rPr>
          <w:rFonts w:hint="eastAsia"/>
        </w:rPr>
        <w:t>49</w:t>
      </w:r>
      <w:r>
        <w:t>座</w:t>
      </w:r>
      <w:r>
        <w:rPr>
          <w:rFonts w:hint="eastAsia"/>
        </w:rPr>
        <w:t>、</w:t>
      </w:r>
      <w:r>
        <w:t>截流井1座</w:t>
      </w:r>
      <w:r>
        <w:rPr>
          <w:rFonts w:hint="eastAsia"/>
        </w:rPr>
        <w:t>、</w:t>
      </w:r>
      <w:r>
        <w:t>泵站</w:t>
      </w:r>
      <w:r>
        <w:rPr>
          <w:rFonts w:hint="eastAsia"/>
        </w:rPr>
        <w:t>5</w:t>
      </w:r>
      <w:r>
        <w:t>座</w:t>
      </w:r>
      <w:r>
        <w:rPr>
          <w:rFonts w:hint="eastAsia"/>
        </w:rPr>
        <w:t>，完成3912.27平方米</w:t>
      </w:r>
      <w:r>
        <w:t>道路</w:t>
      </w:r>
      <w:r>
        <w:rPr>
          <w:rFonts w:hint="eastAsia"/>
        </w:rPr>
        <w:t>拆除</w:t>
      </w:r>
      <w:r>
        <w:t>修复</w:t>
      </w:r>
      <w:r>
        <w:rPr>
          <w:rFonts w:hint="eastAsia"/>
        </w:rPr>
        <w:t>以及新增的微顶工程、菜场工程、公交候车亭拆除安装等内容。</w:t>
      </w:r>
      <w:r>
        <w:t>具体</w:t>
      </w:r>
      <w:r>
        <w:rPr>
          <w:rFonts w:hint="eastAsia"/>
        </w:rPr>
        <w:t>工程量</w:t>
      </w:r>
      <w:r>
        <w:t>详见表1-2。</w:t>
      </w:r>
    </w:p>
    <w:p>
      <w:pPr>
        <w:pStyle w:val="22"/>
      </w:pPr>
      <w:r>
        <w:rPr>
          <w:rFonts w:hint="eastAsia"/>
        </w:rPr>
        <w:t>经梳理对比，堡镇项目涉及的各管径污水管道、不同类型检查井、泵站等内容的实际建设工程量均与合同约定工程量存在一定差异，且新增了部分合同外的建设内容。</w:t>
      </w:r>
      <w:bookmarkStart w:id="48" w:name="_Hlk169356334"/>
      <w:r>
        <w:rPr>
          <w:rFonts w:hint="eastAsia"/>
          <w:b/>
          <w:bCs w:val="0"/>
        </w:rPr>
        <w:t>合同约定的建设内容及工程量方面</w:t>
      </w:r>
      <w:r>
        <w:rPr>
          <w:rFonts w:hint="eastAsia"/>
        </w:rPr>
        <w:t>，应敷设9441米污水管道，实际敷设6411米，完成率为67.91%；应建设275座检查井和截流井，实际建设132座，完成率为48%；道路拆除及恢复面积应为6964平方米，审定工程量为</w:t>
      </w:r>
      <w:r>
        <w:t>2135.95</w:t>
      </w:r>
      <w:r>
        <w:rPr>
          <w:rFonts w:hint="eastAsia"/>
        </w:rPr>
        <w:t>平方米，完成率为30.67%；新建泵站数量应为4座，实际为4座，完成率为100%。</w:t>
      </w:r>
      <w:r>
        <w:rPr>
          <w:rFonts w:hint="eastAsia"/>
          <w:b/>
          <w:bCs w:val="0"/>
        </w:rPr>
        <w:t>合同约定外的建设内容及工程量方面</w:t>
      </w:r>
      <w:r>
        <w:rPr>
          <w:rFonts w:hint="eastAsia"/>
        </w:rPr>
        <w:t>，主要涉及新增1706.29米污水管道、18座检查井、</w:t>
      </w:r>
      <w:r>
        <w:t>1776.32</w:t>
      </w:r>
      <w:r>
        <w:rPr>
          <w:rFonts w:hint="eastAsia"/>
        </w:rPr>
        <w:t>平方米混凝土道路拆除及恢复、1座提升泵和合五公路微顶工程、五效菜场处增设塑料管和砌筑井等。</w:t>
      </w:r>
      <w:bookmarkEnd w:id="47"/>
      <w:r>
        <w:rPr>
          <w:rFonts w:hint="eastAsia"/>
        </w:rPr>
        <w:t>工程量变更原因方面，主要是现场施工环境、施工条件与预期存在偏差，变更后未改变原有规划选线位置。如花永东路、向堡路因现场道路狭窄、居民建筑距离道路较近，施工条件较差，开槽埋管存在困难因此变更为拖拉管敷设。合五公路排管下穿堡镇四号、五号横河，原设计拖拉管过河，后变更为开槽埋管河面以上路面下敷设过河、微顶管过河并取得了行政许可。</w:t>
      </w:r>
      <w:bookmarkEnd w:id="46"/>
    </w:p>
    <w:p>
      <w:pPr>
        <w:pStyle w:val="22"/>
      </w:pPr>
      <w:r>
        <w:rPr>
          <w:rFonts w:hint="eastAsia"/>
        </w:rPr>
        <w:t>从项目整体变更情况来看，污水管道工程中的2项内容取消，涉及费用55.61万元；新增9项内容，涉及174.61万元；7项内容的工程量较合同约定数量减少，涉及302.97万元，审定费用较合同价降低66.95%；5项内容的工程量较合同约定数量增加，涉及58.97万元，审定费用较合同价增长7.07%；</w:t>
      </w:r>
      <w:bookmarkEnd w:id="48"/>
      <w:r>
        <w:rPr>
          <w:rFonts w:hint="eastAsia"/>
        </w:rPr>
        <w:t>从单项建设内容来看其工程量变更较大，主要原因为合同内约定工程量减少（即完成率较低）的前提下受施工环境、工艺等因素影响新增了一定的工程量，新增费用与原合同价相比所差较小。经审计，实际建设完成的合同约定工程量对应的施工费用为907.48万元（较合同价减少435.22万元），新增工程量涉及的费用共为389.98万元，合计1297.46万元，总体来看最终审计费用较合同价</w:t>
      </w:r>
      <w:r>
        <w:t>1342.70</w:t>
      </w:r>
      <w:r>
        <w:rPr>
          <w:rFonts w:hint="eastAsia"/>
        </w:rPr>
        <w:t>万元减少45.24万元。</w:t>
      </w:r>
    </w:p>
    <w:p>
      <w:pPr>
        <w:pStyle w:val="22"/>
        <w:ind w:firstLine="0" w:firstLineChars="0"/>
        <w:jc w:val="center"/>
        <w:rPr>
          <w:b/>
          <w:bCs w:val="0"/>
          <w:sz w:val="28"/>
          <w:szCs w:val="24"/>
        </w:rPr>
        <w:sectPr>
          <w:pgSz w:w="11906" w:h="16838"/>
          <w:pgMar w:top="2098" w:right="1474" w:bottom="1984" w:left="1587" w:header="851" w:footer="992" w:gutter="0"/>
          <w:pgNumType w:start="1"/>
          <w:cols w:space="0" w:num="1"/>
          <w:docGrid w:type="lines" w:linePitch="312" w:charSpace="0"/>
        </w:sectPr>
      </w:pPr>
    </w:p>
    <w:p>
      <w:pPr>
        <w:pStyle w:val="22"/>
        <w:ind w:firstLine="0" w:firstLineChars="0"/>
        <w:jc w:val="center"/>
        <w:rPr>
          <w:b/>
          <w:bCs w:val="0"/>
          <w:sz w:val="28"/>
          <w:szCs w:val="24"/>
        </w:rPr>
      </w:pPr>
      <w:r>
        <w:rPr>
          <w:b/>
          <w:bCs w:val="0"/>
          <w:sz w:val="28"/>
          <w:szCs w:val="24"/>
        </w:rPr>
        <w:t>表1-2：堡镇项目实施内容统计表</w:t>
      </w:r>
    </w:p>
    <w:tbl>
      <w:tblPr>
        <w:tblStyle w:val="12"/>
        <w:tblW w:w="5409" w:type="pct"/>
        <w:tblInd w:w="-176" w:type="dxa"/>
        <w:tblLayout w:type="fixed"/>
        <w:tblCellMar>
          <w:top w:w="0" w:type="dxa"/>
          <w:left w:w="108" w:type="dxa"/>
          <w:bottom w:w="0" w:type="dxa"/>
          <w:right w:w="108" w:type="dxa"/>
        </w:tblCellMar>
      </w:tblPr>
      <w:tblGrid>
        <w:gridCol w:w="428"/>
        <w:gridCol w:w="1709"/>
        <w:gridCol w:w="603"/>
        <w:gridCol w:w="820"/>
        <w:gridCol w:w="848"/>
        <w:gridCol w:w="848"/>
        <w:gridCol w:w="755"/>
        <w:gridCol w:w="878"/>
        <w:gridCol w:w="909"/>
        <w:gridCol w:w="999"/>
        <w:gridCol w:w="850"/>
        <w:gridCol w:w="867"/>
        <w:gridCol w:w="850"/>
        <w:gridCol w:w="850"/>
        <w:gridCol w:w="828"/>
        <w:gridCol w:w="991"/>
      </w:tblGrid>
      <w:tr>
        <w:tblPrEx>
          <w:tblCellMar>
            <w:top w:w="0" w:type="dxa"/>
            <w:left w:w="108" w:type="dxa"/>
            <w:bottom w:w="0" w:type="dxa"/>
            <w:right w:w="108" w:type="dxa"/>
          </w:tblCellMar>
        </w:tblPrEx>
        <w:trPr>
          <w:trHeight w:val="604" w:hRule="atLeast"/>
          <w:tblHeader/>
        </w:trPr>
        <w:tc>
          <w:tcPr>
            <w:tcW w:w="76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bookmarkStart w:id="49" w:name="_Toc163570355"/>
            <w:r>
              <w:rPr>
                <w:rFonts w:ascii="Times New Roman" w:hAnsi="Times New Roman" w:eastAsia="仿宋_GB2312" w:cs="Times New Roman"/>
                <w:b/>
                <w:bCs/>
                <w:kern w:val="0"/>
                <w:sz w:val="24"/>
                <w:szCs w:val="24"/>
              </w:rPr>
              <w:t>建设内容</w:t>
            </w:r>
          </w:p>
        </w:tc>
        <w:tc>
          <w:tcPr>
            <w:tcW w:w="2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单位</w:t>
            </w:r>
          </w:p>
        </w:tc>
        <w:tc>
          <w:tcPr>
            <w:tcW w:w="2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合同工程量</w:t>
            </w:r>
          </w:p>
        </w:tc>
        <w:tc>
          <w:tcPr>
            <w:tcW w:w="30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合同价</w:t>
            </w:r>
            <w:r>
              <w:rPr>
                <w:rStyle w:val="17"/>
                <w:rFonts w:ascii="Times New Roman" w:hAnsi="Times New Roman" w:eastAsia="仿宋_GB2312" w:cs="Times New Roman"/>
                <w:b/>
                <w:bCs/>
                <w:kern w:val="0"/>
                <w:sz w:val="24"/>
                <w:szCs w:val="24"/>
              </w:rPr>
              <w:footnoteReference w:id="4"/>
            </w:r>
          </w:p>
        </w:tc>
        <w:tc>
          <w:tcPr>
            <w:tcW w:w="1564"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审计工程量</w:t>
            </w:r>
          </w:p>
        </w:tc>
        <w:tc>
          <w:tcPr>
            <w:tcW w:w="151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审定费用</w:t>
            </w:r>
          </w:p>
        </w:tc>
        <w:tc>
          <w:tcPr>
            <w:tcW w:w="353" w:type="pct"/>
            <w:vMerge w:val="restart"/>
            <w:tcBorders>
              <w:top w:val="single" w:color="000000" w:sz="4" w:space="0"/>
              <w:left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hint="eastAsia" w:ascii="Times New Roman" w:hAnsi="Times New Roman" w:eastAsia="仿宋_GB2312" w:cs="Times New Roman"/>
                <w:b/>
                <w:bCs/>
                <w:kern w:val="0"/>
                <w:sz w:val="24"/>
                <w:szCs w:val="24"/>
              </w:rPr>
              <w:t>备注</w:t>
            </w:r>
          </w:p>
        </w:tc>
      </w:tr>
      <w:tr>
        <w:tblPrEx>
          <w:tblCellMar>
            <w:top w:w="0" w:type="dxa"/>
            <w:left w:w="108" w:type="dxa"/>
            <w:bottom w:w="0" w:type="dxa"/>
            <w:right w:w="108" w:type="dxa"/>
          </w:tblCellMar>
        </w:tblPrEx>
        <w:trPr>
          <w:trHeight w:val="20" w:hRule="atLeast"/>
          <w:tblHeader/>
        </w:trPr>
        <w:tc>
          <w:tcPr>
            <w:tcW w:w="761" w:type="pct"/>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b/>
                <w:bCs/>
                <w:kern w:val="0"/>
                <w:sz w:val="24"/>
                <w:szCs w:val="24"/>
              </w:rPr>
            </w:pPr>
          </w:p>
        </w:tc>
        <w:tc>
          <w:tcPr>
            <w:tcW w:w="215"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b/>
                <w:bCs/>
                <w:kern w:val="0"/>
                <w:sz w:val="24"/>
                <w:szCs w:val="24"/>
              </w:rPr>
            </w:pPr>
          </w:p>
        </w:tc>
        <w:tc>
          <w:tcPr>
            <w:tcW w:w="292"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b/>
                <w:bCs/>
                <w:kern w:val="0"/>
                <w:sz w:val="24"/>
                <w:szCs w:val="24"/>
              </w:rPr>
            </w:pPr>
          </w:p>
        </w:tc>
        <w:tc>
          <w:tcPr>
            <w:tcW w:w="302"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b/>
                <w:bCs/>
                <w:kern w:val="0"/>
                <w:sz w:val="24"/>
                <w:szCs w:val="24"/>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合同内工程量</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合同外工程量</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小计</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变动情况</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变更率</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合同内费用</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合同外费用</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小计</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变动情况</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变更率</w:t>
            </w:r>
          </w:p>
        </w:tc>
        <w:tc>
          <w:tcPr>
            <w:tcW w:w="353" w:type="pct"/>
            <w:vMerge w:val="continue"/>
            <w:tcBorders>
              <w:left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p>
        </w:tc>
      </w:tr>
      <w:tr>
        <w:tblPrEx>
          <w:tblCellMar>
            <w:top w:w="0" w:type="dxa"/>
            <w:left w:w="108" w:type="dxa"/>
            <w:bottom w:w="0" w:type="dxa"/>
            <w:right w:w="108" w:type="dxa"/>
          </w:tblCellMar>
        </w:tblPrEx>
        <w:trPr>
          <w:trHeight w:val="20" w:hRule="atLeast"/>
          <w:tblHeader/>
        </w:trPr>
        <w:tc>
          <w:tcPr>
            <w:tcW w:w="761" w:type="pct"/>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b/>
                <w:bCs/>
                <w:kern w:val="0"/>
                <w:sz w:val="24"/>
                <w:szCs w:val="24"/>
              </w:rPr>
            </w:pPr>
          </w:p>
        </w:tc>
        <w:tc>
          <w:tcPr>
            <w:tcW w:w="215"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b/>
                <w:bCs/>
                <w:kern w:val="0"/>
                <w:sz w:val="24"/>
                <w:szCs w:val="24"/>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宋体" w:hAnsi="宋体" w:eastAsia="宋体" w:cs="宋体"/>
                <w:kern w:val="0"/>
                <w:sz w:val="24"/>
                <w:szCs w:val="24"/>
              </w:rPr>
              <w:t>①</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宋体" w:hAnsi="宋体" w:eastAsia="宋体" w:cs="宋体"/>
                <w:kern w:val="0"/>
                <w:sz w:val="24"/>
                <w:szCs w:val="24"/>
              </w:rPr>
              <w:t>②</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宋体" w:hAnsi="宋体" w:eastAsia="宋体" w:cs="宋体"/>
                <w:kern w:val="0"/>
                <w:sz w:val="24"/>
                <w:szCs w:val="24"/>
              </w:rPr>
              <w:t>③</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宋体" w:hAnsi="宋体" w:eastAsia="宋体" w:cs="宋体"/>
                <w:kern w:val="0"/>
                <w:sz w:val="24"/>
                <w:szCs w:val="24"/>
              </w:rPr>
              <w:t>④</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宋体" w:hAnsi="宋体" w:eastAsia="宋体" w:cs="宋体"/>
                <w:kern w:val="0"/>
                <w:sz w:val="24"/>
                <w:szCs w:val="24"/>
              </w:rPr>
              <w:t>⑤</w:t>
            </w:r>
            <w:r>
              <w:rPr>
                <w:rFonts w:ascii="Times New Roman" w:hAnsi="Times New Roman" w:eastAsia="仿宋_GB2312" w:cs="Times New Roman"/>
                <w:kern w:val="0"/>
                <w:sz w:val="24"/>
                <w:szCs w:val="24"/>
              </w:rPr>
              <w:t>=</w:t>
            </w:r>
            <w:r>
              <w:rPr>
                <w:rFonts w:hint="eastAsia" w:ascii="宋体" w:hAnsi="宋体" w:eastAsia="宋体" w:cs="宋体"/>
                <w:kern w:val="0"/>
                <w:sz w:val="24"/>
                <w:szCs w:val="24"/>
              </w:rPr>
              <w:t>③</w:t>
            </w:r>
            <w:r>
              <w:rPr>
                <w:rFonts w:ascii="Times New Roman" w:hAnsi="Times New Roman" w:eastAsia="仿宋_GB2312" w:cs="Times New Roman"/>
                <w:kern w:val="0"/>
                <w:sz w:val="24"/>
                <w:szCs w:val="24"/>
              </w:rPr>
              <w:t>+</w:t>
            </w:r>
            <w:r>
              <w:rPr>
                <w:rFonts w:hint="eastAsia" w:ascii="宋体" w:hAnsi="宋体" w:eastAsia="宋体" w:cs="宋体"/>
                <w:kern w:val="0"/>
                <w:sz w:val="24"/>
                <w:szCs w:val="24"/>
              </w:rPr>
              <w:t>④</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宋体" w:hAnsi="宋体" w:eastAsia="宋体" w:cs="宋体"/>
                <w:kern w:val="0"/>
                <w:sz w:val="24"/>
                <w:szCs w:val="24"/>
              </w:rPr>
              <w:t>⑥</w:t>
            </w:r>
            <w:r>
              <w:rPr>
                <w:rFonts w:ascii="Times New Roman" w:hAnsi="Times New Roman" w:eastAsia="仿宋_GB2312" w:cs="Times New Roman"/>
                <w:kern w:val="0"/>
                <w:sz w:val="24"/>
                <w:szCs w:val="24"/>
              </w:rPr>
              <w:t>=</w:t>
            </w:r>
            <w:r>
              <w:rPr>
                <w:rFonts w:hint="eastAsia" w:ascii="宋体" w:hAnsi="宋体" w:eastAsia="宋体" w:cs="宋体"/>
                <w:kern w:val="0"/>
                <w:sz w:val="24"/>
                <w:szCs w:val="24"/>
              </w:rPr>
              <w:t>⑤</w:t>
            </w:r>
            <w:r>
              <w:rPr>
                <w:rFonts w:ascii="Times New Roman" w:hAnsi="Times New Roman" w:eastAsia="仿宋_GB2312" w:cs="Times New Roman"/>
                <w:kern w:val="0"/>
                <w:sz w:val="24"/>
                <w:szCs w:val="24"/>
              </w:rPr>
              <w:t>-</w:t>
            </w:r>
            <w:r>
              <w:rPr>
                <w:rFonts w:hint="eastAsia" w:ascii="宋体" w:hAnsi="宋体" w:eastAsia="宋体" w:cs="宋体"/>
                <w:kern w:val="0"/>
                <w:sz w:val="24"/>
                <w:szCs w:val="24"/>
              </w:rPr>
              <w:t>①</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宋体" w:hAnsi="宋体" w:eastAsia="宋体" w:cs="宋体"/>
                <w:kern w:val="0"/>
                <w:sz w:val="24"/>
                <w:szCs w:val="24"/>
              </w:rPr>
              <w:t>⑥</w:t>
            </w:r>
            <w:r>
              <w:rPr>
                <w:rFonts w:ascii="Times New Roman" w:hAnsi="Times New Roman" w:eastAsia="仿宋_GB2312" w:cs="Times New Roman"/>
                <w:kern w:val="0"/>
                <w:sz w:val="24"/>
                <w:szCs w:val="24"/>
              </w:rPr>
              <w:t>/</w:t>
            </w:r>
            <w:r>
              <w:rPr>
                <w:rFonts w:hint="eastAsia" w:ascii="宋体" w:hAnsi="宋体" w:eastAsia="宋体" w:cs="宋体"/>
                <w:kern w:val="0"/>
                <w:sz w:val="24"/>
                <w:szCs w:val="24"/>
              </w:rPr>
              <w:t>①</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宋体" w:hAnsi="宋体" w:eastAsia="宋体" w:cs="宋体"/>
                <w:kern w:val="0"/>
                <w:sz w:val="24"/>
                <w:szCs w:val="24"/>
              </w:rPr>
              <w:t>⑦</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宋体" w:hAnsi="宋体" w:eastAsia="宋体" w:cs="宋体"/>
                <w:kern w:val="0"/>
                <w:sz w:val="24"/>
                <w:szCs w:val="24"/>
              </w:rPr>
              <w:t>⑧</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宋体" w:hAnsi="宋体" w:eastAsia="宋体" w:cs="宋体"/>
                <w:kern w:val="0"/>
                <w:sz w:val="24"/>
                <w:szCs w:val="24"/>
              </w:rPr>
              <w:t>⑨</w:t>
            </w:r>
            <w:r>
              <w:rPr>
                <w:rFonts w:ascii="Times New Roman" w:hAnsi="Times New Roman" w:eastAsia="仿宋_GB2312" w:cs="Times New Roman"/>
                <w:kern w:val="0"/>
                <w:sz w:val="24"/>
                <w:szCs w:val="24"/>
              </w:rPr>
              <w:t>=</w:t>
            </w:r>
            <w:r>
              <w:rPr>
                <w:rFonts w:hint="eastAsia" w:ascii="宋体" w:hAnsi="宋体" w:eastAsia="宋体" w:cs="宋体"/>
                <w:kern w:val="0"/>
                <w:sz w:val="24"/>
                <w:szCs w:val="24"/>
              </w:rPr>
              <w:t>⑦</w:t>
            </w:r>
            <w:r>
              <w:rPr>
                <w:rFonts w:ascii="Times New Roman" w:hAnsi="Times New Roman" w:eastAsia="仿宋_GB2312" w:cs="Times New Roman"/>
                <w:kern w:val="0"/>
                <w:sz w:val="24"/>
                <w:szCs w:val="24"/>
              </w:rPr>
              <w:t>+</w:t>
            </w:r>
            <w:r>
              <w:rPr>
                <w:rFonts w:hint="eastAsia" w:ascii="宋体" w:hAnsi="宋体" w:eastAsia="宋体" w:cs="宋体"/>
                <w:kern w:val="0"/>
                <w:sz w:val="24"/>
                <w:szCs w:val="24"/>
              </w:rPr>
              <w:t>⑧</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宋体" w:hAnsi="宋体" w:eastAsia="宋体" w:cs="宋体"/>
                <w:kern w:val="0"/>
                <w:sz w:val="24"/>
                <w:szCs w:val="24"/>
              </w:rPr>
              <w:t>⑩</w:t>
            </w:r>
            <w:r>
              <w:rPr>
                <w:rFonts w:ascii="Times New Roman" w:hAnsi="Times New Roman" w:eastAsia="仿宋_GB2312" w:cs="Times New Roman"/>
                <w:kern w:val="0"/>
                <w:sz w:val="24"/>
                <w:szCs w:val="24"/>
              </w:rPr>
              <w:t>=</w:t>
            </w:r>
            <w:r>
              <w:rPr>
                <w:rFonts w:hint="eastAsia" w:ascii="宋体" w:hAnsi="宋体" w:eastAsia="宋体" w:cs="宋体"/>
                <w:kern w:val="0"/>
                <w:sz w:val="24"/>
                <w:szCs w:val="24"/>
              </w:rPr>
              <w:t>⑨</w:t>
            </w:r>
            <w:r>
              <w:rPr>
                <w:rFonts w:ascii="Times New Roman" w:hAnsi="Times New Roman" w:eastAsia="仿宋_GB2312" w:cs="Times New Roman"/>
                <w:kern w:val="0"/>
                <w:sz w:val="24"/>
                <w:szCs w:val="24"/>
              </w:rPr>
              <w:t>-</w:t>
            </w:r>
            <w:r>
              <w:rPr>
                <w:rFonts w:hint="eastAsia" w:ascii="宋体" w:hAnsi="宋体" w:eastAsia="宋体" w:cs="宋体"/>
                <w:kern w:val="0"/>
                <w:sz w:val="24"/>
                <w:szCs w:val="24"/>
              </w:rPr>
              <w:t>②</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宋体" w:hAnsi="宋体" w:eastAsia="宋体" w:cs="宋体"/>
                <w:kern w:val="0"/>
                <w:sz w:val="24"/>
                <w:szCs w:val="24"/>
              </w:rPr>
              <w:t>⑩</w:t>
            </w:r>
            <w:r>
              <w:rPr>
                <w:rFonts w:ascii="Times New Roman" w:hAnsi="Times New Roman" w:eastAsia="仿宋_GB2312" w:cs="Times New Roman"/>
                <w:kern w:val="0"/>
                <w:sz w:val="24"/>
                <w:szCs w:val="24"/>
              </w:rPr>
              <w:t>/</w:t>
            </w:r>
            <w:r>
              <w:rPr>
                <w:rFonts w:hint="eastAsia" w:ascii="宋体" w:hAnsi="宋体" w:eastAsia="宋体" w:cs="宋体"/>
                <w:kern w:val="0"/>
                <w:sz w:val="24"/>
                <w:szCs w:val="24"/>
              </w:rPr>
              <w:t>②</w:t>
            </w:r>
          </w:p>
        </w:tc>
        <w:tc>
          <w:tcPr>
            <w:tcW w:w="353" w:type="pct"/>
            <w:vMerge w:val="continue"/>
            <w:tcBorders>
              <w:left w:val="single" w:color="000000" w:sz="4" w:space="0"/>
              <w:bottom w:val="single" w:color="000000" w:sz="4" w:space="0"/>
              <w:right w:val="single" w:color="000000" w:sz="4" w:space="0"/>
            </w:tcBorders>
            <w:shd w:val="clear" w:color="auto" w:fill="auto"/>
            <w:vAlign w:val="center"/>
          </w:tcPr>
          <w:p>
            <w:pPr>
              <w:widowControl/>
              <w:snapToGrid w:val="0"/>
              <w:jc w:val="center"/>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20" w:hRule="atLeast"/>
        </w:trPr>
        <w:tc>
          <w:tcPr>
            <w:tcW w:w="1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污水管道工程</w:t>
            </w:r>
          </w:p>
        </w:tc>
        <w:tc>
          <w:tcPr>
            <w:tcW w:w="6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DN100 UPVC管</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米</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500</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3.26</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-500.00</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-3.26</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取消</w:t>
            </w:r>
          </w:p>
        </w:tc>
      </w:tr>
      <w:tr>
        <w:tblPrEx>
          <w:tblCellMar>
            <w:top w:w="0" w:type="dxa"/>
            <w:left w:w="108" w:type="dxa"/>
            <w:bottom w:w="0" w:type="dxa"/>
            <w:right w:w="108" w:type="dxa"/>
          </w:tblCellMar>
        </w:tblPrEx>
        <w:trPr>
          <w:trHeight w:val="20" w:hRule="atLeast"/>
        </w:trPr>
        <w:tc>
          <w:tcPr>
            <w:tcW w:w="152"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DN100 PE 塑料管</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米</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211.00</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211.00</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211.00</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12.12</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12.12</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12.12</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新增</w:t>
            </w:r>
          </w:p>
        </w:tc>
      </w:tr>
      <w:tr>
        <w:tblPrEx>
          <w:tblCellMar>
            <w:top w:w="0" w:type="dxa"/>
            <w:left w:w="108" w:type="dxa"/>
            <w:bottom w:w="0" w:type="dxa"/>
            <w:right w:w="108" w:type="dxa"/>
          </w:tblCellMar>
        </w:tblPrEx>
        <w:trPr>
          <w:trHeight w:val="20" w:hRule="atLeast"/>
        </w:trPr>
        <w:tc>
          <w:tcPr>
            <w:tcW w:w="152"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DN150 PE塑料 管</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米</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46.29</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46.29</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46.29</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1.72</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1.72</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1.72</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新增</w:t>
            </w:r>
          </w:p>
        </w:tc>
      </w:tr>
      <w:tr>
        <w:tblPrEx>
          <w:tblCellMar>
            <w:top w:w="0" w:type="dxa"/>
            <w:left w:w="108" w:type="dxa"/>
            <w:bottom w:w="0" w:type="dxa"/>
            <w:right w:w="108" w:type="dxa"/>
          </w:tblCellMar>
        </w:tblPrEx>
        <w:trPr>
          <w:trHeight w:val="20" w:hRule="atLeast"/>
        </w:trPr>
        <w:tc>
          <w:tcPr>
            <w:tcW w:w="152"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DN200 PE塑料管</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米</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4652</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406.04</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4560.00</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201.00</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4761.00</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109.00</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2.34%</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506.55</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15.27</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521.82</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115.78</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28.51%</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数量增加，费用增加</w:t>
            </w:r>
          </w:p>
        </w:tc>
      </w:tr>
      <w:tr>
        <w:tblPrEx>
          <w:tblCellMar>
            <w:top w:w="0" w:type="dxa"/>
            <w:left w:w="108" w:type="dxa"/>
            <w:bottom w:w="0" w:type="dxa"/>
            <w:right w:w="108" w:type="dxa"/>
          </w:tblCellMar>
        </w:tblPrEx>
        <w:trPr>
          <w:trHeight w:val="20" w:hRule="atLeast"/>
        </w:trPr>
        <w:tc>
          <w:tcPr>
            <w:tcW w:w="152"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DN200 HDPE 双壁缠绕管</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米</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1192</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52.36</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-1192.00</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-52.36</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取消</w:t>
            </w:r>
          </w:p>
        </w:tc>
      </w:tr>
      <w:tr>
        <w:tblPrEx>
          <w:tblCellMar>
            <w:top w:w="0" w:type="dxa"/>
            <w:left w:w="108" w:type="dxa"/>
            <w:bottom w:w="0" w:type="dxa"/>
            <w:right w:w="108" w:type="dxa"/>
          </w:tblCellMar>
        </w:tblPrEx>
        <w:trPr>
          <w:trHeight w:val="20" w:hRule="atLeast"/>
        </w:trPr>
        <w:tc>
          <w:tcPr>
            <w:tcW w:w="152"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DN300 HDPE 双壁缠绕管</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米</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2826</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247.24</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1613.00</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1248.00</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2861.00</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35.00</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1.24%</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144.21</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78.08</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222.29</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-24.94</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-10.09%</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数量增加，费用减少</w:t>
            </w:r>
          </w:p>
        </w:tc>
      </w:tr>
      <w:tr>
        <w:tblPrEx>
          <w:tblCellMar>
            <w:top w:w="0" w:type="dxa"/>
            <w:left w:w="108" w:type="dxa"/>
            <w:bottom w:w="0" w:type="dxa"/>
            <w:right w:w="108" w:type="dxa"/>
          </w:tblCellMar>
        </w:tblPrEx>
        <w:trPr>
          <w:trHeight w:val="20" w:hRule="atLeast"/>
        </w:trPr>
        <w:tc>
          <w:tcPr>
            <w:tcW w:w="152"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DN300 PE塑料管</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米</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271</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37.66</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238.00</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238.00</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-33.00</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-12.18%</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33.07</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33.07</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-4.59</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-12.18%</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数量减少</w:t>
            </w:r>
          </w:p>
        </w:tc>
      </w:tr>
      <w:tr>
        <w:tblPrEx>
          <w:tblCellMar>
            <w:top w:w="0" w:type="dxa"/>
            <w:left w:w="108" w:type="dxa"/>
            <w:bottom w:w="0" w:type="dxa"/>
            <w:right w:w="108" w:type="dxa"/>
          </w:tblCellMar>
        </w:tblPrEx>
        <w:trPr>
          <w:trHeight w:val="20" w:hRule="atLeast"/>
        </w:trPr>
        <w:tc>
          <w:tcPr>
            <w:tcW w:w="152"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8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小计</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9441</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746.55</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6411.00</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1706.29</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8117.29</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-1323.71</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-14</w:t>
            </w:r>
            <w:r>
              <w:rPr>
                <w:rFonts w:hint="eastAsia" w:ascii="Times New Roman" w:hAnsi="Times New Roman" w:eastAsia="仿宋_GB2312" w:cs="Times New Roman"/>
                <w:b/>
                <w:bCs/>
                <w:kern w:val="0"/>
                <w:sz w:val="24"/>
                <w:szCs w:val="24"/>
              </w:rPr>
              <w:t>.02</w:t>
            </w:r>
            <w:r>
              <w:rPr>
                <w:rFonts w:ascii="Times New Roman" w:hAnsi="Times New Roman" w:eastAsia="仿宋_GB2312" w:cs="Times New Roman"/>
                <w:b/>
                <w:bCs/>
                <w:kern w:val="0"/>
                <w:sz w:val="24"/>
                <w:szCs w:val="24"/>
              </w:rPr>
              <w:t>%</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683.83 </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107.20</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791.03</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44.48</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5.96%</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p>
        </w:tc>
      </w:tr>
      <w:tr>
        <w:tblPrEx>
          <w:tblCellMar>
            <w:top w:w="0" w:type="dxa"/>
            <w:left w:w="108" w:type="dxa"/>
            <w:bottom w:w="0" w:type="dxa"/>
            <w:right w:w="108" w:type="dxa"/>
          </w:tblCellMar>
        </w:tblPrEx>
        <w:trPr>
          <w:trHeight w:val="20" w:hRule="atLeast"/>
        </w:trPr>
        <w:tc>
          <w:tcPr>
            <w:tcW w:w="152"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塑料检查井</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座</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68</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8.05</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7.00</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7.00</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-61.00</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-89.71%</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0.83</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0.83</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-7.23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-89.71%</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数量减少</w:t>
            </w:r>
          </w:p>
        </w:tc>
      </w:tr>
      <w:tr>
        <w:tblPrEx>
          <w:tblCellMar>
            <w:top w:w="0" w:type="dxa"/>
            <w:left w:w="108" w:type="dxa"/>
            <w:bottom w:w="0" w:type="dxa"/>
            <w:right w:w="108" w:type="dxa"/>
          </w:tblCellMar>
        </w:tblPrEx>
        <w:trPr>
          <w:trHeight w:val="20" w:hRule="atLeast"/>
        </w:trPr>
        <w:tc>
          <w:tcPr>
            <w:tcW w:w="152"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砌块井</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座</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145</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82.60</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97.00</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4.00</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101.00</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-44.00</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-30.34%</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55.26</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6.84</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62.09</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-20.51</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-24.83%</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数量减少</w:t>
            </w:r>
          </w:p>
        </w:tc>
      </w:tr>
      <w:tr>
        <w:tblPrEx>
          <w:tblCellMar>
            <w:top w:w="0" w:type="dxa"/>
            <w:left w:w="108" w:type="dxa"/>
            <w:bottom w:w="0" w:type="dxa"/>
            <w:right w:w="108" w:type="dxa"/>
          </w:tblCellMar>
        </w:tblPrEx>
        <w:trPr>
          <w:trHeight w:val="20" w:hRule="atLeast"/>
        </w:trPr>
        <w:tc>
          <w:tcPr>
            <w:tcW w:w="152"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压力管检修井</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座</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50</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47.12</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11.00</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11.00</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-39.00</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-78.00%</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14.95</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14.95</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-32.17</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-68.27%</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数量减少</w:t>
            </w:r>
          </w:p>
        </w:tc>
      </w:tr>
      <w:tr>
        <w:tblPrEx>
          <w:tblCellMar>
            <w:top w:w="0" w:type="dxa"/>
            <w:left w:w="108" w:type="dxa"/>
            <w:bottom w:w="0" w:type="dxa"/>
            <w:right w:w="108" w:type="dxa"/>
          </w:tblCellMar>
        </w:tblPrEx>
        <w:trPr>
          <w:trHeight w:val="20" w:hRule="atLeast"/>
        </w:trPr>
        <w:tc>
          <w:tcPr>
            <w:tcW w:w="152"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排气阀井</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座</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5.69</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22.00</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22.00</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16.00</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266.67%</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20.87</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20.87</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15.18</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266.67%</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数量增加，费用增加</w:t>
            </w:r>
          </w:p>
        </w:tc>
      </w:tr>
      <w:tr>
        <w:tblPrEx>
          <w:tblCellMar>
            <w:top w:w="0" w:type="dxa"/>
            <w:left w:w="108" w:type="dxa"/>
            <w:bottom w:w="0" w:type="dxa"/>
            <w:right w:w="108" w:type="dxa"/>
          </w:tblCellMar>
        </w:tblPrEx>
        <w:trPr>
          <w:trHeight w:val="20" w:hRule="atLeast"/>
        </w:trPr>
        <w:tc>
          <w:tcPr>
            <w:tcW w:w="152"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截流井</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座</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1.63</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-50.00%</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0.81</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0.81</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-0.81</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-50.00%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数量减少</w:t>
            </w:r>
          </w:p>
        </w:tc>
      </w:tr>
      <w:tr>
        <w:tblPrEx>
          <w:tblCellMar>
            <w:top w:w="0" w:type="dxa"/>
            <w:left w:w="108" w:type="dxa"/>
            <w:bottom w:w="0" w:type="dxa"/>
            <w:right w:w="108" w:type="dxa"/>
          </w:tblCellMar>
        </w:tblPrEx>
        <w:trPr>
          <w:trHeight w:val="20" w:hRule="atLeast"/>
        </w:trPr>
        <w:tc>
          <w:tcPr>
            <w:tcW w:w="152"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混凝土井</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座</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5.79</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5.00</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5.00</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25.00%</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7.24</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7.24</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1.45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25.00%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数量增加</w:t>
            </w:r>
          </w:p>
        </w:tc>
      </w:tr>
      <w:tr>
        <w:tblPrEx>
          <w:tblCellMar>
            <w:top w:w="0" w:type="dxa"/>
            <w:left w:w="108" w:type="dxa"/>
            <w:bottom w:w="0" w:type="dxa"/>
            <w:right w:w="108" w:type="dxa"/>
          </w:tblCellMar>
        </w:tblPrEx>
        <w:trPr>
          <w:trHeight w:val="20" w:hRule="atLeast"/>
        </w:trPr>
        <w:tc>
          <w:tcPr>
            <w:tcW w:w="152"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沉泥井</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座</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3.00</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3.00</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3.00</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1.84</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1.84</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1.84</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新增</w:t>
            </w:r>
          </w:p>
        </w:tc>
      </w:tr>
      <w:tr>
        <w:tblPrEx>
          <w:tblCellMar>
            <w:top w:w="0" w:type="dxa"/>
            <w:left w:w="108" w:type="dxa"/>
            <w:bottom w:w="0" w:type="dxa"/>
            <w:right w:w="108" w:type="dxa"/>
          </w:tblCellMar>
        </w:tblPrEx>
        <w:trPr>
          <w:trHeight w:val="20" w:hRule="atLeast"/>
        </w:trPr>
        <w:tc>
          <w:tcPr>
            <w:tcW w:w="152"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8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小计</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275</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150.88</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132.00</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18.00</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150.00</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-125.00</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-45</w:t>
            </w:r>
            <w:r>
              <w:rPr>
                <w:rFonts w:hint="eastAsia" w:ascii="Times New Roman" w:hAnsi="Times New Roman" w:eastAsia="仿宋_GB2312" w:cs="Times New Roman"/>
                <w:b/>
                <w:bCs/>
                <w:kern w:val="0"/>
                <w:sz w:val="24"/>
                <w:szCs w:val="24"/>
              </w:rPr>
              <w:t>.45</w:t>
            </w:r>
            <w:r>
              <w:rPr>
                <w:rFonts w:ascii="Times New Roman" w:hAnsi="Times New Roman" w:eastAsia="仿宋_GB2312" w:cs="Times New Roman"/>
                <w:b/>
                <w:bCs/>
                <w:kern w:val="0"/>
                <w:sz w:val="24"/>
                <w:szCs w:val="24"/>
              </w:rPr>
              <w:t>%</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hint="eastAsia" w:ascii="Times New Roman" w:hAnsi="Times New Roman" w:eastAsia="仿宋_GB2312" w:cs="Times New Roman"/>
                <w:b/>
                <w:bCs/>
                <w:kern w:val="0"/>
                <w:sz w:val="24"/>
                <w:szCs w:val="24"/>
              </w:rPr>
              <w:t>85.01</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23.62</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108.63</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-42.25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-28.00%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p>
        </w:tc>
      </w:tr>
      <w:tr>
        <w:tblPrEx>
          <w:tblCellMar>
            <w:top w:w="0" w:type="dxa"/>
            <w:left w:w="108" w:type="dxa"/>
            <w:bottom w:w="0" w:type="dxa"/>
            <w:right w:w="108" w:type="dxa"/>
          </w:tblCellMar>
        </w:tblPrEx>
        <w:trPr>
          <w:trHeight w:val="20" w:hRule="atLeast"/>
        </w:trPr>
        <w:tc>
          <w:tcPr>
            <w:tcW w:w="1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道路工程</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砼道路拆除及恢复</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m</w:t>
            </w:r>
            <w:r>
              <w:rPr>
                <w:rFonts w:ascii="Times New Roman" w:hAnsi="Times New Roman" w:eastAsia="仿宋_GB2312" w:cs="Times New Roman"/>
                <w:kern w:val="0"/>
                <w:sz w:val="24"/>
                <w:szCs w:val="24"/>
                <w:vertAlign w:val="superscript"/>
              </w:rPr>
              <w:t>2</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2274</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62.62</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61.00</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61.00</w:t>
            </w:r>
          </w:p>
        </w:tc>
        <w:tc>
          <w:tcPr>
            <w:tcW w:w="324" w:type="pct"/>
            <w:tcBorders>
              <w:top w:val="single" w:color="000000" w:sz="4" w:space="0"/>
              <w:left w:val="nil"/>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-2213.00</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-97.32%</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1.68</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1.68</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-60.94</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-97.32%</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数量减少</w:t>
            </w:r>
          </w:p>
        </w:tc>
      </w:tr>
      <w:tr>
        <w:tblPrEx>
          <w:tblCellMar>
            <w:top w:w="0" w:type="dxa"/>
            <w:left w:w="108" w:type="dxa"/>
            <w:bottom w:w="0" w:type="dxa"/>
            <w:right w:w="108" w:type="dxa"/>
          </w:tblCellMar>
        </w:tblPrEx>
        <w:trPr>
          <w:trHeight w:val="20" w:hRule="atLeast"/>
        </w:trPr>
        <w:tc>
          <w:tcPr>
            <w:tcW w:w="152"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沥青道路拆除及恢复</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m</w:t>
            </w:r>
            <w:r>
              <w:rPr>
                <w:rFonts w:ascii="Times New Roman" w:hAnsi="Times New Roman" w:eastAsia="仿宋_GB2312" w:cs="Times New Roman"/>
                <w:kern w:val="0"/>
                <w:sz w:val="24"/>
                <w:szCs w:val="24"/>
                <w:vertAlign w:val="superscript"/>
              </w:rPr>
              <w:t>2</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4690</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212.84</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2074.95</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2074.95</w:t>
            </w:r>
          </w:p>
        </w:tc>
        <w:tc>
          <w:tcPr>
            <w:tcW w:w="324" w:type="pct"/>
            <w:tcBorders>
              <w:top w:val="single" w:color="000000" w:sz="4" w:space="0"/>
              <w:left w:val="nil"/>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-2615.05</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-55.76%</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36.11</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36.11</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-176.73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-83.03%</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数量减少</w:t>
            </w:r>
          </w:p>
        </w:tc>
      </w:tr>
      <w:tr>
        <w:tblPrEx>
          <w:tblCellMar>
            <w:top w:w="0" w:type="dxa"/>
            <w:left w:w="108" w:type="dxa"/>
            <w:bottom w:w="0" w:type="dxa"/>
            <w:right w:w="108" w:type="dxa"/>
          </w:tblCellMar>
        </w:tblPrEx>
        <w:trPr>
          <w:trHeight w:val="20" w:hRule="atLeast"/>
        </w:trPr>
        <w:tc>
          <w:tcPr>
            <w:tcW w:w="152"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混凝土道路拆除及恢复</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m</w:t>
            </w:r>
            <w:r>
              <w:rPr>
                <w:rFonts w:ascii="Times New Roman" w:hAnsi="Times New Roman" w:eastAsia="仿宋_GB2312" w:cs="Times New Roman"/>
                <w:kern w:val="0"/>
                <w:sz w:val="24"/>
                <w:szCs w:val="24"/>
                <w:vertAlign w:val="superscript"/>
              </w:rPr>
              <w:t>2</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1776.32</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1776.32</w:t>
            </w:r>
          </w:p>
        </w:tc>
        <w:tc>
          <w:tcPr>
            <w:tcW w:w="324" w:type="pct"/>
            <w:tcBorders>
              <w:top w:val="single" w:color="000000" w:sz="4" w:space="0"/>
              <w:left w:val="nil"/>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1776.32</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54.96</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54.96</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54.96</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新增</w:t>
            </w:r>
          </w:p>
        </w:tc>
      </w:tr>
      <w:tr>
        <w:tblPrEx>
          <w:tblCellMar>
            <w:top w:w="0" w:type="dxa"/>
            <w:left w:w="108" w:type="dxa"/>
            <w:bottom w:w="0" w:type="dxa"/>
            <w:right w:w="108" w:type="dxa"/>
          </w:tblCellMar>
        </w:tblPrEx>
        <w:trPr>
          <w:trHeight w:val="20" w:hRule="atLeast"/>
        </w:trPr>
        <w:tc>
          <w:tcPr>
            <w:tcW w:w="152"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8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小计</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6964</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275.46</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2135.95</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1776.32</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3912.27</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-3051.73</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-4</w:t>
            </w:r>
            <w:r>
              <w:rPr>
                <w:rFonts w:hint="eastAsia" w:ascii="Times New Roman" w:hAnsi="Times New Roman" w:eastAsia="仿宋_GB2312" w:cs="Times New Roman"/>
                <w:b/>
                <w:bCs/>
                <w:kern w:val="0"/>
                <w:sz w:val="24"/>
                <w:szCs w:val="24"/>
              </w:rPr>
              <w:t>3.82</w:t>
            </w:r>
            <w:r>
              <w:rPr>
                <w:rFonts w:ascii="Times New Roman" w:hAnsi="Times New Roman" w:eastAsia="仿宋_GB2312" w:cs="Times New Roman"/>
                <w:b/>
                <w:bCs/>
                <w:kern w:val="0"/>
                <w:sz w:val="24"/>
                <w:szCs w:val="24"/>
              </w:rPr>
              <w:t>%</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hint="eastAsia" w:ascii="Times New Roman" w:hAnsi="Times New Roman" w:eastAsia="仿宋_GB2312" w:cs="Times New Roman"/>
                <w:b/>
                <w:bCs/>
                <w:kern w:val="0"/>
                <w:sz w:val="24"/>
                <w:szCs w:val="24"/>
              </w:rPr>
              <w:t>37.79</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54.96</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92.75</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-182.70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-66.33%</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p>
        </w:tc>
      </w:tr>
      <w:tr>
        <w:tblPrEx>
          <w:tblCellMar>
            <w:top w:w="0" w:type="dxa"/>
            <w:left w:w="108" w:type="dxa"/>
            <w:bottom w:w="0" w:type="dxa"/>
            <w:right w:w="108" w:type="dxa"/>
          </w:tblCellMar>
        </w:tblPrEx>
        <w:trPr>
          <w:trHeight w:val="20" w:hRule="atLeast"/>
        </w:trPr>
        <w:tc>
          <w:tcPr>
            <w:tcW w:w="1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泵站工程</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一体化预制泵站</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座</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169.81</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4</w:t>
            </w:r>
            <w:r>
              <w:rPr>
                <w:rFonts w:ascii="Times New Roman" w:hAnsi="Times New Roman" w:eastAsia="仿宋_GB2312" w:cs="Times New Roman"/>
                <w:kern w:val="0"/>
                <w:sz w:val="24"/>
                <w:szCs w:val="24"/>
              </w:rPr>
              <w:t>.00</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1</w:t>
            </w:r>
            <w:r>
              <w:rPr>
                <w:rFonts w:ascii="Times New Roman" w:hAnsi="Times New Roman" w:eastAsia="仿宋_GB2312" w:cs="Times New Roman"/>
                <w:kern w:val="0"/>
                <w:sz w:val="24"/>
                <w:szCs w:val="24"/>
              </w:rPr>
              <w:t>.00</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5</w:t>
            </w:r>
            <w:r>
              <w:rPr>
                <w:rFonts w:ascii="Times New Roman" w:hAnsi="Times New Roman" w:eastAsia="仿宋_GB2312" w:cs="Times New Roman"/>
                <w:kern w:val="0"/>
                <w:sz w:val="24"/>
                <w:szCs w:val="24"/>
              </w:rPr>
              <w:t>.00</w:t>
            </w:r>
          </w:p>
        </w:tc>
        <w:tc>
          <w:tcPr>
            <w:tcW w:w="324" w:type="pct"/>
            <w:tcBorders>
              <w:top w:val="single" w:color="000000" w:sz="4" w:space="0"/>
              <w:left w:val="nil"/>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25</w:t>
            </w:r>
            <w:r>
              <w:rPr>
                <w:rFonts w:hint="eastAsia" w:ascii="Times New Roman" w:hAnsi="Times New Roman" w:eastAsia="仿宋_GB2312" w:cs="Times New Roman"/>
                <w:kern w:val="0"/>
                <w:sz w:val="24"/>
                <w:szCs w:val="24"/>
              </w:rPr>
              <w:t>.00</w:t>
            </w:r>
            <w:r>
              <w:rPr>
                <w:rFonts w:ascii="Times New Roman" w:hAnsi="Times New Roman" w:eastAsia="仿宋_GB2312" w:cs="Times New Roman"/>
                <w:kern w:val="0"/>
                <w:sz w:val="24"/>
                <w:szCs w:val="24"/>
              </w:rPr>
              <w:t>%</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 xml:space="preserve">100.84 </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 xml:space="preserve">20.47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 xml:space="preserve">121.32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-48.49 </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-28.56%</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数量增加，费用减少</w:t>
            </w:r>
          </w:p>
        </w:tc>
      </w:tr>
      <w:tr>
        <w:tblPrEx>
          <w:tblCellMar>
            <w:top w:w="0" w:type="dxa"/>
            <w:left w:w="108" w:type="dxa"/>
            <w:bottom w:w="0" w:type="dxa"/>
            <w:right w:w="108" w:type="dxa"/>
          </w:tblCellMar>
        </w:tblPrEx>
        <w:trPr>
          <w:trHeight w:val="20" w:hRule="atLeast"/>
        </w:trPr>
        <w:tc>
          <w:tcPr>
            <w:tcW w:w="152"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泵站外电线路</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24" w:type="pct"/>
            <w:tcBorders>
              <w:top w:val="single" w:color="000000" w:sz="4" w:space="0"/>
              <w:left w:val="nil"/>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56" w:type="pct"/>
            <w:tcBorders>
              <w:top w:val="single" w:color="000000" w:sz="4" w:space="0"/>
              <w:left w:val="nil"/>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8.01</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8.01</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p>
        </w:tc>
      </w:tr>
      <w:tr>
        <w:tblPrEx>
          <w:tblCellMar>
            <w:top w:w="0" w:type="dxa"/>
            <w:left w:w="108" w:type="dxa"/>
            <w:bottom w:w="0" w:type="dxa"/>
            <w:right w:w="108" w:type="dxa"/>
          </w:tblCellMar>
        </w:tblPrEx>
        <w:trPr>
          <w:trHeight w:val="20" w:hRule="atLeast"/>
        </w:trPr>
        <w:tc>
          <w:tcPr>
            <w:tcW w:w="152"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绿化修复工程</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株</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24" w:type="pct"/>
            <w:tcBorders>
              <w:top w:val="single" w:color="000000" w:sz="4" w:space="0"/>
              <w:left w:val="nil"/>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56" w:type="pct"/>
            <w:tcBorders>
              <w:top w:val="single" w:color="000000" w:sz="4" w:space="0"/>
              <w:left w:val="nil"/>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71.75</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71.75</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p>
        </w:tc>
      </w:tr>
      <w:tr>
        <w:tblPrEx>
          <w:tblCellMar>
            <w:top w:w="0" w:type="dxa"/>
            <w:left w:w="108" w:type="dxa"/>
            <w:bottom w:w="0" w:type="dxa"/>
            <w:right w:w="108" w:type="dxa"/>
          </w:tblCellMar>
        </w:tblPrEx>
        <w:trPr>
          <w:trHeight w:val="20" w:hRule="atLeast"/>
        </w:trPr>
        <w:tc>
          <w:tcPr>
            <w:tcW w:w="152"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8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仿宋_GB2312" w:eastAsia="仿宋_GB2312"/>
                <w:b/>
                <w:bCs/>
              </w:rPr>
              <w:t>小计</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cs="Times New Roman"/>
              </w:rPr>
              <w:t>/</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169.81</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24" w:type="pct"/>
            <w:tcBorders>
              <w:top w:val="single" w:color="000000" w:sz="4" w:space="0"/>
              <w:left w:val="nil"/>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56" w:type="pct"/>
            <w:tcBorders>
              <w:top w:val="single" w:color="000000" w:sz="4" w:space="0"/>
              <w:left w:val="nil"/>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100.84 </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100.23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201.07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p>
        </w:tc>
      </w:tr>
      <w:tr>
        <w:tblPrEx>
          <w:tblCellMar>
            <w:top w:w="0" w:type="dxa"/>
            <w:left w:w="108" w:type="dxa"/>
            <w:bottom w:w="0" w:type="dxa"/>
            <w:right w:w="108" w:type="dxa"/>
          </w:tblCellMar>
        </w:tblPrEx>
        <w:trPr>
          <w:trHeight w:val="20" w:hRule="atLeast"/>
        </w:trPr>
        <w:tc>
          <w:tcPr>
            <w:tcW w:w="1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其他工程</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新增微顶工程</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24" w:type="pct"/>
            <w:tcBorders>
              <w:top w:val="single" w:color="000000" w:sz="4" w:space="0"/>
              <w:left w:val="nil"/>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97.78</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97.78</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97.78</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新增</w:t>
            </w:r>
          </w:p>
        </w:tc>
      </w:tr>
      <w:tr>
        <w:tblPrEx>
          <w:tblCellMar>
            <w:top w:w="0" w:type="dxa"/>
            <w:left w:w="108" w:type="dxa"/>
            <w:bottom w:w="0" w:type="dxa"/>
            <w:right w:w="108" w:type="dxa"/>
          </w:tblCellMar>
        </w:tblPrEx>
        <w:trPr>
          <w:trHeight w:val="20" w:hRule="atLeast"/>
        </w:trPr>
        <w:tc>
          <w:tcPr>
            <w:tcW w:w="152"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菜场处增加工程-塑料管</w:t>
            </w:r>
          </w:p>
        </w:tc>
        <w:tc>
          <w:tcPr>
            <w:tcW w:w="2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m</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26.00</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26.00</w:t>
            </w:r>
          </w:p>
        </w:tc>
        <w:tc>
          <w:tcPr>
            <w:tcW w:w="324" w:type="pct"/>
            <w:tcBorders>
              <w:top w:val="single" w:color="000000" w:sz="4" w:space="0"/>
              <w:left w:val="nil"/>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26.00</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0.19</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0.19</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0.19</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新增</w:t>
            </w:r>
          </w:p>
        </w:tc>
      </w:tr>
      <w:tr>
        <w:tblPrEx>
          <w:tblCellMar>
            <w:top w:w="0" w:type="dxa"/>
            <w:left w:w="108" w:type="dxa"/>
            <w:bottom w:w="0" w:type="dxa"/>
            <w:right w:w="108" w:type="dxa"/>
          </w:tblCellMar>
        </w:tblPrEx>
        <w:trPr>
          <w:trHeight w:val="20" w:hRule="atLeast"/>
        </w:trPr>
        <w:tc>
          <w:tcPr>
            <w:tcW w:w="152"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菜场处增加工程-砌筑井</w:t>
            </w:r>
          </w:p>
        </w:tc>
        <w:tc>
          <w:tcPr>
            <w:tcW w:w="2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座</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4.00</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4.00</w:t>
            </w:r>
          </w:p>
        </w:tc>
        <w:tc>
          <w:tcPr>
            <w:tcW w:w="324" w:type="pct"/>
            <w:tcBorders>
              <w:top w:val="single" w:color="000000" w:sz="4" w:space="0"/>
              <w:left w:val="nil"/>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4.00</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0.47</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0.47</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0.47</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新增</w:t>
            </w:r>
          </w:p>
        </w:tc>
      </w:tr>
      <w:tr>
        <w:tblPrEx>
          <w:tblCellMar>
            <w:top w:w="0" w:type="dxa"/>
            <w:left w:w="108" w:type="dxa"/>
            <w:bottom w:w="0" w:type="dxa"/>
            <w:right w:w="108" w:type="dxa"/>
          </w:tblCellMar>
        </w:tblPrEx>
        <w:trPr>
          <w:trHeight w:val="20" w:hRule="atLeast"/>
        </w:trPr>
        <w:tc>
          <w:tcPr>
            <w:tcW w:w="152"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公交候车亭拆除、安装</w:t>
            </w:r>
          </w:p>
        </w:tc>
        <w:tc>
          <w:tcPr>
            <w:tcW w:w="21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24" w:type="pct"/>
            <w:tcBorders>
              <w:top w:val="single" w:color="000000" w:sz="4" w:space="0"/>
              <w:left w:val="nil"/>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3.08</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3.08</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3.08</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新增</w:t>
            </w:r>
          </w:p>
        </w:tc>
      </w:tr>
      <w:tr>
        <w:tblPrEx>
          <w:tblCellMar>
            <w:top w:w="0" w:type="dxa"/>
            <w:left w:w="108" w:type="dxa"/>
            <w:bottom w:w="0" w:type="dxa"/>
            <w:right w:w="108" w:type="dxa"/>
          </w:tblCellMar>
        </w:tblPrEx>
        <w:trPr>
          <w:trHeight w:val="20" w:hRule="atLeast"/>
        </w:trPr>
        <w:tc>
          <w:tcPr>
            <w:tcW w:w="152"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围网、警示牌等杂项工程</w:t>
            </w:r>
          </w:p>
        </w:tc>
        <w:tc>
          <w:tcPr>
            <w:tcW w:w="2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24" w:type="pct"/>
            <w:tcBorders>
              <w:top w:val="single" w:color="000000" w:sz="4" w:space="0"/>
              <w:left w:val="nil"/>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2.45</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2.45</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2.45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新增</w:t>
            </w:r>
          </w:p>
        </w:tc>
      </w:tr>
      <w:tr>
        <w:tblPrEx>
          <w:tblCellMar>
            <w:top w:w="0" w:type="dxa"/>
            <w:left w:w="108" w:type="dxa"/>
            <w:bottom w:w="0" w:type="dxa"/>
            <w:right w:w="108" w:type="dxa"/>
          </w:tblCellMar>
        </w:tblPrEx>
        <w:trPr>
          <w:trHeight w:val="20" w:hRule="atLeast"/>
        </w:trPr>
        <w:tc>
          <w:tcPr>
            <w:tcW w:w="152"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8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小计</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b/>
                <w:bCs/>
                <w:kern w:val="0"/>
                <w:sz w:val="24"/>
                <w:szCs w:val="24"/>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hint="eastAsia" w:ascii="Times New Roman" w:hAnsi="Times New Roman" w:eastAsia="仿宋_GB2312" w:cs="Times New Roman"/>
                <w:b/>
                <w:bCs/>
                <w:kern w:val="0"/>
                <w:sz w:val="24"/>
                <w:szCs w:val="24"/>
              </w:rPr>
              <w:t xml:space="preserve">0.00 </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hint="eastAsia" w:ascii="Times New Roman" w:hAnsi="Times New Roman" w:eastAsia="仿宋_GB2312" w:cs="Times New Roman"/>
                <w:b/>
                <w:bCs/>
                <w:kern w:val="0"/>
                <w:sz w:val="24"/>
                <w:szCs w:val="24"/>
              </w:rPr>
              <w:t xml:space="preserve">0.00 </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hint="eastAsia" w:ascii="Times New Roman" w:hAnsi="Times New Roman" w:eastAsia="仿宋_GB2312" w:cs="Times New Roman"/>
                <w:b/>
                <w:bCs/>
                <w:kern w:val="0"/>
                <w:sz w:val="24"/>
                <w:szCs w:val="24"/>
              </w:rPr>
              <w:t>/</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hint="eastAsia" w:ascii="Times New Roman" w:hAnsi="Times New Roman" w:eastAsia="仿宋_GB2312" w:cs="Times New Roman"/>
                <w:b/>
                <w:bCs/>
                <w:kern w:val="0"/>
                <w:sz w:val="24"/>
                <w:szCs w:val="24"/>
              </w:rPr>
              <w:t>/</w:t>
            </w:r>
          </w:p>
        </w:tc>
        <w:tc>
          <w:tcPr>
            <w:tcW w:w="324" w:type="pct"/>
            <w:tcBorders>
              <w:top w:val="single" w:color="000000" w:sz="4" w:space="0"/>
              <w:left w:val="nil"/>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100.00%</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hint="eastAsia" w:ascii="Times New Roman" w:hAnsi="Times New Roman" w:eastAsia="仿宋_GB2312" w:cs="Times New Roman"/>
                <w:b/>
                <w:bCs/>
                <w:kern w:val="0"/>
                <w:sz w:val="24"/>
                <w:szCs w:val="24"/>
              </w:rPr>
              <w:t xml:space="preserve">0.00 </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hint="eastAsia" w:ascii="Times New Roman" w:hAnsi="Times New Roman" w:eastAsia="仿宋_GB2312" w:cs="Times New Roman"/>
                <w:b/>
                <w:bCs/>
                <w:kern w:val="0"/>
                <w:sz w:val="24"/>
                <w:szCs w:val="24"/>
              </w:rPr>
              <w:t xml:space="preserve">103.96 </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hint="eastAsia" w:ascii="Times New Roman" w:hAnsi="Times New Roman" w:eastAsia="仿宋_GB2312" w:cs="Times New Roman"/>
                <w:b/>
                <w:bCs/>
                <w:kern w:val="0"/>
                <w:sz w:val="24"/>
                <w:szCs w:val="24"/>
              </w:rPr>
              <w:t xml:space="preserve">103.96 </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hint="eastAsia" w:ascii="Times New Roman" w:hAnsi="Times New Roman" w:eastAsia="仿宋_GB2312" w:cs="Times New Roman"/>
                <w:b/>
                <w:bCs/>
                <w:kern w:val="0"/>
                <w:sz w:val="24"/>
                <w:szCs w:val="24"/>
              </w:rPr>
              <w:t xml:space="preserve">103.96 </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100.00%</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p>
        </w:tc>
      </w:tr>
      <w:tr>
        <w:tblPrEx>
          <w:tblCellMar>
            <w:top w:w="0" w:type="dxa"/>
            <w:left w:w="108" w:type="dxa"/>
            <w:bottom w:w="0" w:type="dxa"/>
            <w:right w:w="108" w:type="dxa"/>
          </w:tblCellMar>
        </w:tblPrEx>
        <w:trPr>
          <w:trHeight w:val="20" w:hRule="atLeast"/>
        </w:trPr>
        <w:tc>
          <w:tcPr>
            <w:tcW w:w="97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合计</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b/>
                <w:bCs/>
                <w:kern w:val="0"/>
                <w:sz w:val="24"/>
                <w:szCs w:val="24"/>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1342.70</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24" w:type="pct"/>
            <w:tcBorders>
              <w:top w:val="single" w:color="000000" w:sz="4" w:space="0"/>
              <w:left w:val="nil"/>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56" w:type="pct"/>
            <w:tcBorders>
              <w:top w:val="single" w:color="000000" w:sz="4" w:space="0"/>
              <w:left w:val="nil"/>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hint="eastAsia" w:ascii="Times New Roman" w:hAnsi="Times New Roman" w:eastAsia="仿宋_GB2312" w:cs="Times New Roman"/>
                <w:b/>
                <w:bCs/>
                <w:kern w:val="0"/>
                <w:sz w:val="24"/>
                <w:szCs w:val="24"/>
              </w:rPr>
              <w:t xml:space="preserve">907.48 </w:t>
            </w:r>
          </w:p>
        </w:tc>
        <w:tc>
          <w:tcPr>
            <w:tcW w:w="3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hint="eastAsia" w:ascii="Times New Roman" w:hAnsi="Times New Roman" w:eastAsia="仿宋_GB2312" w:cs="Times New Roman"/>
                <w:b/>
                <w:bCs/>
                <w:kern w:val="0"/>
                <w:sz w:val="24"/>
                <w:szCs w:val="24"/>
              </w:rPr>
              <w:t xml:space="preserve">389.98 </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hint="eastAsia" w:ascii="Times New Roman" w:hAnsi="Times New Roman" w:eastAsia="仿宋_GB2312" w:cs="Times New Roman"/>
                <w:b/>
                <w:bCs/>
                <w:kern w:val="0"/>
                <w:sz w:val="24"/>
                <w:szCs w:val="24"/>
              </w:rPr>
              <w:t xml:space="preserve">1297.46 </w:t>
            </w:r>
          </w:p>
        </w:tc>
        <w:tc>
          <w:tcPr>
            <w:tcW w:w="3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-45.24 </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-3.37%</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p>
        </w:tc>
      </w:tr>
    </w:tbl>
    <w:p>
      <w:pPr>
        <w:pStyle w:val="24"/>
        <w:ind w:firstLine="643"/>
        <w:sectPr>
          <w:pgSz w:w="16838" w:h="11906" w:orient="landscape"/>
          <w:pgMar w:top="1587" w:right="2098" w:bottom="1474" w:left="1984" w:header="851" w:footer="992" w:gutter="0"/>
          <w:cols w:space="0" w:num="1"/>
          <w:docGrid w:type="lines" w:linePitch="312" w:charSpace="0"/>
        </w:sectPr>
      </w:pPr>
      <w:bookmarkStart w:id="50" w:name="_Toc165914604"/>
    </w:p>
    <w:p>
      <w:pPr>
        <w:pStyle w:val="24"/>
        <w:ind w:firstLine="643"/>
      </w:pPr>
      <w:bookmarkStart w:id="51" w:name="_Toc169439179"/>
      <w:bookmarkStart w:id="52" w:name="_Toc171093913"/>
      <w:bookmarkStart w:id="53" w:name="_Toc169390943"/>
      <w:r>
        <w:t>2.新河-新民集镇区</w:t>
      </w:r>
      <w:bookmarkEnd w:id="49"/>
      <w:bookmarkEnd w:id="50"/>
      <w:bookmarkEnd w:id="51"/>
      <w:bookmarkEnd w:id="52"/>
      <w:bookmarkEnd w:id="53"/>
    </w:p>
    <w:p>
      <w:pPr>
        <w:pStyle w:val="22"/>
        <w:ind w:firstLine="643"/>
        <w:rPr>
          <w:b/>
          <w:bCs w:val="0"/>
        </w:rPr>
      </w:pPr>
      <w:bookmarkStart w:id="54" w:name="_Hlk169358497"/>
      <w:r>
        <w:rPr>
          <w:rFonts w:hint="eastAsia"/>
          <w:b/>
          <w:bCs w:val="0"/>
        </w:rPr>
        <w:t>（1）实施计划：</w:t>
      </w:r>
      <w:r>
        <w:rPr>
          <w:rFonts w:hint="eastAsia"/>
        </w:rPr>
        <w:t>新河镇项目未制定实施计划，区发改委于2021年6月3日下达可研批复，区建管委于8月10日下达初设批复；新河镇取得项目批复开展施工招投标并于9月28日发布中标通知书，中标单位为上海新旌建设工程有限公司，10月8日双方签订施工合同，明确合同工期为2021年10月1日至2022年5月28日共240个日历天。合同签订后，中标单位于10月28日取得施工许可证，完成报监等相关手续，11月4日开工并于2022年7月23日竣工，竣工时间晚于合同约定时间。项目竣工后于2022年10月9日通过通水验收，2024年4月10日通过了竣工验收。</w:t>
      </w:r>
    </w:p>
    <w:p>
      <w:pPr>
        <w:pStyle w:val="22"/>
        <w:ind w:firstLine="643"/>
      </w:pPr>
      <w:r>
        <w:rPr>
          <w:b/>
          <w:bCs w:val="0"/>
        </w:rPr>
        <w:t>（</w:t>
      </w:r>
      <w:r>
        <w:rPr>
          <w:rFonts w:hint="eastAsia"/>
          <w:b/>
          <w:bCs w:val="0"/>
        </w:rPr>
        <w:t>2</w:t>
      </w:r>
      <w:r>
        <w:rPr>
          <w:b/>
          <w:bCs w:val="0"/>
        </w:rPr>
        <w:t>）</w:t>
      </w:r>
      <w:r>
        <w:rPr>
          <w:rFonts w:hint="eastAsia"/>
          <w:b/>
          <w:bCs w:val="0"/>
        </w:rPr>
        <w:t>计划建设内容：</w:t>
      </w:r>
      <w:r>
        <w:rPr>
          <w:rFonts w:hint="eastAsia"/>
        </w:rPr>
        <w:t>根据可研批复及初设批复，项目主要建设内容包括</w:t>
      </w:r>
      <w:r>
        <w:t>在</w:t>
      </w:r>
      <w:r>
        <w:rPr>
          <w:rFonts w:hint="eastAsia"/>
        </w:rPr>
        <w:t>新民</w:t>
      </w:r>
      <w:r>
        <w:t>镇区敷设污水管道</w:t>
      </w:r>
      <w:r>
        <w:rPr>
          <w:rFonts w:hint="eastAsia"/>
        </w:rPr>
        <w:t>，新建泵站、</w:t>
      </w:r>
      <w:r>
        <w:t>检查井</w:t>
      </w:r>
      <w:r>
        <w:rPr>
          <w:rFonts w:hint="eastAsia"/>
        </w:rPr>
        <w:t>、压力井、沉井、泄压井、排气阀井、雨水口、合流管修复</w:t>
      </w:r>
      <w:r>
        <w:t>及道路</w:t>
      </w:r>
      <w:r>
        <w:rPr>
          <w:rFonts w:hint="eastAsia"/>
        </w:rPr>
        <w:t>、绿化</w:t>
      </w:r>
      <w:r>
        <w:t>修复等。</w:t>
      </w:r>
      <w:r>
        <w:rPr>
          <w:rFonts w:hint="eastAsia"/>
        </w:rPr>
        <w:t>新河镇人民政府根据概算批复金额</w:t>
      </w:r>
      <w:r>
        <w:t>4823.85</w:t>
      </w:r>
      <w:r>
        <w:rPr>
          <w:rFonts w:hint="eastAsia"/>
        </w:rPr>
        <w:t>万元细化工程量清单并编制了招标文件。</w:t>
      </w:r>
    </w:p>
    <w:p>
      <w:pPr>
        <w:pStyle w:val="22"/>
      </w:pPr>
      <w:bookmarkStart w:id="55" w:name="_Hlk165914186"/>
      <w:r>
        <w:rPr>
          <w:rFonts w:hint="eastAsia"/>
        </w:rPr>
        <w:t>根据中标单位投标文件、施工合同、审价报告，项目工程量主要包括：敷设8277米</w:t>
      </w:r>
      <w:r>
        <w:t>污水管道，</w:t>
      </w:r>
      <w:r>
        <w:rPr>
          <w:rFonts w:hint="eastAsia"/>
        </w:rPr>
        <w:t>新建2座泵站、109座</w:t>
      </w:r>
      <w:r>
        <w:t>检查井</w:t>
      </w:r>
      <w:r>
        <w:rPr>
          <w:rFonts w:hint="eastAsia"/>
        </w:rPr>
        <w:t>、13座压力井、62座沉井、2座泄压井、8座排气阀井、2座出水流量井、45个雨水口、436米合流管修复、18处局部树脂固化</w:t>
      </w:r>
      <w:r>
        <w:t>及</w:t>
      </w:r>
      <w:r>
        <w:rPr>
          <w:rFonts w:hint="eastAsia"/>
        </w:rPr>
        <w:t>4300平方米</w:t>
      </w:r>
      <w:r>
        <w:t>道路</w:t>
      </w:r>
      <w:r>
        <w:rPr>
          <w:rFonts w:hint="eastAsia"/>
        </w:rPr>
        <w:t>、1212平方米绿化</w:t>
      </w:r>
      <w:r>
        <w:t>修复。</w:t>
      </w:r>
    </w:p>
    <w:bookmarkEnd w:id="55"/>
    <w:p>
      <w:pPr>
        <w:pStyle w:val="22"/>
        <w:ind w:firstLine="643"/>
      </w:pPr>
      <w:r>
        <w:rPr>
          <w:rFonts w:hint="eastAsia"/>
          <w:b/>
          <w:bCs w:val="0"/>
        </w:rPr>
        <w:t>（3）实际建设内容</w:t>
      </w:r>
    </w:p>
    <w:p>
      <w:pPr>
        <w:pStyle w:val="22"/>
      </w:pPr>
      <w:bookmarkStart w:id="56" w:name="_Hlk169367900"/>
      <w:r>
        <w:rPr>
          <w:rFonts w:hint="eastAsia"/>
        </w:rPr>
        <w:t>新河镇</w:t>
      </w:r>
      <w:r>
        <w:t>项目</w:t>
      </w:r>
      <w:r>
        <w:rPr>
          <w:rFonts w:hint="eastAsia"/>
        </w:rPr>
        <w:t>主要选取开槽埋管、微顶管道和定向钻管道，</w:t>
      </w:r>
      <w:r>
        <w:t>目前尚未完成审计，</w:t>
      </w:r>
      <w:r>
        <w:rPr>
          <w:rFonts w:hint="eastAsia"/>
        </w:rPr>
        <w:t>经评价小组梳理审价报告，</w:t>
      </w:r>
      <w:r>
        <w:rPr>
          <w:rFonts w:hint="eastAsia"/>
          <w:b/>
          <w:bCs w:val="0"/>
        </w:rPr>
        <w:t>合同约定的建设内容及工程量方面，</w:t>
      </w:r>
      <w:r>
        <w:t>实际敷设DN200～DN400污水管道796</w:t>
      </w:r>
      <w:r>
        <w:rPr>
          <w:rFonts w:hint="eastAsia"/>
        </w:rPr>
        <w:t>6.08</w:t>
      </w:r>
      <w:r>
        <w:t>米，</w:t>
      </w:r>
      <w:r>
        <w:rPr>
          <w:rFonts w:hint="eastAsia"/>
        </w:rPr>
        <w:t>完成率为96.24%；建设2座泵站，完成率为100%；</w:t>
      </w:r>
      <w:r>
        <w:t>检查井11</w:t>
      </w:r>
      <w:r>
        <w:rPr>
          <w:rFonts w:hint="eastAsia"/>
        </w:rPr>
        <w:t>1</w:t>
      </w:r>
      <w:r>
        <w:t>座，压力井</w:t>
      </w:r>
      <w:r>
        <w:rPr>
          <w:rFonts w:hint="eastAsia"/>
        </w:rPr>
        <w:t>4</w:t>
      </w:r>
      <w:r>
        <w:t>座，沉井6</w:t>
      </w:r>
      <w:r>
        <w:rPr>
          <w:rFonts w:hint="eastAsia"/>
        </w:rPr>
        <w:t>1</w:t>
      </w:r>
      <w:r>
        <w:t>座，泄压井2座，排气阀井3座，</w:t>
      </w:r>
      <w:r>
        <w:rPr>
          <w:rFonts w:hint="eastAsia"/>
        </w:rPr>
        <w:t>出水流量井2座，完成率为93.37%；</w:t>
      </w:r>
      <w:r>
        <w:t>雨水口38座，</w:t>
      </w:r>
      <w:r>
        <w:rPr>
          <w:rFonts w:hint="eastAsia"/>
        </w:rPr>
        <w:t>完成率为84.44%；</w:t>
      </w:r>
      <w:r>
        <w:t>道路修复</w:t>
      </w:r>
      <w:r>
        <w:rPr>
          <w:rFonts w:hint="eastAsia"/>
        </w:rPr>
        <w:t>4595.75</w:t>
      </w:r>
      <w:r>
        <w:t>平方米</w:t>
      </w:r>
      <w:r>
        <w:rPr>
          <w:rFonts w:hint="eastAsia"/>
        </w:rPr>
        <w:t>，完成率为124%；并完成了局部树脂固化、绿化修复等。</w:t>
      </w:r>
      <w:r>
        <w:rPr>
          <w:rFonts w:hint="eastAsia"/>
          <w:b/>
          <w:bCs w:val="0"/>
        </w:rPr>
        <w:t>合同约定外的建设内容及工程量方面，</w:t>
      </w:r>
      <w:r>
        <w:rPr>
          <w:rFonts w:hint="eastAsia"/>
        </w:rPr>
        <w:t>主要涉及新增的3座排泥井，20个标志牌及设计变更相关内容</w:t>
      </w:r>
      <w:r>
        <w:t>等。</w:t>
      </w:r>
    </w:p>
    <w:bookmarkEnd w:id="54"/>
    <w:bookmarkEnd w:id="56"/>
    <w:p>
      <w:pPr>
        <w:pStyle w:val="22"/>
      </w:pPr>
      <w:r>
        <w:rPr>
          <w:rFonts w:hint="eastAsia"/>
        </w:rPr>
        <w:t>经梳理，一是审价报告中未包含泵站的具体建设情况；二是经审核，实际建设完成的合同约定工程量对应的工料机费用，即合同内费用为2546.87万元；新增工程量涉及的工料机费用，即合同外费用为424.68万元，合计2971.55万元。经统计，污水管网长度较合同约定减少3.76%，各类检查井减少5.10%，雨水口减少15.56%，道路修复面积增加24.04%，新增20个标志牌。</w:t>
      </w:r>
    </w:p>
    <w:p>
      <w:pPr>
        <w:pStyle w:val="22"/>
        <w:ind w:firstLine="0" w:firstLineChars="0"/>
        <w:jc w:val="center"/>
        <w:rPr>
          <w:b/>
          <w:bCs w:val="0"/>
          <w:sz w:val="28"/>
          <w:szCs w:val="24"/>
        </w:rPr>
      </w:pPr>
      <w:r>
        <w:rPr>
          <w:b/>
          <w:bCs w:val="0"/>
          <w:sz w:val="28"/>
          <w:szCs w:val="24"/>
        </w:rPr>
        <w:t>表1-</w:t>
      </w:r>
      <w:r>
        <w:rPr>
          <w:rFonts w:hint="eastAsia"/>
          <w:b/>
          <w:bCs w:val="0"/>
          <w:sz w:val="28"/>
          <w:szCs w:val="24"/>
        </w:rPr>
        <w:t>3</w:t>
      </w:r>
      <w:r>
        <w:rPr>
          <w:b/>
          <w:bCs w:val="0"/>
          <w:sz w:val="28"/>
          <w:szCs w:val="24"/>
        </w:rPr>
        <w:t>：新民项目实施内容统计表</w:t>
      </w:r>
    </w:p>
    <w:tbl>
      <w:tblPr>
        <w:tblStyle w:val="12"/>
        <w:tblW w:w="5000" w:type="pct"/>
        <w:tblInd w:w="0" w:type="dxa"/>
        <w:tblLayout w:type="fixed"/>
        <w:tblCellMar>
          <w:top w:w="0" w:type="dxa"/>
          <w:left w:w="108" w:type="dxa"/>
          <w:bottom w:w="0" w:type="dxa"/>
          <w:right w:w="108" w:type="dxa"/>
        </w:tblCellMar>
      </w:tblPr>
      <w:tblGrid>
        <w:gridCol w:w="725"/>
        <w:gridCol w:w="1769"/>
        <w:gridCol w:w="600"/>
        <w:gridCol w:w="884"/>
        <w:gridCol w:w="884"/>
        <w:gridCol w:w="1145"/>
        <w:gridCol w:w="1006"/>
        <w:gridCol w:w="1176"/>
        <w:gridCol w:w="872"/>
      </w:tblGrid>
      <w:tr>
        <w:tblPrEx>
          <w:tblCellMar>
            <w:top w:w="0" w:type="dxa"/>
            <w:left w:w="108" w:type="dxa"/>
            <w:bottom w:w="0" w:type="dxa"/>
            <w:right w:w="108" w:type="dxa"/>
          </w:tblCellMar>
        </w:tblPrEx>
        <w:trPr>
          <w:trHeight w:val="20" w:hRule="atLeast"/>
          <w:tblHeader/>
        </w:trPr>
        <w:tc>
          <w:tcPr>
            <w:tcW w:w="1376" w:type="pct"/>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施工内容</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单位</w:t>
            </w: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合同工程量</w:t>
            </w: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审价工程量</w:t>
            </w: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较合同变动情况</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变更率</w:t>
            </w:r>
          </w:p>
        </w:tc>
        <w:tc>
          <w:tcPr>
            <w:tcW w:w="64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审定费用</w:t>
            </w:r>
            <w:r>
              <w:rPr>
                <w:rStyle w:val="17"/>
                <w:rFonts w:ascii="Times New Roman" w:hAnsi="Times New Roman" w:eastAsia="仿宋_GB2312" w:cs="Times New Roman"/>
                <w:b/>
                <w:bCs/>
                <w:kern w:val="0"/>
                <w:sz w:val="24"/>
                <w:szCs w:val="24"/>
              </w:rPr>
              <w:footnoteReference w:id="5"/>
            </w:r>
          </w:p>
        </w:tc>
        <w:tc>
          <w:tcPr>
            <w:tcW w:w="481"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eastAsia="仿宋_GB2312" w:cs="Times New Roman"/>
                <w:b/>
                <w:bCs/>
                <w:kern w:val="0"/>
                <w:sz w:val="24"/>
                <w:szCs w:val="24"/>
              </w:rPr>
            </w:pPr>
            <w:r>
              <w:rPr>
                <w:rFonts w:hint="eastAsia" w:ascii="Times New Roman" w:hAnsi="Times New Roman" w:eastAsia="仿宋_GB2312" w:cs="Times New Roman"/>
                <w:b/>
                <w:bCs/>
                <w:kern w:val="0"/>
                <w:sz w:val="24"/>
                <w:szCs w:val="24"/>
              </w:rPr>
              <w:t>备注</w:t>
            </w:r>
          </w:p>
        </w:tc>
      </w:tr>
      <w:tr>
        <w:tblPrEx>
          <w:tblCellMar>
            <w:top w:w="0" w:type="dxa"/>
            <w:left w:w="108" w:type="dxa"/>
            <w:bottom w:w="0" w:type="dxa"/>
            <w:right w:w="108" w:type="dxa"/>
          </w:tblCellMar>
        </w:tblPrEx>
        <w:trPr>
          <w:trHeight w:val="20" w:hRule="atLeast"/>
        </w:trPr>
        <w:tc>
          <w:tcPr>
            <w:tcW w:w="4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污水管道工程</w:t>
            </w:r>
          </w:p>
        </w:tc>
        <w:tc>
          <w:tcPr>
            <w:tcW w:w="9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DN200开槽埋管（HDPE）</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m</w:t>
            </w: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101</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w:t>
            </w:r>
          </w:p>
        </w:tc>
        <w:tc>
          <w:tcPr>
            <w:tcW w:w="6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-101</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c>
          <w:tcPr>
            <w:tcW w:w="6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481"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取消</w:t>
            </w:r>
          </w:p>
        </w:tc>
      </w:tr>
      <w:tr>
        <w:tblPrEx>
          <w:tblCellMar>
            <w:top w:w="0" w:type="dxa"/>
            <w:left w:w="108" w:type="dxa"/>
            <w:bottom w:w="0" w:type="dxa"/>
            <w:right w:w="108" w:type="dxa"/>
          </w:tblCellMar>
        </w:tblPrEx>
        <w:trPr>
          <w:trHeight w:val="20" w:hRule="atLeast"/>
        </w:trPr>
        <w:tc>
          <w:tcPr>
            <w:tcW w:w="400"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9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DN300开槽埋管（HDPE）</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m</w:t>
            </w: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2107</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2065.81</w:t>
            </w:r>
          </w:p>
        </w:tc>
        <w:tc>
          <w:tcPr>
            <w:tcW w:w="6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-41.19</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-1.95%</w:t>
            </w:r>
          </w:p>
        </w:tc>
        <w:tc>
          <w:tcPr>
            <w:tcW w:w="6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226.07 </w:t>
            </w:r>
          </w:p>
        </w:tc>
        <w:tc>
          <w:tcPr>
            <w:tcW w:w="481"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数量减少</w:t>
            </w:r>
          </w:p>
        </w:tc>
      </w:tr>
      <w:tr>
        <w:tblPrEx>
          <w:tblCellMar>
            <w:top w:w="0" w:type="dxa"/>
            <w:left w:w="108" w:type="dxa"/>
            <w:bottom w:w="0" w:type="dxa"/>
            <w:right w:w="108" w:type="dxa"/>
          </w:tblCellMar>
        </w:tblPrEx>
        <w:trPr>
          <w:trHeight w:val="20" w:hRule="atLeast"/>
        </w:trPr>
        <w:tc>
          <w:tcPr>
            <w:tcW w:w="400"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9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DN400开槽埋管（HDPE）</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m</w:t>
            </w: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29</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28</w:t>
            </w:r>
          </w:p>
        </w:tc>
        <w:tc>
          <w:tcPr>
            <w:tcW w:w="6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-3.45%</w:t>
            </w:r>
          </w:p>
        </w:tc>
        <w:tc>
          <w:tcPr>
            <w:tcW w:w="6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8.11 </w:t>
            </w:r>
          </w:p>
        </w:tc>
        <w:tc>
          <w:tcPr>
            <w:tcW w:w="481"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数量减少</w:t>
            </w:r>
          </w:p>
        </w:tc>
      </w:tr>
      <w:tr>
        <w:tblPrEx>
          <w:tblCellMar>
            <w:top w:w="0" w:type="dxa"/>
            <w:left w:w="108" w:type="dxa"/>
            <w:bottom w:w="0" w:type="dxa"/>
            <w:right w:w="108" w:type="dxa"/>
          </w:tblCellMar>
        </w:tblPrEx>
        <w:trPr>
          <w:trHeight w:val="20" w:hRule="atLeast"/>
        </w:trPr>
        <w:tc>
          <w:tcPr>
            <w:tcW w:w="400"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9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DN200微型顶管</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m</w:t>
            </w: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252</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331.4</w:t>
            </w:r>
          </w:p>
        </w:tc>
        <w:tc>
          <w:tcPr>
            <w:tcW w:w="6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79.4</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31.51%</w:t>
            </w:r>
          </w:p>
        </w:tc>
        <w:tc>
          <w:tcPr>
            <w:tcW w:w="6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7.10 </w:t>
            </w:r>
          </w:p>
        </w:tc>
        <w:tc>
          <w:tcPr>
            <w:tcW w:w="481"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数量增加</w:t>
            </w:r>
          </w:p>
        </w:tc>
      </w:tr>
      <w:tr>
        <w:tblPrEx>
          <w:tblCellMar>
            <w:top w:w="0" w:type="dxa"/>
            <w:left w:w="108" w:type="dxa"/>
            <w:bottom w:w="0" w:type="dxa"/>
            <w:right w:w="108" w:type="dxa"/>
          </w:tblCellMar>
        </w:tblPrEx>
        <w:trPr>
          <w:trHeight w:val="20" w:hRule="atLeast"/>
        </w:trPr>
        <w:tc>
          <w:tcPr>
            <w:tcW w:w="400"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9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DN300微型顶管</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m</w:t>
            </w: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1470</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1476.67</w:t>
            </w:r>
          </w:p>
        </w:tc>
        <w:tc>
          <w:tcPr>
            <w:tcW w:w="6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6.67</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0.45%</w:t>
            </w:r>
          </w:p>
        </w:tc>
        <w:tc>
          <w:tcPr>
            <w:tcW w:w="6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496.72 </w:t>
            </w:r>
          </w:p>
        </w:tc>
        <w:tc>
          <w:tcPr>
            <w:tcW w:w="481"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数量增加</w:t>
            </w:r>
          </w:p>
        </w:tc>
      </w:tr>
      <w:tr>
        <w:tblPrEx>
          <w:tblCellMar>
            <w:top w:w="0" w:type="dxa"/>
            <w:left w:w="108" w:type="dxa"/>
            <w:bottom w:w="0" w:type="dxa"/>
            <w:right w:w="108" w:type="dxa"/>
          </w:tblCellMar>
        </w:tblPrEx>
        <w:trPr>
          <w:trHeight w:val="20" w:hRule="atLeast"/>
        </w:trPr>
        <w:tc>
          <w:tcPr>
            <w:tcW w:w="400"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9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DN400微型顶管</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m</w:t>
            </w: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1335</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1243.2</w:t>
            </w:r>
          </w:p>
        </w:tc>
        <w:tc>
          <w:tcPr>
            <w:tcW w:w="6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-91.8</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-6.88%</w:t>
            </w:r>
          </w:p>
        </w:tc>
        <w:tc>
          <w:tcPr>
            <w:tcW w:w="6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443.21 </w:t>
            </w:r>
          </w:p>
        </w:tc>
        <w:tc>
          <w:tcPr>
            <w:tcW w:w="481"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数量减少</w:t>
            </w:r>
          </w:p>
        </w:tc>
      </w:tr>
      <w:tr>
        <w:tblPrEx>
          <w:tblCellMar>
            <w:top w:w="0" w:type="dxa"/>
            <w:left w:w="108" w:type="dxa"/>
            <w:bottom w:w="0" w:type="dxa"/>
            <w:right w:w="108" w:type="dxa"/>
          </w:tblCellMar>
        </w:tblPrEx>
        <w:trPr>
          <w:trHeight w:val="20" w:hRule="atLeast"/>
        </w:trPr>
        <w:tc>
          <w:tcPr>
            <w:tcW w:w="400"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9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DN200 PE100实壁管</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m</w:t>
            </w: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2983</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2821</w:t>
            </w:r>
          </w:p>
        </w:tc>
        <w:tc>
          <w:tcPr>
            <w:tcW w:w="6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-162</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-5.43%</w:t>
            </w:r>
          </w:p>
        </w:tc>
        <w:tc>
          <w:tcPr>
            <w:tcW w:w="6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214.21 </w:t>
            </w:r>
          </w:p>
        </w:tc>
        <w:tc>
          <w:tcPr>
            <w:tcW w:w="481"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数量减少</w:t>
            </w:r>
          </w:p>
        </w:tc>
      </w:tr>
      <w:tr>
        <w:tblPrEx>
          <w:tblCellMar>
            <w:top w:w="0" w:type="dxa"/>
            <w:left w:w="108" w:type="dxa"/>
            <w:bottom w:w="0" w:type="dxa"/>
            <w:right w:w="108" w:type="dxa"/>
          </w:tblCellMar>
        </w:tblPrEx>
        <w:trPr>
          <w:trHeight w:val="20" w:hRule="atLeast"/>
        </w:trPr>
        <w:tc>
          <w:tcPr>
            <w:tcW w:w="400"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30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小计</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8277.00 </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7966.08 </w:t>
            </w:r>
          </w:p>
        </w:tc>
        <w:tc>
          <w:tcPr>
            <w:tcW w:w="6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-310.92 </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-3.76%</w:t>
            </w:r>
          </w:p>
        </w:tc>
        <w:tc>
          <w:tcPr>
            <w:tcW w:w="6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1395.41 </w:t>
            </w:r>
          </w:p>
        </w:tc>
        <w:tc>
          <w:tcPr>
            <w:tcW w:w="481"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eastAsia="仿宋_GB2312" w:cs="Times New Roman"/>
                <w:b/>
                <w:bCs/>
                <w:kern w:val="0"/>
                <w:sz w:val="24"/>
                <w:szCs w:val="24"/>
              </w:rPr>
            </w:pPr>
          </w:p>
        </w:tc>
      </w:tr>
      <w:tr>
        <w:tblPrEx>
          <w:tblCellMar>
            <w:top w:w="0" w:type="dxa"/>
            <w:left w:w="108" w:type="dxa"/>
            <w:bottom w:w="0" w:type="dxa"/>
            <w:right w:w="108" w:type="dxa"/>
          </w:tblCellMar>
        </w:tblPrEx>
        <w:trPr>
          <w:trHeight w:val="20" w:hRule="atLeast"/>
        </w:trPr>
        <w:tc>
          <w:tcPr>
            <w:tcW w:w="400"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9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沉井</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座</w:t>
            </w: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62</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61</w:t>
            </w:r>
          </w:p>
        </w:tc>
        <w:tc>
          <w:tcPr>
            <w:tcW w:w="6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-1.61%</w:t>
            </w:r>
          </w:p>
        </w:tc>
        <w:tc>
          <w:tcPr>
            <w:tcW w:w="6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1064.81 </w:t>
            </w:r>
          </w:p>
        </w:tc>
        <w:tc>
          <w:tcPr>
            <w:tcW w:w="481"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数量减少</w:t>
            </w:r>
          </w:p>
        </w:tc>
      </w:tr>
      <w:tr>
        <w:tblPrEx>
          <w:tblCellMar>
            <w:top w:w="0" w:type="dxa"/>
            <w:left w:w="108" w:type="dxa"/>
            <w:bottom w:w="0" w:type="dxa"/>
            <w:right w:w="108" w:type="dxa"/>
          </w:tblCellMar>
        </w:tblPrEx>
        <w:trPr>
          <w:trHeight w:val="20" w:hRule="atLeast"/>
        </w:trPr>
        <w:tc>
          <w:tcPr>
            <w:tcW w:w="400"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9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塑料检查井</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座</w:t>
            </w:r>
          </w:p>
        </w:tc>
        <w:tc>
          <w:tcPr>
            <w:tcW w:w="48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109</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46</w:t>
            </w:r>
          </w:p>
        </w:tc>
        <w:tc>
          <w:tcPr>
            <w:tcW w:w="6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5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1.83%</w:t>
            </w:r>
          </w:p>
        </w:tc>
        <w:tc>
          <w:tcPr>
            <w:tcW w:w="6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33.83 </w:t>
            </w:r>
          </w:p>
        </w:tc>
        <w:tc>
          <w:tcPr>
            <w:tcW w:w="481" w:type="pct"/>
            <w:vMerge w:val="restart"/>
            <w:tcBorders>
              <w:top w:val="single" w:color="000000" w:sz="4" w:space="0"/>
              <w:left w:val="single" w:color="000000" w:sz="4" w:space="0"/>
              <w:right w:val="single" w:color="000000" w:sz="4" w:space="0"/>
            </w:tcBorders>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数量增加</w:t>
            </w:r>
          </w:p>
        </w:tc>
      </w:tr>
      <w:tr>
        <w:tblPrEx>
          <w:tblCellMar>
            <w:top w:w="0" w:type="dxa"/>
            <w:left w:w="108" w:type="dxa"/>
            <w:bottom w:w="0" w:type="dxa"/>
            <w:right w:w="108" w:type="dxa"/>
          </w:tblCellMar>
        </w:tblPrEx>
        <w:trPr>
          <w:trHeight w:val="20" w:hRule="atLeast"/>
        </w:trPr>
        <w:tc>
          <w:tcPr>
            <w:tcW w:w="400"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9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砌筑井</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座</w:t>
            </w:r>
          </w:p>
        </w:tc>
        <w:tc>
          <w:tcPr>
            <w:tcW w:w="488"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65</w:t>
            </w:r>
          </w:p>
        </w:tc>
        <w:tc>
          <w:tcPr>
            <w:tcW w:w="632"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555"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6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40.11 </w:t>
            </w:r>
          </w:p>
        </w:tc>
        <w:tc>
          <w:tcPr>
            <w:tcW w:w="481" w:type="pct"/>
            <w:vMerge w:val="continue"/>
            <w:tcBorders>
              <w:left w:val="single" w:color="000000" w:sz="4" w:space="0"/>
              <w:bottom w:val="single" w:color="000000" w:sz="4" w:space="0"/>
              <w:right w:val="single" w:color="000000" w:sz="4" w:space="0"/>
            </w:tcBorders>
            <w:vAlign w:val="center"/>
          </w:tcPr>
          <w:p>
            <w:pPr>
              <w:widowControl/>
              <w:jc w:val="center"/>
              <w:rPr>
                <w:rFonts w:ascii="Times New Roman" w:hAnsi="Times New Roman" w:eastAsia="仿宋_GB2312" w:cs="Times New Roman"/>
                <w:kern w:val="0"/>
                <w:sz w:val="24"/>
                <w:szCs w:val="24"/>
              </w:rPr>
            </w:pPr>
          </w:p>
        </w:tc>
      </w:tr>
      <w:tr>
        <w:tblPrEx>
          <w:tblCellMar>
            <w:top w:w="0" w:type="dxa"/>
            <w:left w:w="108" w:type="dxa"/>
            <w:bottom w:w="0" w:type="dxa"/>
            <w:right w:w="108" w:type="dxa"/>
          </w:tblCellMar>
        </w:tblPrEx>
        <w:trPr>
          <w:trHeight w:val="20" w:hRule="atLeast"/>
        </w:trPr>
        <w:tc>
          <w:tcPr>
            <w:tcW w:w="400"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30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小计</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171</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172</w:t>
            </w:r>
          </w:p>
        </w:tc>
        <w:tc>
          <w:tcPr>
            <w:tcW w:w="6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hint="eastAsia" w:ascii="Times New Roman" w:hAnsi="Times New Roman" w:eastAsia="仿宋_GB2312" w:cs="Times New Roman"/>
                <w:b/>
                <w:bCs/>
                <w:kern w:val="0"/>
                <w:sz w:val="24"/>
                <w:szCs w:val="24"/>
              </w:rPr>
              <w:t>1</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hint="eastAsia" w:ascii="Times New Roman" w:hAnsi="Times New Roman" w:eastAsia="仿宋_GB2312" w:cs="Times New Roman"/>
                <w:b/>
                <w:bCs/>
                <w:kern w:val="0"/>
                <w:sz w:val="24"/>
                <w:szCs w:val="24"/>
              </w:rPr>
              <w:t>0.58</w:t>
            </w:r>
            <w:r>
              <w:rPr>
                <w:rFonts w:ascii="Times New Roman" w:hAnsi="Times New Roman" w:eastAsia="仿宋_GB2312" w:cs="Times New Roman"/>
                <w:b/>
                <w:bCs/>
                <w:kern w:val="0"/>
                <w:sz w:val="24"/>
                <w:szCs w:val="24"/>
              </w:rPr>
              <w:t>%</w:t>
            </w:r>
          </w:p>
        </w:tc>
        <w:tc>
          <w:tcPr>
            <w:tcW w:w="6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1138.76 </w:t>
            </w:r>
          </w:p>
        </w:tc>
        <w:tc>
          <w:tcPr>
            <w:tcW w:w="481"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eastAsia="仿宋_GB2312" w:cs="Times New Roman"/>
                <w:b/>
                <w:bCs/>
                <w:kern w:val="0"/>
                <w:sz w:val="24"/>
                <w:szCs w:val="24"/>
              </w:rPr>
            </w:pPr>
          </w:p>
        </w:tc>
      </w:tr>
      <w:tr>
        <w:tblPrEx>
          <w:tblCellMar>
            <w:top w:w="0" w:type="dxa"/>
            <w:left w:w="108" w:type="dxa"/>
            <w:bottom w:w="0" w:type="dxa"/>
            <w:right w:w="108" w:type="dxa"/>
          </w:tblCellMar>
        </w:tblPrEx>
        <w:trPr>
          <w:trHeight w:val="20" w:hRule="atLeast"/>
        </w:trPr>
        <w:tc>
          <w:tcPr>
            <w:tcW w:w="400"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9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雨水口</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座</w:t>
            </w: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45</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38</w:t>
            </w:r>
          </w:p>
        </w:tc>
        <w:tc>
          <w:tcPr>
            <w:tcW w:w="6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-7</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-15.56%</w:t>
            </w:r>
          </w:p>
        </w:tc>
        <w:tc>
          <w:tcPr>
            <w:tcW w:w="6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9.88 </w:t>
            </w:r>
          </w:p>
        </w:tc>
        <w:tc>
          <w:tcPr>
            <w:tcW w:w="481"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数量减少</w:t>
            </w:r>
          </w:p>
        </w:tc>
      </w:tr>
      <w:tr>
        <w:tblPrEx>
          <w:tblCellMar>
            <w:top w:w="0" w:type="dxa"/>
            <w:left w:w="108" w:type="dxa"/>
            <w:bottom w:w="0" w:type="dxa"/>
            <w:right w:w="108" w:type="dxa"/>
          </w:tblCellMar>
        </w:tblPrEx>
        <w:trPr>
          <w:trHeight w:val="20" w:hRule="atLeast"/>
        </w:trPr>
        <w:tc>
          <w:tcPr>
            <w:tcW w:w="400"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9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标志牌</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个</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w:t>
            </w:r>
          </w:p>
        </w:tc>
        <w:tc>
          <w:tcPr>
            <w:tcW w:w="6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c>
          <w:tcPr>
            <w:tcW w:w="6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1.07 </w:t>
            </w:r>
          </w:p>
        </w:tc>
        <w:tc>
          <w:tcPr>
            <w:tcW w:w="481"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新增</w:t>
            </w:r>
          </w:p>
        </w:tc>
      </w:tr>
      <w:tr>
        <w:tblPrEx>
          <w:tblCellMar>
            <w:top w:w="0" w:type="dxa"/>
            <w:left w:w="108" w:type="dxa"/>
            <w:bottom w:w="0" w:type="dxa"/>
            <w:right w:w="108" w:type="dxa"/>
          </w:tblCellMar>
        </w:tblPrEx>
        <w:trPr>
          <w:trHeight w:val="20" w:hRule="atLeast"/>
        </w:trPr>
        <w:tc>
          <w:tcPr>
            <w:tcW w:w="4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变更-单位工程拖拉管池子</w:t>
            </w:r>
          </w:p>
        </w:tc>
        <w:tc>
          <w:tcPr>
            <w:tcW w:w="9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压力井</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座</w:t>
            </w: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13</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6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-9</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-69.23%</w:t>
            </w:r>
          </w:p>
        </w:tc>
        <w:tc>
          <w:tcPr>
            <w:tcW w:w="6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46.56 </w:t>
            </w:r>
          </w:p>
        </w:tc>
        <w:tc>
          <w:tcPr>
            <w:tcW w:w="481"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数量减少</w:t>
            </w:r>
          </w:p>
        </w:tc>
      </w:tr>
      <w:tr>
        <w:tblPrEx>
          <w:tblCellMar>
            <w:top w:w="0" w:type="dxa"/>
            <w:left w:w="108" w:type="dxa"/>
            <w:bottom w:w="0" w:type="dxa"/>
            <w:right w:w="108" w:type="dxa"/>
          </w:tblCellMar>
        </w:tblPrEx>
        <w:trPr>
          <w:trHeight w:val="20" w:hRule="atLeast"/>
        </w:trPr>
        <w:tc>
          <w:tcPr>
            <w:tcW w:w="400"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9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排气阀井</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座</w:t>
            </w: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8</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6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-62.50%</w:t>
            </w:r>
          </w:p>
        </w:tc>
        <w:tc>
          <w:tcPr>
            <w:tcW w:w="6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22.11 </w:t>
            </w:r>
          </w:p>
        </w:tc>
        <w:tc>
          <w:tcPr>
            <w:tcW w:w="481"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数量减少</w:t>
            </w:r>
          </w:p>
        </w:tc>
      </w:tr>
      <w:tr>
        <w:tblPrEx>
          <w:tblCellMar>
            <w:top w:w="0" w:type="dxa"/>
            <w:left w:w="108" w:type="dxa"/>
            <w:bottom w:w="0" w:type="dxa"/>
            <w:right w:w="108" w:type="dxa"/>
          </w:tblCellMar>
        </w:tblPrEx>
        <w:trPr>
          <w:trHeight w:val="20" w:hRule="atLeast"/>
        </w:trPr>
        <w:tc>
          <w:tcPr>
            <w:tcW w:w="400"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9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出水流量计井</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座</w:t>
            </w: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6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6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13.94 </w:t>
            </w:r>
          </w:p>
        </w:tc>
        <w:tc>
          <w:tcPr>
            <w:tcW w:w="481"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w:t>
            </w:r>
          </w:p>
        </w:tc>
      </w:tr>
      <w:tr>
        <w:tblPrEx>
          <w:tblCellMar>
            <w:top w:w="0" w:type="dxa"/>
            <w:left w:w="108" w:type="dxa"/>
            <w:bottom w:w="0" w:type="dxa"/>
            <w:right w:w="108" w:type="dxa"/>
          </w:tblCellMar>
        </w:tblPrEx>
        <w:trPr>
          <w:trHeight w:val="20" w:hRule="atLeast"/>
        </w:trPr>
        <w:tc>
          <w:tcPr>
            <w:tcW w:w="400"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9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泄压井</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座</w:t>
            </w: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6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6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18.02 </w:t>
            </w:r>
          </w:p>
        </w:tc>
        <w:tc>
          <w:tcPr>
            <w:tcW w:w="481"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w:t>
            </w:r>
          </w:p>
        </w:tc>
      </w:tr>
      <w:tr>
        <w:tblPrEx>
          <w:tblCellMar>
            <w:top w:w="0" w:type="dxa"/>
            <w:left w:w="108" w:type="dxa"/>
            <w:bottom w:w="0" w:type="dxa"/>
            <w:right w:w="108" w:type="dxa"/>
          </w:tblCellMar>
        </w:tblPrEx>
        <w:trPr>
          <w:trHeight w:val="20" w:hRule="atLeast"/>
        </w:trPr>
        <w:tc>
          <w:tcPr>
            <w:tcW w:w="400"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9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排泥井</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座</w:t>
            </w: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6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c>
          <w:tcPr>
            <w:tcW w:w="6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37.28 </w:t>
            </w:r>
          </w:p>
        </w:tc>
        <w:tc>
          <w:tcPr>
            <w:tcW w:w="481"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新增</w:t>
            </w:r>
          </w:p>
        </w:tc>
      </w:tr>
      <w:tr>
        <w:tblPrEx>
          <w:tblCellMar>
            <w:top w:w="0" w:type="dxa"/>
            <w:left w:w="108" w:type="dxa"/>
            <w:bottom w:w="0" w:type="dxa"/>
            <w:right w:w="108" w:type="dxa"/>
          </w:tblCellMar>
        </w:tblPrEx>
        <w:trPr>
          <w:trHeight w:val="20" w:hRule="atLeast"/>
        </w:trPr>
        <w:tc>
          <w:tcPr>
            <w:tcW w:w="400"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130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小计</w:t>
            </w: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25</w:t>
            </w: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14</w:t>
            </w: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-11</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-44.00%</w:t>
            </w:r>
          </w:p>
        </w:tc>
        <w:tc>
          <w:tcPr>
            <w:tcW w:w="6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137.92 </w:t>
            </w:r>
          </w:p>
        </w:tc>
        <w:tc>
          <w:tcPr>
            <w:tcW w:w="481"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eastAsia="仿宋_GB2312" w:cs="Times New Roman"/>
                <w:b/>
                <w:bCs/>
                <w:kern w:val="0"/>
                <w:sz w:val="24"/>
                <w:szCs w:val="24"/>
              </w:rPr>
            </w:pPr>
          </w:p>
        </w:tc>
      </w:tr>
      <w:tr>
        <w:tblPrEx>
          <w:tblCellMar>
            <w:top w:w="0" w:type="dxa"/>
            <w:left w:w="108" w:type="dxa"/>
            <w:bottom w:w="0" w:type="dxa"/>
            <w:right w:w="108" w:type="dxa"/>
          </w:tblCellMar>
        </w:tblPrEx>
        <w:trPr>
          <w:trHeight w:val="20" w:hRule="atLeast"/>
        </w:trPr>
        <w:tc>
          <w:tcPr>
            <w:tcW w:w="13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新建泵站</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座</w:t>
            </w: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2324"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审价报告中未包含该部分内容</w:t>
            </w:r>
          </w:p>
        </w:tc>
        <w:tc>
          <w:tcPr>
            <w:tcW w:w="481"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eastAsia="仿宋_GB2312" w:cs="Times New Roman"/>
                <w:kern w:val="0"/>
                <w:sz w:val="24"/>
                <w:szCs w:val="24"/>
              </w:rPr>
            </w:pPr>
          </w:p>
        </w:tc>
      </w:tr>
      <w:tr>
        <w:tblPrEx>
          <w:tblCellMar>
            <w:top w:w="0" w:type="dxa"/>
            <w:left w:w="108" w:type="dxa"/>
            <w:bottom w:w="0" w:type="dxa"/>
            <w:right w:w="108" w:type="dxa"/>
          </w:tblCellMar>
        </w:tblPrEx>
        <w:trPr>
          <w:trHeight w:val="20" w:hRule="atLeast"/>
        </w:trPr>
        <w:tc>
          <w:tcPr>
            <w:tcW w:w="13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DN合流管修复</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m</w:t>
            </w: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436</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w:t>
            </w:r>
          </w:p>
        </w:tc>
        <w:tc>
          <w:tcPr>
            <w:tcW w:w="6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-436</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c>
          <w:tcPr>
            <w:tcW w:w="6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481"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取消</w:t>
            </w:r>
          </w:p>
        </w:tc>
      </w:tr>
      <w:tr>
        <w:tblPrEx>
          <w:tblCellMar>
            <w:top w:w="0" w:type="dxa"/>
            <w:left w:w="108" w:type="dxa"/>
            <w:bottom w:w="0" w:type="dxa"/>
            <w:right w:w="108" w:type="dxa"/>
          </w:tblCellMar>
        </w:tblPrEx>
        <w:trPr>
          <w:trHeight w:val="20" w:hRule="atLeast"/>
        </w:trPr>
        <w:tc>
          <w:tcPr>
            <w:tcW w:w="13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局部树脂固化等</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处</w:t>
            </w: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18</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6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6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146.99 </w:t>
            </w:r>
          </w:p>
        </w:tc>
        <w:tc>
          <w:tcPr>
            <w:tcW w:w="481"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eastAsia="仿宋_GB2312" w:cs="Times New Roman"/>
                <w:kern w:val="0"/>
                <w:sz w:val="24"/>
                <w:szCs w:val="24"/>
              </w:rPr>
            </w:pPr>
          </w:p>
        </w:tc>
      </w:tr>
      <w:tr>
        <w:tblPrEx>
          <w:tblCellMar>
            <w:top w:w="0" w:type="dxa"/>
            <w:left w:w="108" w:type="dxa"/>
            <w:bottom w:w="0" w:type="dxa"/>
            <w:right w:w="108" w:type="dxa"/>
          </w:tblCellMar>
        </w:tblPrEx>
        <w:trPr>
          <w:trHeight w:val="20" w:hRule="atLeast"/>
        </w:trPr>
        <w:tc>
          <w:tcPr>
            <w:tcW w:w="13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绿化修复</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m</w:t>
            </w:r>
            <w:r>
              <w:rPr>
                <w:rFonts w:hint="eastAsia" w:ascii="Times New Roman" w:hAnsi="Times New Roman" w:eastAsia="仿宋_GB2312" w:cs="Times New Roman"/>
                <w:kern w:val="0"/>
                <w:sz w:val="24"/>
                <w:szCs w:val="24"/>
                <w:vertAlign w:val="superscript"/>
              </w:rPr>
              <w:t>2</w:t>
            </w: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1212</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6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6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3.07 </w:t>
            </w:r>
          </w:p>
        </w:tc>
        <w:tc>
          <w:tcPr>
            <w:tcW w:w="481"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eastAsia="仿宋_GB2312" w:cs="Times New Roman"/>
                <w:kern w:val="0"/>
                <w:sz w:val="24"/>
                <w:szCs w:val="24"/>
              </w:rPr>
            </w:pPr>
          </w:p>
        </w:tc>
      </w:tr>
      <w:tr>
        <w:tblPrEx>
          <w:tblCellMar>
            <w:top w:w="0" w:type="dxa"/>
            <w:left w:w="108" w:type="dxa"/>
            <w:bottom w:w="0" w:type="dxa"/>
            <w:right w:w="108" w:type="dxa"/>
          </w:tblCellMar>
        </w:tblPrEx>
        <w:trPr>
          <w:trHeight w:val="20" w:hRule="atLeast"/>
        </w:trPr>
        <w:tc>
          <w:tcPr>
            <w:tcW w:w="4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道路修复</w:t>
            </w:r>
          </w:p>
        </w:tc>
        <w:tc>
          <w:tcPr>
            <w:tcW w:w="9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砼道路拆除及恢复</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m</w:t>
            </w:r>
            <w:r>
              <w:rPr>
                <w:rFonts w:hint="eastAsia" w:ascii="Times New Roman" w:hAnsi="Times New Roman" w:eastAsia="仿宋_GB2312" w:cs="Times New Roman"/>
                <w:kern w:val="0"/>
                <w:sz w:val="24"/>
                <w:szCs w:val="24"/>
                <w:vertAlign w:val="superscript"/>
              </w:rPr>
              <w:t>2</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3065</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3895.68</w:t>
            </w:r>
          </w:p>
        </w:tc>
        <w:tc>
          <w:tcPr>
            <w:tcW w:w="6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830.68</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27.10%</w:t>
            </w:r>
          </w:p>
        </w:tc>
        <w:tc>
          <w:tcPr>
            <w:tcW w:w="6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1338.32 </w:t>
            </w:r>
          </w:p>
        </w:tc>
        <w:tc>
          <w:tcPr>
            <w:tcW w:w="481"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数量增加</w:t>
            </w:r>
          </w:p>
        </w:tc>
      </w:tr>
      <w:tr>
        <w:tblPrEx>
          <w:tblCellMar>
            <w:top w:w="0" w:type="dxa"/>
            <w:left w:w="108" w:type="dxa"/>
            <w:bottom w:w="0" w:type="dxa"/>
            <w:right w:w="108" w:type="dxa"/>
          </w:tblCellMar>
        </w:tblPrEx>
        <w:trPr>
          <w:trHeight w:val="20" w:hRule="atLeast"/>
        </w:trPr>
        <w:tc>
          <w:tcPr>
            <w:tcW w:w="400"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9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沥青道路拆除及恢复</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m</w:t>
            </w:r>
            <w:r>
              <w:rPr>
                <w:rFonts w:hint="eastAsia" w:ascii="Times New Roman" w:hAnsi="Times New Roman" w:eastAsia="仿宋_GB2312" w:cs="Times New Roman"/>
                <w:kern w:val="0"/>
                <w:sz w:val="24"/>
                <w:szCs w:val="24"/>
                <w:vertAlign w:val="superscript"/>
              </w:rPr>
              <w:t>2</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640</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700.07</w:t>
            </w:r>
          </w:p>
        </w:tc>
        <w:tc>
          <w:tcPr>
            <w:tcW w:w="6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60.07</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9.39%</w:t>
            </w:r>
          </w:p>
        </w:tc>
        <w:tc>
          <w:tcPr>
            <w:tcW w:w="6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25.32 </w:t>
            </w:r>
          </w:p>
        </w:tc>
        <w:tc>
          <w:tcPr>
            <w:tcW w:w="481"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数量减少</w:t>
            </w:r>
          </w:p>
        </w:tc>
      </w:tr>
      <w:tr>
        <w:tblPrEx>
          <w:tblCellMar>
            <w:top w:w="0" w:type="dxa"/>
            <w:left w:w="108" w:type="dxa"/>
            <w:bottom w:w="0" w:type="dxa"/>
            <w:right w:w="108" w:type="dxa"/>
          </w:tblCellMar>
        </w:tblPrEx>
        <w:trPr>
          <w:trHeight w:val="20" w:hRule="atLeast"/>
        </w:trPr>
        <w:tc>
          <w:tcPr>
            <w:tcW w:w="400" w:type="pct"/>
            <w:vMerge w:val="restart"/>
            <w:tcBorders>
              <w:top w:val="single" w:color="000000" w:sz="4" w:space="0"/>
              <w:left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变更</w:t>
            </w:r>
          </w:p>
        </w:tc>
        <w:tc>
          <w:tcPr>
            <w:tcW w:w="9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其他变更</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6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c>
          <w:tcPr>
            <w:tcW w:w="6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161.03 </w:t>
            </w:r>
          </w:p>
        </w:tc>
        <w:tc>
          <w:tcPr>
            <w:tcW w:w="481"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eastAsia="仿宋_GB2312" w:cs="Times New Roman"/>
                <w:kern w:val="0"/>
                <w:sz w:val="24"/>
                <w:szCs w:val="24"/>
              </w:rPr>
            </w:pPr>
          </w:p>
        </w:tc>
      </w:tr>
      <w:tr>
        <w:tblPrEx>
          <w:tblCellMar>
            <w:top w:w="0" w:type="dxa"/>
            <w:left w:w="108" w:type="dxa"/>
            <w:bottom w:w="0" w:type="dxa"/>
            <w:right w:w="108" w:type="dxa"/>
          </w:tblCellMar>
        </w:tblPrEx>
        <w:trPr>
          <w:trHeight w:val="20" w:hRule="atLeast"/>
        </w:trPr>
        <w:tc>
          <w:tcPr>
            <w:tcW w:w="400" w:type="pct"/>
            <w:vMerge w:val="continue"/>
            <w:tcBorders>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9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签证</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6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c>
          <w:tcPr>
            <w:tcW w:w="6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3.04 </w:t>
            </w:r>
          </w:p>
        </w:tc>
        <w:tc>
          <w:tcPr>
            <w:tcW w:w="481"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eastAsia="仿宋_GB2312" w:cs="Times New Roman"/>
                <w:kern w:val="0"/>
                <w:sz w:val="24"/>
                <w:szCs w:val="24"/>
              </w:rPr>
            </w:pPr>
          </w:p>
        </w:tc>
      </w:tr>
    </w:tbl>
    <w:p>
      <w:pPr>
        <w:snapToGrid w:val="0"/>
        <w:rPr>
          <w:rFonts w:ascii="Times New Roman" w:hAnsi="Times New Roman" w:eastAsia="仿宋_GB2312" w:cs="Times New Roman"/>
          <w:sz w:val="24"/>
          <w:szCs w:val="24"/>
        </w:rPr>
      </w:pPr>
      <w:r>
        <w:rPr>
          <w:rFonts w:ascii="Times New Roman" w:hAnsi="Times New Roman" w:eastAsia="仿宋_GB2312" w:cs="Times New Roman"/>
          <w:sz w:val="24"/>
          <w:szCs w:val="24"/>
        </w:rPr>
        <w:t>注：</w:t>
      </w:r>
      <w:bookmarkStart w:id="57" w:name="_Hlk171070732"/>
      <w:r>
        <w:rPr>
          <w:rFonts w:ascii="Times New Roman" w:hAnsi="Times New Roman" w:eastAsia="仿宋_GB2312" w:cs="Times New Roman"/>
          <w:sz w:val="24"/>
          <w:szCs w:val="24"/>
        </w:rPr>
        <w:t>审价报告中未列支各项建设内容对应的合同价，无法拆分出合同内、外的具体金额。</w:t>
      </w:r>
      <w:bookmarkEnd w:id="57"/>
    </w:p>
    <w:p>
      <w:pPr>
        <w:pStyle w:val="24"/>
        <w:ind w:firstLine="643"/>
      </w:pPr>
      <w:bookmarkStart w:id="58" w:name="_Toc171093914"/>
      <w:r>
        <w:rPr>
          <w:rFonts w:hint="eastAsia"/>
        </w:rPr>
        <w:t>3.工程量变更管理</w:t>
      </w:r>
      <w:bookmarkEnd w:id="58"/>
    </w:p>
    <w:p>
      <w:pPr>
        <w:pStyle w:val="22"/>
      </w:pPr>
      <w:r>
        <w:rPr>
          <w:rFonts w:hint="eastAsia"/>
        </w:rPr>
        <w:t>经梳理，堡镇项目建安工程费的审定价为1542.87万元，较中标价减少1.34%；新河镇项目建安工程费的审价金额为4085.12万元，较中标价增加0.65%，均未超出5%。根据《上海市崇明区政府投资项目管理办法》（沪崇发改〔2020〕478</w:t>
      </w:r>
      <w:r>
        <w:t>号</w:t>
      </w:r>
      <w:r>
        <w:rPr>
          <w:rFonts w:hint="eastAsia"/>
        </w:rPr>
        <w:t>），“项目建安费调增比例小于中标价5%或调增资金500万元以下，且未超出经批准的概算建安费（或估算建安费）的，区级行业管理部门会同项目（法人）单位应当及时向区发展改革委、区财政局报备”，“未向区发展改革委、区财政局报备的签证内容，区审计局不予认可”。</w:t>
      </w:r>
    </w:p>
    <w:p>
      <w:pPr>
        <w:pStyle w:val="22"/>
      </w:pPr>
      <w:r>
        <w:rPr>
          <w:rFonts w:hint="eastAsia"/>
          <w:bCs w:val="0"/>
        </w:rPr>
        <w:t>针对变更内容，</w:t>
      </w:r>
      <w:r>
        <w:rPr>
          <w:rFonts w:hint="eastAsia"/>
        </w:rPr>
        <w:t>堡镇项目的</w:t>
      </w:r>
      <w:r>
        <w:rPr>
          <w:rFonts w:hint="eastAsia"/>
          <w:bCs w:val="0"/>
        </w:rPr>
        <w:t>施工单位填写了2份设计变更通知单和5份签证单，新河镇项目的</w:t>
      </w:r>
      <w:r>
        <w:rPr>
          <w:rFonts w:hint="eastAsia"/>
        </w:rPr>
        <w:t>施工单位填写了4份设计变更业务联系单，</w:t>
      </w:r>
      <w:r>
        <w:rPr>
          <w:rFonts w:hint="eastAsia"/>
          <w:bCs w:val="0"/>
        </w:rPr>
        <w:t>由工程监理单位、投资监理单位和项目单位分别进行了盖章确认。经访谈了解，施工过程中两镇对于变更情况与区发改委进行了口头沟通，但缺少各区级相关部门的报备审批材料。目前堡镇项目的审计报告中对变更工程量予以认可；新河镇项目尚未完成审计，审价报告中同样对该部分工程量进行了认定。</w:t>
      </w:r>
    </w:p>
    <w:p>
      <w:pPr>
        <w:pStyle w:val="26"/>
        <w:ind w:firstLine="640"/>
      </w:pPr>
      <w:bookmarkStart w:id="59" w:name="_Toc171093915"/>
      <w:r>
        <w:rPr>
          <w:rFonts w:hint="eastAsia"/>
        </w:rPr>
        <w:t>（三）项目资金来源、项目预算及资金使用情况</w:t>
      </w:r>
      <w:bookmarkEnd w:id="59"/>
    </w:p>
    <w:p>
      <w:pPr>
        <w:pStyle w:val="24"/>
        <w:ind w:firstLine="643"/>
      </w:pPr>
      <w:bookmarkStart w:id="60" w:name="_Toc165914606"/>
      <w:bookmarkStart w:id="61" w:name="_Toc169390945"/>
      <w:bookmarkStart w:id="62" w:name="_Toc163570357"/>
      <w:bookmarkStart w:id="63" w:name="_Toc169439181"/>
      <w:bookmarkStart w:id="64" w:name="_Toc171093916"/>
      <w:r>
        <w:t>1.资金来源</w:t>
      </w:r>
      <w:bookmarkEnd w:id="60"/>
      <w:bookmarkEnd w:id="61"/>
      <w:bookmarkEnd w:id="62"/>
      <w:bookmarkEnd w:id="63"/>
      <w:bookmarkEnd w:id="64"/>
    </w:p>
    <w:p>
      <w:pPr>
        <w:pStyle w:val="22"/>
      </w:pPr>
      <w:r>
        <w:t>2021年，</w:t>
      </w:r>
      <w:r>
        <w:rPr>
          <w:rFonts w:hint="eastAsia"/>
        </w:rPr>
        <w:t>堡镇、新河镇污水管网完善工程项目立项前期，两镇形成了可研报告、初步设计报告分别上报区发改委、区建管委审批；经审核后</w:t>
      </w:r>
      <w:r>
        <w:t>区发改委下发项目批复沪崇发改〔2021〕183号文和沪崇发改〔2021〕184号文，</w:t>
      </w:r>
      <w:r>
        <w:rPr>
          <w:rFonts w:hint="eastAsia"/>
        </w:rPr>
        <w:t>区建管委下发批复沪崇建管〔2021〕75号文和沪崇建管〔2021〕79号文，</w:t>
      </w:r>
      <w:r>
        <w:t>明确堡镇、新河镇项目</w:t>
      </w:r>
      <w:r>
        <w:rPr>
          <w:rFonts w:hint="eastAsia"/>
        </w:rPr>
        <w:t>“</w:t>
      </w:r>
      <w:r>
        <w:t>所需资金除区财政补贴外，不足部分自筹</w:t>
      </w:r>
      <w:r>
        <w:rPr>
          <w:rFonts w:hint="eastAsia"/>
        </w:rPr>
        <w:t>”</w:t>
      </w:r>
      <w:r>
        <w:t>。</w:t>
      </w:r>
    </w:p>
    <w:p>
      <w:pPr>
        <w:pStyle w:val="22"/>
      </w:pPr>
      <w:r>
        <w:rPr>
          <w:rFonts w:hint="eastAsia"/>
        </w:rPr>
        <w:t>2022年，为推进“世界级生态岛”建设，区发改委将堡镇、新河镇的污水管网完善工程项目列入</w:t>
      </w:r>
      <w:r>
        <w:t>生态岛建设第五轮三年行动计划</w:t>
      </w:r>
      <w:r>
        <w:rPr>
          <w:rFonts w:hint="eastAsia"/>
        </w:rPr>
        <w:t>进行申报。根据</w:t>
      </w:r>
      <w:r>
        <w:t>《关于印发&lt;崇明世界级生态岛建设第五轮三年行动计划（2022-2024 年）&gt;》（沪崇生态办〔2022〕1 号）</w:t>
      </w:r>
      <w:r>
        <w:rPr>
          <w:rFonts w:hint="eastAsia"/>
        </w:rPr>
        <w:t>，</w:t>
      </w:r>
      <w:r>
        <w:t>该项目列入崇明世界级生态岛建设第五轮三年行动计划的区属项目，资金配比方案为市、区两级财政按照9:1执行。</w:t>
      </w:r>
    </w:p>
    <w:p>
      <w:pPr>
        <w:pStyle w:val="22"/>
      </w:pPr>
      <w:r>
        <w:t>经与相关部门沟通确认，</w:t>
      </w:r>
      <w:r>
        <w:rPr>
          <w:rFonts w:hint="eastAsia"/>
        </w:rPr>
        <w:t>该</w:t>
      </w:r>
      <w:r>
        <w:t>项目资金</w:t>
      </w:r>
      <w:r>
        <w:rPr>
          <w:rFonts w:hint="eastAsia"/>
        </w:rPr>
        <w:t>实际由</w:t>
      </w:r>
      <w:r>
        <w:t>市、区、镇三级资金</w:t>
      </w:r>
      <w:r>
        <w:rPr>
          <w:rFonts w:hint="eastAsia"/>
        </w:rPr>
        <w:t>承担</w:t>
      </w:r>
      <w:r>
        <w:t>，其中：市级资金来源于市级建设财力资金，</w:t>
      </w:r>
      <w:r>
        <w:rPr>
          <w:rFonts w:hint="eastAsia"/>
        </w:rPr>
        <w:t>按照市级相关部门认定后的投资估算总额的90%测算下拨资金；</w:t>
      </w:r>
      <w:r>
        <w:t>区级资金来源于专项债券资金，</w:t>
      </w:r>
      <w:r>
        <w:rPr>
          <w:rFonts w:hint="eastAsia"/>
        </w:rPr>
        <w:t>区级根据市级资金下达情况结合专项债券的配套情况拨付，差额部分由镇级补足，最终根据审计结果进行结算；</w:t>
      </w:r>
      <w:r>
        <w:t>镇级资金来源为一般公共预算资金。</w:t>
      </w:r>
      <w:r>
        <w:rPr>
          <w:rFonts w:hint="eastAsia"/>
        </w:rPr>
        <w:t>市、区资金由区财政转移支付至两镇。</w:t>
      </w:r>
    </w:p>
    <w:p>
      <w:pPr>
        <w:pStyle w:val="24"/>
        <w:ind w:firstLine="643"/>
      </w:pPr>
      <w:bookmarkStart w:id="65" w:name="_Toc163570358"/>
      <w:bookmarkStart w:id="66" w:name="_Toc171093917"/>
      <w:bookmarkStart w:id="67" w:name="_Toc165914607"/>
      <w:bookmarkStart w:id="68" w:name="_Toc169390946"/>
      <w:bookmarkStart w:id="69" w:name="_Toc169439182"/>
      <w:r>
        <w:t>2.预算安排及</w:t>
      </w:r>
      <w:r>
        <w:rPr>
          <w:rFonts w:hint="eastAsia"/>
        </w:rPr>
        <w:t>使用</w:t>
      </w:r>
      <w:r>
        <w:t>情况</w:t>
      </w:r>
      <w:bookmarkEnd w:id="65"/>
      <w:bookmarkEnd w:id="66"/>
      <w:bookmarkEnd w:id="67"/>
      <w:bookmarkEnd w:id="68"/>
      <w:bookmarkEnd w:id="69"/>
    </w:p>
    <w:p>
      <w:pPr>
        <w:pStyle w:val="22"/>
      </w:pPr>
      <w:r>
        <w:rPr>
          <w:rFonts w:hint="eastAsia"/>
        </w:rPr>
        <w:t>根据批复，堡镇项目的</w:t>
      </w:r>
      <w:r>
        <w:t>总投资估算为1881.31万元，其中工程费用1582.16万元，其他费用215.23万元，预备费53.92万元，前期费用30万元</w:t>
      </w:r>
      <w:r>
        <w:rPr>
          <w:rFonts w:hint="eastAsia"/>
        </w:rPr>
        <w:t>；总投资概算为1880.15万元，其中建安费为1584.48万元，工程建设其他费用为215.4万元，预备费为54万元，前期费用26.27万元。</w:t>
      </w:r>
    </w:p>
    <w:p>
      <w:pPr>
        <w:pStyle w:val="22"/>
      </w:pPr>
      <w:r>
        <w:rPr>
          <w:rFonts w:hint="eastAsia"/>
        </w:rPr>
        <w:t>新河镇项目</w:t>
      </w:r>
      <w:r>
        <w:t>总投资估算为4824.1万元，其中工程费用4101.75万元，其他费用581.84万元，预备费140.51万元</w:t>
      </w:r>
      <w:r>
        <w:rPr>
          <w:rFonts w:hint="eastAsia"/>
        </w:rPr>
        <w:t>；工程投资概算为4823.85万元，其中建安费为4089.6万元，工程建设其他费用为593.75万元，预备费为140.5万元。</w:t>
      </w:r>
    </w:p>
    <w:p>
      <w:pPr>
        <w:pStyle w:val="22"/>
      </w:pPr>
      <w:r>
        <w:rPr>
          <w:rFonts w:hint="eastAsia"/>
        </w:rPr>
        <w:t>经对比两镇批复的费用构成，一是在工程建设内容基本相同的情况下，费用差别较大的原因主要是工艺模式不同，堡镇合五公路主要采用开挖路面，铺设重力管道，涉河部分主要为顶管；新河镇主要为开槽埋管、微顶管道和定向钻管道，微顶工艺较开挖工艺价格相对更高。二是对于二类费用的类别，两镇批复的较大部分费用内容一致，堡镇费用中的“土地占用费及绿化赔偿”新河镇不涉及，主要是因为在测算时预估了施工过程中可能涉及到占用沿线青苗和绿化等，需要支付一定费用进行补偿，经审计该部分实际未产生费用。新河镇批复的“环境影响咨询服务费”、“外线费”堡镇不涉及，主要是因为在编制可研报告时预计施工期间会产生噪声、扬尘、弃土和土壤植被破坏等环境影响，外线费为预估的一体化泵站供电接入费，实际开展过程中产生的“环境影响咨询服务费”主要为针对临时使用2.19亩公益林林地实施的可行性研究。三是对于二类费用的占比，主要是由于工程费用存在较大差异，因此各二类费用的比例不一致。</w:t>
      </w:r>
    </w:p>
    <w:p>
      <w:pPr>
        <w:pStyle w:val="22"/>
      </w:pPr>
      <w:r>
        <w:rPr>
          <w:rFonts w:hint="eastAsia"/>
        </w:rPr>
        <w:t>两镇批复的费用构成具体如下：</w:t>
      </w:r>
    </w:p>
    <w:p>
      <w:pPr>
        <w:pStyle w:val="22"/>
        <w:ind w:firstLine="0" w:firstLineChars="0"/>
        <w:jc w:val="center"/>
        <w:rPr>
          <w:b/>
          <w:bCs w:val="0"/>
          <w:sz w:val="28"/>
          <w:szCs w:val="24"/>
        </w:rPr>
      </w:pPr>
      <w:r>
        <w:rPr>
          <w:b/>
          <w:bCs w:val="0"/>
          <w:sz w:val="28"/>
          <w:szCs w:val="24"/>
        </w:rPr>
        <w:t>表1-</w:t>
      </w:r>
      <w:r>
        <w:rPr>
          <w:rFonts w:hint="eastAsia"/>
          <w:b/>
          <w:bCs w:val="0"/>
          <w:sz w:val="28"/>
          <w:szCs w:val="24"/>
        </w:rPr>
        <w:t>4</w:t>
      </w:r>
      <w:r>
        <w:rPr>
          <w:b/>
          <w:bCs w:val="0"/>
          <w:sz w:val="28"/>
          <w:szCs w:val="24"/>
        </w:rPr>
        <w:t>：</w:t>
      </w:r>
      <w:r>
        <w:rPr>
          <w:rFonts w:hint="eastAsia"/>
          <w:b/>
          <w:bCs w:val="0"/>
          <w:sz w:val="28"/>
          <w:szCs w:val="24"/>
        </w:rPr>
        <w:t>两镇批复费用明细对比表</w:t>
      </w:r>
    </w:p>
    <w:p>
      <w:pPr>
        <w:pStyle w:val="22"/>
        <w:ind w:firstLine="0" w:firstLineChars="0"/>
        <w:jc w:val="right"/>
        <w:rPr>
          <w:b/>
          <w:bCs w:val="0"/>
          <w:sz w:val="28"/>
          <w:szCs w:val="24"/>
        </w:rPr>
      </w:pPr>
      <w:r>
        <w:rPr>
          <w:b/>
          <w:bCs w:val="0"/>
          <w:sz w:val="28"/>
          <w:szCs w:val="24"/>
        </w:rPr>
        <w:t>金额单位：万元</w:t>
      </w:r>
    </w:p>
    <w:tbl>
      <w:tblPr>
        <w:tblStyle w:val="12"/>
        <w:tblW w:w="5000" w:type="pct"/>
        <w:tblInd w:w="0" w:type="dxa"/>
        <w:tblLayout w:type="autofit"/>
        <w:tblCellMar>
          <w:top w:w="0" w:type="dxa"/>
          <w:left w:w="108" w:type="dxa"/>
          <w:bottom w:w="0" w:type="dxa"/>
          <w:right w:w="108" w:type="dxa"/>
        </w:tblCellMar>
      </w:tblPr>
      <w:tblGrid>
        <w:gridCol w:w="817"/>
        <w:gridCol w:w="2711"/>
        <w:gridCol w:w="1439"/>
        <w:gridCol w:w="1439"/>
        <w:gridCol w:w="1328"/>
        <w:gridCol w:w="1327"/>
      </w:tblGrid>
      <w:tr>
        <w:tblPrEx>
          <w:tblCellMar>
            <w:top w:w="0" w:type="dxa"/>
            <w:left w:w="108" w:type="dxa"/>
            <w:bottom w:w="0" w:type="dxa"/>
            <w:right w:w="108" w:type="dxa"/>
          </w:tblCellMar>
        </w:tblPrEx>
        <w:trPr>
          <w:trHeight w:val="300" w:hRule="atLeast"/>
          <w:tblHeader/>
        </w:trPr>
        <w:tc>
          <w:tcPr>
            <w:tcW w:w="194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镇区</w:t>
            </w:r>
          </w:p>
        </w:tc>
        <w:tc>
          <w:tcPr>
            <w:tcW w:w="158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堡镇</w:t>
            </w:r>
          </w:p>
        </w:tc>
        <w:tc>
          <w:tcPr>
            <w:tcW w:w="146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新河镇</w:t>
            </w:r>
          </w:p>
        </w:tc>
      </w:tr>
      <w:tr>
        <w:tblPrEx>
          <w:tblCellMar>
            <w:top w:w="0" w:type="dxa"/>
            <w:left w:w="108" w:type="dxa"/>
            <w:bottom w:w="0" w:type="dxa"/>
            <w:right w:w="108" w:type="dxa"/>
          </w:tblCellMar>
        </w:tblPrEx>
        <w:trPr>
          <w:trHeight w:val="312" w:hRule="atLeast"/>
          <w:tblHeader/>
        </w:trPr>
        <w:tc>
          <w:tcPr>
            <w:tcW w:w="1947"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工程或费用名称</w:t>
            </w:r>
          </w:p>
        </w:tc>
        <w:tc>
          <w:tcPr>
            <w:tcW w:w="79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区发改委批复金额</w:t>
            </w:r>
          </w:p>
        </w:tc>
        <w:tc>
          <w:tcPr>
            <w:tcW w:w="79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区建管委批复金额</w:t>
            </w:r>
          </w:p>
        </w:tc>
        <w:tc>
          <w:tcPr>
            <w:tcW w:w="73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区发改委批复金额</w:t>
            </w:r>
          </w:p>
        </w:tc>
        <w:tc>
          <w:tcPr>
            <w:tcW w:w="7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区建管委批复金额</w:t>
            </w:r>
          </w:p>
        </w:tc>
      </w:tr>
      <w:tr>
        <w:tblPrEx>
          <w:tblCellMar>
            <w:top w:w="0" w:type="dxa"/>
            <w:left w:w="108" w:type="dxa"/>
            <w:bottom w:w="0" w:type="dxa"/>
            <w:right w:w="108" w:type="dxa"/>
          </w:tblCellMar>
        </w:tblPrEx>
        <w:trPr>
          <w:trHeight w:val="312" w:hRule="atLeast"/>
          <w:tblHeader/>
        </w:trPr>
        <w:tc>
          <w:tcPr>
            <w:tcW w:w="1947" w:type="pct"/>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b/>
                <w:bCs/>
                <w:kern w:val="0"/>
                <w:sz w:val="24"/>
                <w:szCs w:val="24"/>
              </w:rPr>
            </w:pPr>
          </w:p>
        </w:tc>
        <w:tc>
          <w:tcPr>
            <w:tcW w:w="79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b/>
                <w:bCs/>
                <w:kern w:val="0"/>
                <w:sz w:val="24"/>
                <w:szCs w:val="24"/>
              </w:rPr>
            </w:pPr>
          </w:p>
        </w:tc>
        <w:tc>
          <w:tcPr>
            <w:tcW w:w="79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b/>
                <w:bCs/>
                <w:kern w:val="0"/>
                <w:sz w:val="24"/>
                <w:szCs w:val="24"/>
              </w:rPr>
            </w:pPr>
          </w:p>
        </w:tc>
        <w:tc>
          <w:tcPr>
            <w:tcW w:w="73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b/>
                <w:bCs/>
                <w:kern w:val="0"/>
                <w:sz w:val="24"/>
                <w:szCs w:val="24"/>
              </w:rPr>
            </w:pPr>
          </w:p>
        </w:tc>
        <w:tc>
          <w:tcPr>
            <w:tcW w:w="732"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b/>
                <w:bCs/>
                <w:kern w:val="0"/>
                <w:sz w:val="24"/>
                <w:szCs w:val="24"/>
              </w:rPr>
            </w:pPr>
          </w:p>
        </w:tc>
      </w:tr>
      <w:tr>
        <w:tblPrEx>
          <w:tblCellMar>
            <w:top w:w="0" w:type="dxa"/>
            <w:left w:w="108" w:type="dxa"/>
            <w:bottom w:w="0" w:type="dxa"/>
            <w:right w:w="108" w:type="dxa"/>
          </w:tblCellMar>
        </w:tblPrEx>
        <w:trPr>
          <w:trHeight w:val="28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一</w:t>
            </w:r>
          </w:p>
        </w:tc>
        <w:tc>
          <w:tcPr>
            <w:tcW w:w="1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工程费用</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1582.16 </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1584.48 </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4101.75 </w:t>
            </w:r>
          </w:p>
        </w:tc>
        <w:tc>
          <w:tcPr>
            <w:tcW w:w="7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4089.60 </w:t>
            </w:r>
          </w:p>
        </w:tc>
      </w:tr>
      <w:tr>
        <w:tblPrEx>
          <w:tblCellMar>
            <w:top w:w="0" w:type="dxa"/>
            <w:left w:w="108" w:type="dxa"/>
            <w:bottom w:w="0" w:type="dxa"/>
            <w:right w:w="108" w:type="dxa"/>
          </w:tblCellMar>
        </w:tblPrEx>
        <w:trPr>
          <w:trHeight w:val="28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1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施工费</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1582.16 </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1584.48 </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3736.75 </w:t>
            </w:r>
          </w:p>
        </w:tc>
        <w:tc>
          <w:tcPr>
            <w:tcW w:w="7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3633.59 </w:t>
            </w:r>
          </w:p>
        </w:tc>
      </w:tr>
      <w:tr>
        <w:tblPrEx>
          <w:tblCellMar>
            <w:top w:w="0" w:type="dxa"/>
            <w:left w:w="108" w:type="dxa"/>
            <w:bottom w:w="0" w:type="dxa"/>
            <w:right w:w="108" w:type="dxa"/>
          </w:tblCellMar>
        </w:tblPrEx>
        <w:trPr>
          <w:trHeight w:val="28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1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一体化泵站费</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365.00 </w:t>
            </w:r>
          </w:p>
        </w:tc>
        <w:tc>
          <w:tcPr>
            <w:tcW w:w="7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456.01 </w:t>
            </w:r>
          </w:p>
        </w:tc>
      </w:tr>
      <w:tr>
        <w:tblPrEx>
          <w:tblCellMar>
            <w:top w:w="0" w:type="dxa"/>
            <w:left w:w="108" w:type="dxa"/>
            <w:bottom w:w="0" w:type="dxa"/>
            <w:right w:w="108" w:type="dxa"/>
          </w:tblCellMar>
        </w:tblPrEx>
        <w:trPr>
          <w:trHeight w:val="52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二</w:t>
            </w:r>
          </w:p>
        </w:tc>
        <w:tc>
          <w:tcPr>
            <w:tcW w:w="1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工程建设其他费用</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215.23 </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215.40 </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581.84 </w:t>
            </w:r>
          </w:p>
        </w:tc>
        <w:tc>
          <w:tcPr>
            <w:tcW w:w="7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593.75 </w:t>
            </w:r>
          </w:p>
        </w:tc>
      </w:tr>
      <w:tr>
        <w:tblPrEx>
          <w:tblCellMar>
            <w:top w:w="0" w:type="dxa"/>
            <w:left w:w="108" w:type="dxa"/>
            <w:bottom w:w="0" w:type="dxa"/>
            <w:right w:w="108" w:type="dxa"/>
          </w:tblCellMar>
        </w:tblPrEx>
        <w:trPr>
          <w:trHeight w:val="28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1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建设单位管理费</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33.20 </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33.20 </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64.76 </w:t>
            </w:r>
          </w:p>
        </w:tc>
        <w:tc>
          <w:tcPr>
            <w:tcW w:w="7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64.55 </w:t>
            </w:r>
          </w:p>
        </w:tc>
      </w:tr>
      <w:tr>
        <w:tblPrEx>
          <w:tblCellMar>
            <w:top w:w="0" w:type="dxa"/>
            <w:left w:w="108" w:type="dxa"/>
            <w:bottom w:w="0" w:type="dxa"/>
            <w:right w:w="108" w:type="dxa"/>
          </w:tblCellMar>
        </w:tblPrEx>
        <w:trPr>
          <w:trHeight w:val="28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1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前期咨询费</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7.80 </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7.80 </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17.12 </w:t>
            </w:r>
          </w:p>
        </w:tc>
        <w:tc>
          <w:tcPr>
            <w:tcW w:w="7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16.98 </w:t>
            </w:r>
          </w:p>
        </w:tc>
      </w:tr>
      <w:tr>
        <w:tblPrEx>
          <w:tblCellMar>
            <w:top w:w="0" w:type="dxa"/>
            <w:left w:w="108" w:type="dxa"/>
            <w:bottom w:w="0" w:type="dxa"/>
            <w:right w:w="108" w:type="dxa"/>
          </w:tblCellMar>
        </w:tblPrEx>
        <w:trPr>
          <w:trHeight w:val="28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1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招标代理费</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9.87 </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9.88 </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31.30 </w:t>
            </w:r>
          </w:p>
        </w:tc>
        <w:tc>
          <w:tcPr>
            <w:tcW w:w="7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28.12 </w:t>
            </w:r>
          </w:p>
        </w:tc>
      </w:tr>
      <w:tr>
        <w:tblPrEx>
          <w:tblCellMar>
            <w:top w:w="0" w:type="dxa"/>
            <w:left w:w="108" w:type="dxa"/>
            <w:bottom w:w="0" w:type="dxa"/>
            <w:right w:w="108" w:type="dxa"/>
          </w:tblCellMar>
        </w:tblPrEx>
        <w:trPr>
          <w:trHeight w:val="28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1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工程监理费</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44.07 </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44.13 </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101.40 </w:t>
            </w:r>
          </w:p>
        </w:tc>
        <w:tc>
          <w:tcPr>
            <w:tcW w:w="7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130.70 </w:t>
            </w:r>
          </w:p>
        </w:tc>
      </w:tr>
      <w:tr>
        <w:tblPrEx>
          <w:tblCellMar>
            <w:top w:w="0" w:type="dxa"/>
            <w:left w:w="108" w:type="dxa"/>
            <w:bottom w:w="0" w:type="dxa"/>
            <w:right w:w="108" w:type="dxa"/>
          </w:tblCellMar>
        </w:tblPrEx>
        <w:trPr>
          <w:trHeight w:val="28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1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勘察设计费</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116.29</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116.39</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218.87 </w:t>
            </w:r>
          </w:p>
        </w:tc>
        <w:tc>
          <w:tcPr>
            <w:tcW w:w="7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207.92 </w:t>
            </w:r>
          </w:p>
        </w:tc>
      </w:tr>
      <w:tr>
        <w:tblPrEx>
          <w:tblCellMar>
            <w:top w:w="0" w:type="dxa"/>
            <w:left w:w="108" w:type="dxa"/>
            <w:bottom w:w="0" w:type="dxa"/>
            <w:right w:w="108" w:type="dxa"/>
          </w:tblCellMar>
        </w:tblPrEx>
        <w:trPr>
          <w:trHeight w:val="28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5.1</w:t>
            </w:r>
          </w:p>
        </w:tc>
        <w:tc>
          <w:tcPr>
            <w:tcW w:w="1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工程勘测费</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12.66 </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12.68 </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41.02 </w:t>
            </w:r>
          </w:p>
        </w:tc>
        <w:tc>
          <w:tcPr>
            <w:tcW w:w="7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40.90 </w:t>
            </w:r>
          </w:p>
        </w:tc>
      </w:tr>
      <w:tr>
        <w:tblPrEx>
          <w:tblCellMar>
            <w:top w:w="0" w:type="dxa"/>
            <w:left w:w="108" w:type="dxa"/>
            <w:bottom w:w="0" w:type="dxa"/>
            <w:right w:w="108" w:type="dxa"/>
          </w:tblCellMar>
        </w:tblPrEx>
        <w:trPr>
          <w:trHeight w:val="28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5.2</w:t>
            </w:r>
          </w:p>
        </w:tc>
        <w:tc>
          <w:tcPr>
            <w:tcW w:w="1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设计费</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57.72 </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57.80 </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136.59 </w:t>
            </w:r>
          </w:p>
        </w:tc>
        <w:tc>
          <w:tcPr>
            <w:tcW w:w="7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125.76 </w:t>
            </w:r>
          </w:p>
        </w:tc>
      </w:tr>
      <w:tr>
        <w:tblPrEx>
          <w:tblCellMar>
            <w:top w:w="0" w:type="dxa"/>
            <w:left w:w="108" w:type="dxa"/>
            <w:bottom w:w="0" w:type="dxa"/>
            <w:right w:w="108" w:type="dxa"/>
          </w:tblCellMar>
        </w:tblPrEx>
        <w:trPr>
          <w:trHeight w:val="52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5.3</w:t>
            </w:r>
          </w:p>
        </w:tc>
        <w:tc>
          <w:tcPr>
            <w:tcW w:w="1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物探费</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30.00 </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30.00 </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41.26 </w:t>
            </w:r>
          </w:p>
        </w:tc>
        <w:tc>
          <w:tcPr>
            <w:tcW w:w="7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41.26 </w:t>
            </w:r>
          </w:p>
        </w:tc>
      </w:tr>
      <w:tr>
        <w:tblPrEx>
          <w:tblCellMar>
            <w:top w:w="0" w:type="dxa"/>
            <w:left w:w="108" w:type="dxa"/>
            <w:bottom w:w="0" w:type="dxa"/>
            <w:right w:w="108" w:type="dxa"/>
          </w:tblCellMar>
        </w:tblPrEx>
        <w:trPr>
          <w:trHeight w:val="397"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5.4</w:t>
            </w:r>
          </w:p>
        </w:tc>
        <w:tc>
          <w:tcPr>
            <w:tcW w:w="1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管道检测费（CCTV、跟测）</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15.91 </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15.91 </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20.00 </w:t>
            </w:r>
          </w:p>
        </w:tc>
        <w:tc>
          <w:tcPr>
            <w:tcW w:w="7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20.00 </w:t>
            </w:r>
          </w:p>
        </w:tc>
      </w:tr>
      <w:tr>
        <w:tblPrEx>
          <w:tblCellMar>
            <w:top w:w="0" w:type="dxa"/>
            <w:left w:w="108" w:type="dxa"/>
            <w:bottom w:w="0" w:type="dxa"/>
            <w:right w:w="108" w:type="dxa"/>
          </w:tblCellMar>
        </w:tblPrEx>
        <w:trPr>
          <w:trHeight w:val="28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w:t>
            </w:r>
          </w:p>
        </w:tc>
        <w:tc>
          <w:tcPr>
            <w:tcW w:w="1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监测费</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4.00 </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4.00 </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70.00 </w:t>
            </w:r>
          </w:p>
        </w:tc>
        <w:tc>
          <w:tcPr>
            <w:tcW w:w="7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70.00 </w:t>
            </w:r>
          </w:p>
        </w:tc>
      </w:tr>
      <w:tr>
        <w:tblPrEx>
          <w:tblCellMar>
            <w:top w:w="0" w:type="dxa"/>
            <w:left w:w="108" w:type="dxa"/>
            <w:bottom w:w="0" w:type="dxa"/>
            <w:right w:w="108" w:type="dxa"/>
          </w:tblCellMar>
        </w:tblPrEx>
        <w:trPr>
          <w:trHeight w:val="52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7</w:t>
            </w:r>
          </w:p>
        </w:tc>
        <w:tc>
          <w:tcPr>
            <w:tcW w:w="1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环境影响咨询服务费</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8.40 </w:t>
            </w:r>
          </w:p>
        </w:tc>
        <w:tc>
          <w:tcPr>
            <w:tcW w:w="7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5.48 </w:t>
            </w:r>
          </w:p>
        </w:tc>
      </w:tr>
      <w:tr>
        <w:tblPrEx>
          <w:tblCellMar>
            <w:top w:w="0" w:type="dxa"/>
            <w:left w:w="108" w:type="dxa"/>
            <w:bottom w:w="0" w:type="dxa"/>
            <w:right w:w="108" w:type="dxa"/>
          </w:tblCellMar>
        </w:tblPrEx>
        <w:trPr>
          <w:trHeight w:val="28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8</w:t>
            </w:r>
          </w:p>
        </w:tc>
        <w:tc>
          <w:tcPr>
            <w:tcW w:w="1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外线费</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50.00 </w:t>
            </w:r>
          </w:p>
        </w:tc>
        <w:tc>
          <w:tcPr>
            <w:tcW w:w="7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50.00 </w:t>
            </w:r>
          </w:p>
        </w:tc>
      </w:tr>
      <w:tr>
        <w:tblPrEx>
          <w:tblCellMar>
            <w:top w:w="0" w:type="dxa"/>
            <w:left w:w="108" w:type="dxa"/>
            <w:bottom w:w="0" w:type="dxa"/>
            <w:right w:w="108" w:type="dxa"/>
          </w:tblCellMar>
        </w:tblPrEx>
        <w:trPr>
          <w:trHeight w:val="28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三</w:t>
            </w:r>
          </w:p>
        </w:tc>
        <w:tc>
          <w:tcPr>
            <w:tcW w:w="1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预备费</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53.92 </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54.00 </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140.51 </w:t>
            </w:r>
          </w:p>
        </w:tc>
        <w:tc>
          <w:tcPr>
            <w:tcW w:w="7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140.50 </w:t>
            </w:r>
          </w:p>
        </w:tc>
      </w:tr>
      <w:tr>
        <w:tblPrEx>
          <w:tblCellMar>
            <w:top w:w="0" w:type="dxa"/>
            <w:left w:w="108" w:type="dxa"/>
            <w:bottom w:w="0" w:type="dxa"/>
            <w:right w:w="108" w:type="dxa"/>
          </w:tblCellMar>
        </w:tblPrEx>
        <w:trPr>
          <w:trHeight w:val="52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四</w:t>
            </w:r>
          </w:p>
        </w:tc>
        <w:tc>
          <w:tcPr>
            <w:tcW w:w="149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土地占用费及绿化赔偿</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30.00 </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26.27 </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0</w:t>
            </w:r>
          </w:p>
        </w:tc>
        <w:tc>
          <w:tcPr>
            <w:tcW w:w="7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0</w:t>
            </w:r>
          </w:p>
        </w:tc>
      </w:tr>
      <w:tr>
        <w:tblPrEx>
          <w:tblCellMar>
            <w:top w:w="0" w:type="dxa"/>
            <w:left w:w="108" w:type="dxa"/>
            <w:bottom w:w="0" w:type="dxa"/>
            <w:right w:w="108" w:type="dxa"/>
          </w:tblCellMar>
        </w:tblPrEx>
        <w:trPr>
          <w:trHeight w:val="280" w:hRule="atLeast"/>
        </w:trPr>
        <w:tc>
          <w:tcPr>
            <w:tcW w:w="194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小计</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1881.31 </w:t>
            </w: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1880.15 </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4824.10 </w:t>
            </w:r>
          </w:p>
        </w:tc>
        <w:tc>
          <w:tcPr>
            <w:tcW w:w="7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4823.85 </w:t>
            </w:r>
          </w:p>
        </w:tc>
      </w:tr>
    </w:tbl>
    <w:p>
      <w:pPr>
        <w:pStyle w:val="24"/>
        <w:ind w:firstLine="643"/>
      </w:pPr>
      <w:bookmarkStart w:id="70" w:name="_Toc169390947"/>
      <w:bookmarkStart w:id="71" w:name="_Toc171093918"/>
      <w:bookmarkStart w:id="72" w:name="_Toc169439183"/>
      <w:r>
        <w:rPr>
          <w:rFonts w:hint="eastAsia"/>
        </w:rPr>
        <w:t>（1）资金安排</w:t>
      </w:r>
      <w:bookmarkEnd w:id="70"/>
      <w:bookmarkEnd w:id="71"/>
      <w:bookmarkEnd w:id="72"/>
    </w:p>
    <w:p>
      <w:pPr>
        <w:pStyle w:val="22"/>
        <w:ind w:firstLine="643"/>
        <w:rPr>
          <w:b/>
          <w:bCs w:val="0"/>
        </w:rPr>
      </w:pPr>
      <w:r>
        <w:rPr>
          <w:rFonts w:hint="eastAsia"/>
          <w:b/>
          <w:bCs w:val="0"/>
        </w:rPr>
        <w:t>①市级建设财力资金</w:t>
      </w:r>
    </w:p>
    <w:p>
      <w:pPr>
        <w:pStyle w:val="22"/>
      </w:pPr>
      <w:r>
        <w:rPr>
          <w:rFonts w:hint="eastAsia"/>
        </w:rPr>
        <w:t>根据</w:t>
      </w:r>
      <w:bookmarkStart w:id="73" w:name="_Hlk169259301"/>
      <w:r>
        <w:rPr>
          <w:rFonts w:hint="eastAsia"/>
        </w:rPr>
        <w:t>《关于印发&lt;上海市市级建设财力投资补贴和贴息项目管理办法&gt;的通知》（沪发改规范</w:t>
      </w:r>
      <w:r>
        <w:rPr>
          <w:rFonts w:hint="eastAsia" w:ascii="仿宋" w:hAnsi="仿宋"/>
        </w:rPr>
        <w:t>〔2021〕1号</w:t>
      </w:r>
      <w:r>
        <w:rPr>
          <w:rFonts w:hint="eastAsia"/>
        </w:rPr>
        <w:t>）</w:t>
      </w:r>
      <w:bookmarkEnd w:id="73"/>
      <w:r>
        <w:rPr>
          <w:rFonts w:hint="eastAsia"/>
        </w:rPr>
        <w:t>，市财政局根据投资补助项目的建设进度、其他建设资金的到位情况等因素，拨付投资补助资金，非经营性建设项目的投资补助资金按财政拨款有关规定执行，项目（法人）单位收到投资补助后必须专款专用，加强资金的使用和管理。</w:t>
      </w:r>
    </w:p>
    <w:p>
      <w:pPr>
        <w:pStyle w:val="22"/>
      </w:pPr>
      <w:r>
        <w:rPr>
          <w:rFonts w:hint="eastAsia"/>
        </w:rPr>
        <w:t>堡镇和新河镇污水管网完善工程项目中涉及的市级资金由市级</w:t>
      </w:r>
      <w:r>
        <w:t>部门按其</w:t>
      </w:r>
      <w:r>
        <w:rPr>
          <w:rFonts w:hint="eastAsia"/>
        </w:rPr>
        <w:t>审定</w:t>
      </w:r>
      <w:r>
        <w:t>总额的90%测算</w:t>
      </w:r>
      <w:r>
        <w:rPr>
          <w:rFonts w:hint="eastAsia"/>
        </w:rPr>
        <w:t>，</w:t>
      </w:r>
      <w:r>
        <w:t>并下拨至区财政局，区财政根据实际下达情况结合专项债券的配套情况拨付，差额部分由镇级补足，最终根据审计结果进行结算。</w:t>
      </w:r>
      <w:bookmarkStart w:id="74" w:name="_Hlk169811929"/>
      <w:r>
        <w:t>2023年1月区财政</w:t>
      </w:r>
      <w:r>
        <w:rPr>
          <w:rFonts w:hint="eastAsia"/>
        </w:rPr>
        <w:t>转移支付</w:t>
      </w:r>
      <w:r>
        <w:t>2380万元市级建设财力资金至两镇，其中：堡镇580万元，新河镇1800万元</w:t>
      </w:r>
      <w:r>
        <w:rPr>
          <w:rFonts w:hint="eastAsia"/>
        </w:rPr>
        <w:t>；</w:t>
      </w:r>
      <w:r>
        <w:t>2024年1月提前告知两镇270万元市级资金，其中：堡镇150万元，新河镇120万元。</w:t>
      </w:r>
    </w:p>
    <w:bookmarkEnd w:id="74"/>
    <w:p>
      <w:pPr>
        <w:pStyle w:val="22"/>
        <w:ind w:firstLine="643"/>
        <w:rPr>
          <w:b/>
        </w:rPr>
      </w:pPr>
      <w:r>
        <w:rPr>
          <w:rFonts w:hint="eastAsia"/>
          <w:b/>
        </w:rPr>
        <w:t>②区级专项债券资金</w:t>
      </w:r>
    </w:p>
    <w:p>
      <w:pPr>
        <w:pStyle w:val="22"/>
      </w:pPr>
      <w:r>
        <w:rPr>
          <w:rFonts w:hint="eastAsia"/>
        </w:rPr>
        <w:t>财政部明确2022年专项债券资金重点用于 “交通基础设施、能源、农林水利、生态环保、社会事业、城乡冷链等物流基础设施、市政和产业园区基础设施、国家重大战略项目、保障性安居工程等9大领域”。堡镇、新河镇污水管网完善工程属于其中的生态环保领域，崇明区级相关部门根据工作要求及安排，结合批复建设内容等材料编制了《2022年第二批专项债券崇明区污水管网新建及改建项目实施方案》，方案内容包含两镇的项目实施的必要性、公益性、收益性，项目资金来源和到位可行性、债券资金需求合理性、项目偿债计划可行性等方面内容。经方案测算：</w:t>
      </w:r>
      <w:bookmarkStart w:id="75" w:name="_Hlk169811953"/>
      <w:r>
        <w:rPr>
          <w:rFonts w:hint="eastAsia"/>
        </w:rPr>
        <w:t>堡镇项目的债券融资规模为1000万元，新河镇为2600万元，</w:t>
      </w:r>
      <w:bookmarkEnd w:id="75"/>
      <w:r>
        <w:rPr>
          <w:rFonts w:hint="eastAsia"/>
        </w:rPr>
        <w:t>债券期限10年，利息按半年支付。根据资金平衡测算分析，专项债券到期时，堡镇项目经营活动累计现金净流量为1520万元，专项债券存续期内债券本息合计为1256万元，期末累计现金结余为264万元，本项目资金覆盖率达1.21倍；新河镇项目经营活动累计现金净流量为4000万元，专项债券存续期内债券本息合计为3265.60万元，期末累计现金结余为734.40万元，本项目资金覆盖率达1.22倍。均能够偿还该专项债券融资本金和利息总额。债券偿付资金来源为根据《关于在区级土地出让收入中计提生态环保项目建设基金的实施意见》（沪崇财预〔2020〕6号）在区级土地出让收入中计提的生态环保项目建设基金。</w:t>
      </w:r>
    </w:p>
    <w:p>
      <w:pPr>
        <w:pStyle w:val="22"/>
      </w:pPr>
      <w:r>
        <w:rPr>
          <w:rFonts w:hint="eastAsia"/>
        </w:rPr>
        <w:t>区财政相关部门根据</w:t>
      </w:r>
      <w:bookmarkStart w:id="76" w:name="_Hlk169259310"/>
      <w:r>
        <w:rPr>
          <w:rFonts w:hint="eastAsia"/>
        </w:rPr>
        <w:t>《上海市地方政府专项债券项目资金绩效管理办法》（沪财绩〔2021〕27号）</w:t>
      </w:r>
      <w:bookmarkEnd w:id="76"/>
      <w:r>
        <w:rPr>
          <w:rFonts w:hint="eastAsia"/>
        </w:rPr>
        <w:t>中提出的“专项债券收支、还本付息和专项收入应纳入政府性基金预算管理”等要求对专项债券资金专门设置预算收支科目单独核算和全面管理。该项目涉及的区级专项债券资金全部纳入政府性基金预算管理，其中：债券资金</w:t>
      </w:r>
      <w:r>
        <w:rPr>
          <w:rFonts w:hint="eastAsia"/>
          <w:b/>
          <w:bCs w:val="0"/>
        </w:rPr>
        <w:t>收入</w:t>
      </w:r>
      <w:r>
        <w:rPr>
          <w:rFonts w:hint="eastAsia"/>
        </w:rPr>
        <w:t>纳入地方政府专项债务转贷收入科目核算，债券资金</w:t>
      </w:r>
      <w:r>
        <w:rPr>
          <w:rFonts w:hint="eastAsia"/>
          <w:b/>
          <w:bCs w:val="0"/>
        </w:rPr>
        <w:t>支出</w:t>
      </w:r>
      <w:r>
        <w:rPr>
          <w:rFonts w:hint="eastAsia"/>
        </w:rPr>
        <w:t>纳入国有土地使用权出让收入对应专项债务收入安排的支出科目进行核算；</w:t>
      </w:r>
      <w:r>
        <w:rPr>
          <w:rFonts w:hint="eastAsia"/>
          <w:b/>
          <w:bCs w:val="0"/>
        </w:rPr>
        <w:t>付息</w:t>
      </w:r>
      <w:r>
        <w:rPr>
          <w:rFonts w:hint="eastAsia"/>
        </w:rPr>
        <w:t>纳入国有土地使用权出让金债务付息支出科目进行核算；项目收入来源是土地出让金中计提的生态环保项目建设基金，纳入国有土地使用权出让金科目进行核算。截至2023年底崇明区按照债券发行利率2.9%对堡镇项目和新河镇项目分别付息29万元和75.4万元；债券从存续期第6年开始还本，每年偿还本金的20%，目前债券尚未到期，暂不涉及还本。2022年区财政将</w:t>
      </w:r>
      <w:r>
        <w:t>堡镇1000万元，新河镇2600万元</w:t>
      </w:r>
      <w:r>
        <w:rPr>
          <w:rFonts w:hint="eastAsia"/>
        </w:rPr>
        <w:t>的</w:t>
      </w:r>
      <w:r>
        <w:t>专项债券资金</w:t>
      </w:r>
      <w:r>
        <w:rPr>
          <w:rFonts w:hint="eastAsia"/>
        </w:rPr>
        <w:t>转移支付</w:t>
      </w:r>
      <w:r>
        <w:t>到两镇。</w:t>
      </w:r>
    </w:p>
    <w:p>
      <w:pPr>
        <w:pStyle w:val="22"/>
        <w:ind w:firstLine="643"/>
      </w:pPr>
      <w:r>
        <w:rPr>
          <w:rFonts w:hint="eastAsia"/>
          <w:b/>
        </w:rPr>
        <w:t>③镇级预算资金</w:t>
      </w:r>
    </w:p>
    <w:p>
      <w:pPr>
        <w:pStyle w:val="22"/>
      </w:pPr>
      <w:r>
        <w:rPr>
          <w:rFonts w:hint="eastAsia"/>
        </w:rPr>
        <w:t>两镇项目均于2021年中下旬取得相关批复，当年度未安排预算；次年</w:t>
      </w:r>
      <w:r>
        <w:t>年初堡镇未安排预算，年中根据需求调增469.15万元用于支付工程预付款，后区级资金下达113.78万元返还镇垫付的部分资金，即镇级资金共承担355.37万元。新河镇主要是</w:t>
      </w:r>
      <w:r>
        <w:rPr>
          <w:rFonts w:hint="eastAsia"/>
        </w:rPr>
        <w:t>根据上级资金的到位情况匹配镇级预算资金，实际镇级承担222.87万元</w:t>
      </w:r>
      <w:r>
        <w:t>。</w:t>
      </w:r>
    </w:p>
    <w:p>
      <w:pPr>
        <w:pStyle w:val="24"/>
        <w:ind w:firstLine="643"/>
      </w:pPr>
      <w:bookmarkStart w:id="77" w:name="_Toc165914609"/>
      <w:bookmarkStart w:id="78" w:name="_Toc169439184"/>
      <w:bookmarkStart w:id="79" w:name="_Toc169390948"/>
      <w:bookmarkStart w:id="80" w:name="_Toc171093919"/>
      <w:r>
        <w:t>（2）</w:t>
      </w:r>
      <w:bookmarkEnd w:id="77"/>
      <w:r>
        <w:rPr>
          <w:rFonts w:hint="eastAsia"/>
        </w:rPr>
        <w:t>资金支出</w:t>
      </w:r>
      <w:bookmarkEnd w:id="78"/>
      <w:bookmarkEnd w:id="79"/>
      <w:bookmarkEnd w:id="80"/>
    </w:p>
    <w:p>
      <w:pPr>
        <w:pStyle w:val="22"/>
      </w:pPr>
      <w:r>
        <w:t>污水管网完善工程（堡镇-五效集镇区和新河-新民集镇区）项目</w:t>
      </w:r>
      <w:r>
        <w:rPr>
          <w:rFonts w:hint="eastAsia"/>
        </w:rPr>
        <w:t>中，</w:t>
      </w:r>
      <w:r>
        <w:t>堡镇及新河镇签订</w:t>
      </w:r>
      <w:r>
        <w:rPr>
          <w:rFonts w:hint="eastAsia"/>
        </w:rPr>
        <w:t>的施工</w:t>
      </w:r>
      <w:r>
        <w:t>合同</w:t>
      </w:r>
      <w:r>
        <w:rPr>
          <w:rFonts w:hint="eastAsia"/>
        </w:rPr>
        <w:t>及各二类费用涉及的合同</w:t>
      </w:r>
      <w:r>
        <w:t>金额共计6301.67万元，</w:t>
      </w:r>
      <w:r>
        <w:rPr>
          <w:rFonts w:hint="eastAsia"/>
        </w:rPr>
        <w:t>截至2024年5月底</w:t>
      </w:r>
      <w:r>
        <w:t>两镇共支出5078.47万元，其中：</w:t>
      </w:r>
    </w:p>
    <w:p>
      <w:pPr>
        <w:pStyle w:val="22"/>
        <w:ind w:firstLine="643"/>
      </w:pPr>
      <w:r>
        <w:rPr>
          <w:rFonts w:hint="eastAsia"/>
          <w:b/>
          <w:bCs w:val="0"/>
        </w:rPr>
        <w:t>堡镇</w:t>
      </w:r>
      <w:r>
        <w:rPr>
          <w:rFonts w:hint="eastAsia"/>
        </w:rPr>
        <w:t>污水管网完善工程</w:t>
      </w:r>
      <w:r>
        <w:t>项目</w:t>
      </w:r>
      <w:r>
        <w:rPr>
          <w:rFonts w:hint="eastAsia"/>
        </w:rPr>
        <w:t>中，与各第三方单位签订的合同金额共计1766.39万元，目前</w:t>
      </w:r>
      <w:r>
        <w:t>已完成审价审计和通水验收、竣工验收，项目基本已结项</w:t>
      </w:r>
      <w:r>
        <w:rPr>
          <w:rFonts w:hint="eastAsia"/>
        </w:rPr>
        <w:t>，审计金额为1745.64万元</w:t>
      </w:r>
      <w:r>
        <w:t>。</w:t>
      </w:r>
      <w:r>
        <w:rPr>
          <w:rFonts w:hint="eastAsia"/>
        </w:rPr>
        <w:t>堡镇已支付</w:t>
      </w:r>
      <w:r>
        <w:t>1457.43万元</w:t>
      </w:r>
      <w:r>
        <w:rPr>
          <w:rFonts w:hint="eastAsia"/>
        </w:rPr>
        <w:t>至各参建单位（上级预算资金1102.06万元、镇级预算资金355.37万元），已支付资金占项目审计金额的83.50%，目前有225.44万元（工程款144.43万元、二类费用81.01万元）已请款待核付的资金，待支付后支出总额将达1682.87万元，占审计金额的96.40％。财务监理尾款及审计费用目前正在请款。</w:t>
      </w:r>
    </w:p>
    <w:p>
      <w:pPr>
        <w:pStyle w:val="22"/>
        <w:ind w:firstLine="643"/>
      </w:pPr>
      <w:r>
        <w:rPr>
          <w:rFonts w:hint="eastAsia"/>
          <w:b/>
          <w:bCs w:val="0"/>
        </w:rPr>
        <w:t>新河镇</w:t>
      </w:r>
      <w:r>
        <w:rPr>
          <w:rFonts w:hint="eastAsia"/>
        </w:rPr>
        <w:t>污水管网完善工程</w:t>
      </w:r>
      <w:r>
        <w:t>项目</w:t>
      </w:r>
      <w:r>
        <w:rPr>
          <w:rFonts w:hint="eastAsia"/>
        </w:rPr>
        <w:t>中，与各第三方单位签订的合同金额共计4535.27万元，目前</w:t>
      </w:r>
      <w:r>
        <w:t>已完成审价和通水验收，</w:t>
      </w:r>
      <w:r>
        <w:rPr>
          <w:rFonts w:hint="eastAsia"/>
        </w:rPr>
        <w:t>项目已送审。新河镇共支付3621.04</w:t>
      </w:r>
      <w:r>
        <w:t>万元</w:t>
      </w:r>
      <w:r>
        <w:rPr>
          <w:rFonts w:hint="eastAsia"/>
        </w:rPr>
        <w:t>至各参建单位（上级预算资金</w:t>
      </w:r>
      <w:r>
        <w:t>3398.17</w:t>
      </w:r>
      <w:r>
        <w:rPr>
          <w:rFonts w:hint="eastAsia"/>
        </w:rPr>
        <w:t>万元、镇级预算资金</w:t>
      </w:r>
      <w:r>
        <w:t>222.8</w:t>
      </w:r>
      <w:r>
        <w:rPr>
          <w:rFonts w:hint="eastAsia"/>
        </w:rPr>
        <w:t>7万元），已支付资金占项目合同金额的79.84%</w:t>
      </w:r>
      <w:r>
        <w:t>。</w:t>
      </w:r>
    </w:p>
    <w:p>
      <w:pPr>
        <w:pStyle w:val="22"/>
        <w:rPr>
          <w:highlight w:val="yellow"/>
        </w:rPr>
      </w:pPr>
      <w:r>
        <w:t>各级资金</w:t>
      </w:r>
      <w:r>
        <w:rPr>
          <w:rFonts w:hint="eastAsia"/>
        </w:rPr>
        <w:t>到位及</w:t>
      </w:r>
      <w:r>
        <w:t>支出情况如下：</w:t>
      </w:r>
    </w:p>
    <w:p>
      <w:pPr>
        <w:pStyle w:val="22"/>
        <w:ind w:firstLine="0" w:firstLineChars="0"/>
        <w:jc w:val="center"/>
        <w:rPr>
          <w:b/>
          <w:bCs w:val="0"/>
          <w:sz w:val="28"/>
          <w:szCs w:val="24"/>
        </w:rPr>
      </w:pPr>
      <w:r>
        <w:rPr>
          <w:b/>
          <w:bCs w:val="0"/>
          <w:sz w:val="28"/>
          <w:szCs w:val="24"/>
        </w:rPr>
        <w:t>表1-</w:t>
      </w:r>
      <w:r>
        <w:rPr>
          <w:rFonts w:hint="eastAsia"/>
          <w:b/>
          <w:bCs w:val="0"/>
          <w:sz w:val="28"/>
          <w:szCs w:val="24"/>
        </w:rPr>
        <w:t>5</w:t>
      </w:r>
      <w:r>
        <w:rPr>
          <w:b/>
          <w:bCs w:val="0"/>
          <w:sz w:val="28"/>
          <w:szCs w:val="24"/>
        </w:rPr>
        <w:t>：各级资金到位及支出情况统计表</w:t>
      </w:r>
    </w:p>
    <w:p>
      <w:pPr>
        <w:pStyle w:val="22"/>
        <w:ind w:firstLine="0" w:firstLineChars="0"/>
        <w:jc w:val="right"/>
        <w:rPr>
          <w:b/>
          <w:bCs w:val="0"/>
          <w:sz w:val="28"/>
          <w:szCs w:val="24"/>
        </w:rPr>
      </w:pPr>
      <w:r>
        <w:rPr>
          <w:b/>
          <w:bCs w:val="0"/>
          <w:sz w:val="28"/>
          <w:szCs w:val="24"/>
        </w:rPr>
        <w:t>金额单位：万元</w:t>
      </w:r>
    </w:p>
    <w:tbl>
      <w:tblPr>
        <w:tblStyle w:val="12"/>
        <w:tblW w:w="5241" w:type="pct"/>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707"/>
        <w:gridCol w:w="1575"/>
        <w:gridCol w:w="733"/>
        <w:gridCol w:w="788"/>
        <w:gridCol w:w="733"/>
        <w:gridCol w:w="853"/>
        <w:gridCol w:w="847"/>
        <w:gridCol w:w="851"/>
        <w:gridCol w:w="853"/>
        <w:gridCol w:w="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trPr>
        <w:tc>
          <w:tcPr>
            <w:tcW w:w="374" w:type="pct"/>
          </w:tcPr>
          <w:p>
            <w:pPr>
              <w:widowControl/>
              <w:snapToGrid w:val="0"/>
              <w:jc w:val="center"/>
              <w:rPr>
                <w:rFonts w:ascii="Times New Roman" w:hAnsi="Times New Roman" w:eastAsia="仿宋_GB2312" w:cs="Times New Roman"/>
                <w:b/>
                <w:bCs/>
                <w:kern w:val="0"/>
                <w:sz w:val="22"/>
              </w:rPr>
            </w:pPr>
            <w:r>
              <w:rPr>
                <w:rFonts w:hint="eastAsia" w:ascii="Times New Roman" w:hAnsi="Times New Roman" w:eastAsia="仿宋_GB2312" w:cs="Times New Roman"/>
                <w:b/>
                <w:bCs/>
                <w:kern w:val="0"/>
                <w:sz w:val="22"/>
              </w:rPr>
              <w:t>序号</w:t>
            </w:r>
          </w:p>
        </w:tc>
        <w:tc>
          <w:tcPr>
            <w:tcW w:w="1201" w:type="pct"/>
            <w:gridSpan w:val="2"/>
            <w:shd w:val="clear" w:color="auto" w:fill="auto"/>
            <w:vAlign w:val="center"/>
          </w:tcPr>
          <w:p>
            <w:pPr>
              <w:widowControl/>
              <w:snapToGrid w:val="0"/>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镇区</w:t>
            </w:r>
          </w:p>
        </w:tc>
        <w:tc>
          <w:tcPr>
            <w:tcW w:w="1636" w:type="pct"/>
            <w:gridSpan w:val="4"/>
            <w:shd w:val="clear" w:color="auto" w:fill="auto"/>
            <w:vAlign w:val="center"/>
          </w:tcPr>
          <w:p>
            <w:pPr>
              <w:widowControl/>
              <w:snapToGrid w:val="0"/>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堡镇</w:t>
            </w:r>
          </w:p>
        </w:tc>
        <w:tc>
          <w:tcPr>
            <w:tcW w:w="1789" w:type="pct"/>
            <w:gridSpan w:val="4"/>
            <w:shd w:val="clear" w:color="auto" w:fill="auto"/>
            <w:vAlign w:val="center"/>
          </w:tcPr>
          <w:p>
            <w:pPr>
              <w:widowControl/>
              <w:snapToGrid w:val="0"/>
              <w:jc w:val="center"/>
              <w:rPr>
                <w:rFonts w:ascii="Times New Roman" w:hAnsi="Times New Roman" w:eastAsia="仿宋_GB2312" w:cs="Times New Roman"/>
                <w:b/>
                <w:bCs/>
                <w:kern w:val="0"/>
                <w:sz w:val="22"/>
              </w:rPr>
            </w:pPr>
            <w:r>
              <w:rPr>
                <w:rFonts w:ascii="Times New Roman" w:hAnsi="Times New Roman" w:eastAsia="仿宋_GB2312" w:cs="Times New Roman"/>
                <w:b/>
                <w:bCs/>
                <w:kern w:val="0"/>
                <w:sz w:val="22"/>
              </w:rPr>
              <w:t>新河镇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74" w:type="pct"/>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1</w:t>
            </w:r>
          </w:p>
        </w:tc>
        <w:tc>
          <w:tcPr>
            <w:tcW w:w="1201" w:type="pct"/>
            <w:gridSpan w:val="2"/>
            <w:shd w:val="clear" w:color="auto" w:fill="auto"/>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工可</w:t>
            </w:r>
            <w:r>
              <w:rPr>
                <w:rFonts w:ascii="Times New Roman" w:hAnsi="Times New Roman" w:eastAsia="仿宋_GB2312" w:cs="Times New Roman"/>
                <w:kern w:val="0"/>
                <w:sz w:val="22"/>
              </w:rPr>
              <w:t>批复</w:t>
            </w:r>
            <w:r>
              <w:rPr>
                <w:rFonts w:hint="eastAsia" w:ascii="Times New Roman" w:hAnsi="Times New Roman" w:eastAsia="仿宋_GB2312" w:cs="Times New Roman"/>
                <w:kern w:val="0"/>
                <w:sz w:val="22"/>
              </w:rPr>
              <w:t>估算</w:t>
            </w:r>
            <w:r>
              <w:rPr>
                <w:rFonts w:ascii="Times New Roman" w:hAnsi="Times New Roman" w:eastAsia="仿宋_GB2312" w:cs="Times New Roman"/>
                <w:kern w:val="0"/>
                <w:sz w:val="22"/>
              </w:rPr>
              <w:t>金额</w:t>
            </w:r>
          </w:p>
        </w:tc>
        <w:tc>
          <w:tcPr>
            <w:tcW w:w="1636" w:type="pct"/>
            <w:gridSpan w:val="4"/>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1881.31 </w:t>
            </w:r>
          </w:p>
        </w:tc>
        <w:tc>
          <w:tcPr>
            <w:tcW w:w="1789" w:type="pct"/>
            <w:gridSpan w:val="4"/>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4824.10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74" w:type="pct"/>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2</w:t>
            </w:r>
          </w:p>
        </w:tc>
        <w:tc>
          <w:tcPr>
            <w:tcW w:w="1201" w:type="pct"/>
            <w:gridSpan w:val="2"/>
            <w:shd w:val="clear" w:color="auto" w:fill="auto"/>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初设</w:t>
            </w:r>
            <w:r>
              <w:rPr>
                <w:rFonts w:ascii="Times New Roman" w:hAnsi="Times New Roman" w:eastAsia="仿宋_GB2312" w:cs="Times New Roman"/>
                <w:kern w:val="0"/>
                <w:sz w:val="22"/>
              </w:rPr>
              <w:t>批复</w:t>
            </w:r>
            <w:r>
              <w:rPr>
                <w:rFonts w:hint="eastAsia" w:ascii="Times New Roman" w:hAnsi="Times New Roman" w:eastAsia="仿宋_GB2312" w:cs="Times New Roman"/>
                <w:kern w:val="0"/>
                <w:sz w:val="22"/>
              </w:rPr>
              <w:t>概算</w:t>
            </w:r>
            <w:r>
              <w:rPr>
                <w:rFonts w:ascii="Times New Roman" w:hAnsi="Times New Roman" w:eastAsia="仿宋_GB2312" w:cs="Times New Roman"/>
                <w:kern w:val="0"/>
                <w:sz w:val="22"/>
              </w:rPr>
              <w:t>金额</w:t>
            </w:r>
          </w:p>
        </w:tc>
        <w:tc>
          <w:tcPr>
            <w:tcW w:w="1636" w:type="pct"/>
            <w:gridSpan w:val="4"/>
            <w:shd w:val="clear" w:color="auto" w:fill="auto"/>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1880.15</w:t>
            </w:r>
          </w:p>
        </w:tc>
        <w:tc>
          <w:tcPr>
            <w:tcW w:w="1789" w:type="pct"/>
            <w:gridSpan w:val="4"/>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4823.85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74" w:type="pct"/>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3</w:t>
            </w:r>
          </w:p>
        </w:tc>
        <w:tc>
          <w:tcPr>
            <w:tcW w:w="1201" w:type="pct"/>
            <w:gridSpan w:val="2"/>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年份</w:t>
            </w:r>
          </w:p>
        </w:tc>
        <w:tc>
          <w:tcPr>
            <w:tcW w:w="386"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2022年</w:t>
            </w:r>
          </w:p>
        </w:tc>
        <w:tc>
          <w:tcPr>
            <w:tcW w:w="415"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2023年</w:t>
            </w:r>
          </w:p>
        </w:tc>
        <w:tc>
          <w:tcPr>
            <w:tcW w:w="386"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2024年</w:t>
            </w:r>
          </w:p>
        </w:tc>
        <w:tc>
          <w:tcPr>
            <w:tcW w:w="449"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小计</w:t>
            </w:r>
          </w:p>
        </w:tc>
        <w:tc>
          <w:tcPr>
            <w:tcW w:w="446"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2022年</w:t>
            </w:r>
          </w:p>
        </w:tc>
        <w:tc>
          <w:tcPr>
            <w:tcW w:w="448"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2023年</w:t>
            </w:r>
          </w:p>
        </w:tc>
        <w:tc>
          <w:tcPr>
            <w:tcW w:w="449"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2024年</w:t>
            </w:r>
          </w:p>
        </w:tc>
        <w:tc>
          <w:tcPr>
            <w:tcW w:w="446"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74" w:type="pct"/>
            <w:vMerge w:val="restar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4</w:t>
            </w:r>
          </w:p>
        </w:tc>
        <w:tc>
          <w:tcPr>
            <w:tcW w:w="372" w:type="pct"/>
            <w:vMerge w:val="restar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各级到位资金</w:t>
            </w:r>
          </w:p>
        </w:tc>
        <w:tc>
          <w:tcPr>
            <w:tcW w:w="829"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市级</w:t>
            </w:r>
          </w:p>
        </w:tc>
        <w:tc>
          <w:tcPr>
            <w:tcW w:w="386"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0.00 </w:t>
            </w:r>
          </w:p>
        </w:tc>
        <w:tc>
          <w:tcPr>
            <w:tcW w:w="415"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580.00 </w:t>
            </w:r>
          </w:p>
        </w:tc>
        <w:tc>
          <w:tcPr>
            <w:tcW w:w="386"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150.00 </w:t>
            </w:r>
          </w:p>
        </w:tc>
        <w:tc>
          <w:tcPr>
            <w:tcW w:w="449"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730.00 </w:t>
            </w:r>
          </w:p>
        </w:tc>
        <w:tc>
          <w:tcPr>
            <w:tcW w:w="446"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0.00 </w:t>
            </w:r>
          </w:p>
        </w:tc>
        <w:tc>
          <w:tcPr>
            <w:tcW w:w="448"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1800.00 </w:t>
            </w:r>
          </w:p>
        </w:tc>
        <w:tc>
          <w:tcPr>
            <w:tcW w:w="449"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120.00 </w:t>
            </w:r>
          </w:p>
        </w:tc>
        <w:tc>
          <w:tcPr>
            <w:tcW w:w="446"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1920.00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74" w:type="pct"/>
            <w:vMerge w:val="continue"/>
          </w:tcPr>
          <w:p>
            <w:pPr>
              <w:widowControl/>
              <w:snapToGrid w:val="0"/>
              <w:jc w:val="left"/>
              <w:rPr>
                <w:rFonts w:ascii="Times New Roman" w:hAnsi="Times New Roman" w:eastAsia="仿宋_GB2312" w:cs="Times New Roman"/>
                <w:kern w:val="0"/>
                <w:sz w:val="22"/>
              </w:rPr>
            </w:pPr>
          </w:p>
        </w:tc>
        <w:tc>
          <w:tcPr>
            <w:tcW w:w="372" w:type="pct"/>
            <w:vMerge w:val="continue"/>
            <w:vAlign w:val="center"/>
          </w:tcPr>
          <w:p>
            <w:pPr>
              <w:widowControl/>
              <w:snapToGrid w:val="0"/>
              <w:jc w:val="left"/>
              <w:rPr>
                <w:rFonts w:ascii="Times New Roman" w:hAnsi="Times New Roman" w:eastAsia="仿宋_GB2312" w:cs="Times New Roman"/>
                <w:kern w:val="0"/>
                <w:sz w:val="22"/>
              </w:rPr>
            </w:pPr>
          </w:p>
        </w:tc>
        <w:tc>
          <w:tcPr>
            <w:tcW w:w="829"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区级</w:t>
            </w:r>
          </w:p>
        </w:tc>
        <w:tc>
          <w:tcPr>
            <w:tcW w:w="386"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1000.00 </w:t>
            </w:r>
          </w:p>
        </w:tc>
        <w:tc>
          <w:tcPr>
            <w:tcW w:w="415"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0.00 </w:t>
            </w:r>
          </w:p>
        </w:tc>
        <w:tc>
          <w:tcPr>
            <w:tcW w:w="386"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0.00 </w:t>
            </w:r>
          </w:p>
        </w:tc>
        <w:tc>
          <w:tcPr>
            <w:tcW w:w="449"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1000.00 </w:t>
            </w:r>
          </w:p>
        </w:tc>
        <w:tc>
          <w:tcPr>
            <w:tcW w:w="446"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2600.00 </w:t>
            </w:r>
          </w:p>
        </w:tc>
        <w:tc>
          <w:tcPr>
            <w:tcW w:w="448"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0.00 </w:t>
            </w:r>
          </w:p>
        </w:tc>
        <w:tc>
          <w:tcPr>
            <w:tcW w:w="449"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0.00 </w:t>
            </w:r>
          </w:p>
        </w:tc>
        <w:tc>
          <w:tcPr>
            <w:tcW w:w="446"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2600.00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74" w:type="pct"/>
            <w:vMerge w:val="continue"/>
          </w:tcPr>
          <w:p>
            <w:pPr>
              <w:widowControl/>
              <w:snapToGrid w:val="0"/>
              <w:jc w:val="left"/>
              <w:rPr>
                <w:rFonts w:ascii="Times New Roman" w:hAnsi="Times New Roman" w:eastAsia="仿宋_GB2312" w:cs="Times New Roman"/>
                <w:kern w:val="0"/>
                <w:sz w:val="22"/>
              </w:rPr>
            </w:pPr>
          </w:p>
        </w:tc>
        <w:tc>
          <w:tcPr>
            <w:tcW w:w="372" w:type="pct"/>
            <w:vMerge w:val="continue"/>
            <w:vAlign w:val="center"/>
          </w:tcPr>
          <w:p>
            <w:pPr>
              <w:widowControl/>
              <w:snapToGrid w:val="0"/>
              <w:jc w:val="left"/>
              <w:rPr>
                <w:rFonts w:ascii="Times New Roman" w:hAnsi="Times New Roman" w:eastAsia="仿宋_GB2312" w:cs="Times New Roman"/>
                <w:kern w:val="0"/>
                <w:sz w:val="22"/>
              </w:rPr>
            </w:pPr>
          </w:p>
        </w:tc>
        <w:tc>
          <w:tcPr>
            <w:tcW w:w="829"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镇级</w:t>
            </w:r>
          </w:p>
        </w:tc>
        <w:tc>
          <w:tcPr>
            <w:tcW w:w="386"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355.37 </w:t>
            </w:r>
          </w:p>
        </w:tc>
        <w:tc>
          <w:tcPr>
            <w:tcW w:w="415"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0.00 </w:t>
            </w:r>
          </w:p>
        </w:tc>
        <w:tc>
          <w:tcPr>
            <w:tcW w:w="386"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0.00 </w:t>
            </w:r>
          </w:p>
        </w:tc>
        <w:tc>
          <w:tcPr>
            <w:tcW w:w="449"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355.37 </w:t>
            </w:r>
          </w:p>
        </w:tc>
        <w:tc>
          <w:tcPr>
            <w:tcW w:w="446"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222.87</w:t>
            </w:r>
          </w:p>
        </w:tc>
        <w:tc>
          <w:tcPr>
            <w:tcW w:w="448"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0.00 </w:t>
            </w:r>
          </w:p>
        </w:tc>
        <w:tc>
          <w:tcPr>
            <w:tcW w:w="449"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0.00 </w:t>
            </w:r>
          </w:p>
        </w:tc>
        <w:tc>
          <w:tcPr>
            <w:tcW w:w="446"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222.87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74" w:type="pct"/>
            <w:vMerge w:val="continue"/>
          </w:tcPr>
          <w:p>
            <w:pPr>
              <w:widowControl/>
              <w:snapToGrid w:val="0"/>
              <w:jc w:val="left"/>
              <w:rPr>
                <w:rFonts w:ascii="Times New Roman" w:hAnsi="Times New Roman" w:eastAsia="仿宋_GB2312" w:cs="Times New Roman"/>
                <w:kern w:val="0"/>
                <w:sz w:val="22"/>
              </w:rPr>
            </w:pPr>
          </w:p>
        </w:tc>
        <w:tc>
          <w:tcPr>
            <w:tcW w:w="372" w:type="pct"/>
            <w:vMerge w:val="continue"/>
            <w:vAlign w:val="center"/>
          </w:tcPr>
          <w:p>
            <w:pPr>
              <w:widowControl/>
              <w:snapToGrid w:val="0"/>
              <w:jc w:val="left"/>
              <w:rPr>
                <w:rFonts w:ascii="Times New Roman" w:hAnsi="Times New Roman" w:eastAsia="仿宋_GB2312" w:cs="Times New Roman"/>
                <w:kern w:val="0"/>
                <w:sz w:val="22"/>
              </w:rPr>
            </w:pPr>
          </w:p>
        </w:tc>
        <w:tc>
          <w:tcPr>
            <w:tcW w:w="829"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小计</w:t>
            </w:r>
          </w:p>
        </w:tc>
        <w:tc>
          <w:tcPr>
            <w:tcW w:w="386"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1355.37 </w:t>
            </w:r>
          </w:p>
        </w:tc>
        <w:tc>
          <w:tcPr>
            <w:tcW w:w="415"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580.00 </w:t>
            </w:r>
          </w:p>
        </w:tc>
        <w:tc>
          <w:tcPr>
            <w:tcW w:w="386"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150.00 </w:t>
            </w:r>
          </w:p>
        </w:tc>
        <w:tc>
          <w:tcPr>
            <w:tcW w:w="449"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2085.37 </w:t>
            </w:r>
          </w:p>
        </w:tc>
        <w:tc>
          <w:tcPr>
            <w:tcW w:w="446"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2817.97 </w:t>
            </w:r>
          </w:p>
        </w:tc>
        <w:tc>
          <w:tcPr>
            <w:tcW w:w="448"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1800.00 </w:t>
            </w:r>
          </w:p>
        </w:tc>
        <w:tc>
          <w:tcPr>
            <w:tcW w:w="449"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120.00 </w:t>
            </w:r>
          </w:p>
        </w:tc>
        <w:tc>
          <w:tcPr>
            <w:tcW w:w="446"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47</w:t>
            </w:r>
            <w:r>
              <w:rPr>
                <w:rFonts w:hint="eastAsia" w:ascii="Times New Roman" w:hAnsi="Times New Roman" w:eastAsia="仿宋_GB2312" w:cs="Times New Roman"/>
                <w:kern w:val="0"/>
                <w:sz w:val="22"/>
              </w:rPr>
              <w:t>42.87</w:t>
            </w:r>
            <w:r>
              <w:rPr>
                <w:rFonts w:ascii="Times New Roman" w:hAnsi="Times New Roman" w:eastAsia="仿宋_GB2312" w:cs="Times New Roman"/>
                <w:kern w:val="0"/>
                <w:sz w:val="2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74" w:type="pct"/>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5</w:t>
            </w:r>
          </w:p>
        </w:tc>
        <w:tc>
          <w:tcPr>
            <w:tcW w:w="1201" w:type="pct"/>
            <w:gridSpan w:val="2"/>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合同金额</w:t>
            </w:r>
          </w:p>
        </w:tc>
        <w:tc>
          <w:tcPr>
            <w:tcW w:w="1187" w:type="pct"/>
            <w:gridSpan w:val="3"/>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1766.39 </w:t>
            </w:r>
          </w:p>
        </w:tc>
        <w:tc>
          <w:tcPr>
            <w:tcW w:w="449"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1766.39 </w:t>
            </w:r>
          </w:p>
        </w:tc>
        <w:tc>
          <w:tcPr>
            <w:tcW w:w="1343" w:type="pct"/>
            <w:gridSpan w:val="3"/>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4535.27 </w:t>
            </w:r>
          </w:p>
        </w:tc>
        <w:tc>
          <w:tcPr>
            <w:tcW w:w="446"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4535.27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74" w:type="pct"/>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6</w:t>
            </w:r>
          </w:p>
        </w:tc>
        <w:tc>
          <w:tcPr>
            <w:tcW w:w="1201" w:type="pct"/>
            <w:gridSpan w:val="2"/>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审计金额</w:t>
            </w:r>
          </w:p>
        </w:tc>
        <w:tc>
          <w:tcPr>
            <w:tcW w:w="1187" w:type="pct"/>
            <w:gridSpan w:val="3"/>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1745.46 </w:t>
            </w:r>
          </w:p>
        </w:tc>
        <w:tc>
          <w:tcPr>
            <w:tcW w:w="449"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1745.46 </w:t>
            </w:r>
          </w:p>
        </w:tc>
        <w:tc>
          <w:tcPr>
            <w:tcW w:w="1343" w:type="pct"/>
            <w:gridSpan w:val="3"/>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w:t>
            </w:r>
          </w:p>
        </w:tc>
        <w:tc>
          <w:tcPr>
            <w:tcW w:w="446"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74" w:type="pct"/>
            <w:vMerge w:val="restar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7</w:t>
            </w:r>
          </w:p>
        </w:tc>
        <w:tc>
          <w:tcPr>
            <w:tcW w:w="372" w:type="pct"/>
            <w:vMerge w:val="restar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实际支出</w:t>
            </w:r>
          </w:p>
        </w:tc>
        <w:tc>
          <w:tcPr>
            <w:tcW w:w="829"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市+区级资金</w:t>
            </w:r>
          </w:p>
        </w:tc>
        <w:tc>
          <w:tcPr>
            <w:tcW w:w="1187" w:type="pct"/>
            <w:gridSpan w:val="3"/>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1102.06 </w:t>
            </w:r>
          </w:p>
        </w:tc>
        <w:tc>
          <w:tcPr>
            <w:tcW w:w="449"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1102.06 </w:t>
            </w:r>
          </w:p>
        </w:tc>
        <w:tc>
          <w:tcPr>
            <w:tcW w:w="1343" w:type="pct"/>
            <w:gridSpan w:val="3"/>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3398.17 </w:t>
            </w:r>
          </w:p>
        </w:tc>
        <w:tc>
          <w:tcPr>
            <w:tcW w:w="446"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3398.17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74" w:type="pct"/>
            <w:vMerge w:val="continue"/>
          </w:tcPr>
          <w:p>
            <w:pPr>
              <w:widowControl/>
              <w:snapToGrid w:val="0"/>
              <w:jc w:val="left"/>
              <w:rPr>
                <w:rFonts w:ascii="Times New Roman" w:hAnsi="Times New Roman" w:eastAsia="仿宋_GB2312" w:cs="Times New Roman"/>
                <w:kern w:val="0"/>
                <w:sz w:val="22"/>
              </w:rPr>
            </w:pPr>
          </w:p>
        </w:tc>
        <w:tc>
          <w:tcPr>
            <w:tcW w:w="372" w:type="pct"/>
            <w:vMerge w:val="continue"/>
            <w:vAlign w:val="center"/>
          </w:tcPr>
          <w:p>
            <w:pPr>
              <w:widowControl/>
              <w:snapToGrid w:val="0"/>
              <w:jc w:val="left"/>
              <w:rPr>
                <w:rFonts w:ascii="Times New Roman" w:hAnsi="Times New Roman" w:eastAsia="仿宋_GB2312" w:cs="Times New Roman"/>
                <w:kern w:val="0"/>
                <w:sz w:val="22"/>
              </w:rPr>
            </w:pPr>
          </w:p>
        </w:tc>
        <w:tc>
          <w:tcPr>
            <w:tcW w:w="829"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镇级资金</w:t>
            </w:r>
          </w:p>
        </w:tc>
        <w:tc>
          <w:tcPr>
            <w:tcW w:w="1187" w:type="pct"/>
            <w:gridSpan w:val="3"/>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355.37 </w:t>
            </w:r>
          </w:p>
        </w:tc>
        <w:tc>
          <w:tcPr>
            <w:tcW w:w="449"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355.37 </w:t>
            </w:r>
          </w:p>
        </w:tc>
        <w:tc>
          <w:tcPr>
            <w:tcW w:w="1343" w:type="pct"/>
            <w:gridSpan w:val="3"/>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222.87 </w:t>
            </w:r>
          </w:p>
        </w:tc>
        <w:tc>
          <w:tcPr>
            <w:tcW w:w="446"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222.87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74" w:type="pct"/>
            <w:vMerge w:val="continue"/>
          </w:tcPr>
          <w:p>
            <w:pPr>
              <w:widowControl/>
              <w:snapToGrid w:val="0"/>
              <w:jc w:val="left"/>
              <w:rPr>
                <w:rFonts w:ascii="Times New Roman" w:hAnsi="Times New Roman" w:eastAsia="仿宋_GB2312" w:cs="Times New Roman"/>
                <w:kern w:val="0"/>
                <w:sz w:val="22"/>
              </w:rPr>
            </w:pPr>
          </w:p>
        </w:tc>
        <w:tc>
          <w:tcPr>
            <w:tcW w:w="372" w:type="pct"/>
            <w:vMerge w:val="continue"/>
            <w:vAlign w:val="center"/>
          </w:tcPr>
          <w:p>
            <w:pPr>
              <w:widowControl/>
              <w:snapToGrid w:val="0"/>
              <w:jc w:val="left"/>
              <w:rPr>
                <w:rFonts w:ascii="Times New Roman" w:hAnsi="Times New Roman" w:eastAsia="仿宋_GB2312" w:cs="Times New Roman"/>
                <w:kern w:val="0"/>
                <w:sz w:val="22"/>
              </w:rPr>
            </w:pPr>
          </w:p>
        </w:tc>
        <w:tc>
          <w:tcPr>
            <w:tcW w:w="829"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小计</w:t>
            </w:r>
          </w:p>
        </w:tc>
        <w:tc>
          <w:tcPr>
            <w:tcW w:w="1187" w:type="pct"/>
            <w:gridSpan w:val="3"/>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1457.43 </w:t>
            </w:r>
          </w:p>
        </w:tc>
        <w:tc>
          <w:tcPr>
            <w:tcW w:w="449"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1457.43 </w:t>
            </w:r>
          </w:p>
        </w:tc>
        <w:tc>
          <w:tcPr>
            <w:tcW w:w="1343" w:type="pct"/>
            <w:gridSpan w:val="3"/>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3621.04 </w:t>
            </w:r>
          </w:p>
        </w:tc>
        <w:tc>
          <w:tcPr>
            <w:tcW w:w="446"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3621.04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74" w:type="pct"/>
            <w:vMerge w:val="restar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8</w:t>
            </w:r>
          </w:p>
        </w:tc>
        <w:tc>
          <w:tcPr>
            <w:tcW w:w="372" w:type="pct"/>
            <w:vMerge w:val="restar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执行率</w:t>
            </w:r>
          </w:p>
        </w:tc>
        <w:tc>
          <w:tcPr>
            <w:tcW w:w="829"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市+区级资金</w:t>
            </w:r>
          </w:p>
        </w:tc>
        <w:tc>
          <w:tcPr>
            <w:tcW w:w="1187" w:type="pct"/>
            <w:gridSpan w:val="3"/>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63.70%</w:t>
            </w:r>
          </w:p>
        </w:tc>
        <w:tc>
          <w:tcPr>
            <w:tcW w:w="449"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63.70%</w:t>
            </w:r>
          </w:p>
        </w:tc>
        <w:tc>
          <w:tcPr>
            <w:tcW w:w="1343" w:type="pct"/>
            <w:gridSpan w:val="3"/>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75.18%</w:t>
            </w:r>
          </w:p>
        </w:tc>
        <w:tc>
          <w:tcPr>
            <w:tcW w:w="446"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75.18%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74" w:type="pct"/>
            <w:vMerge w:val="continue"/>
          </w:tcPr>
          <w:p>
            <w:pPr>
              <w:widowControl/>
              <w:snapToGrid w:val="0"/>
              <w:jc w:val="left"/>
              <w:rPr>
                <w:rFonts w:ascii="Times New Roman" w:hAnsi="Times New Roman" w:eastAsia="仿宋_GB2312" w:cs="Times New Roman"/>
                <w:kern w:val="0"/>
                <w:sz w:val="22"/>
              </w:rPr>
            </w:pPr>
          </w:p>
        </w:tc>
        <w:tc>
          <w:tcPr>
            <w:tcW w:w="372" w:type="pct"/>
            <w:vMerge w:val="continue"/>
            <w:vAlign w:val="center"/>
          </w:tcPr>
          <w:p>
            <w:pPr>
              <w:widowControl/>
              <w:snapToGrid w:val="0"/>
              <w:jc w:val="left"/>
              <w:rPr>
                <w:rFonts w:ascii="Times New Roman" w:hAnsi="Times New Roman" w:eastAsia="仿宋_GB2312" w:cs="Times New Roman"/>
                <w:kern w:val="0"/>
                <w:sz w:val="22"/>
              </w:rPr>
            </w:pPr>
          </w:p>
        </w:tc>
        <w:tc>
          <w:tcPr>
            <w:tcW w:w="829"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镇级资金</w:t>
            </w:r>
          </w:p>
        </w:tc>
        <w:tc>
          <w:tcPr>
            <w:tcW w:w="1187" w:type="pct"/>
            <w:gridSpan w:val="3"/>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100.00%</w:t>
            </w:r>
          </w:p>
        </w:tc>
        <w:tc>
          <w:tcPr>
            <w:tcW w:w="449"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100.00%</w:t>
            </w:r>
          </w:p>
        </w:tc>
        <w:tc>
          <w:tcPr>
            <w:tcW w:w="1343" w:type="pct"/>
            <w:gridSpan w:val="3"/>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100.00%</w:t>
            </w:r>
          </w:p>
        </w:tc>
        <w:tc>
          <w:tcPr>
            <w:tcW w:w="446"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74" w:type="pct"/>
            <w:vMerge w:val="continue"/>
          </w:tcPr>
          <w:p>
            <w:pPr>
              <w:widowControl/>
              <w:snapToGrid w:val="0"/>
              <w:jc w:val="left"/>
              <w:rPr>
                <w:rFonts w:ascii="Times New Roman" w:hAnsi="Times New Roman" w:eastAsia="仿宋_GB2312" w:cs="Times New Roman"/>
                <w:kern w:val="0"/>
                <w:sz w:val="22"/>
              </w:rPr>
            </w:pPr>
          </w:p>
        </w:tc>
        <w:tc>
          <w:tcPr>
            <w:tcW w:w="372" w:type="pct"/>
            <w:vMerge w:val="continue"/>
            <w:vAlign w:val="center"/>
          </w:tcPr>
          <w:p>
            <w:pPr>
              <w:widowControl/>
              <w:snapToGrid w:val="0"/>
              <w:jc w:val="left"/>
              <w:rPr>
                <w:rFonts w:ascii="Times New Roman" w:hAnsi="Times New Roman" w:eastAsia="仿宋_GB2312" w:cs="Times New Roman"/>
                <w:kern w:val="0"/>
                <w:sz w:val="22"/>
              </w:rPr>
            </w:pPr>
          </w:p>
        </w:tc>
        <w:tc>
          <w:tcPr>
            <w:tcW w:w="829"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小计</w:t>
            </w:r>
          </w:p>
        </w:tc>
        <w:tc>
          <w:tcPr>
            <w:tcW w:w="1187" w:type="pct"/>
            <w:gridSpan w:val="3"/>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69.89%</w:t>
            </w:r>
          </w:p>
        </w:tc>
        <w:tc>
          <w:tcPr>
            <w:tcW w:w="449"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69.89%</w:t>
            </w:r>
          </w:p>
        </w:tc>
        <w:tc>
          <w:tcPr>
            <w:tcW w:w="1343" w:type="pct"/>
            <w:gridSpan w:val="3"/>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76.35%</w:t>
            </w:r>
          </w:p>
        </w:tc>
        <w:tc>
          <w:tcPr>
            <w:tcW w:w="446" w:type="pct"/>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76.35%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74"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9</w:t>
            </w:r>
          </w:p>
        </w:tc>
        <w:tc>
          <w:tcPr>
            <w:tcW w:w="1201" w:type="pct"/>
            <w:gridSpan w:val="2"/>
            <w:shd w:val="clear" w:color="auto" w:fill="auto"/>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已支出资金占审计金额的比例</w:t>
            </w:r>
          </w:p>
        </w:tc>
        <w:tc>
          <w:tcPr>
            <w:tcW w:w="1636" w:type="pct"/>
            <w:gridSpan w:val="4"/>
            <w:shd w:val="clear" w:color="auto" w:fill="auto"/>
            <w:vAlign w:val="center"/>
          </w:tcPr>
          <w:p>
            <w:pPr>
              <w:widowControl/>
              <w:snapToGrid w:val="0"/>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83.50%</w:t>
            </w:r>
          </w:p>
        </w:tc>
        <w:tc>
          <w:tcPr>
            <w:tcW w:w="1343" w:type="pct"/>
            <w:gridSpan w:val="3"/>
            <w:shd w:val="clear" w:color="auto" w:fill="auto"/>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w:t>
            </w:r>
          </w:p>
        </w:tc>
        <w:tc>
          <w:tcPr>
            <w:tcW w:w="446" w:type="pct"/>
            <w:shd w:val="clear" w:color="auto" w:fill="auto"/>
            <w:vAlign w:val="center"/>
          </w:tcPr>
          <w:p>
            <w:pPr>
              <w:widowControl/>
              <w:snapToGrid w:val="0"/>
              <w:jc w:val="center"/>
              <w:rPr>
                <w:rFonts w:ascii="Times New Roman" w:hAnsi="Times New Roman" w:eastAsia="仿宋_GB2312" w:cs="Times New Roman"/>
                <w:b/>
                <w:bCs/>
                <w:kern w:val="0"/>
                <w:sz w:val="22"/>
              </w:rPr>
            </w:pPr>
            <w:r>
              <w:rPr>
                <w:rFonts w:hint="eastAsia" w:ascii="Times New Roman" w:hAnsi="Times New Roman" w:eastAsia="仿宋_GB2312" w:cs="Times New Roman"/>
                <w:kern w:val="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74"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10</w:t>
            </w:r>
          </w:p>
        </w:tc>
        <w:tc>
          <w:tcPr>
            <w:tcW w:w="1201" w:type="pct"/>
            <w:gridSpan w:val="2"/>
            <w:shd w:val="clear" w:color="auto" w:fill="auto"/>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已请款待支付金额</w:t>
            </w:r>
          </w:p>
        </w:tc>
        <w:tc>
          <w:tcPr>
            <w:tcW w:w="1636" w:type="pct"/>
            <w:gridSpan w:val="4"/>
            <w:shd w:val="clear" w:color="auto" w:fill="auto"/>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225.44</w:t>
            </w:r>
          </w:p>
        </w:tc>
        <w:tc>
          <w:tcPr>
            <w:tcW w:w="1343" w:type="pct"/>
            <w:gridSpan w:val="3"/>
            <w:shd w:val="clear" w:color="auto" w:fill="auto"/>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w:t>
            </w:r>
          </w:p>
        </w:tc>
        <w:tc>
          <w:tcPr>
            <w:tcW w:w="446" w:type="pct"/>
            <w:shd w:val="clear" w:color="auto" w:fill="auto"/>
            <w:vAlign w:val="center"/>
          </w:tcPr>
          <w:p>
            <w:pPr>
              <w:widowControl/>
              <w:snapToGrid w:val="0"/>
              <w:jc w:val="center"/>
              <w:rPr>
                <w:rFonts w:ascii="Times New Roman" w:hAnsi="Times New Roman" w:eastAsia="仿宋_GB2312" w:cs="Times New Roman"/>
                <w:b/>
                <w:bCs/>
                <w:kern w:val="0"/>
                <w:sz w:val="22"/>
              </w:rPr>
            </w:pPr>
            <w:r>
              <w:rPr>
                <w:rFonts w:hint="eastAsia" w:ascii="Times New Roman" w:hAnsi="Times New Roman" w:eastAsia="仿宋_GB2312" w:cs="Times New Roman"/>
                <w:kern w:val="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74"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11</w:t>
            </w:r>
          </w:p>
        </w:tc>
        <w:tc>
          <w:tcPr>
            <w:tcW w:w="1201" w:type="pct"/>
            <w:gridSpan w:val="2"/>
            <w:shd w:val="clear" w:color="auto" w:fill="auto"/>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已支出+已请款资金</w:t>
            </w:r>
          </w:p>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（7+10）</w:t>
            </w:r>
          </w:p>
        </w:tc>
        <w:tc>
          <w:tcPr>
            <w:tcW w:w="1636" w:type="pct"/>
            <w:gridSpan w:val="4"/>
            <w:shd w:val="clear" w:color="auto" w:fill="auto"/>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1682.87</w:t>
            </w:r>
          </w:p>
        </w:tc>
        <w:tc>
          <w:tcPr>
            <w:tcW w:w="1343" w:type="pct"/>
            <w:gridSpan w:val="3"/>
            <w:shd w:val="clear" w:color="auto" w:fill="auto"/>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w:t>
            </w:r>
          </w:p>
        </w:tc>
        <w:tc>
          <w:tcPr>
            <w:tcW w:w="446" w:type="pct"/>
            <w:shd w:val="clear" w:color="auto" w:fill="auto"/>
            <w:vAlign w:val="center"/>
          </w:tcPr>
          <w:p>
            <w:pPr>
              <w:widowControl/>
              <w:snapToGrid w:val="0"/>
              <w:jc w:val="center"/>
              <w:rPr>
                <w:rFonts w:ascii="Times New Roman" w:hAnsi="Times New Roman" w:eastAsia="仿宋_GB2312" w:cs="Times New Roman"/>
                <w:b/>
                <w:bCs/>
                <w:kern w:val="0"/>
                <w:sz w:val="22"/>
              </w:rPr>
            </w:pPr>
            <w:r>
              <w:rPr>
                <w:rFonts w:hint="eastAsia" w:ascii="Times New Roman" w:hAnsi="Times New Roman" w:eastAsia="仿宋_GB2312" w:cs="Times New Roman"/>
                <w:kern w:val="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74"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12</w:t>
            </w:r>
          </w:p>
        </w:tc>
        <w:tc>
          <w:tcPr>
            <w:tcW w:w="1201" w:type="pct"/>
            <w:gridSpan w:val="2"/>
            <w:shd w:val="clear" w:color="auto" w:fill="auto"/>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预计支付比例</w:t>
            </w:r>
          </w:p>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（11/6）</w:t>
            </w:r>
          </w:p>
        </w:tc>
        <w:tc>
          <w:tcPr>
            <w:tcW w:w="1636" w:type="pct"/>
            <w:gridSpan w:val="4"/>
            <w:shd w:val="clear" w:color="auto" w:fill="auto"/>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96.40</w:t>
            </w:r>
            <w:r>
              <w:rPr>
                <w:rFonts w:ascii="Times New Roman" w:hAnsi="Times New Roman" w:eastAsia="仿宋_GB2312" w:cs="Times New Roman"/>
                <w:kern w:val="0"/>
                <w:sz w:val="22"/>
              </w:rPr>
              <w:t>%</w:t>
            </w:r>
          </w:p>
        </w:tc>
        <w:tc>
          <w:tcPr>
            <w:tcW w:w="1343" w:type="pct"/>
            <w:gridSpan w:val="3"/>
            <w:shd w:val="clear" w:color="auto" w:fill="auto"/>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w:t>
            </w:r>
          </w:p>
        </w:tc>
        <w:tc>
          <w:tcPr>
            <w:tcW w:w="446" w:type="pct"/>
            <w:shd w:val="clear" w:color="auto" w:fill="auto"/>
            <w:vAlign w:val="center"/>
          </w:tcPr>
          <w:p>
            <w:pPr>
              <w:widowControl/>
              <w:snapToGrid w:val="0"/>
              <w:jc w:val="center"/>
              <w:rPr>
                <w:rFonts w:ascii="Times New Roman" w:hAnsi="Times New Roman" w:eastAsia="仿宋_GB2312" w:cs="Times New Roman"/>
                <w:b/>
                <w:bCs/>
                <w:kern w:val="0"/>
                <w:sz w:val="22"/>
              </w:rPr>
            </w:pPr>
            <w:r>
              <w:rPr>
                <w:rFonts w:hint="eastAsia" w:ascii="Times New Roman" w:hAnsi="Times New Roman" w:eastAsia="仿宋_GB2312" w:cs="Times New Roman"/>
                <w:kern w:val="0"/>
                <w:sz w:val="22"/>
              </w:rPr>
              <w:t>/</w:t>
            </w:r>
          </w:p>
        </w:tc>
      </w:tr>
    </w:tbl>
    <w:p>
      <w:pPr>
        <w:pStyle w:val="22"/>
        <w:spacing w:line="240" w:lineRule="auto"/>
        <w:ind w:firstLine="0" w:firstLineChars="0"/>
        <w:rPr>
          <w:sz w:val="24"/>
          <w:szCs w:val="22"/>
        </w:rPr>
      </w:pPr>
      <w:r>
        <w:rPr>
          <w:sz w:val="24"/>
          <w:szCs w:val="22"/>
        </w:rPr>
        <w:t>注：1</w:t>
      </w:r>
      <w:r>
        <w:rPr>
          <w:rFonts w:hint="eastAsia"/>
          <w:sz w:val="24"/>
          <w:szCs w:val="22"/>
        </w:rPr>
        <w:t>.</w:t>
      </w:r>
      <w:r>
        <w:rPr>
          <w:sz w:val="24"/>
          <w:szCs w:val="22"/>
        </w:rPr>
        <w:t>镇级对于市、区到位资金无法拆分，因此评价小组</w:t>
      </w:r>
      <w:r>
        <w:rPr>
          <w:rFonts w:hint="eastAsia"/>
          <w:sz w:val="24"/>
          <w:szCs w:val="22"/>
        </w:rPr>
        <w:t>对两级</w:t>
      </w:r>
      <w:r>
        <w:rPr>
          <w:sz w:val="24"/>
          <w:szCs w:val="22"/>
        </w:rPr>
        <w:t>资金</w:t>
      </w:r>
      <w:r>
        <w:rPr>
          <w:rFonts w:hint="eastAsia"/>
          <w:sz w:val="24"/>
          <w:szCs w:val="22"/>
        </w:rPr>
        <w:t>合并计算</w:t>
      </w:r>
      <w:r>
        <w:rPr>
          <w:sz w:val="24"/>
          <w:szCs w:val="22"/>
        </w:rPr>
        <w:t>。</w:t>
      </w:r>
    </w:p>
    <w:p>
      <w:pPr>
        <w:pStyle w:val="22"/>
        <w:spacing w:line="240" w:lineRule="auto"/>
        <w:ind w:firstLine="480"/>
        <w:rPr>
          <w:sz w:val="24"/>
          <w:szCs w:val="22"/>
        </w:rPr>
      </w:pPr>
      <w:r>
        <w:rPr>
          <w:sz w:val="24"/>
          <w:szCs w:val="22"/>
        </w:rPr>
        <w:t>2</w:t>
      </w:r>
      <w:r>
        <w:rPr>
          <w:rFonts w:hint="eastAsia"/>
          <w:sz w:val="24"/>
          <w:szCs w:val="22"/>
        </w:rPr>
        <w:t>.“已请款待支付金额”指的是请款材料已齐全，届时将根据财政实际及时核付剩余尾款的情况。</w:t>
      </w:r>
    </w:p>
    <w:p>
      <w:pPr>
        <w:pStyle w:val="22"/>
        <w:spacing w:line="240" w:lineRule="auto"/>
        <w:ind w:firstLine="480"/>
        <w:rPr>
          <w:sz w:val="24"/>
          <w:szCs w:val="22"/>
        </w:rPr>
      </w:pPr>
      <w:r>
        <w:rPr>
          <w:rFonts w:hint="eastAsia"/>
          <w:sz w:val="24"/>
          <w:szCs w:val="22"/>
        </w:rPr>
        <w:t>3.堡镇项目各级到位资金超出批复资金，主要是由于2022年镇级垫付了工程预付款，后续区财政会根据审计结果进行结算。</w:t>
      </w:r>
    </w:p>
    <w:p>
      <w:pPr>
        <w:pStyle w:val="22"/>
      </w:pPr>
      <w:r>
        <w:rPr>
          <w:rFonts w:hint="eastAsia"/>
        </w:rPr>
        <w:t>经梳理两镇项目相关合同，一是</w:t>
      </w:r>
      <w:r>
        <w:t>部分费用未按照合同约定及项目进度及时支付，如堡镇</w:t>
      </w:r>
      <w:r>
        <w:rPr>
          <w:rFonts w:hint="eastAsia"/>
        </w:rPr>
        <w:t>的建设单位管理费应在“合同签订后支付50%，竣工验收后付清尾款”，2023年8月30日项目通过竣工验收，但剩余50%的尾款尚未支付。二是</w:t>
      </w:r>
      <w:r>
        <w:t>已签订合同</w:t>
      </w:r>
      <w:r>
        <w:rPr>
          <w:rFonts w:hint="eastAsia"/>
        </w:rPr>
        <w:t>待核付尾款的部分二类费用</w:t>
      </w:r>
      <w:r>
        <w:t>不在批复范围内。</w:t>
      </w:r>
      <w:r>
        <w:rPr>
          <w:rFonts w:hint="eastAsia"/>
        </w:rPr>
        <w:t>堡镇项目审计金额内包含的选线规划费、涉河论证费、竣工档案编制费、审计费和新河镇项目已签订合同中涉及的选线规划费、涉河论证费、跟测费、绿化补植均为可研批复及初设批复外的费用。</w:t>
      </w:r>
    </w:p>
    <w:p>
      <w:pPr>
        <w:pStyle w:val="22"/>
      </w:pPr>
      <w:r>
        <w:rPr>
          <w:rFonts w:hint="eastAsia"/>
        </w:rPr>
        <w:t>两镇</w:t>
      </w:r>
      <w:r>
        <w:t>具体资金支出</w:t>
      </w:r>
      <w:r>
        <w:rPr>
          <w:rFonts w:hint="eastAsia"/>
        </w:rPr>
        <w:t>明细</w:t>
      </w:r>
      <w:r>
        <w:t>详见下表：</w:t>
      </w:r>
    </w:p>
    <w:p>
      <w:pPr>
        <w:pStyle w:val="22"/>
        <w:sectPr>
          <w:pgSz w:w="11906" w:h="16838"/>
          <w:pgMar w:top="2098" w:right="1474" w:bottom="1984" w:left="1587" w:header="851" w:footer="992" w:gutter="0"/>
          <w:cols w:space="0" w:num="1"/>
          <w:docGrid w:type="lines" w:linePitch="312" w:charSpace="0"/>
        </w:sectPr>
      </w:pPr>
    </w:p>
    <w:p>
      <w:pPr>
        <w:pStyle w:val="22"/>
        <w:ind w:firstLine="0" w:firstLineChars="0"/>
        <w:jc w:val="center"/>
        <w:rPr>
          <w:b/>
          <w:bCs w:val="0"/>
          <w:sz w:val="28"/>
          <w:szCs w:val="24"/>
        </w:rPr>
      </w:pPr>
      <w:r>
        <w:rPr>
          <w:b/>
          <w:bCs w:val="0"/>
          <w:sz w:val="28"/>
          <w:szCs w:val="24"/>
        </w:rPr>
        <w:t>表1-</w:t>
      </w:r>
      <w:r>
        <w:rPr>
          <w:rFonts w:hint="eastAsia"/>
          <w:b/>
          <w:bCs w:val="0"/>
          <w:sz w:val="28"/>
          <w:szCs w:val="24"/>
        </w:rPr>
        <w:t>6</w:t>
      </w:r>
      <w:r>
        <w:rPr>
          <w:b/>
          <w:bCs w:val="0"/>
          <w:sz w:val="28"/>
          <w:szCs w:val="24"/>
        </w:rPr>
        <w:t>：</w:t>
      </w:r>
      <w:r>
        <w:rPr>
          <w:rFonts w:hint="eastAsia"/>
          <w:b/>
          <w:bCs w:val="0"/>
          <w:sz w:val="28"/>
          <w:szCs w:val="24"/>
        </w:rPr>
        <w:t>两</w:t>
      </w:r>
      <w:r>
        <w:rPr>
          <w:b/>
          <w:bCs w:val="0"/>
          <w:sz w:val="28"/>
          <w:szCs w:val="24"/>
        </w:rPr>
        <w:t>镇项目合同签订及资金支出情况</w:t>
      </w:r>
    </w:p>
    <w:p>
      <w:pPr>
        <w:pStyle w:val="22"/>
        <w:ind w:firstLine="0" w:firstLineChars="0"/>
        <w:jc w:val="right"/>
        <w:rPr>
          <w:b/>
          <w:bCs w:val="0"/>
          <w:sz w:val="28"/>
          <w:szCs w:val="24"/>
        </w:rPr>
      </w:pPr>
      <w:r>
        <w:rPr>
          <w:b/>
          <w:bCs w:val="0"/>
          <w:sz w:val="28"/>
          <w:szCs w:val="24"/>
        </w:rPr>
        <w:t>金额单位：万元</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436"/>
        <w:gridCol w:w="527"/>
        <w:gridCol w:w="1712"/>
        <w:gridCol w:w="921"/>
        <w:gridCol w:w="924"/>
        <w:gridCol w:w="921"/>
        <w:gridCol w:w="921"/>
        <w:gridCol w:w="924"/>
        <w:gridCol w:w="921"/>
        <w:gridCol w:w="921"/>
        <w:gridCol w:w="921"/>
        <w:gridCol w:w="1183"/>
        <w:gridCol w:w="1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trPr>
        <w:tc>
          <w:tcPr>
            <w:tcW w:w="344" w:type="pct"/>
            <w:gridSpan w:val="2"/>
            <w:vMerge w:val="restar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集镇区</w:t>
            </w:r>
          </w:p>
        </w:tc>
        <w:tc>
          <w:tcPr>
            <w:tcW w:w="863" w:type="pct"/>
            <w:gridSpan w:val="2"/>
            <w:vMerge w:val="restart"/>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工程或费用名称</w:t>
            </w:r>
          </w:p>
        </w:tc>
        <w:tc>
          <w:tcPr>
            <w:tcW w:w="355" w:type="pct"/>
            <w:vMerge w:val="restart"/>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区发改委批复金额</w:t>
            </w:r>
          </w:p>
        </w:tc>
        <w:tc>
          <w:tcPr>
            <w:tcW w:w="356" w:type="pct"/>
            <w:vMerge w:val="restart"/>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区建管委批复金额</w:t>
            </w:r>
          </w:p>
        </w:tc>
        <w:tc>
          <w:tcPr>
            <w:tcW w:w="355" w:type="pct"/>
            <w:vMerge w:val="restart"/>
            <w:vAlign w:val="center"/>
          </w:tcPr>
          <w:p>
            <w:pPr>
              <w:widowControl/>
              <w:snapToGrid w:val="0"/>
              <w:jc w:val="center"/>
              <w:rPr>
                <w:rFonts w:ascii="Times New Roman" w:hAnsi="Times New Roman" w:eastAsia="仿宋_GB2312" w:cs="Times New Roman"/>
                <w:b/>
                <w:bCs/>
                <w:kern w:val="0"/>
                <w:sz w:val="24"/>
                <w:szCs w:val="24"/>
              </w:rPr>
            </w:pPr>
            <w:r>
              <w:rPr>
                <w:rFonts w:hint="eastAsia" w:ascii="Times New Roman" w:hAnsi="Times New Roman" w:eastAsia="仿宋_GB2312" w:cs="Times New Roman"/>
                <w:b/>
                <w:bCs/>
                <w:kern w:val="0"/>
                <w:sz w:val="24"/>
                <w:szCs w:val="24"/>
              </w:rPr>
              <w:t>第三方单位</w:t>
            </w:r>
          </w:p>
        </w:tc>
        <w:tc>
          <w:tcPr>
            <w:tcW w:w="355" w:type="pct"/>
            <w:vMerge w:val="restart"/>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合同金额</w:t>
            </w:r>
          </w:p>
        </w:tc>
        <w:tc>
          <w:tcPr>
            <w:tcW w:w="356" w:type="pct"/>
            <w:vMerge w:val="restart"/>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审计/审价金额</w:t>
            </w:r>
          </w:p>
        </w:tc>
        <w:tc>
          <w:tcPr>
            <w:tcW w:w="1065" w:type="pct"/>
            <w:gridSpan w:val="3"/>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已支付金额</w:t>
            </w:r>
          </w:p>
        </w:tc>
        <w:tc>
          <w:tcPr>
            <w:tcW w:w="456" w:type="pct"/>
            <w:vMerge w:val="restart"/>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已请款待核付资金</w:t>
            </w:r>
          </w:p>
        </w:tc>
        <w:tc>
          <w:tcPr>
            <w:tcW w:w="495" w:type="pct"/>
            <w:vMerge w:val="restart"/>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合计（已支付+已请款）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trPr>
        <w:tc>
          <w:tcPr>
            <w:tcW w:w="344" w:type="pct"/>
            <w:gridSpan w:val="2"/>
            <w:vMerge w:val="continue"/>
            <w:vAlign w:val="center"/>
          </w:tcPr>
          <w:p>
            <w:pPr>
              <w:widowControl/>
              <w:snapToGrid w:val="0"/>
              <w:jc w:val="left"/>
              <w:rPr>
                <w:rFonts w:ascii="Times New Roman" w:hAnsi="Times New Roman" w:eastAsia="仿宋_GB2312" w:cs="Times New Roman"/>
                <w:b/>
                <w:bCs/>
                <w:kern w:val="0"/>
                <w:sz w:val="24"/>
                <w:szCs w:val="24"/>
              </w:rPr>
            </w:pPr>
          </w:p>
        </w:tc>
        <w:tc>
          <w:tcPr>
            <w:tcW w:w="863" w:type="pct"/>
            <w:gridSpan w:val="2"/>
            <w:vMerge w:val="continue"/>
            <w:vAlign w:val="center"/>
          </w:tcPr>
          <w:p>
            <w:pPr>
              <w:widowControl/>
              <w:snapToGrid w:val="0"/>
              <w:jc w:val="left"/>
              <w:rPr>
                <w:rFonts w:ascii="Times New Roman" w:hAnsi="Times New Roman" w:eastAsia="仿宋_GB2312" w:cs="Times New Roman"/>
                <w:b/>
                <w:bCs/>
                <w:kern w:val="0"/>
                <w:sz w:val="24"/>
                <w:szCs w:val="24"/>
              </w:rPr>
            </w:pPr>
          </w:p>
        </w:tc>
        <w:tc>
          <w:tcPr>
            <w:tcW w:w="355"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35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355" w:type="pct"/>
            <w:vMerge w:val="continue"/>
            <w:vAlign w:val="center"/>
          </w:tcPr>
          <w:p>
            <w:pPr>
              <w:widowControl/>
              <w:snapToGrid w:val="0"/>
              <w:jc w:val="center"/>
              <w:rPr>
                <w:rFonts w:ascii="Times New Roman" w:hAnsi="Times New Roman" w:eastAsia="仿宋_GB2312" w:cs="Times New Roman"/>
                <w:b/>
                <w:bCs/>
                <w:kern w:val="0"/>
                <w:sz w:val="22"/>
              </w:rPr>
            </w:pPr>
          </w:p>
        </w:tc>
        <w:tc>
          <w:tcPr>
            <w:tcW w:w="355"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35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355" w:type="pct"/>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小计</w:t>
            </w:r>
          </w:p>
        </w:tc>
        <w:tc>
          <w:tcPr>
            <w:tcW w:w="355" w:type="pct"/>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区级资金</w:t>
            </w:r>
          </w:p>
        </w:tc>
        <w:tc>
          <w:tcPr>
            <w:tcW w:w="355" w:type="pct"/>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镇级资金</w:t>
            </w:r>
          </w:p>
        </w:tc>
        <w:tc>
          <w:tcPr>
            <w:tcW w:w="45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495" w:type="pct"/>
            <w:vMerge w:val="continue"/>
            <w:vAlign w:val="center"/>
          </w:tcPr>
          <w:p>
            <w:pPr>
              <w:widowControl/>
              <w:snapToGrid w:val="0"/>
              <w:jc w:val="left"/>
              <w:rPr>
                <w:rFonts w:ascii="Times New Roman" w:hAnsi="Times New Roman" w:eastAsia="仿宋_GB2312" w:cs="Times New Roman"/>
                <w:b/>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restart"/>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堡镇-五效集镇区</w:t>
            </w:r>
          </w:p>
        </w:tc>
        <w:tc>
          <w:tcPr>
            <w:tcW w:w="168" w:type="pct"/>
            <w:vMerge w:val="restar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批复内</w:t>
            </w:r>
          </w:p>
        </w:tc>
        <w:tc>
          <w:tcPr>
            <w:tcW w:w="203"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一</w:t>
            </w:r>
          </w:p>
        </w:tc>
        <w:tc>
          <w:tcPr>
            <w:tcW w:w="660" w:type="pct"/>
            <w:shd w:val="clear" w:color="auto" w:fill="auto"/>
            <w:vAlign w:val="center"/>
          </w:tcPr>
          <w:p>
            <w:pPr>
              <w:widowControl/>
              <w:snapToGrid w:val="0"/>
              <w:jc w:val="left"/>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工程费用</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1582.16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1584.48 </w:t>
            </w:r>
          </w:p>
        </w:tc>
        <w:tc>
          <w:tcPr>
            <w:tcW w:w="355" w:type="pct"/>
            <w:vAlign w:val="center"/>
          </w:tcPr>
          <w:p>
            <w:pPr>
              <w:widowControl/>
              <w:snapToGrid w:val="0"/>
              <w:jc w:val="center"/>
              <w:rPr>
                <w:rFonts w:ascii="Times New Roman" w:hAnsi="Times New Roman" w:eastAsia="仿宋_GB2312" w:cs="Times New Roman"/>
                <w:b/>
                <w:bCs/>
                <w:kern w:val="0"/>
                <w:sz w:val="22"/>
              </w:rPr>
            </w:pP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1563.83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1542.87 </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1352.15 </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996.78 </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355.37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hint="eastAsia" w:ascii="Times New Roman" w:hAnsi="Times New Roman" w:eastAsia="仿宋_GB2312" w:cs="Times New Roman"/>
                <w:b/>
                <w:bCs/>
                <w:kern w:val="0"/>
                <w:sz w:val="24"/>
                <w:szCs w:val="24"/>
              </w:rPr>
              <w:t>144.43</w:t>
            </w:r>
          </w:p>
        </w:tc>
        <w:tc>
          <w:tcPr>
            <w:tcW w:w="49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1352.15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施工费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1582.16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1584.48 </w:t>
            </w:r>
          </w:p>
        </w:tc>
        <w:tc>
          <w:tcPr>
            <w:tcW w:w="355"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上海瑞昆建设股份有限公司</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1563.83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1542.87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1352.15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996.78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355.37 </w:t>
            </w:r>
          </w:p>
        </w:tc>
        <w:tc>
          <w:tcPr>
            <w:tcW w:w="4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144.43</w:t>
            </w:r>
            <w:r>
              <w:rPr>
                <w:rFonts w:ascii="Times New Roman" w:hAnsi="Times New Roman" w:eastAsia="仿宋_GB2312" w:cs="Times New Roman"/>
                <w:kern w:val="0"/>
                <w:sz w:val="24"/>
                <w:szCs w:val="24"/>
              </w:rPr>
              <w:t xml:space="preserve"> </w:t>
            </w:r>
          </w:p>
        </w:tc>
        <w:tc>
          <w:tcPr>
            <w:tcW w:w="49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1352.15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203"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二</w:t>
            </w:r>
          </w:p>
        </w:tc>
        <w:tc>
          <w:tcPr>
            <w:tcW w:w="660" w:type="pct"/>
            <w:shd w:val="clear" w:color="auto" w:fill="auto"/>
            <w:vAlign w:val="center"/>
          </w:tcPr>
          <w:p>
            <w:pPr>
              <w:widowControl/>
              <w:snapToGrid w:val="0"/>
              <w:jc w:val="left"/>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工程建设其他费用</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215.23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215.40 </w:t>
            </w:r>
          </w:p>
        </w:tc>
        <w:tc>
          <w:tcPr>
            <w:tcW w:w="355" w:type="pct"/>
            <w:vAlign w:val="center"/>
          </w:tcPr>
          <w:p>
            <w:pPr>
              <w:widowControl/>
              <w:snapToGrid w:val="0"/>
              <w:jc w:val="center"/>
              <w:rPr>
                <w:rFonts w:ascii="Times New Roman" w:hAnsi="Times New Roman" w:eastAsia="仿宋_GB2312" w:cs="Times New Roman"/>
                <w:b/>
                <w:bCs/>
                <w:kern w:val="0"/>
                <w:sz w:val="22"/>
              </w:rPr>
            </w:pP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179.55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179.55 </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91.28 </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91.28 </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0.00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80.06 </w:t>
            </w:r>
          </w:p>
        </w:tc>
        <w:tc>
          <w:tcPr>
            <w:tcW w:w="49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171.33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建设单位管理费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33.20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33.20 </w:t>
            </w:r>
          </w:p>
        </w:tc>
        <w:tc>
          <w:tcPr>
            <w:tcW w:w="355"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上海港裕企业发展有限公司</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25.05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25.05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12.53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12.53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456"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12.53 </w:t>
            </w:r>
          </w:p>
        </w:tc>
        <w:tc>
          <w:tcPr>
            <w:tcW w:w="49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25.05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前期咨询费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7.80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7.80 </w:t>
            </w:r>
          </w:p>
        </w:tc>
        <w:tc>
          <w:tcPr>
            <w:tcW w:w="355"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上海浦东建设设计研究院有限公司</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5.27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5.27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5.27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5.27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4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p>
        </w:tc>
        <w:tc>
          <w:tcPr>
            <w:tcW w:w="49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5.27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招标代理费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9.87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9.88 </w:t>
            </w:r>
          </w:p>
        </w:tc>
        <w:tc>
          <w:tcPr>
            <w:tcW w:w="355"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上海建正建设工程咨询有限公司</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9.80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9.80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9.80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9.80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4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p>
        </w:tc>
        <w:tc>
          <w:tcPr>
            <w:tcW w:w="49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9.80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工程监理费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44.07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44.13 </w:t>
            </w:r>
          </w:p>
        </w:tc>
        <w:tc>
          <w:tcPr>
            <w:tcW w:w="355" w:type="pct"/>
            <w:vAlign w:val="center"/>
          </w:tcPr>
          <w:p>
            <w:pPr>
              <w:widowControl/>
              <w:snapToGrid w:val="0"/>
              <w:jc w:val="center"/>
              <w:rPr>
                <w:rFonts w:ascii="Times New Roman" w:hAnsi="Times New Roman" w:eastAsia="仿宋_GB2312" w:cs="Times New Roman"/>
                <w:kern w:val="0"/>
                <w:sz w:val="22"/>
              </w:rPr>
            </w:pP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42.17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42.17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18.00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18.00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4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15.95 </w:t>
            </w:r>
          </w:p>
        </w:tc>
        <w:tc>
          <w:tcPr>
            <w:tcW w:w="49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33.95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4.1</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施工监理</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44.07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55"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上海协恒工程管理有限公司</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31.90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31.90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15.95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15.95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4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15.95 </w:t>
            </w:r>
          </w:p>
        </w:tc>
        <w:tc>
          <w:tcPr>
            <w:tcW w:w="49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31.90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4.2</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财务监理</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55"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上海瑞风工程造价咨询有限公司</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10.27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10.27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2.05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2.05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4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p>
        </w:tc>
        <w:tc>
          <w:tcPr>
            <w:tcW w:w="49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2.05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勘察设计费</w:t>
            </w:r>
          </w:p>
        </w:tc>
        <w:tc>
          <w:tcPr>
            <w:tcW w:w="355" w:type="pct"/>
            <w:shd w:val="clear" w:color="auto" w:fill="auto"/>
            <w:noWrap/>
            <w:vAlign w:val="center"/>
          </w:tcPr>
          <w:p>
            <w:pPr>
              <w:widowControl/>
              <w:snapToGrid w:val="0"/>
              <w:jc w:val="left"/>
              <w:rPr>
                <w:rFonts w:ascii="Times New Roman" w:hAnsi="Times New Roman" w:eastAsia="仿宋_GB2312" w:cs="Times New Roman"/>
                <w:kern w:val="0"/>
                <w:sz w:val="24"/>
                <w:szCs w:val="24"/>
              </w:rPr>
            </w:pP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p>
        </w:tc>
        <w:tc>
          <w:tcPr>
            <w:tcW w:w="355" w:type="pct"/>
            <w:vAlign w:val="center"/>
          </w:tcPr>
          <w:p>
            <w:pPr>
              <w:widowControl/>
              <w:snapToGrid w:val="0"/>
              <w:jc w:val="center"/>
              <w:rPr>
                <w:rFonts w:ascii="Times New Roman" w:hAnsi="Times New Roman" w:eastAsia="仿宋_GB2312" w:cs="Times New Roman"/>
                <w:kern w:val="0"/>
                <w:sz w:val="22"/>
              </w:rPr>
            </w:pP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p>
        </w:tc>
        <w:tc>
          <w:tcPr>
            <w:tcW w:w="356" w:type="pct"/>
            <w:shd w:val="clear" w:color="auto" w:fill="auto"/>
            <w:noWrap/>
            <w:vAlign w:val="center"/>
          </w:tcPr>
          <w:p>
            <w:pPr>
              <w:widowControl/>
              <w:snapToGrid w:val="0"/>
              <w:jc w:val="left"/>
              <w:rPr>
                <w:rFonts w:ascii="Times New Roman" w:hAnsi="Times New Roman" w:eastAsia="仿宋_GB2312" w:cs="Times New Roman"/>
                <w:kern w:val="0"/>
                <w:sz w:val="24"/>
                <w:szCs w:val="24"/>
              </w:rPr>
            </w:pP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p>
        </w:tc>
        <w:tc>
          <w:tcPr>
            <w:tcW w:w="4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p>
        </w:tc>
        <w:tc>
          <w:tcPr>
            <w:tcW w:w="49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5.1</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工程勘测费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12.66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12.68 </w:t>
            </w:r>
          </w:p>
        </w:tc>
        <w:tc>
          <w:tcPr>
            <w:tcW w:w="355"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上海海洋地质勘察设计有限公司</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12.55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12.55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6.28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6.28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456"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6.28 </w:t>
            </w:r>
          </w:p>
        </w:tc>
        <w:tc>
          <w:tcPr>
            <w:tcW w:w="49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12.55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5.2</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设计费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57.72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57.80 </w:t>
            </w:r>
          </w:p>
        </w:tc>
        <w:tc>
          <w:tcPr>
            <w:tcW w:w="355"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上海浦东建设设计研究院有限公司</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57.00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57.00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28.50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28.50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4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28.50 </w:t>
            </w:r>
          </w:p>
        </w:tc>
        <w:tc>
          <w:tcPr>
            <w:tcW w:w="49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57.00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5.3</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物探费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30.00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30.00 </w:t>
            </w:r>
          </w:p>
        </w:tc>
        <w:tc>
          <w:tcPr>
            <w:tcW w:w="355"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上海</w:t>
            </w:r>
            <w:r>
              <w:rPr>
                <w:rFonts w:hint="eastAsia" w:ascii="微软雅黑" w:hAnsi="微软雅黑" w:eastAsia="微软雅黑" w:cs="微软雅黑"/>
                <w:kern w:val="0"/>
                <w:sz w:val="22"/>
              </w:rPr>
              <w:t>旻</w:t>
            </w:r>
            <w:r>
              <w:rPr>
                <w:rFonts w:hint="eastAsia" w:ascii="仿宋_GB2312" w:hAnsi="仿宋_GB2312" w:eastAsia="仿宋_GB2312" w:cs="仿宋_GB2312"/>
                <w:kern w:val="0"/>
                <w:sz w:val="22"/>
              </w:rPr>
              <w:t>悦勘察设计有限公司</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21.81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21.81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10.91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10.91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4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10.91 </w:t>
            </w:r>
          </w:p>
        </w:tc>
        <w:tc>
          <w:tcPr>
            <w:tcW w:w="49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21.81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5.4</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管道检测费（CCTV、跟测）</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15.91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15.91 </w:t>
            </w:r>
          </w:p>
        </w:tc>
        <w:tc>
          <w:tcPr>
            <w:tcW w:w="355" w:type="pct"/>
            <w:vAlign w:val="center"/>
          </w:tcPr>
          <w:p>
            <w:pPr>
              <w:widowControl/>
              <w:snapToGrid w:val="0"/>
              <w:jc w:val="center"/>
              <w:rPr>
                <w:rFonts w:ascii="Times New Roman" w:hAnsi="Times New Roman" w:eastAsia="仿宋_GB2312" w:cs="Times New Roman"/>
                <w:kern w:val="0"/>
                <w:sz w:val="22"/>
              </w:rPr>
            </w:pP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p>
        </w:tc>
        <w:tc>
          <w:tcPr>
            <w:tcW w:w="356" w:type="pct"/>
            <w:shd w:val="clear" w:color="auto" w:fill="auto"/>
            <w:noWrap/>
            <w:vAlign w:val="center"/>
          </w:tcPr>
          <w:p>
            <w:pPr>
              <w:widowControl/>
              <w:snapToGrid w:val="0"/>
              <w:jc w:val="left"/>
              <w:rPr>
                <w:rFonts w:ascii="Times New Roman" w:hAnsi="Times New Roman" w:eastAsia="仿宋_GB2312" w:cs="Times New Roman"/>
                <w:kern w:val="0"/>
                <w:sz w:val="24"/>
                <w:szCs w:val="24"/>
              </w:rPr>
            </w:pP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p>
        </w:tc>
        <w:tc>
          <w:tcPr>
            <w:tcW w:w="4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p>
        </w:tc>
        <w:tc>
          <w:tcPr>
            <w:tcW w:w="49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5.4.1</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跟测费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55"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上海瀛测测绘服务有限公司</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5.90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5.90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4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5.90 </w:t>
            </w:r>
          </w:p>
        </w:tc>
        <w:tc>
          <w:tcPr>
            <w:tcW w:w="49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5.90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监测费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4.00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4.00 </w:t>
            </w:r>
          </w:p>
        </w:tc>
        <w:tc>
          <w:tcPr>
            <w:tcW w:w="355" w:type="pct"/>
            <w:vAlign w:val="center"/>
          </w:tcPr>
          <w:p>
            <w:pPr>
              <w:widowControl/>
              <w:snapToGrid w:val="0"/>
              <w:jc w:val="center"/>
              <w:rPr>
                <w:rFonts w:ascii="Times New Roman" w:hAnsi="Times New Roman" w:eastAsia="仿宋_GB2312" w:cs="Times New Roman"/>
                <w:kern w:val="0"/>
                <w:sz w:val="22"/>
              </w:rPr>
            </w:pP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4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49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6.1</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沿线管线监测费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2.00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2.00 </w:t>
            </w:r>
          </w:p>
        </w:tc>
        <w:tc>
          <w:tcPr>
            <w:tcW w:w="355" w:type="pct"/>
            <w:vAlign w:val="center"/>
          </w:tcPr>
          <w:p>
            <w:pPr>
              <w:widowControl/>
              <w:snapToGrid w:val="0"/>
              <w:jc w:val="center"/>
              <w:rPr>
                <w:rFonts w:ascii="Times New Roman" w:hAnsi="Times New Roman" w:eastAsia="仿宋_GB2312" w:cs="Times New Roman"/>
                <w:kern w:val="0"/>
                <w:sz w:val="22"/>
              </w:rPr>
            </w:pP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4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49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6.2</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房屋监测费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2.00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2.00 </w:t>
            </w:r>
          </w:p>
        </w:tc>
        <w:tc>
          <w:tcPr>
            <w:tcW w:w="355" w:type="pct"/>
            <w:vAlign w:val="center"/>
          </w:tcPr>
          <w:p>
            <w:pPr>
              <w:widowControl/>
              <w:snapToGrid w:val="0"/>
              <w:jc w:val="center"/>
              <w:rPr>
                <w:rFonts w:ascii="Times New Roman" w:hAnsi="Times New Roman" w:eastAsia="仿宋_GB2312" w:cs="Times New Roman"/>
                <w:kern w:val="0"/>
                <w:sz w:val="22"/>
              </w:rPr>
            </w:pP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4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49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203"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三</w:t>
            </w:r>
          </w:p>
        </w:tc>
        <w:tc>
          <w:tcPr>
            <w:tcW w:w="660" w:type="pct"/>
            <w:shd w:val="clear" w:color="auto" w:fill="auto"/>
            <w:vAlign w:val="center"/>
          </w:tcPr>
          <w:p>
            <w:pPr>
              <w:widowControl/>
              <w:snapToGrid w:val="0"/>
              <w:jc w:val="left"/>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预备费</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53.92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54.00 </w:t>
            </w:r>
          </w:p>
        </w:tc>
        <w:tc>
          <w:tcPr>
            <w:tcW w:w="355" w:type="pct"/>
            <w:vAlign w:val="center"/>
          </w:tcPr>
          <w:p>
            <w:pPr>
              <w:widowControl/>
              <w:snapToGrid w:val="0"/>
              <w:jc w:val="center"/>
              <w:rPr>
                <w:rFonts w:ascii="Times New Roman" w:hAnsi="Times New Roman" w:eastAsia="仿宋_GB2312" w:cs="Times New Roman"/>
                <w:b/>
                <w:bCs/>
                <w:kern w:val="0"/>
                <w:sz w:val="22"/>
              </w:rPr>
            </w:pP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0.00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0.00</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0.00</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0.00</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0.00</w:t>
            </w:r>
          </w:p>
        </w:tc>
        <w:tc>
          <w:tcPr>
            <w:tcW w:w="49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203"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四</w:t>
            </w:r>
          </w:p>
        </w:tc>
        <w:tc>
          <w:tcPr>
            <w:tcW w:w="660" w:type="pct"/>
            <w:shd w:val="clear" w:color="auto" w:fill="auto"/>
            <w:vAlign w:val="center"/>
          </w:tcPr>
          <w:p>
            <w:pPr>
              <w:widowControl/>
              <w:snapToGrid w:val="0"/>
              <w:jc w:val="left"/>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土地占用费及绿化赔偿</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30.00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26.27 </w:t>
            </w:r>
          </w:p>
        </w:tc>
        <w:tc>
          <w:tcPr>
            <w:tcW w:w="355" w:type="pct"/>
            <w:vAlign w:val="center"/>
          </w:tcPr>
          <w:p>
            <w:pPr>
              <w:widowControl/>
              <w:snapToGrid w:val="0"/>
              <w:jc w:val="center"/>
              <w:rPr>
                <w:rFonts w:ascii="Times New Roman" w:hAnsi="Times New Roman" w:eastAsia="仿宋_GB2312" w:cs="Times New Roman"/>
                <w:b/>
                <w:bCs/>
                <w:kern w:val="0"/>
                <w:sz w:val="22"/>
              </w:rPr>
            </w:pP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0.00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0.00</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0.00</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0.00</w:t>
            </w:r>
          </w:p>
        </w:tc>
        <w:tc>
          <w:tcPr>
            <w:tcW w:w="49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863" w:type="pct"/>
            <w:gridSpan w:val="2"/>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小计</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1881.31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1880.15 </w:t>
            </w:r>
          </w:p>
        </w:tc>
        <w:tc>
          <w:tcPr>
            <w:tcW w:w="355" w:type="pct"/>
            <w:vAlign w:val="center"/>
          </w:tcPr>
          <w:p>
            <w:pPr>
              <w:widowControl/>
              <w:snapToGrid w:val="0"/>
              <w:jc w:val="center"/>
              <w:rPr>
                <w:rFonts w:ascii="Times New Roman" w:hAnsi="Times New Roman" w:eastAsia="仿宋_GB2312" w:cs="Times New Roman"/>
                <w:b/>
                <w:bCs/>
                <w:kern w:val="0"/>
                <w:sz w:val="22"/>
              </w:rPr>
            </w:pP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1743.37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1722.41 </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1443.43 </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1088.06 </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355.37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80.06 </w:t>
            </w:r>
          </w:p>
        </w:tc>
        <w:tc>
          <w:tcPr>
            <w:tcW w:w="49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1523.49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restart"/>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批复外</w:t>
            </w: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选线规划费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55"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上海崇明规划设计有限公司</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4.00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4.00 </w:t>
            </w:r>
          </w:p>
        </w:tc>
        <w:tc>
          <w:tcPr>
            <w:tcW w:w="355" w:type="pct"/>
            <w:shd w:val="clear" w:color="auto" w:fill="auto"/>
            <w:noWrap/>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456" w:type="pct"/>
            <w:shd w:val="clear" w:color="auto" w:fill="auto"/>
            <w:noWrap/>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49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竣工档案编制费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55"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崇明区城建档案管理中心</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0.95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0.95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456"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0.95 </w:t>
            </w:r>
          </w:p>
        </w:tc>
        <w:tc>
          <w:tcPr>
            <w:tcW w:w="49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0.95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审计费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55"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上海华夏建设工程造价咨询有限公司</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8.07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8.10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4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49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涉河论证费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55"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上海渠观工程设计咨询有限公司</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10.00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456"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c>
          <w:tcPr>
            <w:tcW w:w="49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863" w:type="pct"/>
            <w:gridSpan w:val="2"/>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小计</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p>
        </w:tc>
        <w:tc>
          <w:tcPr>
            <w:tcW w:w="355" w:type="pct"/>
            <w:vAlign w:val="center"/>
          </w:tcPr>
          <w:p>
            <w:pPr>
              <w:widowControl/>
              <w:snapToGrid w:val="0"/>
              <w:jc w:val="center"/>
              <w:rPr>
                <w:rFonts w:ascii="Times New Roman" w:hAnsi="Times New Roman" w:eastAsia="仿宋_GB2312" w:cs="Times New Roman"/>
                <w:b/>
                <w:bCs/>
                <w:kern w:val="0"/>
                <w:sz w:val="22"/>
              </w:rPr>
            </w:pP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23.02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23.05 </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14.00 </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14.00 </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0.00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0.95 </w:t>
            </w:r>
          </w:p>
        </w:tc>
        <w:tc>
          <w:tcPr>
            <w:tcW w:w="49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14.95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031" w:type="pct"/>
            <w:gridSpan w:val="3"/>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合计</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1881.31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1880.15 </w:t>
            </w:r>
          </w:p>
        </w:tc>
        <w:tc>
          <w:tcPr>
            <w:tcW w:w="355" w:type="pct"/>
            <w:vAlign w:val="center"/>
          </w:tcPr>
          <w:p>
            <w:pPr>
              <w:widowControl/>
              <w:snapToGrid w:val="0"/>
              <w:jc w:val="center"/>
              <w:rPr>
                <w:rFonts w:ascii="Times New Roman" w:hAnsi="Times New Roman" w:eastAsia="仿宋_GB2312" w:cs="Times New Roman"/>
                <w:b/>
                <w:bCs/>
                <w:kern w:val="0"/>
                <w:sz w:val="22"/>
              </w:rPr>
            </w:pP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1766.39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1745.46 </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1457.43 </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1102.06 </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355.37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hint="eastAsia" w:ascii="Times New Roman" w:hAnsi="Times New Roman" w:eastAsia="仿宋_GB2312" w:cs="Times New Roman"/>
                <w:b/>
                <w:bCs/>
                <w:kern w:val="0"/>
                <w:sz w:val="24"/>
                <w:szCs w:val="24"/>
              </w:rPr>
              <w:t>225.44</w:t>
            </w:r>
          </w:p>
        </w:tc>
        <w:tc>
          <w:tcPr>
            <w:tcW w:w="49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1538.44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restart"/>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新民-新河集镇区</w:t>
            </w:r>
          </w:p>
        </w:tc>
        <w:tc>
          <w:tcPr>
            <w:tcW w:w="168" w:type="pct"/>
            <w:vMerge w:val="restar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批复内</w:t>
            </w:r>
          </w:p>
        </w:tc>
        <w:tc>
          <w:tcPr>
            <w:tcW w:w="203"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一</w:t>
            </w:r>
          </w:p>
        </w:tc>
        <w:tc>
          <w:tcPr>
            <w:tcW w:w="660" w:type="pct"/>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工程费用</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4101.75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4089.60 </w:t>
            </w:r>
          </w:p>
        </w:tc>
        <w:tc>
          <w:tcPr>
            <w:tcW w:w="355" w:type="pct"/>
            <w:vAlign w:val="center"/>
          </w:tcPr>
          <w:p>
            <w:pPr>
              <w:widowControl/>
              <w:snapToGrid w:val="0"/>
              <w:jc w:val="center"/>
              <w:rPr>
                <w:rFonts w:ascii="Times New Roman" w:hAnsi="Times New Roman" w:eastAsia="仿宋_GB2312" w:cs="Times New Roman"/>
                <w:b/>
                <w:bCs/>
                <w:kern w:val="0"/>
                <w:sz w:val="22"/>
              </w:rPr>
            </w:pP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4058.80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4085.12 </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3398.17 </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3398.17 </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0.00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49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施工费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3736.75 </w:t>
            </w:r>
          </w:p>
        </w:tc>
        <w:tc>
          <w:tcPr>
            <w:tcW w:w="356" w:type="pct"/>
            <w:shd w:val="clear" w:color="auto" w:fill="auto"/>
            <w:noWrap/>
            <w:vAlign w:val="center"/>
          </w:tcPr>
          <w:p>
            <w:pPr>
              <w:widowControl/>
              <w:snapToGrid w:val="0"/>
              <w:jc w:val="righ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3633.59 </w:t>
            </w:r>
          </w:p>
        </w:tc>
        <w:tc>
          <w:tcPr>
            <w:tcW w:w="355"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上海新旌建设工程有限公司</w:t>
            </w:r>
          </w:p>
        </w:tc>
        <w:tc>
          <w:tcPr>
            <w:tcW w:w="355"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3684.9071 </w:t>
            </w:r>
          </w:p>
        </w:tc>
        <w:tc>
          <w:tcPr>
            <w:tcW w:w="356" w:type="pct"/>
            <w:vMerge w:val="restar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4085.12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3081.00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3081.00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49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一体化泵站费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365.00 </w:t>
            </w:r>
          </w:p>
        </w:tc>
        <w:tc>
          <w:tcPr>
            <w:tcW w:w="356" w:type="pct"/>
            <w:shd w:val="clear" w:color="auto" w:fill="auto"/>
            <w:noWrap/>
            <w:vAlign w:val="center"/>
          </w:tcPr>
          <w:p>
            <w:pPr>
              <w:widowControl/>
              <w:snapToGrid w:val="0"/>
              <w:jc w:val="righ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456.01 </w:t>
            </w:r>
          </w:p>
        </w:tc>
        <w:tc>
          <w:tcPr>
            <w:tcW w:w="355"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上海洲惠环保工程有限公司</w:t>
            </w:r>
          </w:p>
        </w:tc>
        <w:tc>
          <w:tcPr>
            <w:tcW w:w="355"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373.8972 </w:t>
            </w:r>
          </w:p>
        </w:tc>
        <w:tc>
          <w:tcPr>
            <w:tcW w:w="356" w:type="pct"/>
            <w:vMerge w:val="continue"/>
            <w:vAlign w:val="center"/>
          </w:tcPr>
          <w:p>
            <w:pPr>
              <w:widowControl/>
              <w:snapToGrid w:val="0"/>
              <w:jc w:val="left"/>
              <w:rPr>
                <w:rFonts w:ascii="Times New Roman" w:hAnsi="Times New Roman" w:eastAsia="仿宋_GB2312" w:cs="Times New Roman"/>
                <w:kern w:val="0"/>
                <w:sz w:val="24"/>
                <w:szCs w:val="24"/>
              </w:rPr>
            </w:pP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317.17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317.17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49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kern w:val="0"/>
                <w:sz w:val="24"/>
                <w:szCs w:val="24"/>
              </w:rPr>
            </w:pPr>
          </w:p>
        </w:tc>
        <w:tc>
          <w:tcPr>
            <w:tcW w:w="203"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二</w:t>
            </w:r>
          </w:p>
        </w:tc>
        <w:tc>
          <w:tcPr>
            <w:tcW w:w="660" w:type="pct"/>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工程建设其他费用</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581.84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593.75 </w:t>
            </w:r>
          </w:p>
        </w:tc>
        <w:tc>
          <w:tcPr>
            <w:tcW w:w="355" w:type="pct"/>
            <w:vAlign w:val="center"/>
          </w:tcPr>
          <w:p>
            <w:pPr>
              <w:widowControl/>
              <w:snapToGrid w:val="0"/>
              <w:jc w:val="center"/>
              <w:rPr>
                <w:rFonts w:ascii="Times New Roman" w:hAnsi="Times New Roman" w:eastAsia="仿宋_GB2312" w:cs="Times New Roman"/>
                <w:b/>
                <w:bCs/>
                <w:kern w:val="0"/>
                <w:sz w:val="22"/>
              </w:rPr>
            </w:pP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435.26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202.21 </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202.21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49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建设单位管理费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64.76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64.55 </w:t>
            </w:r>
          </w:p>
        </w:tc>
        <w:tc>
          <w:tcPr>
            <w:tcW w:w="355"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上海郅丰建筑工程有限公司</w:t>
            </w:r>
          </w:p>
        </w:tc>
        <w:tc>
          <w:tcPr>
            <w:tcW w:w="355"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60.89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30.44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30.44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49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前期咨询费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17.12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16.98 </w:t>
            </w:r>
          </w:p>
        </w:tc>
        <w:tc>
          <w:tcPr>
            <w:tcW w:w="355"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上海容基工程项目管理有限公司</w:t>
            </w:r>
          </w:p>
        </w:tc>
        <w:tc>
          <w:tcPr>
            <w:tcW w:w="355"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16.98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8.49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8.49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49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招标代理费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31.30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28.12 </w:t>
            </w:r>
          </w:p>
        </w:tc>
        <w:tc>
          <w:tcPr>
            <w:tcW w:w="355" w:type="pct"/>
            <w:vAlign w:val="center"/>
          </w:tcPr>
          <w:p>
            <w:pPr>
              <w:widowControl/>
              <w:snapToGrid w:val="0"/>
              <w:jc w:val="center"/>
              <w:rPr>
                <w:rFonts w:ascii="Times New Roman" w:hAnsi="Times New Roman" w:eastAsia="仿宋_GB2312" w:cs="Times New Roman"/>
                <w:kern w:val="0"/>
                <w:sz w:val="22"/>
              </w:rPr>
            </w:pPr>
          </w:p>
        </w:tc>
        <w:tc>
          <w:tcPr>
            <w:tcW w:w="355"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29.02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55"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23.21 </w:t>
            </w:r>
          </w:p>
        </w:tc>
        <w:tc>
          <w:tcPr>
            <w:tcW w:w="355"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23.21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49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3.1</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施工招标代理</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55"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上海建正建设工程咨询有限公司</w:t>
            </w:r>
          </w:p>
        </w:tc>
        <w:tc>
          <w:tcPr>
            <w:tcW w:w="355"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28.12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22.49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22.49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49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3.2</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监理招标代理</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55"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上海建正建设工程咨询有限公司</w:t>
            </w:r>
          </w:p>
        </w:tc>
        <w:tc>
          <w:tcPr>
            <w:tcW w:w="355"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0.90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0.72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0.72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49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工程监理费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101.40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130.70 </w:t>
            </w:r>
          </w:p>
        </w:tc>
        <w:tc>
          <w:tcPr>
            <w:tcW w:w="355" w:type="pct"/>
            <w:vAlign w:val="center"/>
          </w:tcPr>
          <w:p>
            <w:pPr>
              <w:widowControl/>
              <w:snapToGrid w:val="0"/>
              <w:jc w:val="center"/>
              <w:rPr>
                <w:rFonts w:ascii="Times New Roman" w:hAnsi="Times New Roman" w:eastAsia="仿宋_GB2312" w:cs="Times New Roman"/>
                <w:kern w:val="0"/>
                <w:sz w:val="22"/>
              </w:rPr>
            </w:pPr>
          </w:p>
        </w:tc>
        <w:tc>
          <w:tcPr>
            <w:tcW w:w="355"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101.36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55"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36.06 </w:t>
            </w:r>
          </w:p>
        </w:tc>
        <w:tc>
          <w:tcPr>
            <w:tcW w:w="355"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36.06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49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4.1</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施工监理</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55"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上海同建工程建设监理咨询有限责任公司</w:t>
            </w:r>
          </w:p>
        </w:tc>
        <w:tc>
          <w:tcPr>
            <w:tcW w:w="355"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72.12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36.06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36.06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49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4.2</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财务监理</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30.28 </w:t>
            </w:r>
          </w:p>
        </w:tc>
        <w:tc>
          <w:tcPr>
            <w:tcW w:w="355"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上海瑞风工程造价咨询有限公司</w:t>
            </w:r>
          </w:p>
        </w:tc>
        <w:tc>
          <w:tcPr>
            <w:tcW w:w="355"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29.24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49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勘察设计费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218.87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207.92 </w:t>
            </w:r>
          </w:p>
        </w:tc>
        <w:tc>
          <w:tcPr>
            <w:tcW w:w="355" w:type="pct"/>
            <w:vAlign w:val="center"/>
          </w:tcPr>
          <w:p>
            <w:pPr>
              <w:widowControl/>
              <w:snapToGrid w:val="0"/>
              <w:jc w:val="center"/>
              <w:rPr>
                <w:rFonts w:ascii="Times New Roman" w:hAnsi="Times New Roman" w:eastAsia="仿宋_GB2312" w:cs="Times New Roman"/>
                <w:kern w:val="0"/>
                <w:sz w:val="22"/>
              </w:rPr>
            </w:pP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208.01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104.01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104.01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49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5.1</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工程勘测费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41.02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40.90 </w:t>
            </w:r>
          </w:p>
        </w:tc>
        <w:tc>
          <w:tcPr>
            <w:tcW w:w="355"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上海协力岩土工程勘察有限公司</w:t>
            </w:r>
          </w:p>
        </w:tc>
        <w:tc>
          <w:tcPr>
            <w:tcW w:w="355"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41.00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20.50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20.50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49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5.2</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设计费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136.59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125.76 </w:t>
            </w:r>
          </w:p>
        </w:tc>
        <w:tc>
          <w:tcPr>
            <w:tcW w:w="355"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上海市政交通设计研究院有限公司</w:t>
            </w:r>
          </w:p>
        </w:tc>
        <w:tc>
          <w:tcPr>
            <w:tcW w:w="355"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125.76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62.88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62.88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49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5.3</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物探费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41.26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41.26 </w:t>
            </w:r>
          </w:p>
        </w:tc>
        <w:tc>
          <w:tcPr>
            <w:tcW w:w="355"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上海协力岩土工程勘察有限公司</w:t>
            </w:r>
          </w:p>
        </w:tc>
        <w:tc>
          <w:tcPr>
            <w:tcW w:w="355"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41.25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20.63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20.63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49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CCTV检测</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20.00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20.00 </w:t>
            </w:r>
          </w:p>
        </w:tc>
        <w:tc>
          <w:tcPr>
            <w:tcW w:w="355"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上海立劲市政工程有限公司</w:t>
            </w:r>
          </w:p>
        </w:tc>
        <w:tc>
          <w:tcPr>
            <w:tcW w:w="355"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19.00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49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7</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监测费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70.00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70.00 </w:t>
            </w:r>
          </w:p>
        </w:tc>
        <w:tc>
          <w:tcPr>
            <w:tcW w:w="355" w:type="pct"/>
            <w:vAlign w:val="center"/>
          </w:tcPr>
          <w:p>
            <w:pPr>
              <w:widowControl/>
              <w:snapToGrid w:val="0"/>
              <w:jc w:val="center"/>
              <w:rPr>
                <w:rFonts w:ascii="Times New Roman" w:hAnsi="Times New Roman" w:eastAsia="仿宋_GB2312" w:cs="Times New Roman"/>
                <w:kern w:val="0"/>
                <w:sz w:val="22"/>
              </w:rPr>
            </w:pPr>
          </w:p>
        </w:tc>
        <w:tc>
          <w:tcPr>
            <w:tcW w:w="355" w:type="pct"/>
            <w:shd w:val="clear" w:color="auto" w:fill="auto"/>
            <w:vAlign w:val="center"/>
          </w:tcPr>
          <w:p>
            <w:pPr>
              <w:widowControl/>
              <w:snapToGrid w:val="0"/>
              <w:jc w:val="center"/>
              <w:rPr>
                <w:rFonts w:ascii="Times New Roman" w:hAnsi="Times New Roman" w:eastAsia="仿宋_GB2312" w:cs="Times New Roman"/>
                <w:kern w:val="0"/>
                <w:sz w:val="24"/>
                <w:szCs w:val="24"/>
              </w:rPr>
            </w:pP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49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8</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环境影响咨询服务费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8.40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5.48 </w:t>
            </w:r>
          </w:p>
        </w:tc>
        <w:tc>
          <w:tcPr>
            <w:tcW w:w="355" w:type="pct"/>
            <w:vAlign w:val="center"/>
          </w:tcPr>
          <w:p>
            <w:pPr>
              <w:widowControl/>
              <w:snapToGrid w:val="0"/>
              <w:jc w:val="center"/>
              <w:rPr>
                <w:rFonts w:ascii="Times New Roman" w:hAnsi="Times New Roman" w:eastAsia="仿宋_GB2312" w:cs="Times New Roman"/>
                <w:kern w:val="0"/>
                <w:sz w:val="22"/>
              </w:rPr>
            </w:pPr>
          </w:p>
        </w:tc>
        <w:tc>
          <w:tcPr>
            <w:tcW w:w="355" w:type="pct"/>
            <w:shd w:val="clear" w:color="auto" w:fill="auto"/>
            <w:vAlign w:val="center"/>
          </w:tcPr>
          <w:p>
            <w:pPr>
              <w:widowControl/>
              <w:snapToGrid w:val="0"/>
              <w:jc w:val="center"/>
              <w:rPr>
                <w:rFonts w:ascii="Times New Roman" w:hAnsi="Times New Roman" w:eastAsia="仿宋_GB2312" w:cs="Times New Roman"/>
                <w:kern w:val="0"/>
                <w:sz w:val="24"/>
                <w:szCs w:val="24"/>
              </w:rPr>
            </w:pP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49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9</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外线费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50.00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50.00 </w:t>
            </w:r>
          </w:p>
        </w:tc>
        <w:tc>
          <w:tcPr>
            <w:tcW w:w="355" w:type="pct"/>
            <w:vAlign w:val="center"/>
          </w:tcPr>
          <w:p>
            <w:pPr>
              <w:widowControl/>
              <w:snapToGrid w:val="0"/>
              <w:jc w:val="center"/>
              <w:rPr>
                <w:rFonts w:ascii="Times New Roman" w:hAnsi="Times New Roman" w:eastAsia="仿宋_GB2312" w:cs="Times New Roman"/>
                <w:kern w:val="0"/>
                <w:sz w:val="22"/>
              </w:rPr>
            </w:pPr>
          </w:p>
        </w:tc>
        <w:tc>
          <w:tcPr>
            <w:tcW w:w="355" w:type="pct"/>
            <w:shd w:val="clear" w:color="auto" w:fill="auto"/>
            <w:vAlign w:val="center"/>
          </w:tcPr>
          <w:p>
            <w:pPr>
              <w:widowControl/>
              <w:snapToGrid w:val="0"/>
              <w:jc w:val="center"/>
              <w:rPr>
                <w:rFonts w:ascii="Times New Roman" w:hAnsi="Times New Roman" w:eastAsia="仿宋_GB2312" w:cs="Times New Roman"/>
                <w:kern w:val="0"/>
                <w:sz w:val="24"/>
                <w:szCs w:val="24"/>
              </w:rPr>
            </w:pP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49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kern w:val="0"/>
                <w:sz w:val="24"/>
                <w:szCs w:val="24"/>
              </w:rPr>
            </w:pPr>
          </w:p>
        </w:tc>
        <w:tc>
          <w:tcPr>
            <w:tcW w:w="203"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三</w:t>
            </w:r>
          </w:p>
        </w:tc>
        <w:tc>
          <w:tcPr>
            <w:tcW w:w="660" w:type="pct"/>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预备费</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140.51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140.50 </w:t>
            </w:r>
          </w:p>
        </w:tc>
        <w:tc>
          <w:tcPr>
            <w:tcW w:w="355" w:type="pct"/>
            <w:vAlign w:val="center"/>
          </w:tcPr>
          <w:p>
            <w:pPr>
              <w:widowControl/>
              <w:snapToGrid w:val="0"/>
              <w:jc w:val="center"/>
              <w:rPr>
                <w:rFonts w:ascii="Times New Roman" w:hAnsi="Times New Roman" w:eastAsia="仿宋_GB2312" w:cs="Times New Roman"/>
                <w:kern w:val="0"/>
                <w:sz w:val="22"/>
              </w:rPr>
            </w:pPr>
          </w:p>
        </w:tc>
        <w:tc>
          <w:tcPr>
            <w:tcW w:w="355"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49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kern w:val="0"/>
                <w:sz w:val="24"/>
                <w:szCs w:val="24"/>
              </w:rPr>
            </w:pPr>
          </w:p>
        </w:tc>
        <w:tc>
          <w:tcPr>
            <w:tcW w:w="863" w:type="pct"/>
            <w:gridSpan w:val="2"/>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小计</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4824.10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4823.85 </w:t>
            </w:r>
          </w:p>
        </w:tc>
        <w:tc>
          <w:tcPr>
            <w:tcW w:w="355" w:type="pct"/>
            <w:vAlign w:val="center"/>
          </w:tcPr>
          <w:p>
            <w:pPr>
              <w:widowControl/>
              <w:snapToGrid w:val="0"/>
              <w:jc w:val="center"/>
              <w:rPr>
                <w:rFonts w:ascii="Times New Roman" w:hAnsi="Times New Roman" w:eastAsia="仿宋_GB2312" w:cs="Times New Roman"/>
                <w:b/>
                <w:bCs/>
                <w:kern w:val="0"/>
                <w:sz w:val="22"/>
              </w:rPr>
            </w:pP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4494.06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3600.38 </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3398.17 </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202.21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49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restar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批复外</w:t>
            </w: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涉河论证费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上海渠观工程设计咨询有限公司</w:t>
            </w:r>
          </w:p>
        </w:tc>
        <w:tc>
          <w:tcPr>
            <w:tcW w:w="355"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15.00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12.00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12.00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49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跟测费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上海协力岩土工程勘察有限公司</w:t>
            </w:r>
          </w:p>
        </w:tc>
        <w:tc>
          <w:tcPr>
            <w:tcW w:w="355"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4.70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3.76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3.76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49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选线规划费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上海崇明规划设计有限公司</w:t>
            </w:r>
          </w:p>
        </w:tc>
        <w:tc>
          <w:tcPr>
            <w:tcW w:w="355"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4.90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4.90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4.90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49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绿化补植</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上海金羌实业有限公司</w:t>
            </w:r>
          </w:p>
        </w:tc>
        <w:tc>
          <w:tcPr>
            <w:tcW w:w="355"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14.61 </w:t>
            </w:r>
          </w:p>
        </w:tc>
        <w:tc>
          <w:tcPr>
            <w:tcW w:w="356" w:type="pct"/>
            <w:shd w:val="clear" w:color="auto" w:fill="auto"/>
            <w:noWrap/>
            <w:vAlign w:val="center"/>
          </w:tcPr>
          <w:p>
            <w:pPr>
              <w:widowControl/>
              <w:snapToGrid w:val="0"/>
              <w:jc w:val="left"/>
              <w:rPr>
                <w:rFonts w:ascii="Times New Roman" w:hAnsi="Times New Roman" w:eastAsia="仿宋_GB2312" w:cs="Times New Roman"/>
                <w:kern w:val="0"/>
                <w:sz w:val="24"/>
                <w:szCs w:val="24"/>
              </w:rPr>
            </w:pP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49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kern w:val="0"/>
                <w:sz w:val="24"/>
                <w:szCs w:val="24"/>
              </w:rPr>
            </w:pPr>
          </w:p>
        </w:tc>
        <w:tc>
          <w:tcPr>
            <w:tcW w:w="20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66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临时使用公益林地可行性研究咨询费</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vAlign w:val="center"/>
          </w:tcPr>
          <w:p>
            <w:pPr>
              <w:widowControl/>
              <w:snapToGrid w:val="0"/>
              <w:jc w:val="center"/>
              <w:rPr>
                <w:rFonts w:ascii="Times New Roman" w:hAnsi="Times New Roman" w:eastAsia="仿宋_GB2312" w:cs="Times New Roman"/>
                <w:kern w:val="0"/>
                <w:sz w:val="22"/>
              </w:rPr>
            </w:pPr>
            <w:r>
              <w:rPr>
                <w:rFonts w:hint="eastAsia" w:ascii="Times New Roman" w:hAnsi="Times New Roman" w:eastAsia="仿宋_GB2312" w:cs="Times New Roman"/>
                <w:kern w:val="0"/>
                <w:sz w:val="22"/>
              </w:rPr>
              <w:t>上海半亩苑景观工程有限公司</w:t>
            </w:r>
          </w:p>
        </w:tc>
        <w:tc>
          <w:tcPr>
            <w:tcW w:w="355"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2.00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49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68" w:type="pct"/>
            <w:vMerge w:val="continue"/>
            <w:vAlign w:val="center"/>
          </w:tcPr>
          <w:p>
            <w:pPr>
              <w:widowControl/>
              <w:snapToGrid w:val="0"/>
              <w:jc w:val="left"/>
              <w:rPr>
                <w:rFonts w:ascii="Times New Roman" w:hAnsi="Times New Roman" w:eastAsia="仿宋_GB2312" w:cs="Times New Roman"/>
                <w:kern w:val="0"/>
                <w:sz w:val="24"/>
                <w:szCs w:val="24"/>
              </w:rPr>
            </w:pPr>
          </w:p>
        </w:tc>
        <w:tc>
          <w:tcPr>
            <w:tcW w:w="863" w:type="pct"/>
            <w:gridSpan w:val="2"/>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小计</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0.00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0.00 </w:t>
            </w:r>
          </w:p>
        </w:tc>
        <w:tc>
          <w:tcPr>
            <w:tcW w:w="355" w:type="pct"/>
            <w:vAlign w:val="center"/>
          </w:tcPr>
          <w:p>
            <w:pPr>
              <w:widowControl/>
              <w:snapToGrid w:val="0"/>
              <w:jc w:val="center"/>
              <w:rPr>
                <w:rFonts w:ascii="Times New Roman" w:hAnsi="Times New Roman" w:eastAsia="仿宋_GB2312" w:cs="Times New Roman"/>
                <w:b/>
                <w:bCs/>
                <w:kern w:val="0"/>
                <w:sz w:val="22"/>
              </w:rPr>
            </w:pP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41.21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20.66 </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0.00 </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20.66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49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76"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1031" w:type="pct"/>
            <w:gridSpan w:val="3"/>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合计</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4824.10 </w:t>
            </w:r>
          </w:p>
        </w:tc>
        <w:tc>
          <w:tcPr>
            <w:tcW w:w="3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4823.85 </w:t>
            </w:r>
          </w:p>
        </w:tc>
        <w:tc>
          <w:tcPr>
            <w:tcW w:w="355" w:type="pct"/>
            <w:vAlign w:val="center"/>
          </w:tcPr>
          <w:p>
            <w:pPr>
              <w:widowControl/>
              <w:snapToGrid w:val="0"/>
              <w:jc w:val="center"/>
              <w:rPr>
                <w:rFonts w:ascii="Times New Roman" w:hAnsi="Times New Roman" w:eastAsia="仿宋_GB2312" w:cs="Times New Roman"/>
                <w:b/>
                <w:bCs/>
                <w:kern w:val="0"/>
                <w:sz w:val="22"/>
              </w:rPr>
            </w:pP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4535.27 </w:t>
            </w:r>
          </w:p>
        </w:tc>
        <w:tc>
          <w:tcPr>
            <w:tcW w:w="356"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3621.04 </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3398.17 </w:t>
            </w:r>
          </w:p>
        </w:tc>
        <w:tc>
          <w:tcPr>
            <w:tcW w:w="35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222.87 </w:t>
            </w:r>
          </w:p>
        </w:tc>
        <w:tc>
          <w:tcPr>
            <w:tcW w:w="456"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c>
          <w:tcPr>
            <w:tcW w:w="495"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w:t>
            </w:r>
          </w:p>
        </w:tc>
      </w:tr>
    </w:tbl>
    <w:p>
      <w:pPr>
        <w:pStyle w:val="22"/>
      </w:pPr>
    </w:p>
    <w:p>
      <w:pPr>
        <w:pStyle w:val="22"/>
        <w:sectPr>
          <w:pgSz w:w="16838" w:h="11906" w:orient="landscape"/>
          <w:pgMar w:top="1587" w:right="2098" w:bottom="1474" w:left="1984" w:header="851" w:footer="992" w:gutter="0"/>
          <w:cols w:space="0" w:num="1"/>
          <w:docGrid w:type="lines" w:linePitch="312" w:charSpace="0"/>
        </w:sectPr>
      </w:pPr>
    </w:p>
    <w:p>
      <w:pPr>
        <w:pStyle w:val="26"/>
        <w:ind w:firstLine="640"/>
      </w:pPr>
      <w:bookmarkStart w:id="81" w:name="_Toc171093920"/>
      <w:r>
        <w:rPr>
          <w:rFonts w:hint="eastAsia"/>
        </w:rPr>
        <w:t>（四）项目的组织及管理</w:t>
      </w:r>
      <w:bookmarkEnd w:id="81"/>
    </w:p>
    <w:p>
      <w:pPr>
        <w:pStyle w:val="24"/>
        <w:ind w:firstLine="643"/>
      </w:pPr>
      <w:bookmarkStart w:id="82" w:name="_Toc169439186"/>
      <w:bookmarkStart w:id="83" w:name="_Toc171093921"/>
      <w:bookmarkStart w:id="84" w:name="_Toc169390950"/>
      <w:r>
        <w:rPr>
          <w:rFonts w:hint="eastAsia"/>
        </w:rPr>
        <w:t>1.项目组织与职责</w:t>
      </w:r>
      <w:bookmarkEnd w:id="82"/>
      <w:bookmarkEnd w:id="83"/>
      <w:bookmarkEnd w:id="84"/>
    </w:p>
    <w:p>
      <w:pPr>
        <w:pStyle w:val="22"/>
      </w:pPr>
      <w:r>
        <w:t>污水管网完善工程（堡镇-五效集镇区和新河-新民集镇区）项目的行业管理部门为崇明区水务局，项目法人单位为堡镇人民政府、新河镇人民政府，实施单位为堡镇水务所、新河镇规划建设和生态环境办公室，还涉及崇明区发展和改革委员会、崇明区建设和管理委员会等，项目组织架构如下：</w:t>
      </w:r>
    </w:p>
    <w:p>
      <w:pPr>
        <w:pStyle w:val="22"/>
      </w:pPr>
      <w:r>
        <w:t>（</w:t>
      </w:r>
      <w:r>
        <w:rPr>
          <w:rFonts w:hint="eastAsia"/>
        </w:rPr>
        <w:t>1</w:t>
      </w:r>
      <w:r>
        <w:t>）崇明区发展和改革委员会</w:t>
      </w:r>
    </w:p>
    <w:p>
      <w:pPr>
        <w:pStyle w:val="22"/>
      </w:pPr>
      <w:r>
        <w:rPr>
          <w:rFonts w:hint="eastAsia"/>
        </w:rPr>
        <w:t>负责会同相关部门选定使用专项债券的项目，并上报上海市发改委审批；</w:t>
      </w:r>
      <w:r>
        <w:t>负责对项目估算进行审核并下达批复</w:t>
      </w:r>
      <w:r>
        <w:rPr>
          <w:rFonts w:hint="eastAsia"/>
        </w:rPr>
        <w:t>等。</w:t>
      </w:r>
    </w:p>
    <w:p>
      <w:pPr>
        <w:pStyle w:val="22"/>
      </w:pPr>
      <w:r>
        <w:rPr>
          <w:rFonts w:hint="eastAsia"/>
        </w:rPr>
        <w:t>（2）</w:t>
      </w:r>
      <w:r>
        <w:t>崇明区建设和管理委员会</w:t>
      </w:r>
    </w:p>
    <w:p>
      <w:pPr>
        <w:pStyle w:val="22"/>
      </w:pPr>
      <w:r>
        <w:t>负责对项目</w:t>
      </w:r>
      <w:r>
        <w:rPr>
          <w:rFonts w:hint="eastAsia"/>
        </w:rPr>
        <w:t>初步设计</w:t>
      </w:r>
      <w:r>
        <w:t>进行审核并下达批复</w:t>
      </w:r>
      <w:r>
        <w:rPr>
          <w:rFonts w:hint="eastAsia"/>
        </w:rPr>
        <w:t>；</w:t>
      </w:r>
      <w:r>
        <w:t>负责施工许可证的办理等。</w:t>
      </w:r>
    </w:p>
    <w:p>
      <w:pPr>
        <w:pStyle w:val="22"/>
      </w:pPr>
      <w:r>
        <w:rPr>
          <w:rFonts w:hint="eastAsia"/>
        </w:rPr>
        <w:t>（3）</w:t>
      </w:r>
      <w:r>
        <w:t>崇明区财政局</w:t>
      </w:r>
    </w:p>
    <w:p>
      <w:pPr>
        <w:pStyle w:val="22"/>
      </w:pPr>
      <w:r>
        <w:rPr>
          <w:rFonts w:hint="eastAsia"/>
        </w:rPr>
        <w:t>负责根据区发改委确定的项目和区水务局申报的资金需求向市级相关部门提出申请；负责市、区资金的管理、转移支付等。</w:t>
      </w:r>
    </w:p>
    <w:p>
      <w:pPr>
        <w:pStyle w:val="22"/>
      </w:pPr>
      <w:r>
        <w:t>（</w:t>
      </w:r>
      <w:r>
        <w:rPr>
          <w:rFonts w:hint="eastAsia"/>
        </w:rPr>
        <w:t>4</w:t>
      </w:r>
      <w:r>
        <w:t>）崇明区水务局</w:t>
      </w:r>
    </w:p>
    <w:p>
      <w:pPr>
        <w:pStyle w:val="22"/>
      </w:pPr>
      <w:r>
        <w:t>行业管理部门</w:t>
      </w:r>
      <w:r>
        <w:rPr>
          <w:rFonts w:hint="eastAsia"/>
        </w:rPr>
        <w:t>，</w:t>
      </w:r>
      <w:r>
        <w:t>负责审核各镇上报的材料并向市级部门申报项目立项；负责市级补助资金的申报；给排水科负责审核预算单位提出的款项拨付申请；给排水所负责业务管理</w:t>
      </w:r>
      <w:r>
        <w:rPr>
          <w:rFonts w:hint="eastAsia"/>
        </w:rPr>
        <w:t>等；负责审核</w:t>
      </w:r>
      <w:r>
        <w:t>预算单位提出的款项拨付申请</w:t>
      </w:r>
      <w:r>
        <w:rPr>
          <w:rFonts w:hint="eastAsia"/>
        </w:rPr>
        <w:t>等。</w:t>
      </w:r>
    </w:p>
    <w:p>
      <w:pPr>
        <w:pStyle w:val="22"/>
      </w:pPr>
      <w:r>
        <w:t>（</w:t>
      </w:r>
      <w:r>
        <w:rPr>
          <w:rFonts w:hint="eastAsia"/>
        </w:rPr>
        <w:t>5</w:t>
      </w:r>
      <w:r>
        <w:t>）崇明区水务建设工程安全质量监督站</w:t>
      </w:r>
    </w:p>
    <w:p>
      <w:pPr>
        <w:pStyle w:val="22"/>
      </w:pPr>
      <w:r>
        <w:t>安全和质量监督机构</w:t>
      </w:r>
      <w:r>
        <w:rPr>
          <w:rFonts w:hint="eastAsia"/>
        </w:rPr>
        <w:t>，</w:t>
      </w:r>
      <w:r>
        <w:t>负责</w:t>
      </w:r>
      <w:r>
        <w:rPr>
          <w:rFonts w:hint="eastAsia"/>
        </w:rPr>
        <w:t>污水管网完善工程</w:t>
      </w:r>
      <w:r>
        <w:t>项目</w:t>
      </w:r>
      <w:r>
        <w:rPr>
          <w:rFonts w:hint="eastAsia"/>
        </w:rPr>
        <w:t>的</w:t>
      </w:r>
      <w:r>
        <w:t>安全和质量管理、进度管理等。</w:t>
      </w:r>
    </w:p>
    <w:p>
      <w:pPr>
        <w:pStyle w:val="22"/>
      </w:pPr>
      <w:r>
        <w:t>（</w:t>
      </w:r>
      <w:r>
        <w:rPr>
          <w:rFonts w:hint="eastAsia"/>
        </w:rPr>
        <w:t>6</w:t>
      </w:r>
      <w:r>
        <w:t>）崇明区堡镇人民政府、崇明区新河镇人民政府</w:t>
      </w:r>
    </w:p>
    <w:p>
      <w:pPr>
        <w:pStyle w:val="22"/>
      </w:pPr>
      <w:r>
        <w:t>建设单位</w:t>
      </w:r>
      <w:r>
        <w:rPr>
          <w:rFonts w:hint="eastAsia"/>
        </w:rPr>
        <w:t>，</w:t>
      </w:r>
      <w:r>
        <w:t>负责统筹、指导、监督项目实施；负责审核经费支付申请并由镇财政所支付资金至各第三方单位</w:t>
      </w:r>
      <w:r>
        <w:rPr>
          <w:rFonts w:hint="eastAsia"/>
        </w:rPr>
        <w:t>。</w:t>
      </w:r>
      <w:r>
        <w:t>堡镇水务管理所、新河镇规划建设和生态环境办公室</w:t>
      </w:r>
      <w:r>
        <w:rPr>
          <w:rFonts w:hint="eastAsia"/>
        </w:rPr>
        <w:t>为具体实施单位，</w:t>
      </w:r>
      <w:r>
        <w:t>负责项目的立项申请；负责编制项目预算；负责填报预算绩效目标；负责组织招投标工作确定设计、施工、监理等第三方单位并参与项目过程监督、竣工验收、结算等工作。</w:t>
      </w:r>
    </w:p>
    <w:p>
      <w:pPr>
        <w:pStyle w:val="22"/>
      </w:pPr>
      <w:r>
        <w:t>（</w:t>
      </w:r>
      <w:r>
        <w:rPr>
          <w:rFonts w:hint="eastAsia"/>
        </w:rPr>
        <w:t>7</w:t>
      </w:r>
      <w:r>
        <w:t>）其他：第三方单位</w:t>
      </w:r>
    </w:p>
    <w:p>
      <w:pPr>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堡镇、新河镇污水管网完善项目涉及的第三方单位主要包括勘察、设计、代建、监理、跟测、物探、选线规划、涉河论证等，各单位其职能职责详见表1-</w:t>
      </w:r>
      <w:r>
        <w:rPr>
          <w:rFonts w:hint="eastAsia" w:ascii="Times New Roman" w:hAnsi="Times New Roman" w:eastAsia="仿宋" w:cs="Times New Roman"/>
          <w:sz w:val="32"/>
          <w:szCs w:val="32"/>
        </w:rPr>
        <w:t>7</w:t>
      </w:r>
      <w:r>
        <w:rPr>
          <w:rFonts w:ascii="Times New Roman" w:hAnsi="Times New Roman" w:eastAsia="仿宋" w:cs="Times New Roman"/>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项目组织结构如下：</w:t>
      </w:r>
    </w:p>
    <w:p>
      <w:pPr>
        <w:jc w:val="center"/>
        <w:rPr>
          <w:rFonts w:ascii="仿宋_GB2312" w:eastAsia="仿宋_GB2312"/>
          <w:sz w:val="32"/>
          <w:szCs w:val="32"/>
        </w:rPr>
      </w:pPr>
      <w:r>
        <w:rPr>
          <w:rFonts w:ascii="仿宋_GB2312" w:eastAsia="仿宋_GB2312"/>
          <w:sz w:val="32"/>
          <w:szCs w:val="32"/>
        </w:rPr>
        <w:drawing>
          <wp:inline distT="0" distB="0" distL="0" distR="0">
            <wp:extent cx="4376420" cy="3437890"/>
            <wp:effectExtent l="0" t="0" r="5080" b="0"/>
            <wp:docPr id="1279982431"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79982431" name="图片 2"/>
                    <pic:cNvPicPr>
                      <a:picLocks noChangeAspect="true" noChangeArrowheads="true"/>
                    </pic:cNvPicPr>
                  </pic:nvPicPr>
                  <pic:blipFill>
                    <a:blip r:embed="rId6">
                      <a:extLst>
                        <a:ext uri="{28A0092B-C50C-407E-A947-70E740481C1C}">
                          <a14:useLocalDpi xmlns:a14="http://schemas.microsoft.com/office/drawing/2010/main" val="false"/>
                        </a:ext>
                      </a:extLst>
                    </a:blip>
                    <a:srcRect/>
                    <a:stretch>
                      <a:fillRect/>
                    </a:stretch>
                  </pic:blipFill>
                  <pic:spPr>
                    <a:xfrm>
                      <a:off x="0" y="0"/>
                      <a:ext cx="4384832" cy="3444580"/>
                    </a:xfrm>
                    <a:prstGeom prst="rect">
                      <a:avLst/>
                    </a:prstGeom>
                    <a:noFill/>
                  </pic:spPr>
                </pic:pic>
              </a:graphicData>
            </a:graphic>
          </wp:inline>
        </w:drawing>
      </w:r>
    </w:p>
    <w:p>
      <w:pPr>
        <w:jc w:val="center"/>
        <w:rPr>
          <w:rFonts w:ascii="仿宋_GB2312" w:eastAsia="仿宋_GB2312"/>
          <w:b/>
          <w:bCs/>
          <w:sz w:val="32"/>
          <w:szCs w:val="32"/>
        </w:rPr>
      </w:pPr>
      <w:r>
        <w:rPr>
          <w:rFonts w:hint="eastAsia" w:ascii="仿宋_GB2312" w:eastAsia="仿宋_GB2312"/>
          <w:b/>
          <w:bCs/>
          <w:sz w:val="28"/>
          <w:szCs w:val="28"/>
        </w:rPr>
        <w:t>图1：项目组织架构图</w:t>
      </w:r>
    </w:p>
    <w:p>
      <w:pPr>
        <w:pStyle w:val="24"/>
        <w:ind w:firstLine="643"/>
      </w:pPr>
      <w:bookmarkStart w:id="85" w:name="_Toc171093922"/>
      <w:bookmarkStart w:id="86" w:name="_Toc169390951"/>
      <w:bookmarkStart w:id="87" w:name="_Toc169439187"/>
      <w:r>
        <w:rPr>
          <w:rFonts w:hint="eastAsia"/>
        </w:rPr>
        <w:t>2.项目管理</w:t>
      </w:r>
      <w:bookmarkEnd w:id="85"/>
      <w:bookmarkEnd w:id="86"/>
      <w:bookmarkEnd w:id="87"/>
    </w:p>
    <w:p>
      <w:pPr>
        <w:pStyle w:val="22"/>
        <w:ind w:firstLine="643"/>
      </w:pPr>
      <w:r>
        <w:rPr>
          <w:b/>
          <w:bCs w:val="0"/>
        </w:rPr>
        <w:t>（1）管理制度</w:t>
      </w:r>
    </w:p>
    <w:p>
      <w:pPr>
        <w:pStyle w:val="22"/>
      </w:pPr>
      <w:r>
        <w:t>污水管网完善工程（堡镇-五效集镇区和新河-新民集镇区）项目的实施严格按照国家、上海市相关政策文件以及《关于印发&lt;推进崇明区污水管网完善工程的实施意见&gt;的通知》（沪崇水务〔2019〕237 号）、《关于加快推进本区撤制乡镇污水管网完善工程的通知》（崇河长办〔2021〕11 号）、《崇明世界级生态岛建设第五轮三年行动计划（2022-2024年）》（沪崇生态办〔2022〕1号）等政策文件规定执行。</w:t>
      </w:r>
      <w:r>
        <w:rPr>
          <w:rFonts w:hint="eastAsia"/>
        </w:rPr>
        <w:t>管网建设方面，主要是参照《给水排水管道工程施工及验收规范 》（GB50268-2008）、《污水排入城镇下水道水质标准》（GB/T 31962-2015）、《城镇排水管道设计规程》（DG/TJ 08-2222-2016）等行业规范文件进行设计及敷设。崇明区级及两镇相关部门未再针对该项目单独制定管理制度。</w:t>
      </w:r>
    </w:p>
    <w:p>
      <w:pPr>
        <w:pStyle w:val="22"/>
        <w:ind w:firstLine="643"/>
      </w:pPr>
      <w:r>
        <w:rPr>
          <w:b/>
          <w:bCs w:val="0"/>
        </w:rPr>
        <w:t>（2）业务管理</w:t>
      </w:r>
    </w:p>
    <w:p>
      <w:pPr>
        <w:pStyle w:val="22"/>
        <w:ind w:firstLine="643"/>
      </w:pPr>
      <w:r>
        <w:rPr>
          <w:rFonts w:hint="eastAsia"/>
          <w:b/>
        </w:rPr>
        <w:t>①计划制定：</w:t>
      </w:r>
      <w:r>
        <w:rPr>
          <w:bCs w:val="0"/>
        </w:rPr>
        <w:t>新河</w:t>
      </w:r>
      <w:r>
        <w:rPr>
          <w:rFonts w:hint="eastAsia"/>
          <w:bCs w:val="0"/>
        </w:rPr>
        <w:t>镇</w:t>
      </w:r>
      <w:r>
        <w:rPr>
          <w:bCs w:val="0"/>
        </w:rPr>
        <w:t>污水管网完善工程项目未制定实施计划</w:t>
      </w:r>
      <w:r>
        <w:rPr>
          <w:rFonts w:hint="eastAsia"/>
          <w:bCs w:val="0"/>
        </w:rPr>
        <w:t>；</w:t>
      </w:r>
      <w:r>
        <w:rPr>
          <w:bCs w:val="0"/>
        </w:rPr>
        <w:t>堡镇</w:t>
      </w:r>
      <w:r>
        <w:t>污水管网完善工程项目计划于2021年10月开展招投标，至2022年6月完成施工，具体实施计划如下： 2021年10月，完成施工招投标工作； 2021年11月，项目开工； 2021年12月，完成总工程量45%； 2022年1月，完成总工程量70%；2022年6月，完成全部工程量。</w:t>
      </w:r>
    </w:p>
    <w:p>
      <w:pPr>
        <w:pStyle w:val="22"/>
        <w:ind w:firstLine="643"/>
      </w:pPr>
      <w:r>
        <w:rPr>
          <w:rFonts w:hint="eastAsia"/>
          <w:b/>
        </w:rPr>
        <w:t>②</w:t>
      </w:r>
      <w:r>
        <w:rPr>
          <w:b/>
        </w:rPr>
        <w:t>前期报批：</w:t>
      </w:r>
      <w:r>
        <w:t>污水管网完善工程项目实施前，首先由堡镇人民政府、新河镇人民政府委托第三方单位形成可行性研究报告后上报区发改委审核，经区发改委委托第三方单位评估评审后下达批复，明确项目建设内容及投资估算；后根据区发改委下达的批复委托第三方单位编制初步设计文件后上报区建管委审核，经区建管委征询相关委办局意见后下达初设批复。</w:t>
      </w:r>
    </w:p>
    <w:p>
      <w:pPr>
        <w:pStyle w:val="22"/>
      </w:pPr>
      <w:r>
        <w:rPr>
          <w:rFonts w:hint="eastAsia"/>
        </w:rPr>
        <w:t>堡镇</w:t>
      </w:r>
      <w:r>
        <w:t>项目于2021年4月完成可行性研究报告编制并推进报批，经区发改委审批后于6月3日下达可研批复；2021年6月完成初步设计报告编制后推进报批，经区建管委审批后于7月21日下达初设批复。</w:t>
      </w:r>
    </w:p>
    <w:p>
      <w:pPr>
        <w:pStyle w:val="22"/>
      </w:pPr>
      <w:r>
        <w:rPr>
          <w:rFonts w:hint="eastAsia"/>
        </w:rPr>
        <w:t>新河镇</w:t>
      </w:r>
      <w:r>
        <w:t>项目于2021年5月完成可行性研究报告编制并推进报批，经区发改委审批后于6月3日下达可研批复；2021年7月完成初步设计报告编制后推进报批，经区建管委审批后于8月10日下达初设批复。</w:t>
      </w:r>
    </w:p>
    <w:p>
      <w:pPr>
        <w:pStyle w:val="22"/>
        <w:ind w:firstLine="643"/>
      </w:pPr>
      <w:r>
        <w:rPr>
          <w:rFonts w:hint="eastAsia" w:ascii="宋体" w:hAnsi="宋体" w:eastAsia="宋体" w:cs="宋体"/>
          <w:b/>
        </w:rPr>
        <w:t>③</w:t>
      </w:r>
      <w:r>
        <w:rPr>
          <w:b/>
        </w:rPr>
        <w:t>项目采购：</w:t>
      </w:r>
      <w:r>
        <w:t>项目经相关部门审批立项后，由堡镇水务所、新河镇规划办负责项目的具体实施，其中：堡镇通过三方比价委托招标代理机构以公开招标的方式确定施工单位，新河镇通过邀标的方式委托招标代理机构以公开招标的方式确定施工单位，其他第三方单位的采购方式主要为邀标和三方比价等。具体</w:t>
      </w:r>
      <w:r>
        <w:rPr>
          <w:rFonts w:hint="eastAsia"/>
        </w:rPr>
        <w:t>见表1-7。</w:t>
      </w:r>
    </w:p>
    <w:p>
      <w:pPr>
        <w:pStyle w:val="22"/>
        <w:ind w:firstLine="643"/>
      </w:pPr>
      <w:r>
        <w:rPr>
          <w:rFonts w:hint="eastAsia"/>
          <w:b/>
          <w:bCs w:val="0"/>
        </w:rPr>
        <w:t>④合同签订：</w:t>
      </w:r>
      <w:r>
        <w:t>堡镇取得项目批复后，委托招标代理机构开展招投标确定施工单位，9月29日发布中标通知书，中标单位为上海瑞昆建设股份有限公司，9月30日双方签订施工合同，明确合同工期为2021年10月2日至2021年12月30日共90个日历天。</w:t>
      </w:r>
    </w:p>
    <w:p>
      <w:pPr>
        <w:pStyle w:val="22"/>
      </w:pPr>
      <w:r>
        <w:t>新河取得项目批复后，委托招标代理机构开展招投标确定施工单位，9月28日发布中标通知书，中标单位为上海新旌建设工程有限公司，10月8日双方签订施工合同，明确合同工期为2021年10月1日至2022年5月28日共240个日历天；泵站合同中约定的交货时间为2022年2月15日。</w:t>
      </w:r>
    </w:p>
    <w:p>
      <w:pPr>
        <w:pStyle w:val="22"/>
        <w:ind w:firstLine="0" w:firstLineChars="0"/>
        <w:jc w:val="center"/>
        <w:rPr>
          <w:b/>
          <w:bCs w:val="0"/>
          <w:sz w:val="28"/>
          <w:szCs w:val="24"/>
        </w:rPr>
      </w:pPr>
      <w:r>
        <w:rPr>
          <w:b/>
          <w:bCs w:val="0"/>
          <w:sz w:val="28"/>
          <w:szCs w:val="24"/>
        </w:rPr>
        <w:t>表1-</w:t>
      </w:r>
      <w:r>
        <w:rPr>
          <w:rFonts w:hint="eastAsia"/>
          <w:b/>
          <w:bCs w:val="0"/>
          <w:sz w:val="28"/>
          <w:szCs w:val="24"/>
        </w:rPr>
        <w:t>7</w:t>
      </w:r>
      <w:r>
        <w:rPr>
          <w:b/>
          <w:bCs w:val="0"/>
          <w:sz w:val="28"/>
          <w:szCs w:val="24"/>
        </w:rPr>
        <w:t>：第三方单位采购方式及职能职责统计表</w:t>
      </w:r>
    </w:p>
    <w:tbl>
      <w:tblPr>
        <w:tblStyle w:val="12"/>
        <w:tblW w:w="5320" w:type="pct"/>
        <w:tblInd w:w="-318" w:type="dxa"/>
        <w:tblLayout w:type="fixed"/>
        <w:tblCellMar>
          <w:top w:w="0" w:type="dxa"/>
          <w:left w:w="108" w:type="dxa"/>
          <w:bottom w:w="0" w:type="dxa"/>
          <w:right w:w="108" w:type="dxa"/>
        </w:tblCellMar>
      </w:tblPr>
      <w:tblGrid>
        <w:gridCol w:w="579"/>
        <w:gridCol w:w="1007"/>
        <w:gridCol w:w="1936"/>
        <w:gridCol w:w="848"/>
        <w:gridCol w:w="1814"/>
        <w:gridCol w:w="848"/>
        <w:gridCol w:w="2609"/>
      </w:tblGrid>
      <w:tr>
        <w:tblPrEx>
          <w:tblCellMar>
            <w:top w:w="0" w:type="dxa"/>
            <w:left w:w="108" w:type="dxa"/>
            <w:bottom w:w="0" w:type="dxa"/>
            <w:right w:w="108" w:type="dxa"/>
          </w:tblCellMar>
        </w:tblPrEx>
        <w:trPr>
          <w:trHeight w:val="300" w:hRule="atLeast"/>
          <w:tblHeader/>
        </w:trPr>
        <w:tc>
          <w:tcPr>
            <w:tcW w:w="3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序号</w:t>
            </w:r>
          </w:p>
        </w:tc>
        <w:tc>
          <w:tcPr>
            <w:tcW w:w="5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类别</w:t>
            </w:r>
          </w:p>
        </w:tc>
        <w:tc>
          <w:tcPr>
            <w:tcW w:w="282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第三方单位</w:t>
            </w:r>
          </w:p>
        </w:tc>
        <w:tc>
          <w:tcPr>
            <w:tcW w:w="13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职责职责</w:t>
            </w:r>
          </w:p>
        </w:tc>
      </w:tr>
      <w:tr>
        <w:tblPrEx>
          <w:tblCellMar>
            <w:top w:w="0" w:type="dxa"/>
            <w:left w:w="108" w:type="dxa"/>
            <w:bottom w:w="0" w:type="dxa"/>
            <w:right w:w="108" w:type="dxa"/>
          </w:tblCellMar>
        </w:tblPrEx>
        <w:trPr>
          <w:trHeight w:val="300" w:hRule="atLeast"/>
          <w:tblHeader/>
        </w:trPr>
        <w:tc>
          <w:tcPr>
            <w:tcW w:w="300"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b/>
                <w:bCs/>
                <w:kern w:val="0"/>
                <w:sz w:val="24"/>
                <w:szCs w:val="24"/>
              </w:rPr>
            </w:pPr>
          </w:p>
        </w:tc>
        <w:tc>
          <w:tcPr>
            <w:tcW w:w="522"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b/>
                <w:bCs/>
                <w:kern w:val="0"/>
                <w:sz w:val="24"/>
                <w:szCs w:val="24"/>
              </w:rPr>
            </w:pP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堡镇</w:t>
            </w:r>
          </w:p>
        </w:tc>
        <w:tc>
          <w:tcPr>
            <w:tcW w:w="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采购方式</w:t>
            </w:r>
          </w:p>
        </w:tc>
        <w:tc>
          <w:tcPr>
            <w:tcW w:w="9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新河</w:t>
            </w:r>
            <w:r>
              <w:rPr>
                <w:rFonts w:hint="eastAsia" w:ascii="Times New Roman" w:hAnsi="Times New Roman" w:eastAsia="仿宋_GB2312" w:cs="Times New Roman"/>
                <w:b/>
                <w:bCs/>
                <w:kern w:val="0"/>
                <w:sz w:val="24"/>
                <w:szCs w:val="24"/>
              </w:rPr>
              <w:t>镇</w:t>
            </w:r>
          </w:p>
        </w:tc>
        <w:tc>
          <w:tcPr>
            <w:tcW w:w="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采购方式</w:t>
            </w:r>
          </w:p>
        </w:tc>
        <w:tc>
          <w:tcPr>
            <w:tcW w:w="135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b/>
                <w:bCs/>
                <w:kern w:val="0"/>
                <w:sz w:val="24"/>
                <w:szCs w:val="24"/>
              </w:rPr>
            </w:pPr>
          </w:p>
        </w:tc>
      </w:tr>
      <w:tr>
        <w:tblPrEx>
          <w:tblCellMar>
            <w:top w:w="0" w:type="dxa"/>
            <w:left w:w="108" w:type="dxa"/>
            <w:bottom w:w="0" w:type="dxa"/>
            <w:right w:w="108" w:type="dxa"/>
          </w:tblCellMar>
        </w:tblPrEx>
        <w:trPr>
          <w:trHeight w:val="48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施工单位</w:t>
            </w:r>
          </w:p>
        </w:tc>
        <w:tc>
          <w:tcPr>
            <w:tcW w:w="10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上海瑞昆建设股份有限公司</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公开招标</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上海新旌建设工程有限公司</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公开招标、邀标（泵站建设）</w:t>
            </w:r>
          </w:p>
        </w:tc>
        <w:tc>
          <w:tcPr>
            <w:tcW w:w="1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负责按照招投标文件及合同约定完成管道敷设，新建检查井、泵站、截流井等，以及道路修复等相关工作。</w:t>
            </w:r>
          </w:p>
        </w:tc>
      </w:tr>
      <w:tr>
        <w:tblPrEx>
          <w:tblCellMar>
            <w:top w:w="0" w:type="dxa"/>
            <w:left w:w="108" w:type="dxa"/>
            <w:bottom w:w="0" w:type="dxa"/>
            <w:right w:w="108" w:type="dxa"/>
          </w:tblCellMar>
        </w:tblPrEx>
        <w:trPr>
          <w:trHeight w:val="48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代建单位</w:t>
            </w:r>
          </w:p>
        </w:tc>
        <w:tc>
          <w:tcPr>
            <w:tcW w:w="10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上海港裕企业发展有限公司</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邀标</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上海郅丰建筑工程有限公司</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邀标</w:t>
            </w:r>
          </w:p>
        </w:tc>
        <w:tc>
          <w:tcPr>
            <w:tcW w:w="1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负负责根据代建合同要求对本项目工程和施工过程进行管理。</w:t>
            </w:r>
          </w:p>
        </w:tc>
      </w:tr>
      <w:tr>
        <w:tblPrEx>
          <w:tblCellMar>
            <w:top w:w="0" w:type="dxa"/>
            <w:left w:w="108" w:type="dxa"/>
            <w:bottom w:w="0" w:type="dxa"/>
            <w:right w:w="108" w:type="dxa"/>
          </w:tblCellMar>
        </w:tblPrEx>
        <w:trPr>
          <w:trHeight w:val="2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可研报告编制单位</w:t>
            </w:r>
          </w:p>
        </w:tc>
        <w:tc>
          <w:tcPr>
            <w:tcW w:w="10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上海浦东建设设计研究院有限公司</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比价</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上海容基工程项目管理有限公司</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1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负责按照合同约定完成可研报告的编制。</w:t>
            </w:r>
          </w:p>
        </w:tc>
      </w:tr>
      <w:tr>
        <w:tblPrEx>
          <w:tblCellMar>
            <w:top w:w="0" w:type="dxa"/>
            <w:left w:w="108" w:type="dxa"/>
            <w:bottom w:w="0" w:type="dxa"/>
            <w:right w:w="108" w:type="dxa"/>
          </w:tblCellMar>
        </w:tblPrEx>
        <w:trPr>
          <w:trHeight w:val="48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招标代理单位</w:t>
            </w:r>
          </w:p>
        </w:tc>
        <w:tc>
          <w:tcPr>
            <w:tcW w:w="10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上海建正建设工程咨询有限公司</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比价</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上海建正建设工程咨询有限公司</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邀标</w:t>
            </w:r>
          </w:p>
        </w:tc>
        <w:tc>
          <w:tcPr>
            <w:tcW w:w="1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负责根据招标代理合同完成工程、监理招标工作。</w:t>
            </w:r>
          </w:p>
        </w:tc>
      </w:tr>
      <w:tr>
        <w:tblPrEx>
          <w:tblCellMar>
            <w:top w:w="0" w:type="dxa"/>
            <w:left w:w="108" w:type="dxa"/>
            <w:bottom w:w="0" w:type="dxa"/>
            <w:right w:w="108" w:type="dxa"/>
          </w:tblCellMar>
        </w:tblPrEx>
        <w:trPr>
          <w:trHeight w:val="9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施工监理单位</w:t>
            </w:r>
          </w:p>
        </w:tc>
        <w:tc>
          <w:tcPr>
            <w:tcW w:w="10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上海协恒工程管理有限公司</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邀标</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上海同建工程建设监理咨询有限责任公司</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邀标</w:t>
            </w:r>
          </w:p>
        </w:tc>
        <w:tc>
          <w:tcPr>
            <w:tcW w:w="1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负责项目工程监理工作。</w:t>
            </w:r>
          </w:p>
        </w:tc>
      </w:tr>
      <w:tr>
        <w:tblPrEx>
          <w:tblCellMar>
            <w:top w:w="0" w:type="dxa"/>
            <w:left w:w="108" w:type="dxa"/>
            <w:bottom w:w="0" w:type="dxa"/>
            <w:right w:w="108" w:type="dxa"/>
          </w:tblCellMar>
        </w:tblPrEx>
        <w:trPr>
          <w:trHeight w:val="48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财务监理单位</w:t>
            </w:r>
          </w:p>
        </w:tc>
        <w:tc>
          <w:tcPr>
            <w:tcW w:w="10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上海瑞风工程造价咨询有限公司</w:t>
            </w:r>
          </w:p>
        </w:tc>
        <w:tc>
          <w:tcPr>
            <w:tcW w:w="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区财政委派</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上海瑞风工程造价咨询有限公司</w:t>
            </w:r>
          </w:p>
        </w:tc>
        <w:tc>
          <w:tcPr>
            <w:tcW w:w="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区财政委派</w:t>
            </w:r>
          </w:p>
        </w:tc>
        <w:tc>
          <w:tcPr>
            <w:tcW w:w="1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负责项目财务监理工作。</w:t>
            </w:r>
          </w:p>
        </w:tc>
      </w:tr>
      <w:tr>
        <w:tblPrEx>
          <w:tblCellMar>
            <w:top w:w="0" w:type="dxa"/>
            <w:left w:w="108" w:type="dxa"/>
            <w:bottom w:w="0" w:type="dxa"/>
            <w:right w:w="108" w:type="dxa"/>
          </w:tblCellMar>
        </w:tblPrEx>
        <w:trPr>
          <w:trHeight w:val="48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7</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勘察单位</w:t>
            </w:r>
          </w:p>
        </w:tc>
        <w:tc>
          <w:tcPr>
            <w:tcW w:w="10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上海海洋地质勘察设计有限公司</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邀标</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上海协力岩土工程勘察有限公司</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邀标</w:t>
            </w:r>
          </w:p>
        </w:tc>
        <w:tc>
          <w:tcPr>
            <w:tcW w:w="1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负责根据勘察设计合同完成前期勘察设计工作。</w:t>
            </w:r>
          </w:p>
        </w:tc>
      </w:tr>
      <w:tr>
        <w:tblPrEx>
          <w:tblCellMar>
            <w:top w:w="0" w:type="dxa"/>
            <w:left w:w="108" w:type="dxa"/>
            <w:bottom w:w="0" w:type="dxa"/>
            <w:right w:w="108" w:type="dxa"/>
          </w:tblCellMar>
        </w:tblPrEx>
        <w:trPr>
          <w:trHeight w:val="48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8</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设计单位</w:t>
            </w:r>
          </w:p>
        </w:tc>
        <w:tc>
          <w:tcPr>
            <w:tcW w:w="10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上海浦东建设设计研究院有限公司</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邀标</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上海市政交通设计研究院有限公司</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公开招标</w:t>
            </w:r>
          </w:p>
        </w:tc>
        <w:tc>
          <w:tcPr>
            <w:tcW w:w="1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负责按照合同约定完成设计报告的编制。</w:t>
            </w:r>
          </w:p>
        </w:tc>
      </w:tr>
      <w:tr>
        <w:tblPrEx>
          <w:tblCellMar>
            <w:top w:w="0" w:type="dxa"/>
            <w:left w:w="108" w:type="dxa"/>
            <w:bottom w:w="0" w:type="dxa"/>
            <w:right w:w="108" w:type="dxa"/>
          </w:tblCellMar>
        </w:tblPrEx>
        <w:trPr>
          <w:trHeight w:val="48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9</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跟测单位</w:t>
            </w:r>
          </w:p>
        </w:tc>
        <w:tc>
          <w:tcPr>
            <w:tcW w:w="10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上海瀛测测绘服务有限公司</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比价</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上海协力岩土工程勘察有限公司</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1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负责按照合同约定完成地下管线的跟踪测量。</w:t>
            </w:r>
          </w:p>
        </w:tc>
      </w:tr>
      <w:tr>
        <w:tblPrEx>
          <w:tblCellMar>
            <w:top w:w="0" w:type="dxa"/>
            <w:left w:w="108" w:type="dxa"/>
            <w:bottom w:w="0" w:type="dxa"/>
            <w:right w:w="108" w:type="dxa"/>
          </w:tblCellMar>
        </w:tblPrEx>
        <w:trPr>
          <w:trHeight w:val="48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物探单位</w:t>
            </w:r>
          </w:p>
        </w:tc>
        <w:tc>
          <w:tcPr>
            <w:tcW w:w="10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上海</w:t>
            </w:r>
            <w:r>
              <w:rPr>
                <w:rFonts w:ascii="Times New Roman" w:hAnsi="Times New Roman" w:eastAsia="微软雅黑" w:cs="Times New Roman"/>
                <w:kern w:val="0"/>
                <w:sz w:val="24"/>
                <w:szCs w:val="24"/>
              </w:rPr>
              <w:t>旻</w:t>
            </w:r>
            <w:r>
              <w:rPr>
                <w:rFonts w:ascii="Times New Roman" w:hAnsi="Times New Roman" w:eastAsia="仿宋_GB2312" w:cs="Times New Roman"/>
                <w:kern w:val="0"/>
                <w:sz w:val="24"/>
                <w:szCs w:val="24"/>
              </w:rPr>
              <w:t>悦勘察设计有限公司</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邀标</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上海协力岩土工程勘察有限公司</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1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负责按照合同约定完成物探工作并出具物探报告。</w:t>
            </w:r>
          </w:p>
        </w:tc>
      </w:tr>
      <w:tr>
        <w:tblPrEx>
          <w:tblCellMar>
            <w:top w:w="0" w:type="dxa"/>
            <w:left w:w="108" w:type="dxa"/>
            <w:bottom w:w="0" w:type="dxa"/>
            <w:right w:w="108" w:type="dxa"/>
          </w:tblCellMar>
        </w:tblPrEx>
        <w:trPr>
          <w:trHeight w:val="48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11</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选线规划设计单位</w:t>
            </w:r>
          </w:p>
        </w:tc>
        <w:tc>
          <w:tcPr>
            <w:tcW w:w="10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上海崇明规划设计有限公司</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比价</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上海崇明规划设计有限公司</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1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负责按照合同约定完成污水管线的选线工作并出具选线规划。</w:t>
            </w:r>
          </w:p>
        </w:tc>
      </w:tr>
      <w:tr>
        <w:tblPrEx>
          <w:tblCellMar>
            <w:top w:w="0" w:type="dxa"/>
            <w:left w:w="108" w:type="dxa"/>
            <w:bottom w:w="0" w:type="dxa"/>
            <w:right w:w="108" w:type="dxa"/>
          </w:tblCellMar>
        </w:tblPrEx>
        <w:trPr>
          <w:trHeight w:val="48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12</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涉河论证咨询单位</w:t>
            </w:r>
          </w:p>
        </w:tc>
        <w:tc>
          <w:tcPr>
            <w:tcW w:w="10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上海渠观工程设计咨询有限公司</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比价</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上海渠观工程设计咨询有限公司</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1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负责按照合同约定完成涉河论证工作并出具报告。</w:t>
            </w:r>
          </w:p>
        </w:tc>
      </w:tr>
      <w:tr>
        <w:tblPrEx>
          <w:tblCellMar>
            <w:top w:w="0" w:type="dxa"/>
            <w:left w:w="108" w:type="dxa"/>
            <w:bottom w:w="0" w:type="dxa"/>
            <w:right w:w="108" w:type="dxa"/>
          </w:tblCellMar>
        </w:tblPrEx>
        <w:trPr>
          <w:trHeight w:val="48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13</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竣工档案编制单位</w:t>
            </w:r>
          </w:p>
        </w:tc>
        <w:tc>
          <w:tcPr>
            <w:tcW w:w="10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崇明区城建档案管理中心</w:t>
            </w:r>
          </w:p>
        </w:tc>
        <w:tc>
          <w:tcPr>
            <w:tcW w:w="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区规资局指定</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1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负责按照合同约定编制进城建档案管理中心的竣工档案。</w:t>
            </w:r>
          </w:p>
        </w:tc>
      </w:tr>
      <w:tr>
        <w:tblPrEx>
          <w:tblCellMar>
            <w:top w:w="0" w:type="dxa"/>
            <w:left w:w="108" w:type="dxa"/>
            <w:bottom w:w="0" w:type="dxa"/>
            <w:right w:w="108" w:type="dxa"/>
          </w:tblCellMar>
        </w:tblPrEx>
        <w:trPr>
          <w:trHeight w:val="48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14</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审计单位</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上海华夏建设工程造价咨询有限公司</w:t>
            </w:r>
          </w:p>
        </w:tc>
        <w:tc>
          <w:tcPr>
            <w:tcW w:w="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区审计局委派</w:t>
            </w: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1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负责按照合同约定完成工程量及二类费用的审核工作并出具审计报告。</w:t>
            </w:r>
          </w:p>
        </w:tc>
      </w:tr>
      <w:tr>
        <w:tblPrEx>
          <w:tblCellMar>
            <w:top w:w="0" w:type="dxa"/>
            <w:left w:w="108" w:type="dxa"/>
            <w:bottom w:w="0" w:type="dxa"/>
            <w:right w:w="108" w:type="dxa"/>
          </w:tblCellMar>
        </w:tblPrEx>
        <w:trPr>
          <w:trHeight w:val="480" w:hRule="atLeast"/>
        </w:trPr>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15</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临时使用公益林地可行性研究咨询费</w:t>
            </w:r>
          </w:p>
        </w:tc>
        <w:tc>
          <w:tcPr>
            <w:tcW w:w="10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4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p>
        </w:tc>
        <w:tc>
          <w:tcPr>
            <w:tcW w:w="9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上海半亩苑景观工程有限公司</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135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负责按照合同约定编制公益林林地可行性报告。</w:t>
            </w:r>
          </w:p>
        </w:tc>
      </w:tr>
    </w:tbl>
    <w:p>
      <w:pPr>
        <w:pStyle w:val="22"/>
        <w:ind w:firstLine="643"/>
      </w:pPr>
      <w:r>
        <w:rPr>
          <w:rFonts w:hint="eastAsia" w:ascii="宋体" w:hAnsi="宋体" w:eastAsia="宋体" w:cs="宋体"/>
          <w:b/>
        </w:rPr>
        <w:t>⑤</w:t>
      </w:r>
      <w:r>
        <w:rPr>
          <w:b/>
        </w:rPr>
        <w:t>项目实施及过程监管：</w:t>
      </w:r>
      <w:r>
        <w:t>合同签订后，由镇级相关部门会同第三方单位负责办理建筑工程施工许可证，同时邀请区级监管部门进行设计交底；经监理单位审查具备开工条件后发布《工程开工令》，工程开工实施。项目实施过程中，由财务监理单位和施工监理单位分别对项目财务部分和工程建设部分进行监管，代建单位全程参与施工过程的管理。根据施工监理报告、财务监理报告等材料，堡镇、新河镇在项目实施过程中进场的材料全部合格，所有隐蔽工程的主控项目和一般项目质量全部合格，资金支付经过审核。</w:t>
      </w:r>
    </w:p>
    <w:p>
      <w:pPr>
        <w:pStyle w:val="22"/>
      </w:pPr>
      <w:r>
        <w:rPr>
          <w:rFonts w:hint="eastAsia"/>
        </w:rPr>
        <w:t>堡镇项目在</w:t>
      </w:r>
      <w:r>
        <w:t>合同签订后，中标单位于10月29日取得施工许可证，完成报监等相关手续，11月8日开工并于2022年7月1日竣工，竣工时间晚于合同约定时间。工程实施过程中，建设管理单位聘请有资质的CCTV单位对管道进行检查，按规定完成重要部位及关键工序验收的有关工作。</w:t>
      </w:r>
    </w:p>
    <w:p>
      <w:pPr>
        <w:pStyle w:val="22"/>
      </w:pPr>
      <w:r>
        <w:rPr>
          <w:rFonts w:hint="eastAsia"/>
        </w:rPr>
        <w:t>新河镇项目在</w:t>
      </w:r>
      <w:r>
        <w:t>合同签订后，中标单位于10月28日取得施工许可证，完成报监等相关手续，11月4日取得《工程开工令》后开工并于2022年7月23日竣工，竣工时间晚于合同约定时间。工程实施过程中，建设管理单位聘请有资质的CCTV单位对管道进行检查，按规定完成重要部位及关键工序验收的有关工作。</w:t>
      </w:r>
    </w:p>
    <w:p>
      <w:pPr>
        <w:pStyle w:val="22"/>
      </w:pPr>
      <w:r>
        <w:rPr>
          <w:rFonts w:hint="eastAsia"/>
        </w:rPr>
        <w:t>根据《上海市崇明区政府投资项目管理办法》（沪崇发改〔2020〕478号），“项目建安费调增比例小于中标价5%或调增资金500万元以下，且未超出经批准的概算建安费（或估算建安费）的，区级行业管理部门会同项目（法人）单位应当及时向区发展改革委、区财政局报备”，堡镇项目建安工程费的审定价较中标价减少1.34%，新河镇项目建安工程费的审价金额较中标价增加0.65%，均未超出5%，针对变更内容，堡镇项目的施工单位填写了2份设计变更通知单和5份签证单，新河镇项目的施工单位填写了4份设计变更业务联系单，由工程监理单位、投资监理单位和项目单位分别进行了盖章确认；两镇对于变更情况与区发改委进行了口头沟通，未形成报备审批材料。</w:t>
      </w:r>
    </w:p>
    <w:p>
      <w:pPr>
        <w:pStyle w:val="22"/>
        <w:ind w:firstLine="643"/>
      </w:pPr>
      <w:r>
        <w:rPr>
          <w:rFonts w:hint="eastAsia" w:ascii="宋体" w:hAnsi="宋体" w:eastAsia="宋体" w:cs="宋体"/>
          <w:b/>
        </w:rPr>
        <w:t>⑥</w:t>
      </w:r>
      <w:r>
        <w:rPr>
          <w:b/>
        </w:rPr>
        <w:t>竣工验收：</w:t>
      </w:r>
      <w:r>
        <w:t>项目建设完成后，法人单位委托第三方完成了CCTV检测，检测结果合格，后由建设单位组织区水务局相关部门、水务质监、安质监和监理单位、设计单位、勘察单位、施工单位、检测单位、投资监理单位等单位进行了通水验收，验收通过后由建设单位组织实施项目审价、审计工作，同步开展项目竣工验收。目前两镇污水管网完善工程均已通过通水验收、竣工验收工作并完成了审价，新河镇尚未完成审计。</w:t>
      </w:r>
    </w:p>
    <w:p>
      <w:pPr>
        <w:pStyle w:val="22"/>
      </w:pPr>
      <w:r>
        <w:rPr>
          <w:rFonts w:hint="eastAsia"/>
        </w:rPr>
        <w:t>堡镇</w:t>
      </w:r>
      <w:r>
        <w:t>项目竣工后于8月18日通过通水验收并出具《供排水管道工程通水验收报告》，8月30日通过了区水务局、区水务质监站</w:t>
      </w:r>
      <w:r>
        <w:rPr>
          <w:rFonts w:hint="eastAsia"/>
        </w:rPr>
        <w:t>、堡镇人民政府</w:t>
      </w:r>
      <w:r>
        <w:t>等部门</w:t>
      </w:r>
      <w:r>
        <w:rPr>
          <w:rFonts w:hint="eastAsia"/>
        </w:rPr>
        <w:t>和第三方单位</w:t>
      </w:r>
      <w:r>
        <w:t>参与的竣工验收。</w:t>
      </w:r>
    </w:p>
    <w:p>
      <w:pPr>
        <w:pStyle w:val="22"/>
        <w:rPr>
          <w:rFonts w:hint="eastAsia" w:ascii="宋体" w:hAnsi="宋体" w:eastAsia="宋体" w:cs="宋体"/>
          <w:b/>
        </w:rPr>
      </w:pPr>
      <w:r>
        <w:rPr>
          <w:rFonts w:hint="eastAsia"/>
        </w:rPr>
        <w:t>新河镇</w:t>
      </w:r>
      <w:r>
        <w:t>项目竣工后于2022年10月9日通过通水验收并出具《供排水管道工程通水验收报告》，目前正在准备竣工验收，2024年4月10日通过了区水务局、区水务质监站</w:t>
      </w:r>
      <w:r>
        <w:rPr>
          <w:rFonts w:hint="eastAsia"/>
        </w:rPr>
        <w:t>、新河镇人民政府</w:t>
      </w:r>
      <w:r>
        <w:t>等部门</w:t>
      </w:r>
      <w:r>
        <w:rPr>
          <w:rFonts w:hint="eastAsia"/>
        </w:rPr>
        <w:t>和第三方单位</w:t>
      </w:r>
      <w:r>
        <w:t>参与的竣工验收。</w:t>
      </w:r>
    </w:p>
    <w:p>
      <w:pPr>
        <w:pStyle w:val="22"/>
        <w:ind w:firstLine="643"/>
      </w:pPr>
      <w:r>
        <w:rPr>
          <w:rFonts w:hint="eastAsia" w:ascii="宋体" w:hAnsi="宋体" w:eastAsia="宋体" w:cs="宋体"/>
          <w:b/>
        </w:rPr>
        <w:t>⑦</w:t>
      </w:r>
      <w:r>
        <w:rPr>
          <w:b/>
        </w:rPr>
        <w:t>资产入账、材料归档及后续维护：</w:t>
      </w:r>
      <w:r>
        <w:t>项目验收通过后即进入使用阶段，目前两镇的污水管网已投入使用，泵站已进入养护阶段，资产归属、管理权限及养护费用均由镇级承担，堡镇已编制完成竣工档案。</w:t>
      </w:r>
    </w:p>
    <w:p>
      <w:pPr>
        <w:pStyle w:val="22"/>
      </w:pPr>
      <w:r>
        <w:t>项目业务管理流程，详见图1：</w:t>
      </w:r>
    </w:p>
    <w:p>
      <w:pPr>
        <w:pStyle w:val="22"/>
        <w:spacing w:line="240" w:lineRule="auto"/>
        <w:ind w:firstLine="0" w:firstLineChars="0"/>
      </w:pPr>
      <w:r>
        <w:drawing>
          <wp:inline distT="0" distB="0" distL="0" distR="0">
            <wp:extent cx="5664835" cy="3076575"/>
            <wp:effectExtent l="0" t="0" r="12065" b="9525"/>
            <wp:docPr id="543257038"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43257038" name="图片 1"/>
                    <pic:cNvPicPr>
                      <a:picLocks noChangeAspect="true" noChangeArrowheads="true"/>
                    </pic:cNvPicPr>
                  </pic:nvPicPr>
                  <pic:blipFill>
                    <a:blip r:embed="rId7" cstate="print">
                      <a:extLst>
                        <a:ext uri="{28A0092B-C50C-407E-A947-70E740481C1C}">
                          <a14:useLocalDpi xmlns:a14="http://schemas.microsoft.com/office/drawing/2010/main" val="false"/>
                        </a:ext>
                      </a:extLst>
                    </a:blip>
                    <a:srcRect/>
                    <a:stretch>
                      <a:fillRect/>
                    </a:stretch>
                  </pic:blipFill>
                  <pic:spPr>
                    <a:xfrm>
                      <a:off x="0" y="0"/>
                      <a:ext cx="5681424" cy="3085437"/>
                    </a:xfrm>
                    <a:prstGeom prst="rect">
                      <a:avLst/>
                    </a:prstGeom>
                    <a:noFill/>
                  </pic:spPr>
                </pic:pic>
              </a:graphicData>
            </a:graphic>
          </wp:inline>
        </w:drawing>
      </w:r>
    </w:p>
    <w:p>
      <w:pPr>
        <w:pStyle w:val="22"/>
        <w:ind w:firstLine="0" w:firstLineChars="0"/>
        <w:jc w:val="center"/>
      </w:pPr>
      <w:r>
        <w:rPr>
          <w:b/>
          <w:bCs w:val="0"/>
          <w:sz w:val="28"/>
          <w:szCs w:val="24"/>
        </w:rPr>
        <w:t>图</w:t>
      </w:r>
      <w:r>
        <w:rPr>
          <w:rFonts w:hint="eastAsia"/>
          <w:b/>
          <w:bCs w:val="0"/>
          <w:sz w:val="28"/>
          <w:szCs w:val="24"/>
        </w:rPr>
        <w:t>2</w:t>
      </w:r>
      <w:r>
        <w:rPr>
          <w:b/>
          <w:bCs w:val="0"/>
          <w:sz w:val="28"/>
          <w:szCs w:val="24"/>
        </w:rPr>
        <w:t>：组织管理流程图</w:t>
      </w:r>
    </w:p>
    <w:p>
      <w:pPr>
        <w:pStyle w:val="22"/>
      </w:pPr>
      <w:bookmarkStart w:id="88" w:name="_Hlk165887884"/>
      <w:r>
        <w:rPr>
          <w:rFonts w:hint="eastAsia"/>
        </w:rPr>
        <w:t>经梳理各管理环节的责任人及其职责发现，镇级部门履职不够到位，一是未制定较为完备的工作计划；二是两镇项目实际建设周期均超出</w:t>
      </w:r>
      <w:r>
        <w:t>合同约定</w:t>
      </w:r>
      <w:r>
        <w:rPr>
          <w:rFonts w:hint="eastAsia"/>
        </w:rPr>
        <w:t>工作及</w:t>
      </w:r>
      <w:r>
        <w:t>察组明确的“需在2021年完成撤制乡镇污水收集处理”</w:t>
      </w:r>
      <w:r>
        <w:rPr>
          <w:rFonts w:hint="eastAsia"/>
        </w:rPr>
        <w:t>的</w:t>
      </w:r>
      <w:r>
        <w:t>整改要求</w:t>
      </w:r>
      <w:r>
        <w:rPr>
          <w:rFonts w:hint="eastAsia"/>
        </w:rPr>
        <w:t>，主要是由于项目报建较晚，影响后期工作开展。评价小组选取部分关键节点进行横向对比发现，两镇项目前期报建及招投标时间相差较小，施工合同签订后的实施阶段中相关许可办理的工作开展流程有所差异，堡镇项目实际开展流程为“取得施工许可证——开工令——取得市级涉河论证许可（建设方案）——取得路政管理行政许可证——取得区级涉河论证许可（建设方案）”，新河镇项目实际开展流程为“取得市级涉河论证许可——取得区级涉河论证许可——取得工程施工许可证——开工令——取得上海市路政管理行政许可证——取得临时使用林地、迁移及采伐林木的行政许可决定”。各环节</w:t>
      </w:r>
      <w:r>
        <w:t>具体实施计划及完成时间详见</w:t>
      </w:r>
      <w:r>
        <w:rPr>
          <w:rFonts w:hint="eastAsia"/>
        </w:rPr>
        <w:t>下表，具体实施计划及完成情况详见附件5。</w:t>
      </w:r>
    </w:p>
    <w:p>
      <w:pPr>
        <w:pStyle w:val="22"/>
        <w:ind w:firstLine="0" w:firstLineChars="0"/>
        <w:jc w:val="center"/>
        <w:rPr>
          <w:b/>
          <w:bCs w:val="0"/>
          <w:sz w:val="28"/>
          <w:szCs w:val="24"/>
        </w:rPr>
        <w:sectPr>
          <w:pgSz w:w="11906" w:h="16838"/>
          <w:pgMar w:top="2098" w:right="1474" w:bottom="1984" w:left="1587" w:header="851" w:footer="992" w:gutter="0"/>
          <w:cols w:space="0" w:num="1"/>
          <w:docGrid w:type="lines" w:linePitch="312" w:charSpace="0"/>
        </w:sectPr>
      </w:pPr>
    </w:p>
    <w:p>
      <w:pPr>
        <w:pStyle w:val="22"/>
        <w:ind w:firstLine="0" w:firstLineChars="0"/>
        <w:jc w:val="center"/>
        <w:rPr>
          <w:b/>
          <w:bCs w:val="0"/>
          <w:sz w:val="28"/>
          <w:szCs w:val="24"/>
        </w:rPr>
      </w:pPr>
      <w:r>
        <w:rPr>
          <w:b/>
          <w:bCs w:val="0"/>
          <w:sz w:val="28"/>
          <w:szCs w:val="24"/>
        </w:rPr>
        <w:t>表1-</w:t>
      </w:r>
      <w:r>
        <w:rPr>
          <w:rFonts w:hint="eastAsia"/>
          <w:b/>
          <w:bCs w:val="0"/>
          <w:sz w:val="28"/>
          <w:szCs w:val="24"/>
        </w:rPr>
        <w:t>8</w:t>
      </w:r>
      <w:r>
        <w:rPr>
          <w:b/>
          <w:bCs w:val="0"/>
          <w:sz w:val="28"/>
          <w:szCs w:val="24"/>
        </w:rPr>
        <w:t>：</w:t>
      </w:r>
      <w:r>
        <w:rPr>
          <w:rFonts w:hint="eastAsia"/>
          <w:b/>
          <w:bCs w:val="0"/>
          <w:sz w:val="28"/>
          <w:szCs w:val="24"/>
        </w:rPr>
        <w:t>关键节点</w:t>
      </w:r>
      <w:r>
        <w:rPr>
          <w:b/>
          <w:bCs w:val="0"/>
          <w:sz w:val="28"/>
          <w:szCs w:val="24"/>
        </w:rPr>
        <w:t>对比表</w:t>
      </w:r>
    </w:p>
    <w:bookmarkEnd w:id="88"/>
    <w:tbl>
      <w:tblPr>
        <w:tblStyle w:val="12"/>
        <w:tblW w:w="5000" w:type="pct"/>
        <w:tblInd w:w="0" w:type="dxa"/>
        <w:tblLayout w:type="fixed"/>
        <w:tblCellMar>
          <w:top w:w="0" w:type="dxa"/>
          <w:left w:w="108" w:type="dxa"/>
          <w:bottom w:w="0" w:type="dxa"/>
          <w:right w:w="108" w:type="dxa"/>
        </w:tblCellMar>
      </w:tblPr>
      <w:tblGrid>
        <w:gridCol w:w="423"/>
        <w:gridCol w:w="677"/>
        <w:gridCol w:w="1702"/>
        <w:gridCol w:w="1419"/>
        <w:gridCol w:w="1414"/>
        <w:gridCol w:w="1422"/>
        <w:gridCol w:w="1276"/>
        <w:gridCol w:w="978"/>
        <w:gridCol w:w="1113"/>
        <w:gridCol w:w="1310"/>
        <w:gridCol w:w="1238"/>
      </w:tblGrid>
      <w:tr>
        <w:tblPrEx>
          <w:tblCellMar>
            <w:top w:w="0" w:type="dxa"/>
            <w:left w:w="108" w:type="dxa"/>
            <w:bottom w:w="0" w:type="dxa"/>
            <w:right w:w="108" w:type="dxa"/>
          </w:tblCellMar>
        </w:tblPrEx>
        <w:trPr>
          <w:trHeight w:val="325" w:hRule="atLeast"/>
          <w:tblHeader/>
        </w:trPr>
        <w:tc>
          <w:tcPr>
            <w:tcW w:w="16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序号</w:t>
            </w:r>
          </w:p>
        </w:tc>
        <w:tc>
          <w:tcPr>
            <w:tcW w:w="26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工作内容</w:t>
            </w:r>
          </w:p>
        </w:tc>
        <w:tc>
          <w:tcPr>
            <w:tcW w:w="6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阶段成果</w:t>
            </w:r>
          </w:p>
        </w:tc>
        <w:tc>
          <w:tcPr>
            <w:tcW w:w="2132"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堡镇</w:t>
            </w:r>
          </w:p>
        </w:tc>
        <w:tc>
          <w:tcPr>
            <w:tcW w:w="178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新河镇</w:t>
            </w:r>
          </w:p>
        </w:tc>
      </w:tr>
      <w:tr>
        <w:tblPrEx>
          <w:tblCellMar>
            <w:top w:w="0" w:type="dxa"/>
            <w:left w:w="108" w:type="dxa"/>
            <w:bottom w:w="0" w:type="dxa"/>
            <w:right w:w="108" w:type="dxa"/>
          </w:tblCellMar>
        </w:tblPrEx>
        <w:trPr>
          <w:trHeight w:val="645" w:hRule="atLeast"/>
          <w:tblHeader/>
        </w:trPr>
        <w:tc>
          <w:tcPr>
            <w:tcW w:w="16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b/>
                <w:bCs/>
                <w:kern w:val="0"/>
                <w:sz w:val="24"/>
                <w:szCs w:val="24"/>
              </w:rPr>
            </w:pPr>
          </w:p>
        </w:tc>
        <w:tc>
          <w:tcPr>
            <w:tcW w:w="261"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b/>
                <w:bCs/>
                <w:kern w:val="0"/>
                <w:sz w:val="24"/>
                <w:szCs w:val="24"/>
              </w:rPr>
            </w:pPr>
          </w:p>
        </w:tc>
        <w:tc>
          <w:tcPr>
            <w:tcW w:w="656"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b/>
                <w:bCs/>
                <w:kern w:val="0"/>
                <w:sz w:val="24"/>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计划完成节点</w:t>
            </w:r>
          </w:p>
        </w:tc>
        <w:tc>
          <w:tcPr>
            <w:tcW w:w="10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实际完成节点</w:t>
            </w:r>
          </w:p>
        </w:tc>
        <w:tc>
          <w:tcPr>
            <w:tcW w:w="4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是否较计划/合同存在偏差</w:t>
            </w:r>
          </w:p>
        </w:tc>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计划完成节点</w:t>
            </w:r>
          </w:p>
        </w:tc>
        <w:tc>
          <w:tcPr>
            <w:tcW w:w="9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实际完成节点</w:t>
            </w:r>
          </w:p>
        </w:tc>
        <w:tc>
          <w:tcPr>
            <w:tcW w:w="4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是否较计划/合同存在偏差</w:t>
            </w:r>
          </w:p>
        </w:tc>
      </w:tr>
      <w:tr>
        <w:tblPrEx>
          <w:tblCellMar>
            <w:top w:w="0" w:type="dxa"/>
            <w:left w:w="108" w:type="dxa"/>
            <w:bottom w:w="0" w:type="dxa"/>
            <w:right w:w="108" w:type="dxa"/>
          </w:tblCellMar>
        </w:tblPrEx>
        <w:trPr>
          <w:trHeight w:val="900" w:hRule="atLeast"/>
        </w:trPr>
        <w:tc>
          <w:tcPr>
            <w:tcW w:w="16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26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前期准备</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完成可研报告编制、报批并取得区发改委批复</w:t>
            </w:r>
          </w:p>
        </w:tc>
        <w:tc>
          <w:tcPr>
            <w:tcW w:w="54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5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2021年4月-2021.7.21</w:t>
            </w: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2021年6月3日</w:t>
            </w:r>
          </w:p>
        </w:tc>
        <w:tc>
          <w:tcPr>
            <w:tcW w:w="49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可研等前期工作缺少计划性</w:t>
            </w:r>
          </w:p>
        </w:tc>
        <w:tc>
          <w:tcPr>
            <w:tcW w:w="37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42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2021年5月-2021.8.10</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2021年6月3日</w:t>
            </w:r>
          </w:p>
        </w:tc>
        <w:tc>
          <w:tcPr>
            <w:tcW w:w="47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实施计划不够完善，实际实施周期超出合同约定工期</w:t>
            </w:r>
          </w:p>
        </w:tc>
      </w:tr>
      <w:tr>
        <w:tblPrEx>
          <w:tblCellMar>
            <w:top w:w="0" w:type="dxa"/>
            <w:left w:w="108" w:type="dxa"/>
            <w:bottom w:w="0" w:type="dxa"/>
            <w:right w:w="108" w:type="dxa"/>
          </w:tblCellMar>
        </w:tblPrEx>
        <w:trPr>
          <w:trHeight w:val="2145" w:hRule="atLeast"/>
        </w:trPr>
        <w:tc>
          <w:tcPr>
            <w:tcW w:w="16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261"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完成初设报告编制、报批并取得区建管委批复</w:t>
            </w:r>
          </w:p>
        </w:tc>
        <w:tc>
          <w:tcPr>
            <w:tcW w:w="54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545"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2021年7月21日</w:t>
            </w:r>
          </w:p>
        </w:tc>
        <w:tc>
          <w:tcPr>
            <w:tcW w:w="492"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37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429"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2021年8月10日</w:t>
            </w:r>
          </w:p>
        </w:tc>
        <w:tc>
          <w:tcPr>
            <w:tcW w:w="47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r>
      <w:tr>
        <w:tblPrEx>
          <w:tblCellMar>
            <w:top w:w="0" w:type="dxa"/>
            <w:left w:w="108" w:type="dxa"/>
            <w:bottom w:w="0" w:type="dxa"/>
            <w:right w:w="108" w:type="dxa"/>
          </w:tblCellMar>
        </w:tblPrEx>
        <w:trPr>
          <w:trHeight w:val="900" w:hRule="atLeast"/>
        </w:trPr>
        <w:tc>
          <w:tcPr>
            <w:tcW w:w="16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26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施工招投标</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完成施工招投标并发布中标通知书</w:t>
            </w:r>
          </w:p>
        </w:tc>
        <w:tc>
          <w:tcPr>
            <w:tcW w:w="54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2021年10月</w:t>
            </w:r>
          </w:p>
        </w:tc>
        <w:tc>
          <w:tcPr>
            <w:tcW w:w="5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2021年9月30日前</w:t>
            </w: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2021年9月29日</w:t>
            </w:r>
          </w:p>
        </w:tc>
        <w:tc>
          <w:tcPr>
            <w:tcW w:w="49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否</w:t>
            </w:r>
          </w:p>
        </w:tc>
        <w:tc>
          <w:tcPr>
            <w:tcW w:w="37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42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2021年10月8日前</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2021年9月28日</w:t>
            </w:r>
          </w:p>
        </w:tc>
        <w:tc>
          <w:tcPr>
            <w:tcW w:w="47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r>
      <w:tr>
        <w:tblPrEx>
          <w:tblCellMar>
            <w:top w:w="0" w:type="dxa"/>
            <w:left w:w="108" w:type="dxa"/>
            <w:bottom w:w="0" w:type="dxa"/>
            <w:right w:w="108" w:type="dxa"/>
          </w:tblCellMar>
        </w:tblPrEx>
        <w:trPr>
          <w:trHeight w:val="645" w:hRule="atLeast"/>
        </w:trPr>
        <w:tc>
          <w:tcPr>
            <w:tcW w:w="16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261"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签订施工合同</w:t>
            </w:r>
          </w:p>
        </w:tc>
        <w:tc>
          <w:tcPr>
            <w:tcW w:w="54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545"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2021年9月30日</w:t>
            </w:r>
          </w:p>
        </w:tc>
        <w:tc>
          <w:tcPr>
            <w:tcW w:w="492"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37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429"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2021年10月8日</w:t>
            </w:r>
          </w:p>
        </w:tc>
        <w:tc>
          <w:tcPr>
            <w:tcW w:w="47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r>
      <w:tr>
        <w:tblPrEx>
          <w:tblCellMar>
            <w:top w:w="0" w:type="dxa"/>
            <w:left w:w="108" w:type="dxa"/>
            <w:bottom w:w="0" w:type="dxa"/>
            <w:right w:w="108" w:type="dxa"/>
          </w:tblCellMar>
        </w:tblPrEx>
        <w:trPr>
          <w:trHeight w:val="600" w:hRule="atLeast"/>
        </w:trPr>
        <w:tc>
          <w:tcPr>
            <w:tcW w:w="16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26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项目实施</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取得工程施工许可证</w:t>
            </w:r>
          </w:p>
        </w:tc>
        <w:tc>
          <w:tcPr>
            <w:tcW w:w="54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2021年11月-2022年6月</w:t>
            </w:r>
          </w:p>
        </w:tc>
        <w:tc>
          <w:tcPr>
            <w:tcW w:w="5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2021年10月29日-2022年7月1日</w:t>
            </w: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2021年10月29日</w:t>
            </w:r>
          </w:p>
        </w:tc>
        <w:tc>
          <w:tcPr>
            <w:tcW w:w="4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是，竣工时间晚于计划时间，实施周期超出合同约定工期</w:t>
            </w:r>
          </w:p>
        </w:tc>
        <w:tc>
          <w:tcPr>
            <w:tcW w:w="37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2021年10月1日-2022年5月28日</w:t>
            </w:r>
          </w:p>
        </w:tc>
        <w:tc>
          <w:tcPr>
            <w:tcW w:w="42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2021年10月28日-2022年7月23日</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2021年10月28日</w:t>
            </w:r>
          </w:p>
        </w:tc>
        <w:tc>
          <w:tcPr>
            <w:tcW w:w="47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r>
      <w:tr>
        <w:tblPrEx>
          <w:tblCellMar>
            <w:top w:w="0" w:type="dxa"/>
            <w:left w:w="108" w:type="dxa"/>
            <w:bottom w:w="0" w:type="dxa"/>
            <w:right w:w="108" w:type="dxa"/>
          </w:tblCellMar>
        </w:tblPrEx>
        <w:trPr>
          <w:trHeight w:val="900" w:hRule="atLeast"/>
        </w:trPr>
        <w:tc>
          <w:tcPr>
            <w:tcW w:w="16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261"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取得市级涉河论证许可（建设方案）</w:t>
            </w:r>
          </w:p>
        </w:tc>
        <w:tc>
          <w:tcPr>
            <w:tcW w:w="54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545"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2022年2月24日</w:t>
            </w:r>
          </w:p>
        </w:tc>
        <w:tc>
          <w:tcPr>
            <w:tcW w:w="492"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37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429"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2021年10月15日</w:t>
            </w:r>
          </w:p>
        </w:tc>
        <w:tc>
          <w:tcPr>
            <w:tcW w:w="47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r>
      <w:tr>
        <w:tblPrEx>
          <w:tblCellMar>
            <w:top w:w="0" w:type="dxa"/>
            <w:left w:w="108" w:type="dxa"/>
            <w:bottom w:w="0" w:type="dxa"/>
            <w:right w:w="108" w:type="dxa"/>
          </w:tblCellMar>
        </w:tblPrEx>
        <w:trPr>
          <w:trHeight w:val="900" w:hRule="atLeast"/>
        </w:trPr>
        <w:tc>
          <w:tcPr>
            <w:tcW w:w="16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261"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取得区级涉河论证许可（建设方案）</w:t>
            </w:r>
          </w:p>
        </w:tc>
        <w:tc>
          <w:tcPr>
            <w:tcW w:w="54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545"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2022年6月6日</w:t>
            </w:r>
          </w:p>
        </w:tc>
        <w:tc>
          <w:tcPr>
            <w:tcW w:w="492"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37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429"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2021年10月18日</w:t>
            </w:r>
          </w:p>
        </w:tc>
        <w:tc>
          <w:tcPr>
            <w:tcW w:w="47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r>
      <w:tr>
        <w:tblPrEx>
          <w:tblCellMar>
            <w:top w:w="0" w:type="dxa"/>
            <w:left w:w="108" w:type="dxa"/>
            <w:bottom w:w="0" w:type="dxa"/>
            <w:right w:w="108" w:type="dxa"/>
          </w:tblCellMar>
        </w:tblPrEx>
        <w:trPr>
          <w:trHeight w:val="325" w:hRule="atLeast"/>
        </w:trPr>
        <w:tc>
          <w:tcPr>
            <w:tcW w:w="16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261"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开工令</w:t>
            </w:r>
          </w:p>
        </w:tc>
        <w:tc>
          <w:tcPr>
            <w:tcW w:w="54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545"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2021年11月8日</w:t>
            </w:r>
          </w:p>
        </w:tc>
        <w:tc>
          <w:tcPr>
            <w:tcW w:w="492"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37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429"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2021年11月4日</w:t>
            </w:r>
          </w:p>
        </w:tc>
        <w:tc>
          <w:tcPr>
            <w:tcW w:w="47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r>
      <w:tr>
        <w:tblPrEx>
          <w:tblCellMar>
            <w:top w:w="0" w:type="dxa"/>
            <w:left w:w="108" w:type="dxa"/>
            <w:bottom w:w="0" w:type="dxa"/>
            <w:right w:w="108" w:type="dxa"/>
          </w:tblCellMar>
        </w:tblPrEx>
        <w:trPr>
          <w:trHeight w:val="600" w:hRule="atLeast"/>
        </w:trPr>
        <w:tc>
          <w:tcPr>
            <w:tcW w:w="16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261"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取得上海市路政管理行政许可证</w:t>
            </w:r>
          </w:p>
        </w:tc>
        <w:tc>
          <w:tcPr>
            <w:tcW w:w="54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545"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2022年3月11日</w:t>
            </w:r>
          </w:p>
        </w:tc>
        <w:tc>
          <w:tcPr>
            <w:tcW w:w="492"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37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429"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2021年12月8日</w:t>
            </w:r>
          </w:p>
        </w:tc>
        <w:tc>
          <w:tcPr>
            <w:tcW w:w="47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r>
      <w:tr>
        <w:tblPrEx>
          <w:tblCellMar>
            <w:top w:w="0" w:type="dxa"/>
            <w:left w:w="108" w:type="dxa"/>
            <w:bottom w:w="0" w:type="dxa"/>
            <w:right w:w="108" w:type="dxa"/>
          </w:tblCellMar>
        </w:tblPrEx>
        <w:trPr>
          <w:trHeight w:val="310" w:hRule="atLeast"/>
        </w:trPr>
        <w:tc>
          <w:tcPr>
            <w:tcW w:w="16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26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项目验收</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通过通水验收</w:t>
            </w:r>
          </w:p>
        </w:tc>
        <w:tc>
          <w:tcPr>
            <w:tcW w:w="54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5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2022年8月18日-2023年11月21日</w:t>
            </w: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2022年8月18日</w:t>
            </w:r>
          </w:p>
        </w:tc>
        <w:tc>
          <w:tcPr>
            <w:tcW w:w="4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缺少计划实施时间</w:t>
            </w:r>
          </w:p>
        </w:tc>
        <w:tc>
          <w:tcPr>
            <w:tcW w:w="37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42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2022年8月18-2024年4月10日</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2022年10月9日</w:t>
            </w:r>
          </w:p>
        </w:tc>
        <w:tc>
          <w:tcPr>
            <w:tcW w:w="47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r>
      <w:tr>
        <w:tblPrEx>
          <w:tblCellMar>
            <w:top w:w="0" w:type="dxa"/>
            <w:left w:w="108" w:type="dxa"/>
            <w:bottom w:w="0" w:type="dxa"/>
            <w:right w:w="108" w:type="dxa"/>
          </w:tblCellMar>
        </w:tblPrEx>
        <w:trPr>
          <w:trHeight w:val="600" w:hRule="atLeast"/>
        </w:trPr>
        <w:tc>
          <w:tcPr>
            <w:tcW w:w="16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261"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完成审价并出具审价报告</w:t>
            </w:r>
          </w:p>
        </w:tc>
        <w:tc>
          <w:tcPr>
            <w:tcW w:w="54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545"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2023年7月6日</w:t>
            </w:r>
          </w:p>
        </w:tc>
        <w:tc>
          <w:tcPr>
            <w:tcW w:w="492"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37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429"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2023年9月26日</w:t>
            </w:r>
          </w:p>
        </w:tc>
        <w:tc>
          <w:tcPr>
            <w:tcW w:w="47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r>
      <w:tr>
        <w:tblPrEx>
          <w:tblCellMar>
            <w:top w:w="0" w:type="dxa"/>
            <w:left w:w="108" w:type="dxa"/>
            <w:bottom w:w="0" w:type="dxa"/>
            <w:right w:w="108" w:type="dxa"/>
          </w:tblCellMar>
        </w:tblPrEx>
        <w:trPr>
          <w:trHeight w:val="310" w:hRule="atLeast"/>
        </w:trPr>
        <w:tc>
          <w:tcPr>
            <w:tcW w:w="16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261"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通过竣工验收</w:t>
            </w:r>
          </w:p>
        </w:tc>
        <w:tc>
          <w:tcPr>
            <w:tcW w:w="54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545"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2023年8月30日</w:t>
            </w:r>
          </w:p>
        </w:tc>
        <w:tc>
          <w:tcPr>
            <w:tcW w:w="492"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37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429"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2024年4月10日</w:t>
            </w:r>
          </w:p>
        </w:tc>
        <w:tc>
          <w:tcPr>
            <w:tcW w:w="47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r>
      <w:tr>
        <w:tblPrEx>
          <w:tblCellMar>
            <w:top w:w="0" w:type="dxa"/>
            <w:left w:w="108" w:type="dxa"/>
            <w:bottom w:w="0" w:type="dxa"/>
            <w:right w:w="108" w:type="dxa"/>
          </w:tblCellMar>
        </w:tblPrEx>
        <w:trPr>
          <w:trHeight w:val="600" w:hRule="atLeast"/>
        </w:trPr>
        <w:tc>
          <w:tcPr>
            <w:tcW w:w="16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261"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完成审计并出具审计报告</w:t>
            </w:r>
          </w:p>
        </w:tc>
        <w:tc>
          <w:tcPr>
            <w:tcW w:w="54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545"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5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2023年11月21日</w:t>
            </w:r>
          </w:p>
        </w:tc>
        <w:tc>
          <w:tcPr>
            <w:tcW w:w="492"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37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已送审</w:t>
            </w:r>
          </w:p>
        </w:tc>
        <w:tc>
          <w:tcPr>
            <w:tcW w:w="477"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r>
    </w:tbl>
    <w:p/>
    <w:p>
      <w:pPr>
        <w:spacing w:line="560" w:lineRule="exact"/>
        <w:ind w:firstLine="640" w:firstLineChars="200"/>
        <w:rPr>
          <w:rFonts w:ascii="仿宋_GB2312" w:eastAsia="仿宋_GB2312"/>
          <w:sz w:val="32"/>
          <w:szCs w:val="32"/>
        </w:rPr>
        <w:sectPr>
          <w:pgSz w:w="16838" w:h="11906" w:orient="landscape"/>
          <w:pgMar w:top="1587" w:right="2098" w:bottom="1474" w:left="1984" w:header="851" w:footer="992" w:gutter="0"/>
          <w:cols w:space="0" w:num="1"/>
          <w:docGrid w:type="lines" w:linePitch="312" w:charSpace="0"/>
        </w:sectPr>
      </w:pPr>
    </w:p>
    <w:p>
      <w:pPr>
        <w:pStyle w:val="24"/>
        <w:ind w:firstLine="643"/>
      </w:pPr>
      <w:bookmarkStart w:id="89" w:name="_Toc169390952"/>
      <w:bookmarkStart w:id="90" w:name="_Toc169439188"/>
      <w:bookmarkStart w:id="91" w:name="_Toc171093923"/>
      <w:r>
        <w:rPr>
          <w:rFonts w:hint="eastAsia"/>
        </w:rPr>
        <w:t>3.财务管理</w:t>
      </w:r>
      <w:bookmarkEnd w:id="89"/>
      <w:bookmarkEnd w:id="90"/>
      <w:bookmarkEnd w:id="91"/>
    </w:p>
    <w:p>
      <w:pPr>
        <w:pStyle w:val="22"/>
      </w:pPr>
      <w:r>
        <w:t>该项目</w:t>
      </w:r>
      <w:r>
        <w:rPr>
          <w:rFonts w:hint="eastAsia"/>
        </w:rPr>
        <w:t>市级建设财力资金主要按照《关于印发&lt;上海市市级建设财力投资补贴和贴息项目管理办法&gt;的通知》（沪发改规范〔2021〕1号）、区级专项债券资金按照《上海市地方政府专项债券项目资金绩效管理办法》（沪财绩〔2021〕27号）、镇级资金</w:t>
      </w:r>
      <w:r>
        <w:t>主要依据区级财务管理制度的规定进行财务管理，落实资金保障。实际执行过程中，上海市财政局审核确定补助额度后将市级资金下达至崇明区，</w:t>
      </w:r>
      <w:r>
        <w:rPr>
          <w:rFonts w:hint="eastAsia"/>
        </w:rPr>
        <w:t>崇明区在收到市级建设财力资金和债权转贷资金后按相关程序转移支付至两镇。</w:t>
      </w:r>
    </w:p>
    <w:p>
      <w:pPr>
        <w:pStyle w:val="22"/>
        <w:ind w:firstLine="643"/>
      </w:pPr>
      <w:r>
        <w:rPr>
          <w:b/>
        </w:rPr>
        <w:t>堡镇</w:t>
      </w:r>
      <w:r>
        <w:t>财政所在支付工程款及二类费用时，首先由第三方单位按照合同约定进行申报并附发票，由代建单位填写《工程预付款申请表》，财务监理出具“财务监理付款建议书”，经工程监理单位、投资监理单位、代建单位、建设单位各级确认后递交至镇水务所、镇财政所和分管领导、主要领导审批；审批通过后镇财政所填报《崇明区水务局拨付工程（独立、前期）费用申请汇总表（乡镇给排水条线专用）》，明确费用名称、收款单位、合同金额、已拨金额、申请金额等内容后上报至区水务局业务科，由给排水科经办人、负责人和综合规划科以及区水务局分管领导、主要领导审批通过签章确认后反馈至镇级；镇级支付费用前，由农业农村办填写《堡镇财政专项资金支付审批表》，经各级审核通过后镇财政所将资金拨付至施工单位。</w:t>
      </w:r>
    </w:p>
    <w:p>
      <w:pPr>
        <w:pStyle w:val="22"/>
        <w:ind w:firstLine="643"/>
        <w:rPr>
          <w:b/>
        </w:rPr>
      </w:pPr>
      <w:r>
        <w:rPr>
          <w:b/>
        </w:rPr>
        <w:t>新河镇</w:t>
      </w:r>
      <w:r>
        <w:t>财政所在支付工程款及二类费用时，首先由第三方单位按照合同约定进行申报并附发票，镇规划办经办人填写《建设工程资金支付申请单》，明确费用名称、收款单位、合同金额、已拨金额、申请金额、资金来源等内容后，经由证明人、审核人、审批人分别确认后递交至镇财政所和分管领导、主要领导审批；审批通过后镇财政所填报《崇明区水务局拨付工程（独立、前期）费用申请汇总表（乡镇给排水条线专用）》，明确费用名称、收款单位、合同金额、已拨金额、申请金额等内容后上报至区水务局业务科，由给排水科经办人、负责人和综合规划科以及区水务局分管领导、主要领导审批通过签章确认后反馈至镇级；镇财政所根据审批结果将资金拨付至施工单位。</w:t>
      </w:r>
    </w:p>
    <w:p>
      <w:pPr>
        <w:pStyle w:val="22"/>
      </w:pPr>
      <w:r>
        <w:t>项目资金拨付流程，详见图2：</w:t>
      </w:r>
    </w:p>
    <w:p>
      <w:pPr>
        <w:pStyle w:val="22"/>
        <w:spacing w:line="240" w:lineRule="auto"/>
        <w:ind w:firstLine="0" w:firstLineChars="0"/>
        <w:jc w:val="center"/>
      </w:pPr>
      <w:r>
        <w:drawing>
          <wp:inline distT="0" distB="0" distL="0" distR="0">
            <wp:extent cx="5224780" cy="3392170"/>
            <wp:effectExtent l="0" t="0" r="0" b="0"/>
            <wp:docPr id="50428486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04284861" name="图片 1"/>
                    <pic:cNvPicPr>
                      <a:picLocks noChangeAspect="true" noChangeArrowheads="true"/>
                    </pic:cNvPicPr>
                  </pic:nvPicPr>
                  <pic:blipFill>
                    <a:blip r:embed="rId8" cstate="print">
                      <a:extLst>
                        <a:ext uri="{28A0092B-C50C-407E-A947-70E740481C1C}">
                          <a14:useLocalDpi xmlns:a14="http://schemas.microsoft.com/office/drawing/2010/main" val="false"/>
                        </a:ext>
                      </a:extLst>
                    </a:blip>
                    <a:srcRect/>
                    <a:stretch>
                      <a:fillRect/>
                    </a:stretch>
                  </pic:blipFill>
                  <pic:spPr>
                    <a:xfrm>
                      <a:off x="0" y="0"/>
                      <a:ext cx="5239055" cy="3401455"/>
                    </a:xfrm>
                    <a:prstGeom prst="rect">
                      <a:avLst/>
                    </a:prstGeom>
                    <a:noFill/>
                  </pic:spPr>
                </pic:pic>
              </a:graphicData>
            </a:graphic>
          </wp:inline>
        </w:drawing>
      </w:r>
    </w:p>
    <w:p>
      <w:pPr>
        <w:pStyle w:val="22"/>
        <w:ind w:firstLine="0" w:firstLineChars="0"/>
        <w:jc w:val="center"/>
      </w:pPr>
      <w:r>
        <w:rPr>
          <w:b/>
          <w:bCs w:val="0"/>
          <w:sz w:val="28"/>
          <w:szCs w:val="24"/>
        </w:rPr>
        <w:t>图</w:t>
      </w:r>
      <w:r>
        <w:rPr>
          <w:rFonts w:hint="eastAsia"/>
          <w:b/>
          <w:bCs w:val="0"/>
          <w:sz w:val="28"/>
          <w:szCs w:val="24"/>
        </w:rPr>
        <w:t>3</w:t>
      </w:r>
      <w:r>
        <w:rPr>
          <w:b/>
          <w:bCs w:val="0"/>
          <w:sz w:val="28"/>
          <w:szCs w:val="24"/>
        </w:rPr>
        <w:t>：资金拨付流程图</w:t>
      </w:r>
    </w:p>
    <w:p>
      <w:pPr>
        <w:pStyle w:val="26"/>
        <w:ind w:firstLine="640"/>
      </w:pPr>
      <w:bookmarkStart w:id="92" w:name="_Toc171093924"/>
      <w:r>
        <w:rPr>
          <w:rFonts w:hint="eastAsia"/>
        </w:rPr>
        <w:t>（五）项目绩效目标</w:t>
      </w:r>
      <w:bookmarkEnd w:id="92"/>
    </w:p>
    <w:p>
      <w:pPr>
        <w:pStyle w:val="22"/>
      </w:pPr>
      <w:r>
        <w:t>污水管网完善工程（堡镇-五效集镇区和新河-新民集镇区）项目为</w:t>
      </w:r>
      <w:r>
        <w:rPr>
          <w:rFonts w:hint="eastAsia"/>
        </w:rPr>
        <w:t>新增</w:t>
      </w:r>
      <w:r>
        <w:t>一次性</w:t>
      </w:r>
      <w:r>
        <w:rPr>
          <w:rFonts w:hint="eastAsia"/>
        </w:rPr>
        <w:t>工程建设</w:t>
      </w:r>
      <w:r>
        <w:t>项目，根据区财政相关要求，两镇分别针对该项目编制了绩效目标表（详见附件</w:t>
      </w:r>
      <w:r>
        <w:rPr>
          <w:rFonts w:hint="eastAsia"/>
        </w:rPr>
        <w:t>6</w:t>
      </w:r>
      <w:r>
        <w:t>），但绩效指标设置不够完善，产出效益指标未充分反映项目实施后的成效。为更好地开展评价工作，评价小组依据《上海市财政项目支出预算绩效管理办法（试行》（沪财绩〔2020〕6号）</w:t>
      </w:r>
      <w:r>
        <w:rPr>
          <w:rFonts w:hint="eastAsia"/>
        </w:rPr>
        <w:t>、《上海市地方政府专项债券项目资金绩效管理办法》（沪财绩〔2021〕27号）</w:t>
      </w:r>
      <w:r>
        <w:t>等文件，结合该项目涉及的污水管道数量、泵站数量、检查井数量等，梳理完善了绩效目标，并经项目单位确认。由于项目单位未制定年度实施计划，因此以下仅对项目总目标进行完善。经评价小组梳理后的绩效目标具体如下：</w:t>
      </w:r>
    </w:p>
    <w:p>
      <w:pPr>
        <w:pStyle w:val="24"/>
        <w:ind w:firstLine="643"/>
      </w:pPr>
      <w:bookmarkStart w:id="93" w:name="_Toc169390954"/>
      <w:bookmarkStart w:id="94" w:name="_Toc163570366"/>
      <w:bookmarkStart w:id="95" w:name="_Toc171093925"/>
      <w:bookmarkStart w:id="96" w:name="_Toc165914617"/>
      <w:bookmarkStart w:id="97" w:name="_Toc169439190"/>
      <w:bookmarkStart w:id="98" w:name="_Hlk135228409"/>
      <w:r>
        <w:t>1.总目标</w:t>
      </w:r>
      <w:bookmarkEnd w:id="93"/>
      <w:bookmarkEnd w:id="94"/>
      <w:bookmarkEnd w:id="95"/>
      <w:bookmarkEnd w:id="96"/>
      <w:bookmarkEnd w:id="97"/>
    </w:p>
    <w:p>
      <w:pPr>
        <w:pStyle w:val="22"/>
      </w:pPr>
      <w:r>
        <w:t>为减少雨污混接对水环境的影响，堡镇、新河镇及时开展前期准备工作并报批，待前期条件具备后即立项实施，协同各方取得施工许可后及时开工并完成</w:t>
      </w:r>
      <w:r>
        <w:rPr>
          <w:rFonts w:hint="eastAsia"/>
        </w:rPr>
        <w:t>17718</w:t>
      </w:r>
      <w:r>
        <w:t>米污水管道敷设（堡镇9</w:t>
      </w:r>
      <w:r>
        <w:rPr>
          <w:rFonts w:hint="eastAsia"/>
        </w:rPr>
        <w:t>441</w:t>
      </w:r>
      <w:r>
        <w:t>米，新河镇</w:t>
      </w:r>
      <w:r>
        <w:rPr>
          <w:rFonts w:hint="eastAsia"/>
        </w:rPr>
        <w:t>8277</w:t>
      </w:r>
      <w:r>
        <w:t>米），4</w:t>
      </w:r>
      <w:r>
        <w:rPr>
          <w:rFonts w:hint="eastAsia"/>
        </w:rPr>
        <w:t>71</w:t>
      </w:r>
      <w:r>
        <w:t>座检查井、截流井、压力井等（堡镇2</w:t>
      </w:r>
      <w:r>
        <w:rPr>
          <w:rFonts w:hint="eastAsia"/>
        </w:rPr>
        <w:t>75</w:t>
      </w:r>
      <w:r>
        <w:t>座，新河镇</w:t>
      </w:r>
      <w:r>
        <w:rPr>
          <w:rFonts w:hint="eastAsia"/>
        </w:rPr>
        <w:t>196</w:t>
      </w:r>
      <w:r>
        <w:t>座）、6座泵站（堡镇4座，新河镇2座）、45座雨水口（新河）建设以及相应的道路修复、绿化修复等工作；项目建设完成后一次性通过通水验收、竣工验收并投入使用。通过实施污水管网完善工程项目，加快补齐污水管网建设短板，实现堡镇-五效集镇区和新河-新民集镇区雨污水分流，提高区域污水收集处理能力，从而降低区域污水直排河道的影响，改善河道水质，满足群众排水需求且居民的满意度达到90%及以上，进而推进崇明区雨污混接整治工作，提升水环境质量。</w:t>
      </w:r>
    </w:p>
    <w:p>
      <w:pPr>
        <w:pStyle w:val="24"/>
        <w:ind w:firstLine="643"/>
      </w:pPr>
      <w:bookmarkStart w:id="99" w:name="_Toc171093926"/>
      <w:bookmarkStart w:id="100" w:name="_Toc169439191"/>
      <w:bookmarkStart w:id="101" w:name="_Toc169390955"/>
      <w:bookmarkStart w:id="102" w:name="_Toc163570367"/>
      <w:bookmarkStart w:id="103" w:name="_Toc165914618"/>
      <w:r>
        <w:t>2</w:t>
      </w:r>
      <w:bookmarkEnd w:id="98"/>
      <w:r>
        <w:t>.具体绩效目标</w:t>
      </w:r>
      <w:bookmarkEnd w:id="99"/>
      <w:bookmarkEnd w:id="100"/>
      <w:bookmarkEnd w:id="101"/>
      <w:bookmarkEnd w:id="102"/>
      <w:bookmarkEnd w:id="103"/>
    </w:p>
    <w:p>
      <w:pPr>
        <w:pStyle w:val="22"/>
      </w:pPr>
      <w:r>
        <w:t>评价小组通过梳理污水管道数量、泵站数量等，对绩效指标进一步细化量化，</w:t>
      </w:r>
      <w:r>
        <w:rPr>
          <w:rFonts w:hint="eastAsia"/>
        </w:rPr>
        <w:t>经咨询行业专家，工程类项目实际建设主要是以招投标文件和合同约定内容为准</w:t>
      </w:r>
      <w:r>
        <w:t>，因此产出指标的目标值以</w:t>
      </w:r>
      <w:r>
        <w:rPr>
          <w:rFonts w:hint="eastAsia"/>
        </w:rPr>
        <w:t>合同</w:t>
      </w:r>
      <w:r>
        <w:t>工程量为依据进行设置。经评价小组完善后的具体绩效目标如下：</w:t>
      </w:r>
    </w:p>
    <w:p>
      <w:pPr>
        <w:pStyle w:val="22"/>
        <w:ind w:firstLine="0" w:firstLineChars="0"/>
        <w:jc w:val="center"/>
        <w:rPr>
          <w:b/>
          <w:bCs w:val="0"/>
          <w:sz w:val="28"/>
          <w:szCs w:val="24"/>
        </w:rPr>
      </w:pPr>
      <w:r>
        <w:rPr>
          <w:b/>
          <w:bCs w:val="0"/>
          <w:sz w:val="28"/>
          <w:szCs w:val="24"/>
        </w:rPr>
        <w:t>表1-</w:t>
      </w:r>
      <w:r>
        <w:rPr>
          <w:rFonts w:hint="eastAsia"/>
          <w:b/>
          <w:bCs w:val="0"/>
          <w:sz w:val="28"/>
          <w:szCs w:val="24"/>
        </w:rPr>
        <w:t>9</w:t>
      </w:r>
      <w:r>
        <w:rPr>
          <w:b/>
          <w:bCs w:val="0"/>
          <w:sz w:val="28"/>
          <w:szCs w:val="24"/>
        </w:rPr>
        <w:t>：项目绩效目标表（经评价小组完善后）</w:t>
      </w:r>
    </w:p>
    <w:tbl>
      <w:tblPr>
        <w:tblStyle w:val="12"/>
        <w:tblW w:w="5000" w:type="pct"/>
        <w:tblInd w:w="0" w:type="dxa"/>
        <w:tblLayout w:type="autofit"/>
        <w:tblCellMar>
          <w:top w:w="0" w:type="dxa"/>
          <w:left w:w="108" w:type="dxa"/>
          <w:bottom w:w="0" w:type="dxa"/>
          <w:right w:w="108" w:type="dxa"/>
        </w:tblCellMar>
      </w:tblPr>
      <w:tblGrid>
        <w:gridCol w:w="816"/>
        <w:gridCol w:w="1276"/>
        <w:gridCol w:w="2410"/>
        <w:gridCol w:w="2470"/>
        <w:gridCol w:w="2089"/>
      </w:tblGrid>
      <w:tr>
        <w:tblPrEx>
          <w:tblCellMar>
            <w:top w:w="0" w:type="dxa"/>
            <w:left w:w="108" w:type="dxa"/>
            <w:bottom w:w="0" w:type="dxa"/>
            <w:right w:w="108" w:type="dxa"/>
          </w:tblCellMar>
        </w:tblPrEx>
        <w:trPr>
          <w:trHeight w:val="340" w:hRule="atLeast"/>
          <w:tblHeader/>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一级指标</w:t>
            </w:r>
          </w:p>
        </w:tc>
        <w:tc>
          <w:tcPr>
            <w:tcW w:w="7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二级指标</w:t>
            </w:r>
          </w:p>
        </w:tc>
        <w:tc>
          <w:tcPr>
            <w:tcW w:w="1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三级指标</w:t>
            </w:r>
          </w:p>
        </w:tc>
        <w:tc>
          <w:tcPr>
            <w:tcW w:w="1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目标值</w:t>
            </w:r>
          </w:p>
        </w:tc>
        <w:tc>
          <w:tcPr>
            <w:tcW w:w="11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目标值来源</w:t>
            </w:r>
          </w:p>
        </w:tc>
      </w:tr>
      <w:tr>
        <w:tblPrEx>
          <w:tblCellMar>
            <w:top w:w="0" w:type="dxa"/>
            <w:left w:w="108" w:type="dxa"/>
            <w:bottom w:w="0" w:type="dxa"/>
            <w:right w:w="108" w:type="dxa"/>
          </w:tblCellMar>
        </w:tblPrEx>
        <w:trPr>
          <w:trHeight w:val="340" w:hRule="atLeast"/>
        </w:trPr>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成本</w:t>
            </w:r>
          </w:p>
        </w:tc>
        <w:tc>
          <w:tcPr>
            <w:tcW w:w="7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经济成本指标</w:t>
            </w:r>
          </w:p>
        </w:tc>
        <w:tc>
          <w:tcPr>
            <w:tcW w:w="1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成本控制情况</w:t>
            </w:r>
          </w:p>
        </w:tc>
        <w:tc>
          <w:tcPr>
            <w:tcW w:w="1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审定费用不超批复金额</w:t>
            </w:r>
          </w:p>
        </w:tc>
        <w:tc>
          <w:tcPr>
            <w:tcW w:w="11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批复、审计报告、审价报告</w:t>
            </w:r>
          </w:p>
        </w:tc>
      </w:tr>
      <w:tr>
        <w:tblPrEx>
          <w:tblCellMar>
            <w:top w:w="0" w:type="dxa"/>
            <w:left w:w="108" w:type="dxa"/>
            <w:bottom w:w="0" w:type="dxa"/>
            <w:right w:w="108" w:type="dxa"/>
          </w:tblCellMar>
        </w:tblPrEx>
        <w:trPr>
          <w:trHeight w:val="340" w:hRule="atLeast"/>
        </w:trPr>
        <w:tc>
          <w:tcPr>
            <w:tcW w:w="45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产出</w:t>
            </w:r>
          </w:p>
        </w:tc>
        <w:tc>
          <w:tcPr>
            <w:tcW w:w="7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产出数量</w:t>
            </w:r>
          </w:p>
        </w:tc>
        <w:tc>
          <w:tcPr>
            <w:tcW w:w="1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污水管道敷设完成量</w:t>
            </w:r>
          </w:p>
        </w:tc>
        <w:tc>
          <w:tcPr>
            <w:tcW w:w="1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17718</w:t>
            </w:r>
            <w:r>
              <w:rPr>
                <w:rFonts w:ascii="Times New Roman" w:hAnsi="Times New Roman" w:eastAsia="仿宋_GB2312" w:cs="Times New Roman"/>
                <w:kern w:val="0"/>
                <w:sz w:val="24"/>
                <w:szCs w:val="24"/>
              </w:rPr>
              <w:t>米，其中：堡镇</w:t>
            </w:r>
            <w:r>
              <w:rPr>
                <w:rFonts w:hint="eastAsia" w:ascii="Times New Roman" w:hAnsi="Times New Roman" w:eastAsia="仿宋_GB2312" w:cs="Times New Roman"/>
                <w:kern w:val="0"/>
                <w:sz w:val="24"/>
                <w:szCs w:val="24"/>
              </w:rPr>
              <w:t>9441</w:t>
            </w:r>
            <w:r>
              <w:rPr>
                <w:rFonts w:ascii="Times New Roman" w:hAnsi="Times New Roman" w:eastAsia="仿宋_GB2312" w:cs="Times New Roman"/>
                <w:kern w:val="0"/>
                <w:sz w:val="24"/>
                <w:szCs w:val="24"/>
              </w:rPr>
              <w:t>米，新河镇</w:t>
            </w:r>
            <w:r>
              <w:rPr>
                <w:rFonts w:hint="eastAsia" w:ascii="Times New Roman" w:hAnsi="Times New Roman" w:eastAsia="仿宋_GB2312" w:cs="Times New Roman"/>
                <w:kern w:val="0"/>
                <w:sz w:val="24"/>
                <w:szCs w:val="24"/>
              </w:rPr>
              <w:t>8277</w:t>
            </w:r>
            <w:r>
              <w:rPr>
                <w:rFonts w:ascii="Times New Roman" w:hAnsi="Times New Roman" w:eastAsia="仿宋_GB2312" w:cs="Times New Roman"/>
                <w:kern w:val="0"/>
                <w:sz w:val="24"/>
                <w:szCs w:val="24"/>
              </w:rPr>
              <w:t>米</w:t>
            </w:r>
          </w:p>
        </w:tc>
        <w:tc>
          <w:tcPr>
            <w:tcW w:w="11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可研批复、</w:t>
            </w:r>
            <w:r>
              <w:rPr>
                <w:rFonts w:hint="eastAsia" w:ascii="Times New Roman" w:hAnsi="Times New Roman" w:eastAsia="仿宋_GB2312" w:cs="Times New Roman"/>
                <w:kern w:val="0"/>
                <w:sz w:val="24"/>
                <w:szCs w:val="24"/>
              </w:rPr>
              <w:t>初设批复、</w:t>
            </w:r>
            <w:r>
              <w:rPr>
                <w:rFonts w:ascii="Times New Roman" w:hAnsi="Times New Roman" w:eastAsia="仿宋_GB2312" w:cs="Times New Roman"/>
                <w:kern w:val="0"/>
                <w:sz w:val="24"/>
                <w:szCs w:val="24"/>
              </w:rPr>
              <w:t>合同</w:t>
            </w:r>
          </w:p>
        </w:tc>
      </w:tr>
      <w:tr>
        <w:tblPrEx>
          <w:tblCellMar>
            <w:top w:w="0" w:type="dxa"/>
            <w:left w:w="108" w:type="dxa"/>
            <w:bottom w:w="0" w:type="dxa"/>
            <w:right w:w="108" w:type="dxa"/>
          </w:tblCellMar>
        </w:tblPrEx>
        <w:trPr>
          <w:trHeight w:val="340" w:hRule="atLeast"/>
        </w:trPr>
        <w:tc>
          <w:tcPr>
            <w:tcW w:w="450"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704"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1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检查井、截流井、压力井等建设完成数</w:t>
            </w:r>
          </w:p>
        </w:tc>
        <w:tc>
          <w:tcPr>
            <w:tcW w:w="1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r>
              <w:rPr>
                <w:rFonts w:hint="eastAsia" w:ascii="Times New Roman" w:hAnsi="Times New Roman" w:eastAsia="仿宋_GB2312" w:cs="Times New Roman"/>
                <w:kern w:val="0"/>
                <w:sz w:val="24"/>
                <w:szCs w:val="24"/>
              </w:rPr>
              <w:t>71</w:t>
            </w:r>
            <w:r>
              <w:rPr>
                <w:rFonts w:ascii="Times New Roman" w:hAnsi="Times New Roman" w:eastAsia="仿宋_GB2312" w:cs="Times New Roman"/>
                <w:kern w:val="0"/>
                <w:sz w:val="24"/>
                <w:szCs w:val="24"/>
              </w:rPr>
              <w:t>座，其中：堡镇2</w:t>
            </w:r>
            <w:r>
              <w:rPr>
                <w:rFonts w:hint="eastAsia" w:ascii="Times New Roman" w:hAnsi="Times New Roman" w:eastAsia="仿宋_GB2312" w:cs="Times New Roman"/>
                <w:kern w:val="0"/>
                <w:sz w:val="24"/>
                <w:szCs w:val="24"/>
              </w:rPr>
              <w:t>75</w:t>
            </w:r>
            <w:r>
              <w:rPr>
                <w:rFonts w:ascii="Times New Roman" w:hAnsi="Times New Roman" w:eastAsia="仿宋_GB2312" w:cs="Times New Roman"/>
                <w:kern w:val="0"/>
                <w:sz w:val="24"/>
                <w:szCs w:val="24"/>
              </w:rPr>
              <w:t>座，新河镇</w:t>
            </w:r>
            <w:r>
              <w:rPr>
                <w:rFonts w:hint="eastAsia" w:ascii="Times New Roman" w:hAnsi="Times New Roman" w:eastAsia="仿宋_GB2312" w:cs="Times New Roman"/>
                <w:kern w:val="0"/>
                <w:sz w:val="24"/>
                <w:szCs w:val="24"/>
              </w:rPr>
              <w:t>196</w:t>
            </w:r>
            <w:r>
              <w:rPr>
                <w:rFonts w:ascii="Times New Roman" w:hAnsi="Times New Roman" w:eastAsia="仿宋_GB2312" w:cs="Times New Roman"/>
                <w:kern w:val="0"/>
                <w:sz w:val="24"/>
                <w:szCs w:val="24"/>
              </w:rPr>
              <w:t>座</w:t>
            </w:r>
          </w:p>
        </w:tc>
        <w:tc>
          <w:tcPr>
            <w:tcW w:w="11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可研批复、</w:t>
            </w:r>
            <w:r>
              <w:rPr>
                <w:rFonts w:hint="eastAsia" w:ascii="Times New Roman" w:hAnsi="Times New Roman" w:eastAsia="仿宋_GB2312" w:cs="Times New Roman"/>
                <w:kern w:val="0"/>
                <w:sz w:val="24"/>
                <w:szCs w:val="24"/>
              </w:rPr>
              <w:t>初设批复、</w:t>
            </w:r>
            <w:r>
              <w:rPr>
                <w:rFonts w:ascii="Times New Roman" w:hAnsi="Times New Roman" w:eastAsia="仿宋_GB2312" w:cs="Times New Roman"/>
                <w:kern w:val="0"/>
                <w:sz w:val="24"/>
                <w:szCs w:val="24"/>
              </w:rPr>
              <w:t>合同</w:t>
            </w:r>
          </w:p>
        </w:tc>
      </w:tr>
      <w:tr>
        <w:tblPrEx>
          <w:tblCellMar>
            <w:top w:w="0" w:type="dxa"/>
            <w:left w:w="108" w:type="dxa"/>
            <w:bottom w:w="0" w:type="dxa"/>
            <w:right w:w="108" w:type="dxa"/>
          </w:tblCellMar>
        </w:tblPrEx>
        <w:trPr>
          <w:trHeight w:val="340" w:hRule="atLeast"/>
        </w:trPr>
        <w:tc>
          <w:tcPr>
            <w:tcW w:w="450"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704"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1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泵站建设完成数</w:t>
            </w:r>
          </w:p>
        </w:tc>
        <w:tc>
          <w:tcPr>
            <w:tcW w:w="1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6座，其中：堡镇4座，新河镇2座</w:t>
            </w:r>
          </w:p>
        </w:tc>
        <w:tc>
          <w:tcPr>
            <w:tcW w:w="11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可研批复、</w:t>
            </w:r>
            <w:r>
              <w:rPr>
                <w:rFonts w:hint="eastAsia" w:ascii="Times New Roman" w:hAnsi="Times New Roman" w:eastAsia="仿宋_GB2312" w:cs="Times New Roman"/>
                <w:kern w:val="0"/>
                <w:sz w:val="24"/>
                <w:szCs w:val="24"/>
              </w:rPr>
              <w:t>初设批复、</w:t>
            </w:r>
            <w:r>
              <w:rPr>
                <w:rFonts w:ascii="Times New Roman" w:hAnsi="Times New Roman" w:eastAsia="仿宋_GB2312" w:cs="Times New Roman"/>
                <w:kern w:val="0"/>
                <w:sz w:val="24"/>
                <w:szCs w:val="24"/>
              </w:rPr>
              <w:t>合同</w:t>
            </w:r>
          </w:p>
        </w:tc>
      </w:tr>
      <w:tr>
        <w:tblPrEx>
          <w:tblCellMar>
            <w:top w:w="0" w:type="dxa"/>
            <w:left w:w="108" w:type="dxa"/>
            <w:bottom w:w="0" w:type="dxa"/>
            <w:right w:w="108" w:type="dxa"/>
          </w:tblCellMar>
        </w:tblPrEx>
        <w:trPr>
          <w:trHeight w:val="340" w:hRule="atLeast"/>
        </w:trPr>
        <w:tc>
          <w:tcPr>
            <w:tcW w:w="450"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704"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1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雨水口建设完成数</w:t>
            </w:r>
          </w:p>
        </w:tc>
        <w:tc>
          <w:tcPr>
            <w:tcW w:w="1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新河镇45座</w:t>
            </w:r>
          </w:p>
        </w:tc>
        <w:tc>
          <w:tcPr>
            <w:tcW w:w="11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可研批复、</w:t>
            </w:r>
            <w:r>
              <w:rPr>
                <w:rFonts w:hint="eastAsia" w:ascii="Times New Roman" w:hAnsi="Times New Roman" w:eastAsia="仿宋_GB2312" w:cs="Times New Roman"/>
                <w:kern w:val="0"/>
                <w:sz w:val="24"/>
                <w:szCs w:val="24"/>
              </w:rPr>
              <w:t>初设批复、</w:t>
            </w:r>
            <w:r>
              <w:rPr>
                <w:rFonts w:ascii="Times New Roman" w:hAnsi="Times New Roman" w:eastAsia="仿宋_GB2312" w:cs="Times New Roman"/>
                <w:kern w:val="0"/>
                <w:sz w:val="24"/>
                <w:szCs w:val="24"/>
              </w:rPr>
              <w:t>合同</w:t>
            </w:r>
          </w:p>
        </w:tc>
      </w:tr>
      <w:tr>
        <w:tblPrEx>
          <w:tblCellMar>
            <w:top w:w="0" w:type="dxa"/>
            <w:left w:w="108" w:type="dxa"/>
            <w:bottom w:w="0" w:type="dxa"/>
            <w:right w:w="108" w:type="dxa"/>
          </w:tblCellMar>
        </w:tblPrEx>
        <w:trPr>
          <w:trHeight w:val="340" w:hRule="atLeast"/>
        </w:trPr>
        <w:tc>
          <w:tcPr>
            <w:tcW w:w="450"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704"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1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道路修复、绿化修复等其他内容建设完成率</w:t>
            </w:r>
          </w:p>
        </w:tc>
        <w:tc>
          <w:tcPr>
            <w:tcW w:w="1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100%完成</w:t>
            </w:r>
          </w:p>
        </w:tc>
        <w:tc>
          <w:tcPr>
            <w:tcW w:w="11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可研批复、</w:t>
            </w:r>
            <w:r>
              <w:rPr>
                <w:rFonts w:hint="eastAsia" w:ascii="Times New Roman" w:hAnsi="Times New Roman" w:eastAsia="仿宋_GB2312" w:cs="Times New Roman"/>
                <w:kern w:val="0"/>
                <w:sz w:val="24"/>
                <w:szCs w:val="24"/>
              </w:rPr>
              <w:t>初设批复、</w:t>
            </w:r>
            <w:r>
              <w:rPr>
                <w:rFonts w:ascii="Times New Roman" w:hAnsi="Times New Roman" w:eastAsia="仿宋_GB2312" w:cs="Times New Roman"/>
                <w:kern w:val="0"/>
                <w:sz w:val="24"/>
                <w:szCs w:val="24"/>
              </w:rPr>
              <w:t>合同</w:t>
            </w:r>
          </w:p>
        </w:tc>
      </w:tr>
      <w:tr>
        <w:tblPrEx>
          <w:tblCellMar>
            <w:top w:w="0" w:type="dxa"/>
            <w:left w:w="108" w:type="dxa"/>
            <w:bottom w:w="0" w:type="dxa"/>
            <w:right w:w="108" w:type="dxa"/>
          </w:tblCellMar>
        </w:tblPrEx>
        <w:trPr>
          <w:trHeight w:val="340" w:hRule="atLeast"/>
        </w:trPr>
        <w:tc>
          <w:tcPr>
            <w:tcW w:w="450"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7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产出质量</w:t>
            </w:r>
          </w:p>
        </w:tc>
        <w:tc>
          <w:tcPr>
            <w:tcW w:w="1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前期工作验收合格率</w:t>
            </w:r>
          </w:p>
        </w:tc>
        <w:tc>
          <w:tcPr>
            <w:tcW w:w="1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100%合格并一次性通过验收</w:t>
            </w:r>
          </w:p>
        </w:tc>
        <w:tc>
          <w:tcPr>
            <w:tcW w:w="11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合同</w:t>
            </w:r>
          </w:p>
        </w:tc>
      </w:tr>
      <w:tr>
        <w:tblPrEx>
          <w:tblCellMar>
            <w:top w:w="0" w:type="dxa"/>
            <w:left w:w="108" w:type="dxa"/>
            <w:bottom w:w="0" w:type="dxa"/>
            <w:right w:w="108" w:type="dxa"/>
          </w:tblCellMar>
        </w:tblPrEx>
        <w:trPr>
          <w:trHeight w:val="340" w:hRule="atLeast"/>
        </w:trPr>
        <w:tc>
          <w:tcPr>
            <w:tcW w:w="450"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704"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1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通水验收合格率</w:t>
            </w:r>
          </w:p>
        </w:tc>
        <w:tc>
          <w:tcPr>
            <w:tcW w:w="1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100%合格并一次性通过验收</w:t>
            </w:r>
          </w:p>
        </w:tc>
        <w:tc>
          <w:tcPr>
            <w:tcW w:w="11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行业规范</w:t>
            </w:r>
            <w:r>
              <w:rPr>
                <w:rFonts w:hint="eastAsia" w:ascii="Times New Roman" w:hAnsi="Times New Roman" w:eastAsia="仿宋_GB2312" w:cs="Times New Roman"/>
                <w:kern w:val="0"/>
                <w:sz w:val="24"/>
                <w:szCs w:val="24"/>
              </w:rPr>
              <w:t>、合同</w:t>
            </w:r>
          </w:p>
        </w:tc>
      </w:tr>
      <w:tr>
        <w:tblPrEx>
          <w:tblCellMar>
            <w:top w:w="0" w:type="dxa"/>
            <w:left w:w="108" w:type="dxa"/>
            <w:bottom w:w="0" w:type="dxa"/>
            <w:right w:w="108" w:type="dxa"/>
          </w:tblCellMar>
        </w:tblPrEx>
        <w:trPr>
          <w:trHeight w:val="340" w:hRule="atLeast"/>
        </w:trPr>
        <w:tc>
          <w:tcPr>
            <w:tcW w:w="450"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704"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1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竣工验收合格率</w:t>
            </w:r>
          </w:p>
        </w:tc>
        <w:tc>
          <w:tcPr>
            <w:tcW w:w="1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100%合格并一次性通过验收</w:t>
            </w:r>
          </w:p>
        </w:tc>
        <w:tc>
          <w:tcPr>
            <w:tcW w:w="11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行业规范</w:t>
            </w:r>
            <w:r>
              <w:rPr>
                <w:rFonts w:hint="eastAsia" w:ascii="Times New Roman" w:hAnsi="Times New Roman" w:eastAsia="仿宋_GB2312" w:cs="Times New Roman"/>
                <w:kern w:val="0"/>
                <w:sz w:val="24"/>
                <w:szCs w:val="24"/>
              </w:rPr>
              <w:t>、合同</w:t>
            </w:r>
          </w:p>
        </w:tc>
      </w:tr>
      <w:tr>
        <w:tblPrEx>
          <w:tblCellMar>
            <w:top w:w="0" w:type="dxa"/>
            <w:left w:w="108" w:type="dxa"/>
            <w:bottom w:w="0" w:type="dxa"/>
            <w:right w:w="108" w:type="dxa"/>
          </w:tblCellMar>
        </w:tblPrEx>
        <w:trPr>
          <w:trHeight w:val="340" w:hRule="atLeast"/>
        </w:trPr>
        <w:tc>
          <w:tcPr>
            <w:tcW w:w="450"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7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产出时效</w:t>
            </w:r>
          </w:p>
        </w:tc>
        <w:tc>
          <w:tcPr>
            <w:tcW w:w="1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前期工作完成及时性</w:t>
            </w:r>
          </w:p>
        </w:tc>
        <w:tc>
          <w:tcPr>
            <w:tcW w:w="1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及时</w:t>
            </w:r>
          </w:p>
        </w:tc>
        <w:tc>
          <w:tcPr>
            <w:tcW w:w="11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工作计划</w:t>
            </w:r>
            <w:r>
              <w:rPr>
                <w:rFonts w:hint="eastAsia" w:ascii="Times New Roman" w:hAnsi="Times New Roman" w:eastAsia="仿宋_GB2312" w:cs="Times New Roman"/>
                <w:kern w:val="0"/>
                <w:sz w:val="24"/>
                <w:szCs w:val="24"/>
              </w:rPr>
              <w:t>、合同</w:t>
            </w:r>
          </w:p>
        </w:tc>
      </w:tr>
      <w:tr>
        <w:tblPrEx>
          <w:tblCellMar>
            <w:top w:w="0" w:type="dxa"/>
            <w:left w:w="108" w:type="dxa"/>
            <w:bottom w:w="0" w:type="dxa"/>
            <w:right w:w="108" w:type="dxa"/>
          </w:tblCellMar>
        </w:tblPrEx>
        <w:trPr>
          <w:trHeight w:val="340" w:hRule="atLeast"/>
        </w:trPr>
        <w:tc>
          <w:tcPr>
            <w:tcW w:w="450"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704"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1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开竣工及时性</w:t>
            </w:r>
          </w:p>
        </w:tc>
        <w:tc>
          <w:tcPr>
            <w:tcW w:w="1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按合同约定及时开工并完工</w:t>
            </w:r>
          </w:p>
        </w:tc>
        <w:tc>
          <w:tcPr>
            <w:tcW w:w="11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工作计划</w:t>
            </w:r>
            <w:r>
              <w:rPr>
                <w:rFonts w:hint="eastAsia" w:ascii="Times New Roman" w:hAnsi="Times New Roman" w:eastAsia="仿宋_GB2312" w:cs="Times New Roman"/>
                <w:kern w:val="0"/>
                <w:sz w:val="24"/>
                <w:szCs w:val="24"/>
              </w:rPr>
              <w:t>、合同</w:t>
            </w:r>
          </w:p>
        </w:tc>
      </w:tr>
      <w:tr>
        <w:tblPrEx>
          <w:tblCellMar>
            <w:top w:w="0" w:type="dxa"/>
            <w:left w:w="108" w:type="dxa"/>
            <w:bottom w:w="0" w:type="dxa"/>
            <w:right w:w="108" w:type="dxa"/>
          </w:tblCellMar>
        </w:tblPrEx>
        <w:trPr>
          <w:trHeight w:val="340" w:hRule="atLeast"/>
        </w:trPr>
        <w:tc>
          <w:tcPr>
            <w:tcW w:w="450"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704"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1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项目验收及投入使用及时性</w:t>
            </w:r>
          </w:p>
        </w:tc>
        <w:tc>
          <w:tcPr>
            <w:tcW w:w="1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及时</w:t>
            </w:r>
          </w:p>
        </w:tc>
        <w:tc>
          <w:tcPr>
            <w:tcW w:w="1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工作计划</w:t>
            </w:r>
            <w:r>
              <w:rPr>
                <w:rFonts w:hint="eastAsia" w:ascii="Times New Roman" w:hAnsi="Times New Roman" w:eastAsia="仿宋_GB2312" w:cs="Times New Roman"/>
                <w:kern w:val="0"/>
                <w:sz w:val="24"/>
                <w:szCs w:val="24"/>
              </w:rPr>
              <w:t>、合同</w:t>
            </w:r>
          </w:p>
        </w:tc>
      </w:tr>
      <w:tr>
        <w:tblPrEx>
          <w:tblCellMar>
            <w:top w:w="0" w:type="dxa"/>
            <w:left w:w="108" w:type="dxa"/>
            <w:bottom w:w="0" w:type="dxa"/>
            <w:right w:w="108" w:type="dxa"/>
          </w:tblCellMar>
        </w:tblPrEx>
        <w:trPr>
          <w:trHeight w:val="340" w:hRule="atLeast"/>
        </w:trPr>
        <w:tc>
          <w:tcPr>
            <w:tcW w:w="45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效益</w:t>
            </w:r>
          </w:p>
        </w:tc>
        <w:tc>
          <w:tcPr>
            <w:tcW w:w="70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社会效益</w:t>
            </w:r>
          </w:p>
        </w:tc>
        <w:tc>
          <w:tcPr>
            <w:tcW w:w="132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2个集镇区污水管网全覆盖</w:t>
            </w:r>
          </w:p>
        </w:tc>
        <w:tc>
          <w:tcPr>
            <w:tcW w:w="1362"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100%覆盖</w:t>
            </w:r>
          </w:p>
        </w:tc>
        <w:tc>
          <w:tcPr>
            <w:tcW w:w="11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访谈、问卷调查</w:t>
            </w:r>
          </w:p>
        </w:tc>
      </w:tr>
      <w:tr>
        <w:tblPrEx>
          <w:tblCellMar>
            <w:top w:w="0" w:type="dxa"/>
            <w:left w:w="108" w:type="dxa"/>
            <w:bottom w:w="0" w:type="dxa"/>
            <w:right w:w="108" w:type="dxa"/>
          </w:tblCellMar>
        </w:tblPrEx>
        <w:trPr>
          <w:trHeight w:val="340" w:hRule="atLeast"/>
        </w:trPr>
        <w:tc>
          <w:tcPr>
            <w:tcW w:w="450"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_GB2312" w:cs="Times New Roman"/>
                <w:kern w:val="0"/>
                <w:sz w:val="24"/>
                <w:szCs w:val="24"/>
              </w:rPr>
            </w:pPr>
          </w:p>
        </w:tc>
        <w:tc>
          <w:tcPr>
            <w:tcW w:w="704"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Times New Roman" w:hAnsi="Times New Roman" w:eastAsia="仿宋_GB2312" w:cs="Times New Roman"/>
                <w:kern w:val="0"/>
                <w:sz w:val="24"/>
                <w:szCs w:val="24"/>
              </w:rPr>
            </w:pPr>
          </w:p>
        </w:tc>
        <w:tc>
          <w:tcPr>
            <w:tcW w:w="132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区域污水集中处理率</w:t>
            </w:r>
          </w:p>
        </w:tc>
        <w:tc>
          <w:tcPr>
            <w:tcW w:w="1362"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≥99%</w:t>
            </w:r>
          </w:p>
        </w:tc>
        <w:tc>
          <w:tcPr>
            <w:tcW w:w="11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访谈、问卷调查</w:t>
            </w:r>
          </w:p>
        </w:tc>
      </w:tr>
      <w:tr>
        <w:tblPrEx>
          <w:tblCellMar>
            <w:top w:w="0" w:type="dxa"/>
            <w:left w:w="108" w:type="dxa"/>
            <w:bottom w:w="0" w:type="dxa"/>
            <w:right w:w="108" w:type="dxa"/>
          </w:tblCellMar>
        </w:tblPrEx>
        <w:trPr>
          <w:trHeight w:val="340" w:hRule="atLeast"/>
        </w:trPr>
        <w:tc>
          <w:tcPr>
            <w:tcW w:w="450" w:type="pct"/>
            <w:vMerge w:val="continue"/>
            <w:tcBorders>
              <w:top w:val="single" w:color="auto"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704" w:type="pct"/>
            <w:vMerge w:val="continue"/>
            <w:tcBorders>
              <w:top w:val="single" w:color="auto" w:sz="4" w:space="0"/>
              <w:left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1329" w:type="pc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未发生居民有责投诉</w:t>
            </w:r>
          </w:p>
        </w:tc>
        <w:tc>
          <w:tcPr>
            <w:tcW w:w="1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0次</w:t>
            </w:r>
          </w:p>
        </w:tc>
        <w:tc>
          <w:tcPr>
            <w:tcW w:w="11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访谈、问卷调查</w:t>
            </w:r>
          </w:p>
        </w:tc>
      </w:tr>
      <w:tr>
        <w:tblPrEx>
          <w:tblCellMar>
            <w:top w:w="0" w:type="dxa"/>
            <w:left w:w="108" w:type="dxa"/>
            <w:bottom w:w="0" w:type="dxa"/>
            <w:right w:w="108" w:type="dxa"/>
          </w:tblCellMar>
        </w:tblPrEx>
        <w:trPr>
          <w:trHeight w:val="340" w:hRule="atLeast"/>
        </w:trPr>
        <w:tc>
          <w:tcPr>
            <w:tcW w:w="450"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704" w:type="pct"/>
            <w:vMerge w:val="continue"/>
            <w:tcBorders>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1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未发生安全事故</w:t>
            </w:r>
          </w:p>
        </w:tc>
        <w:tc>
          <w:tcPr>
            <w:tcW w:w="1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0次</w:t>
            </w:r>
          </w:p>
        </w:tc>
        <w:tc>
          <w:tcPr>
            <w:tcW w:w="11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访谈、问卷调查</w:t>
            </w:r>
          </w:p>
        </w:tc>
      </w:tr>
      <w:tr>
        <w:tblPrEx>
          <w:tblCellMar>
            <w:top w:w="0" w:type="dxa"/>
            <w:left w:w="108" w:type="dxa"/>
            <w:bottom w:w="0" w:type="dxa"/>
            <w:right w:w="108" w:type="dxa"/>
          </w:tblCellMar>
        </w:tblPrEx>
        <w:trPr>
          <w:trHeight w:val="340" w:hRule="atLeast"/>
        </w:trPr>
        <w:tc>
          <w:tcPr>
            <w:tcW w:w="450"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7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生态效益</w:t>
            </w:r>
          </w:p>
        </w:tc>
        <w:tc>
          <w:tcPr>
            <w:tcW w:w="1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河道水质改善情况</w:t>
            </w:r>
          </w:p>
        </w:tc>
        <w:tc>
          <w:tcPr>
            <w:tcW w:w="1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较项目实施前有所改善</w:t>
            </w:r>
          </w:p>
        </w:tc>
        <w:tc>
          <w:tcPr>
            <w:tcW w:w="11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访谈、问卷调查</w:t>
            </w:r>
          </w:p>
        </w:tc>
      </w:tr>
      <w:tr>
        <w:tblPrEx>
          <w:tblCellMar>
            <w:top w:w="0" w:type="dxa"/>
            <w:left w:w="108" w:type="dxa"/>
            <w:bottom w:w="0" w:type="dxa"/>
            <w:right w:w="108" w:type="dxa"/>
          </w:tblCellMar>
        </w:tblPrEx>
        <w:trPr>
          <w:trHeight w:val="340" w:hRule="atLeast"/>
        </w:trPr>
        <w:tc>
          <w:tcPr>
            <w:tcW w:w="450"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7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可持续影响力指标</w:t>
            </w:r>
          </w:p>
        </w:tc>
        <w:tc>
          <w:tcPr>
            <w:tcW w:w="1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资产管理机制健全性</w:t>
            </w:r>
          </w:p>
        </w:tc>
        <w:tc>
          <w:tcPr>
            <w:tcW w:w="1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建立健全并有效执行</w:t>
            </w:r>
          </w:p>
        </w:tc>
        <w:tc>
          <w:tcPr>
            <w:tcW w:w="11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制度文件</w:t>
            </w:r>
          </w:p>
        </w:tc>
      </w:tr>
      <w:tr>
        <w:tblPrEx>
          <w:tblCellMar>
            <w:top w:w="0" w:type="dxa"/>
            <w:left w:w="108" w:type="dxa"/>
            <w:bottom w:w="0" w:type="dxa"/>
            <w:right w:w="108" w:type="dxa"/>
          </w:tblCellMar>
        </w:tblPrEx>
        <w:trPr>
          <w:trHeight w:val="340" w:hRule="atLeast"/>
        </w:trPr>
        <w:tc>
          <w:tcPr>
            <w:tcW w:w="450"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704"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1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管养机制健全性</w:t>
            </w:r>
          </w:p>
        </w:tc>
        <w:tc>
          <w:tcPr>
            <w:tcW w:w="1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建立健全并有效执行</w:t>
            </w:r>
          </w:p>
        </w:tc>
        <w:tc>
          <w:tcPr>
            <w:tcW w:w="11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制度文件</w:t>
            </w:r>
          </w:p>
        </w:tc>
      </w:tr>
      <w:tr>
        <w:tblPrEx>
          <w:tblCellMar>
            <w:top w:w="0" w:type="dxa"/>
            <w:left w:w="108" w:type="dxa"/>
            <w:bottom w:w="0" w:type="dxa"/>
            <w:right w:w="108" w:type="dxa"/>
          </w:tblCellMar>
        </w:tblPrEx>
        <w:trPr>
          <w:trHeight w:val="340" w:hRule="atLeast"/>
        </w:trPr>
        <w:tc>
          <w:tcPr>
            <w:tcW w:w="450" w:type="pct"/>
            <w:vMerge w:val="continue"/>
            <w:tcBorders>
              <w:top w:val="single" w:color="000000" w:sz="4" w:space="0"/>
              <w:left w:val="single" w:color="000000" w:sz="4" w:space="0"/>
              <w:bottom w:val="single" w:color="000000" w:sz="4" w:space="0"/>
              <w:right w:val="single" w:color="000000" w:sz="4" w:space="0"/>
            </w:tcBorders>
            <w:vAlign w:val="center"/>
          </w:tcPr>
          <w:p>
            <w:pPr>
              <w:widowControl/>
              <w:snapToGrid w:val="0"/>
              <w:jc w:val="center"/>
              <w:rPr>
                <w:rFonts w:ascii="Times New Roman" w:hAnsi="Times New Roman" w:eastAsia="仿宋_GB2312" w:cs="Times New Roman"/>
                <w:kern w:val="0"/>
                <w:sz w:val="24"/>
                <w:szCs w:val="24"/>
              </w:rPr>
            </w:pPr>
          </w:p>
        </w:tc>
        <w:tc>
          <w:tcPr>
            <w:tcW w:w="70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满意度指标</w:t>
            </w:r>
          </w:p>
        </w:tc>
        <w:tc>
          <w:tcPr>
            <w:tcW w:w="1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周边居民满意度</w:t>
            </w:r>
          </w:p>
        </w:tc>
        <w:tc>
          <w:tcPr>
            <w:tcW w:w="1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≥90%</w:t>
            </w:r>
          </w:p>
        </w:tc>
        <w:tc>
          <w:tcPr>
            <w:tcW w:w="11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问卷调查</w:t>
            </w:r>
          </w:p>
        </w:tc>
      </w:tr>
    </w:tbl>
    <w:p>
      <w:pPr>
        <w:spacing w:line="560" w:lineRule="exact"/>
        <w:ind w:firstLine="640" w:firstLineChars="200"/>
        <w:outlineLvl w:val="0"/>
        <w:rPr>
          <w:rFonts w:ascii="Times New Roman" w:hAnsi="Times New Roman" w:eastAsia="黑体" w:cs="Times New Roman"/>
          <w:sz w:val="32"/>
          <w:szCs w:val="32"/>
        </w:rPr>
      </w:pPr>
      <w:bookmarkStart w:id="104" w:name="_Toc171093927"/>
      <w:r>
        <w:rPr>
          <w:rFonts w:hint="eastAsia" w:ascii="Times New Roman" w:hAnsi="Times New Roman" w:eastAsia="黑体" w:cs="Times New Roman"/>
          <w:sz w:val="32"/>
          <w:szCs w:val="32"/>
        </w:rPr>
        <w:t>二、绩效评价工作情况</w:t>
      </w:r>
      <w:bookmarkEnd w:id="104"/>
    </w:p>
    <w:p>
      <w:pPr>
        <w:pStyle w:val="26"/>
        <w:ind w:firstLine="640"/>
      </w:pPr>
      <w:bookmarkStart w:id="105" w:name="_Toc171093928"/>
      <w:r>
        <w:rPr>
          <w:rFonts w:hint="eastAsia"/>
        </w:rPr>
        <w:t>（一）绩效评价目的、对象和范围</w:t>
      </w:r>
      <w:bookmarkEnd w:id="105"/>
    </w:p>
    <w:p>
      <w:pPr>
        <w:pStyle w:val="24"/>
        <w:ind w:firstLine="643"/>
      </w:pPr>
      <w:bookmarkStart w:id="106" w:name="_Toc163570370"/>
      <w:bookmarkStart w:id="107" w:name="_Toc165914621"/>
      <w:bookmarkStart w:id="108" w:name="_Toc171093929"/>
      <w:bookmarkStart w:id="109" w:name="_Toc169390958"/>
      <w:bookmarkStart w:id="110" w:name="_Toc169439194"/>
      <w:r>
        <w:t>1.评价目的</w:t>
      </w:r>
      <w:bookmarkEnd w:id="106"/>
      <w:bookmarkEnd w:id="107"/>
      <w:bookmarkEnd w:id="108"/>
      <w:bookmarkEnd w:id="109"/>
      <w:bookmarkEnd w:id="110"/>
    </w:p>
    <w:p>
      <w:pPr>
        <w:pStyle w:val="22"/>
      </w:pPr>
      <w:r>
        <w:t>本次绩效评价从项目基本情况入手，在对“污水管网完善工程（堡镇-五效集镇区和新河-新民集镇区）项目”的背景和相关政策文件进行解读的基础上，研究制定本次绩效评价的核心内容，围绕决策、过程、产出和绩效四方面设计相应的评价指标体系，对项目进行量化评分，以此反映项目立项实施前的流程是否规范；项目实施过程中的开工</w:t>
      </w:r>
      <w:r>
        <w:rPr>
          <w:rFonts w:hint="eastAsia"/>
        </w:rPr>
        <w:t>手续办理</w:t>
      </w:r>
      <w:r>
        <w:t>、工程量变更审批程序等是否合规，资金申报、使用是否合规等；项目实施后管网改造工作的完成情况与批复是否一致，堡镇-五效集镇区和新河-新民集镇区是否实现了雨污分流等，从而全面掌握污水管网工程的施工情况，为进一步规范工程类项目申报立项、实施、工程量变更、竣工验收、资产归属等提供建议。</w:t>
      </w:r>
    </w:p>
    <w:p>
      <w:pPr>
        <w:pStyle w:val="24"/>
        <w:ind w:firstLine="643"/>
      </w:pPr>
      <w:bookmarkStart w:id="111" w:name="_Toc165914622"/>
      <w:bookmarkStart w:id="112" w:name="_Toc171093930"/>
      <w:bookmarkStart w:id="113" w:name="_Toc169439195"/>
      <w:bookmarkStart w:id="114" w:name="_Toc169390959"/>
      <w:bookmarkStart w:id="115" w:name="_Toc163570371"/>
      <w:r>
        <w:t>2.评价对象和范围</w:t>
      </w:r>
      <w:bookmarkEnd w:id="111"/>
      <w:bookmarkEnd w:id="112"/>
      <w:bookmarkEnd w:id="113"/>
      <w:bookmarkEnd w:id="114"/>
      <w:bookmarkEnd w:id="115"/>
    </w:p>
    <w:p>
      <w:pPr>
        <w:pStyle w:val="22"/>
      </w:pPr>
      <w:r>
        <w:t>（1）评价对象</w:t>
      </w:r>
    </w:p>
    <w:p>
      <w:pPr>
        <w:pStyle w:val="22"/>
      </w:pPr>
      <w:r>
        <w:t>污水管网完善工程（堡镇-五效集镇区和新河-新民集镇区）项目，项目批复投资</w:t>
      </w:r>
      <w:r>
        <w:rPr>
          <w:rFonts w:hint="eastAsia"/>
        </w:rPr>
        <w:t>估算</w:t>
      </w:r>
      <w:r>
        <w:t>6705.41万元</w:t>
      </w:r>
      <w:r>
        <w:rPr>
          <w:rFonts w:hint="eastAsia"/>
        </w:rPr>
        <w:t>、批复投资概算6704万元，其中：堡镇、新河镇批复投资估算分别为</w:t>
      </w:r>
      <w:r>
        <w:t>1881.31万元</w:t>
      </w:r>
      <w:r>
        <w:rPr>
          <w:rFonts w:hint="eastAsia"/>
        </w:rPr>
        <w:t>、</w:t>
      </w:r>
      <w:r>
        <w:t>4824.1万元</w:t>
      </w:r>
      <w:r>
        <w:rPr>
          <w:rFonts w:hint="eastAsia"/>
        </w:rPr>
        <w:t>，批复投资概算分别为1880.15万元、</w:t>
      </w:r>
      <w:r>
        <w:t>482</w:t>
      </w:r>
      <w:r>
        <w:rPr>
          <w:rFonts w:hint="eastAsia"/>
        </w:rPr>
        <w:t>3.85</w:t>
      </w:r>
      <w:r>
        <w:t>万元</w:t>
      </w:r>
      <w:r>
        <w:rPr>
          <w:rFonts w:hint="eastAsia"/>
        </w:rPr>
        <w:t>。</w:t>
      </w:r>
    </w:p>
    <w:p>
      <w:pPr>
        <w:pStyle w:val="22"/>
      </w:pPr>
      <w:r>
        <w:t>（2）评价范围</w:t>
      </w:r>
    </w:p>
    <w:p>
      <w:pPr>
        <w:pStyle w:val="22"/>
      </w:pPr>
      <w:r>
        <w:t>污水管网完善工程（堡镇-五效集镇区和新河-新民集镇区）项目涉及的污水管道、泵站、检查井、截流井、化粪池、道路修复、绿化修复等工程量建设情况，</w:t>
      </w:r>
      <w:bookmarkStart w:id="116" w:name="_Hlk163561166"/>
      <w:r>
        <w:t>预算资金使用情况，项目相关方及组织管理过程，项目实施后的效果等</w:t>
      </w:r>
      <w:bookmarkEnd w:id="116"/>
      <w:r>
        <w:t>。</w:t>
      </w:r>
    </w:p>
    <w:p>
      <w:pPr>
        <w:pStyle w:val="24"/>
        <w:ind w:firstLine="643"/>
      </w:pPr>
      <w:bookmarkStart w:id="117" w:name="_Toc169439196"/>
      <w:bookmarkStart w:id="118" w:name="_Toc163570372"/>
      <w:bookmarkStart w:id="119" w:name="_Toc169390960"/>
      <w:bookmarkStart w:id="120" w:name="_Toc171093931"/>
      <w:bookmarkStart w:id="121" w:name="_Toc165914623"/>
      <w:r>
        <w:t>3.评价时段</w:t>
      </w:r>
      <w:bookmarkEnd w:id="117"/>
      <w:bookmarkEnd w:id="118"/>
      <w:bookmarkEnd w:id="119"/>
      <w:bookmarkEnd w:id="120"/>
      <w:bookmarkEnd w:id="121"/>
    </w:p>
    <w:p>
      <w:pPr>
        <w:pStyle w:val="22"/>
      </w:pPr>
      <w:r>
        <w:t>堡镇</w:t>
      </w:r>
      <w:r>
        <w:rPr>
          <w:rFonts w:hint="eastAsia"/>
        </w:rPr>
        <w:t>项目</w:t>
      </w:r>
      <w:r>
        <w:t>：2021年6月3日-2023年11月21日；</w:t>
      </w:r>
    </w:p>
    <w:p>
      <w:pPr>
        <w:pStyle w:val="22"/>
      </w:pPr>
      <w:r>
        <w:t>新河</w:t>
      </w:r>
      <w:r>
        <w:rPr>
          <w:rFonts w:hint="eastAsia"/>
        </w:rPr>
        <w:t>镇项目</w:t>
      </w:r>
      <w:r>
        <w:t>：2021年6月3日-2024年4月10日。</w:t>
      </w:r>
    </w:p>
    <w:p>
      <w:pPr>
        <w:pStyle w:val="26"/>
        <w:ind w:firstLine="640"/>
      </w:pPr>
      <w:bookmarkStart w:id="122" w:name="_Toc171093932"/>
      <w:r>
        <w:rPr>
          <w:rFonts w:hint="eastAsia"/>
        </w:rPr>
        <w:t>（二）绩效评价的依据</w:t>
      </w:r>
      <w:bookmarkEnd w:id="122"/>
    </w:p>
    <w:p>
      <w:pPr>
        <w:pStyle w:val="24"/>
        <w:ind w:firstLine="643"/>
      </w:pPr>
      <w:bookmarkStart w:id="123" w:name="_Toc171093933"/>
      <w:bookmarkStart w:id="124" w:name="_Toc169439198"/>
      <w:bookmarkStart w:id="125" w:name="_Toc169390962"/>
      <w:r>
        <w:rPr>
          <w:rFonts w:hint="eastAsia"/>
        </w:rPr>
        <w:t>1.</w:t>
      </w:r>
      <w:r>
        <w:t>业务方面的文件依据</w:t>
      </w:r>
      <w:bookmarkEnd w:id="123"/>
      <w:bookmarkEnd w:id="124"/>
      <w:bookmarkEnd w:id="125"/>
    </w:p>
    <w:p>
      <w:pPr>
        <w:pStyle w:val="22"/>
      </w:pPr>
      <w:r>
        <w:rPr>
          <w:rFonts w:hint="eastAsia" w:ascii="宋体" w:hAnsi="宋体" w:eastAsia="宋体" w:cs="宋体"/>
        </w:rPr>
        <w:t>①</w:t>
      </w:r>
      <w:r>
        <w:t>《关于印发城镇污水处理提质增效三年行动方案（2019—2021年）的通知》（建城〔2019〕52号）；</w:t>
      </w:r>
    </w:p>
    <w:p>
      <w:pPr>
        <w:pStyle w:val="22"/>
      </w:pPr>
      <w:r>
        <w:rPr>
          <w:rFonts w:hint="eastAsia" w:ascii="宋体" w:hAnsi="宋体" w:eastAsia="宋体" w:cs="宋体"/>
        </w:rPr>
        <w:t>②</w:t>
      </w:r>
      <w:r>
        <w:t>《上海市水污染防治行动计划实施方案》（沪府发〔2015〕74号）；</w:t>
      </w:r>
    </w:p>
    <w:p>
      <w:pPr>
        <w:pStyle w:val="22"/>
      </w:pPr>
      <w:r>
        <w:rPr>
          <w:rFonts w:hint="eastAsia" w:ascii="宋体" w:hAnsi="宋体" w:eastAsia="宋体" w:cs="宋体"/>
        </w:rPr>
        <w:t>③</w:t>
      </w:r>
      <w:r>
        <w:t>《关于开展分流制排水系统雨污混接调查和改造工作的通知》（沪水务〔2015〕899号）；</w:t>
      </w:r>
    </w:p>
    <w:p>
      <w:pPr>
        <w:pStyle w:val="22"/>
      </w:pPr>
      <w:r>
        <w:rPr>
          <w:rFonts w:hint="eastAsia" w:ascii="宋体" w:hAnsi="宋体" w:eastAsia="宋体" w:cs="宋体"/>
        </w:rPr>
        <w:t>④</w:t>
      </w:r>
      <w:r>
        <w:t>《关于印发&lt;开展上海市雨污混接综合整治攻坚战的实施意见&gt;的通知》（沪水务〔2019〕205 号）；</w:t>
      </w:r>
    </w:p>
    <w:p>
      <w:pPr>
        <w:pStyle w:val="22"/>
      </w:pPr>
      <w:r>
        <w:rPr>
          <w:rFonts w:hint="eastAsia" w:ascii="宋体" w:hAnsi="宋体" w:eastAsia="宋体" w:cs="宋体"/>
        </w:rPr>
        <w:t>⑤</w:t>
      </w:r>
      <w:r>
        <w:t>《本市建成区分流制地区雨污混接综合整治专项执法行动工作方案》（2017年）；</w:t>
      </w:r>
    </w:p>
    <w:p>
      <w:pPr>
        <w:pStyle w:val="22"/>
      </w:pPr>
      <w:r>
        <w:rPr>
          <w:rFonts w:hint="eastAsia" w:ascii="宋体" w:hAnsi="宋体" w:eastAsia="宋体" w:cs="宋体"/>
        </w:rPr>
        <w:t>⑥</w:t>
      </w:r>
      <w:r>
        <w:t>《上海市崇明区人民政府办公室关于印发&lt;崇明区水务“十四五”规划&gt;的通知》（沪崇府办发〔2021〕21号）；</w:t>
      </w:r>
    </w:p>
    <w:p>
      <w:pPr>
        <w:pStyle w:val="22"/>
      </w:pPr>
      <w:r>
        <w:rPr>
          <w:rFonts w:hint="eastAsia" w:ascii="宋体" w:hAnsi="宋体" w:eastAsia="宋体" w:cs="宋体"/>
        </w:rPr>
        <w:t>⑦</w:t>
      </w:r>
      <w:r>
        <w:t>《关于印发&lt;推进崇明区污水管网完善工程的实施意见&gt;的通知》（沪崇水务〔2019〕237号）；</w:t>
      </w:r>
    </w:p>
    <w:p>
      <w:pPr>
        <w:pStyle w:val="22"/>
      </w:pPr>
      <w:r>
        <w:rPr>
          <w:rFonts w:hint="eastAsia" w:ascii="宋体" w:hAnsi="宋体" w:eastAsia="宋体" w:cs="宋体"/>
        </w:rPr>
        <w:t>⑧</w:t>
      </w:r>
      <w:r>
        <w:t>《崇明区污水处理系统及污泥处理处置专业规划（2020-2035）》（2021年）；</w:t>
      </w:r>
    </w:p>
    <w:p>
      <w:pPr>
        <w:pStyle w:val="22"/>
      </w:pPr>
      <w:r>
        <w:rPr>
          <w:rFonts w:hint="eastAsia" w:ascii="宋体" w:hAnsi="宋体" w:eastAsia="宋体" w:cs="宋体"/>
        </w:rPr>
        <w:t>⑨</w:t>
      </w:r>
      <w:r>
        <w:t>《关于加快推进本区撤制乡镇污水管网完善工程的通知》（</w:t>
      </w:r>
      <w:r>
        <w:tab/>
      </w:r>
      <w:r>
        <w:t>崇河长办〔2021〕11 号）；</w:t>
      </w:r>
    </w:p>
    <w:p>
      <w:pPr>
        <w:pStyle w:val="22"/>
      </w:pPr>
      <w:r>
        <w:rPr>
          <w:rFonts w:hint="eastAsia" w:ascii="宋体" w:hAnsi="宋体" w:eastAsia="宋体" w:cs="宋体"/>
        </w:rPr>
        <w:t>⑩</w:t>
      </w:r>
      <w:r>
        <w:t>《上海市崇明区发展和改革委员会关于堡镇污水管网完善工程可行性研究报告（兼项目建议书）的批复》（沪崇发改〔2021〕183号）；</w:t>
      </w:r>
    </w:p>
    <w:p>
      <w:pPr>
        <w:pStyle w:val="22"/>
      </w:pPr>
      <w:r>
        <w:rPr>
          <w:rFonts w:ascii="Cambria Math" w:hAnsi="Cambria Math" w:cs="Cambria Math"/>
        </w:rPr>
        <w:t>⑪</w:t>
      </w:r>
      <w:r>
        <w:t>《关于堡镇污水管网完善工程初步设计的批复》（沪崇建管〔2021〕75号）；</w:t>
      </w:r>
    </w:p>
    <w:p>
      <w:pPr>
        <w:pStyle w:val="22"/>
      </w:pPr>
      <w:r>
        <w:rPr>
          <w:rFonts w:ascii="Cambria Math" w:hAnsi="Cambria Math" w:cs="Cambria Math"/>
        </w:rPr>
        <w:t>⑫</w:t>
      </w:r>
      <w:r>
        <w:t>《上海市崇明区发展和改革委员会关于新河镇污水管网完善工程可行性研究报告（兼项目建议书）的批复》（沪崇发改〔2021〕184号）；</w:t>
      </w:r>
    </w:p>
    <w:p>
      <w:pPr>
        <w:pStyle w:val="22"/>
      </w:pPr>
      <w:r>
        <w:rPr>
          <w:rFonts w:ascii="Cambria Math" w:hAnsi="Cambria Math" w:cs="Cambria Math"/>
        </w:rPr>
        <w:t>⑬</w:t>
      </w:r>
      <w:r>
        <w:t>根据《关于新河镇污水管网完善工程初步设计的批复》（沪崇建管〔2021〕79号）等。</w:t>
      </w:r>
    </w:p>
    <w:p>
      <w:pPr>
        <w:pStyle w:val="24"/>
        <w:ind w:firstLine="643"/>
      </w:pPr>
      <w:bookmarkStart w:id="126" w:name="_Toc169439199"/>
      <w:bookmarkStart w:id="127" w:name="_Toc171093934"/>
      <w:bookmarkStart w:id="128" w:name="_Toc169390963"/>
      <w:r>
        <w:rPr>
          <w:rFonts w:hint="eastAsia"/>
        </w:rPr>
        <w:t>2.</w:t>
      </w:r>
      <w:r>
        <w:t>绩效评价方面的文件依据</w:t>
      </w:r>
      <w:bookmarkEnd w:id="126"/>
      <w:bookmarkEnd w:id="127"/>
      <w:bookmarkEnd w:id="128"/>
    </w:p>
    <w:p>
      <w:pPr>
        <w:pStyle w:val="22"/>
      </w:pPr>
      <w:r>
        <w:rPr>
          <w:rFonts w:hint="eastAsia" w:ascii="宋体" w:hAnsi="宋体" w:eastAsia="宋体" w:cs="宋体"/>
        </w:rPr>
        <w:t>①</w:t>
      </w:r>
      <w:r>
        <w:t>《关于全面实施预算绩效管理的意见》（中发〔2018〕34号）；</w:t>
      </w:r>
    </w:p>
    <w:p>
      <w:pPr>
        <w:pStyle w:val="22"/>
      </w:pPr>
      <w:r>
        <w:rPr>
          <w:rFonts w:hint="eastAsia" w:ascii="宋体" w:hAnsi="宋体" w:eastAsia="宋体" w:cs="宋体"/>
        </w:rPr>
        <w:t>②</w:t>
      </w:r>
      <w:r>
        <w:t>《上海市财政项目支出预算绩效管理办法（试行》（沪财绩〔2020〕6号）；</w:t>
      </w:r>
    </w:p>
    <w:p>
      <w:pPr>
        <w:pStyle w:val="22"/>
      </w:pPr>
      <w:r>
        <w:rPr>
          <w:rFonts w:hint="eastAsia" w:ascii="宋体" w:hAnsi="宋体" w:eastAsia="宋体" w:cs="宋体"/>
        </w:rPr>
        <w:t>③</w:t>
      </w:r>
      <w:r>
        <w:t>《上海市地方政府专项债券项目资金绩效管理办法》（沪财绩〔2021〕27号）；</w:t>
      </w:r>
    </w:p>
    <w:p>
      <w:pPr>
        <w:pStyle w:val="22"/>
      </w:pPr>
      <w:r>
        <w:rPr>
          <w:rFonts w:hint="eastAsia" w:ascii="宋体" w:hAnsi="宋体" w:eastAsia="宋体" w:cs="宋体"/>
        </w:rPr>
        <w:t>④</w:t>
      </w:r>
      <w:r>
        <w:t>《中共上海市崇明区委 上海市崇明区人民政府关于我区全面实施预算绩效管理的实施意见》（崇委发〔2019〕21号）；</w:t>
      </w:r>
    </w:p>
    <w:p>
      <w:pPr>
        <w:pStyle w:val="22"/>
      </w:pPr>
      <w:r>
        <w:rPr>
          <w:rFonts w:hint="eastAsia" w:ascii="宋体" w:hAnsi="宋体" w:eastAsia="宋体" w:cs="宋体"/>
        </w:rPr>
        <w:t>⑤</w:t>
      </w:r>
      <w:r>
        <w:t>《2024 年崇明区预算绩效管理工作要点》（沪崇财绩〔2024〕1号）等。</w:t>
      </w:r>
    </w:p>
    <w:p>
      <w:pPr>
        <w:pStyle w:val="24"/>
        <w:ind w:firstLine="643"/>
      </w:pPr>
      <w:bookmarkStart w:id="129" w:name="_Toc169390964"/>
      <w:bookmarkStart w:id="130" w:name="_Toc169439200"/>
      <w:bookmarkStart w:id="131" w:name="_Toc171093935"/>
      <w:r>
        <w:rPr>
          <w:rFonts w:hint="eastAsia"/>
        </w:rPr>
        <w:t>3.</w:t>
      </w:r>
      <w:r>
        <w:t>其他相关材料</w:t>
      </w:r>
      <w:bookmarkEnd w:id="129"/>
      <w:bookmarkEnd w:id="130"/>
      <w:bookmarkEnd w:id="131"/>
    </w:p>
    <w:p>
      <w:pPr>
        <w:pStyle w:val="22"/>
      </w:pPr>
      <w:r>
        <w:rPr>
          <w:rFonts w:hint="eastAsia" w:ascii="宋体" w:hAnsi="宋体" w:eastAsia="宋体" w:cs="宋体"/>
        </w:rPr>
        <w:t>①</w:t>
      </w:r>
      <w:r>
        <w:t>项目招投标及合同；</w:t>
      </w:r>
    </w:p>
    <w:p>
      <w:pPr>
        <w:pStyle w:val="22"/>
        <w:numPr>
          <w:ilvl w:val="0"/>
          <w:numId w:val="1"/>
        </w:numPr>
        <w:ind w:firstLineChars="0"/>
      </w:pPr>
      <w:r>
        <w:t>施工过程材料，如开工令、行政许可、签证单等；</w:t>
      </w:r>
    </w:p>
    <w:p>
      <w:pPr>
        <w:pStyle w:val="22"/>
      </w:pPr>
      <w:r>
        <w:rPr>
          <w:rFonts w:hint="eastAsia" w:ascii="宋体" w:hAnsi="宋体" w:eastAsia="宋体" w:cs="宋体"/>
        </w:rPr>
        <w:t>③</w:t>
      </w:r>
      <w:r>
        <w:t>第三方单位形成的报告，如可研报告、初设报告、选线规划报告、涉河论证报告、工程监理报告、财务监理报告、跟测报告、物探报告、CCTV检测报告等；</w:t>
      </w:r>
    </w:p>
    <w:p>
      <w:pPr>
        <w:pStyle w:val="22"/>
      </w:pPr>
      <w:r>
        <w:rPr>
          <w:rFonts w:hint="eastAsia" w:ascii="宋体" w:hAnsi="宋体" w:eastAsia="宋体" w:cs="宋体"/>
        </w:rPr>
        <w:t>④</w:t>
      </w:r>
      <w:r>
        <w:t>验收材料，如通水验收报告、竣工验收报告、审价报告、审计报告等；</w:t>
      </w:r>
    </w:p>
    <w:p>
      <w:pPr>
        <w:pStyle w:val="22"/>
      </w:pPr>
      <w:r>
        <w:rPr>
          <w:rFonts w:hint="eastAsia" w:ascii="宋体" w:hAnsi="宋体" w:eastAsia="宋体" w:cs="宋体"/>
        </w:rPr>
        <w:t>⑤</w:t>
      </w:r>
      <w:r>
        <w:t>其他与本项目相关的材料。</w:t>
      </w:r>
    </w:p>
    <w:p>
      <w:pPr>
        <w:pStyle w:val="26"/>
        <w:ind w:firstLine="640"/>
      </w:pPr>
      <w:bookmarkStart w:id="132" w:name="_Toc171093936"/>
      <w:r>
        <w:rPr>
          <w:rFonts w:hint="eastAsia"/>
        </w:rPr>
        <w:t>（三）绩效评价原则、评价方法等</w:t>
      </w:r>
      <w:bookmarkEnd w:id="132"/>
    </w:p>
    <w:p>
      <w:pPr>
        <w:pStyle w:val="24"/>
        <w:ind w:firstLine="643"/>
      </w:pPr>
      <w:bookmarkStart w:id="133" w:name="_Toc171093937"/>
      <w:bookmarkStart w:id="134" w:name="_Toc169439202"/>
      <w:bookmarkStart w:id="135" w:name="_Toc169390966"/>
      <w:r>
        <w:rPr>
          <w:rFonts w:hint="eastAsia"/>
        </w:rPr>
        <w:t>1.绩效评价原则</w:t>
      </w:r>
      <w:bookmarkEnd w:id="133"/>
      <w:bookmarkEnd w:id="134"/>
      <w:bookmarkEnd w:id="135"/>
    </w:p>
    <w:p>
      <w:pPr>
        <w:pStyle w:val="22"/>
      </w:pPr>
      <w:r>
        <w:rPr>
          <w:rFonts w:hint="eastAsia"/>
          <w:szCs w:val="32"/>
        </w:rPr>
        <w:t>根据《关于印发&lt;上海市财政项目支出预算绩效管理办法（试行）&gt;的通知》（沪财绩〔2020〕6 号）、《中共上海市崇明区委 上海市崇明区人民政府关于我区全面实施预算绩效管理的实施意见》（崇委发〔2019〕21号）等文件要求，本次绩效评价</w:t>
      </w:r>
      <w:r>
        <w:rPr>
          <w:rFonts w:hint="eastAsia"/>
        </w:rPr>
        <w:t>遵循“科学公正、统筹兼顾、激励约束、公开透明”的基本原则实施，具体包括：</w:t>
      </w:r>
    </w:p>
    <w:p>
      <w:pPr>
        <w:pStyle w:val="22"/>
      </w:pPr>
      <w:r>
        <w:rPr>
          <w:rFonts w:hint="eastAsia"/>
        </w:rPr>
        <w:t>（1）科学规范。本次绩效评价注重财政支出的经济性、效率性和有效性，严格执行规定的程序，采用定量与定性分析相结合的方法。</w:t>
      </w:r>
    </w:p>
    <w:p>
      <w:pPr>
        <w:pStyle w:val="22"/>
      </w:pPr>
      <w:r>
        <w:rPr>
          <w:rFonts w:hint="eastAsia"/>
        </w:rPr>
        <w:t>（2）公平公正。本次绩效评价客观、公正，标准统一、资料可靠，依法接受相关部门监督。</w:t>
      </w:r>
    </w:p>
    <w:p>
      <w:pPr>
        <w:pStyle w:val="22"/>
      </w:pPr>
      <w:r>
        <w:rPr>
          <w:rFonts w:hint="eastAsia"/>
        </w:rPr>
        <w:t>（3）分类评价。本次绩效评价根据评价对象的特点和项目实施的具体内容，针对不同工艺模式下的资金支出情况分类组织实施。</w:t>
      </w:r>
    </w:p>
    <w:p>
      <w:pPr>
        <w:pStyle w:val="22"/>
      </w:pPr>
      <w:r>
        <w:rPr>
          <w:rFonts w:hint="eastAsia"/>
        </w:rPr>
        <w:t>（4）绩效相关。绩效评价针对具体指出及其产出绩效进行，评价结果清晰反映支出和产出绩效之间的紧密对应关系。</w:t>
      </w:r>
    </w:p>
    <w:p>
      <w:pPr>
        <w:pStyle w:val="22"/>
      </w:pPr>
      <w:r>
        <w:rPr>
          <w:rFonts w:hint="eastAsia"/>
        </w:rPr>
        <w:t>根据以上原则，此次绩效评价遵循如下要求：</w:t>
      </w:r>
    </w:p>
    <w:p>
      <w:pPr>
        <w:pStyle w:val="22"/>
      </w:pPr>
      <w:r>
        <w:rPr>
          <w:rFonts w:hint="eastAsia"/>
        </w:rPr>
        <w:t>（1）在数据采集时，采用项目单位填报基础表、评价小组复查，与问卷调查、访谈相结合的形式，以保证各项数据的真实性。</w:t>
      </w:r>
    </w:p>
    <w:p>
      <w:pPr>
        <w:pStyle w:val="22"/>
      </w:pPr>
      <w:r>
        <w:rPr>
          <w:rFonts w:hint="eastAsia"/>
        </w:rPr>
        <w:t>（2）保证评价结果的真实性、公正性，提高评价报告的公信力。</w:t>
      </w:r>
    </w:p>
    <w:p>
      <w:pPr>
        <w:pStyle w:val="22"/>
      </w:pPr>
      <w:r>
        <w:rPr>
          <w:rFonts w:hint="eastAsia"/>
        </w:rPr>
        <w:t>（3）绩效评价报告应当简明扼要，除了对绩效评价的过程、结果描述外，还应总结经验，就存在的问题提出可操作性改进建议。</w:t>
      </w:r>
    </w:p>
    <w:p>
      <w:pPr>
        <w:pStyle w:val="24"/>
        <w:ind w:firstLine="643"/>
      </w:pPr>
      <w:bookmarkStart w:id="136" w:name="_Toc169390967"/>
      <w:bookmarkStart w:id="137" w:name="_Toc171093938"/>
      <w:bookmarkStart w:id="138" w:name="_Toc169439203"/>
      <w:r>
        <w:rPr>
          <w:rFonts w:hint="eastAsia"/>
        </w:rPr>
        <w:t>2.评价方法</w:t>
      </w:r>
      <w:bookmarkEnd w:id="136"/>
      <w:bookmarkEnd w:id="137"/>
      <w:bookmarkEnd w:id="138"/>
    </w:p>
    <w:p>
      <w:pPr>
        <w:pStyle w:val="22"/>
      </w:pPr>
      <w:r>
        <w:rPr>
          <w:rFonts w:hint="eastAsia"/>
        </w:rPr>
        <w:t>评价小组运用比较法、文献法、社会调查法、因素分析法等多种方法从多个角度对项目进行评价。</w:t>
      </w:r>
    </w:p>
    <w:p>
      <w:pPr>
        <w:pStyle w:val="22"/>
      </w:pPr>
      <w:r>
        <w:rPr>
          <w:rFonts w:hint="eastAsia"/>
        </w:rPr>
        <w:t>（1）比较法。通过对两个镇污水管网完善工程项目的具体实施情况进行横向对比，找出差异之处，并后续同类项目的实施提供借鉴。</w:t>
      </w:r>
    </w:p>
    <w:p>
      <w:pPr>
        <w:pStyle w:val="22"/>
      </w:pPr>
      <w:r>
        <w:rPr>
          <w:rFonts w:hint="eastAsia"/>
        </w:rPr>
        <w:t>（2）文献法。通过搜集、整理、分析国家、上海市、崇明区的政策文件、管理制度等相关文献资料，了解污水管网完善工程项目工作开展的背景、目的、意义及相关要求。</w:t>
      </w:r>
    </w:p>
    <w:p>
      <w:pPr>
        <w:pStyle w:val="22"/>
      </w:pPr>
      <w:r>
        <w:rPr>
          <w:rFonts w:hint="eastAsia"/>
        </w:rPr>
        <w:t>（3）社会调查法。通过对堡镇水务所项目相关负责人、新河镇规划办项目相关负责人等进行访谈，了解项目资金使用情况、组织管理情况、具体实施情况。通过对周边居民进行问卷调查，了解项目实施效果。</w:t>
      </w:r>
    </w:p>
    <w:p>
      <w:pPr>
        <w:pStyle w:val="22"/>
      </w:pPr>
      <w:r>
        <w:rPr>
          <w:rFonts w:hint="eastAsia"/>
        </w:rPr>
        <w:t>（4）因素分析法。通过梳理项目绩效目标的实现程度和影响绩效目标实现的内外因素，分析这些因素对目标实现的影响力，从而进一步分析如何通过控制此类影响因素以保障项目的顺利完成，实现项目预期绩效目标。</w:t>
      </w:r>
    </w:p>
    <w:p>
      <w:pPr>
        <w:pStyle w:val="26"/>
        <w:ind w:firstLine="640"/>
      </w:pPr>
      <w:bookmarkStart w:id="139" w:name="_Toc171093939"/>
      <w:r>
        <w:rPr>
          <w:rFonts w:hint="eastAsia"/>
        </w:rPr>
        <w:t>（四）绩效评价工作方案制定过程</w:t>
      </w:r>
      <w:bookmarkEnd w:id="139"/>
    </w:p>
    <w:p>
      <w:pPr>
        <w:pStyle w:val="22"/>
        <w:rPr>
          <w:rFonts w:hint="eastAsia" w:ascii="楷体_GB2312" w:hAnsi="楷体_GB2312" w:eastAsia="楷体_GB2312" w:cs="楷体_GB2312"/>
          <w:szCs w:val="32"/>
        </w:rPr>
      </w:pPr>
      <w:r>
        <w:rPr>
          <w:rFonts w:hint="eastAsia"/>
        </w:rPr>
        <w:t>项目启动后，评价小组</w:t>
      </w:r>
      <w:r>
        <w:t>发送绩效评价资料需求清单</w:t>
      </w:r>
      <w:r>
        <w:rPr>
          <w:rFonts w:hint="eastAsia"/>
        </w:rPr>
        <w:t>至项目单位相关负责人，在对收集的</w:t>
      </w:r>
      <w:r>
        <w:t>设计方案、可研报告、相关批复、招投标文件、合同、审价报告、审计报告等资料</w:t>
      </w:r>
      <w:r>
        <w:rPr>
          <w:rFonts w:hint="eastAsia"/>
        </w:rPr>
        <w:t>进行研读以及梳理的基础上，结合现场调研及访谈情况形成了方案初稿，后根据</w:t>
      </w:r>
      <w:r>
        <w:t>区财政局、区水务局相关领导和堡镇、新河镇项目相关负责人反馈意见修改完善后形成</w:t>
      </w:r>
      <w:r>
        <w:rPr>
          <w:rFonts w:hint="eastAsia"/>
        </w:rPr>
        <w:t>了</w:t>
      </w:r>
      <w:r>
        <w:t>方案评审稿。</w:t>
      </w:r>
      <w:r>
        <w:rPr>
          <w:rFonts w:hint="eastAsia"/>
        </w:rPr>
        <w:t>2024年4月28日区财政组织专家对方案进行了评审，会后评价小组根据专家意见对方案内容进行修改完善，其中：引言补充说明了评价对象及范围、评价时段、评价侧重点等；项目基本情况部分对背景、目的进行了调整，并将实施计划中涉及到责任部门的内容与项目组织管理的相关内容进行了整合；评价指标中，完善了各指标的评分细则，将权重划分至两个镇分别进行评分并增加了“被评价主体”列，增加了增加“B35 建设内容变更率”指标等。</w:t>
      </w:r>
    </w:p>
    <w:p>
      <w:pPr>
        <w:pStyle w:val="26"/>
        <w:ind w:firstLine="640"/>
      </w:pPr>
      <w:bookmarkStart w:id="140" w:name="_Toc171093940"/>
      <w:r>
        <w:rPr>
          <w:rFonts w:hint="eastAsia"/>
        </w:rPr>
        <w:t>（五）绩效评价实施过程</w:t>
      </w:r>
      <w:bookmarkEnd w:id="140"/>
    </w:p>
    <w:p>
      <w:pPr>
        <w:pStyle w:val="22"/>
      </w:pPr>
      <w:r>
        <w:t>本次评价时间约历时</w:t>
      </w:r>
      <w:r>
        <w:rPr>
          <w:rFonts w:hint="eastAsia"/>
        </w:rPr>
        <w:t>3</w:t>
      </w:r>
      <w:r>
        <w:t>个月，从3月11日正式开始，至</w:t>
      </w:r>
      <w:r>
        <w:rPr>
          <w:rFonts w:hint="eastAsia"/>
        </w:rPr>
        <w:t>6月中旬</w:t>
      </w:r>
      <w:r>
        <w:t>完成报告初稿。评价主要工作进程安排具体如下：</w:t>
      </w:r>
    </w:p>
    <w:p>
      <w:pPr>
        <w:pStyle w:val="22"/>
        <w:ind w:firstLine="643"/>
      </w:pPr>
      <w:r>
        <w:rPr>
          <w:b/>
          <w:bCs w:val="0"/>
        </w:rPr>
        <w:t>1</w:t>
      </w:r>
      <w:r>
        <w:rPr>
          <w:rFonts w:hint="eastAsia"/>
          <w:b/>
          <w:bCs w:val="0"/>
        </w:rPr>
        <w:t>.</w:t>
      </w:r>
      <w:r>
        <w:rPr>
          <w:b/>
          <w:bCs w:val="0"/>
        </w:rPr>
        <w:t>项目启动阶段——2024年3月11日</w:t>
      </w:r>
    </w:p>
    <w:p>
      <w:pPr>
        <w:pStyle w:val="22"/>
      </w:pPr>
      <w:r>
        <w:t>上海灏略企业管理咨询有限公司自202</w:t>
      </w:r>
      <w:r>
        <w:rPr>
          <w:rFonts w:hint="eastAsia"/>
        </w:rPr>
        <w:t>4</w:t>
      </w:r>
      <w:r>
        <w:t>年3月初承接项目后即成立评价小组，3月11日项目启动后评价小组与崇明区水务局相关负责人线上沟通，了解项目基本情况，后与堡镇水务所项目相关负责人、新河镇规划建设和生态环境办公室项目相关负责人线上联系，发送绩效评价资料需求清单，收集项目设计方案、可研报告、相关批复、招投标文件、合同、竣工报告、审价报告、审计报告等资料，并组织评价小组对相关政策文件进行研读。</w:t>
      </w:r>
    </w:p>
    <w:p>
      <w:pPr>
        <w:pStyle w:val="22"/>
        <w:ind w:firstLine="643"/>
        <w:rPr>
          <w:b/>
          <w:bCs w:val="0"/>
        </w:rPr>
      </w:pPr>
      <w:r>
        <w:rPr>
          <w:b/>
          <w:bCs w:val="0"/>
        </w:rPr>
        <w:t>2</w:t>
      </w:r>
      <w:r>
        <w:rPr>
          <w:rFonts w:hint="eastAsia"/>
          <w:b/>
          <w:bCs w:val="0"/>
        </w:rPr>
        <w:t>.</w:t>
      </w:r>
      <w:r>
        <w:rPr>
          <w:b/>
          <w:bCs w:val="0"/>
        </w:rPr>
        <w:t>前期调研阶段——2024年3月21日</w:t>
      </w:r>
    </w:p>
    <w:p>
      <w:pPr>
        <w:pStyle w:val="22"/>
      </w:pPr>
      <w:r>
        <w:t>评价小组对堡镇水务所、新河镇规划建设和生态环境办公室项目相关负责人初步提供的资料进行梳理后，整理所需补充资料清单，于202</w:t>
      </w:r>
      <w:r>
        <w:rPr>
          <w:rFonts w:hint="eastAsia"/>
        </w:rPr>
        <w:t>4</w:t>
      </w:r>
      <w:r>
        <w:t>年3月21日与项目相关负责人进行面对面沟通，进一步了解项目实施内容、预算构成明细、实施进度、组织管理流程等内容，并明确需要补充的资料。</w:t>
      </w:r>
    </w:p>
    <w:p>
      <w:pPr>
        <w:pStyle w:val="22"/>
        <w:ind w:firstLine="643"/>
      </w:pPr>
      <w:r>
        <w:rPr>
          <w:b/>
          <w:bCs w:val="0"/>
        </w:rPr>
        <w:t>3</w:t>
      </w:r>
      <w:r>
        <w:rPr>
          <w:rFonts w:hint="eastAsia"/>
          <w:b/>
          <w:bCs w:val="0"/>
        </w:rPr>
        <w:t>.</w:t>
      </w:r>
      <w:r>
        <w:rPr>
          <w:b/>
          <w:bCs w:val="0"/>
        </w:rPr>
        <w:t>方案初稿撰写阶段——2024年4月10日前</w:t>
      </w:r>
    </w:p>
    <w:p>
      <w:pPr>
        <w:pStyle w:val="22"/>
      </w:pPr>
      <w:r>
        <w:t>根据前期对政策文件的研读及对项目资料的梳理，评价小组着手撰写绩效评价工作方案初稿，并与区财政局、区水务局相关领导和堡镇水务所、新河镇规划建设和生态环境办公室项目相关负责人进行进一步沟通，就方案的可行性、合理性进行讨论，根据各方反馈意见修改完善后形成方案评审稿。</w:t>
      </w:r>
    </w:p>
    <w:p>
      <w:pPr>
        <w:pStyle w:val="22"/>
        <w:ind w:firstLine="643"/>
      </w:pPr>
      <w:r>
        <w:rPr>
          <w:b/>
          <w:bCs w:val="0"/>
        </w:rPr>
        <w:t>4</w:t>
      </w:r>
      <w:r>
        <w:rPr>
          <w:rFonts w:hint="eastAsia"/>
          <w:b/>
          <w:bCs w:val="0"/>
        </w:rPr>
        <w:t>.</w:t>
      </w:r>
      <w:r>
        <w:rPr>
          <w:b/>
          <w:bCs w:val="0"/>
        </w:rPr>
        <w:t>数据填报及社会调查阶段——2024年</w:t>
      </w:r>
      <w:r>
        <w:rPr>
          <w:rFonts w:hint="eastAsia"/>
          <w:b/>
          <w:bCs w:val="0"/>
        </w:rPr>
        <w:t>5</w:t>
      </w:r>
      <w:r>
        <w:rPr>
          <w:b/>
          <w:bCs w:val="0"/>
        </w:rPr>
        <w:t>月</w:t>
      </w:r>
      <w:r>
        <w:rPr>
          <w:rFonts w:hint="eastAsia"/>
          <w:b/>
          <w:bCs w:val="0"/>
        </w:rPr>
        <w:t>20</w:t>
      </w:r>
      <w:r>
        <w:rPr>
          <w:b/>
          <w:bCs w:val="0"/>
        </w:rPr>
        <w:t>日前</w:t>
      </w:r>
    </w:p>
    <w:p>
      <w:pPr>
        <w:pStyle w:val="22"/>
      </w:pPr>
      <w:r>
        <w:t>被评价单位完成相关数据填报，由评价小组对相关资料数据进行汇总和分析。评价小组根据确定的工作方案，于2024年4月中旬对相关领导和项目相关负责人进行访谈调研，主要了解项目的完成情况、经费使用情况、第三方成本投入情况、项目所产生的影响、在项目实施过程中积累的经验、遇到的困难及合理建议等，并进行现场踏看，了解污水管网目前的使用情况。同时，通过随机抽样的方式，对辖区内的居民开展满意度调查，主要调查本项目受益群体对于项目开展的满意程度。</w:t>
      </w:r>
    </w:p>
    <w:p>
      <w:pPr>
        <w:pStyle w:val="22"/>
        <w:ind w:firstLine="643"/>
      </w:pPr>
      <w:r>
        <w:rPr>
          <w:b/>
          <w:bCs w:val="0"/>
        </w:rPr>
        <w:t>5</w:t>
      </w:r>
      <w:r>
        <w:rPr>
          <w:rFonts w:hint="eastAsia"/>
          <w:b/>
          <w:bCs w:val="0"/>
        </w:rPr>
        <w:t>.</w:t>
      </w:r>
      <w:r>
        <w:rPr>
          <w:b/>
          <w:bCs w:val="0"/>
        </w:rPr>
        <w:t>绩效分析和报告初稿撰写阶段——2024年</w:t>
      </w:r>
      <w:r>
        <w:rPr>
          <w:rFonts w:hint="eastAsia"/>
          <w:b/>
          <w:bCs w:val="0"/>
        </w:rPr>
        <w:t>6</w:t>
      </w:r>
      <w:r>
        <w:rPr>
          <w:b/>
          <w:bCs w:val="0"/>
        </w:rPr>
        <w:t>月</w:t>
      </w:r>
      <w:r>
        <w:rPr>
          <w:rFonts w:hint="eastAsia"/>
          <w:b/>
          <w:bCs w:val="0"/>
        </w:rPr>
        <w:t>中旬</w:t>
      </w:r>
    </w:p>
    <w:p>
      <w:pPr>
        <w:spacing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评价小组根据绩效评价的原理和崇明区财政局的要求，对采集的数据进行甄别、分析和评分，并提炼结论撰写报告，在2024年</w:t>
      </w:r>
      <w:r>
        <w:rPr>
          <w:rFonts w:hint="eastAsia" w:ascii="Times New Roman" w:hAnsi="Times New Roman" w:eastAsia="仿宋" w:cs="Times New Roman"/>
          <w:sz w:val="32"/>
          <w:szCs w:val="32"/>
        </w:rPr>
        <w:t>6月中旬</w:t>
      </w:r>
      <w:r>
        <w:rPr>
          <w:rFonts w:ascii="Times New Roman" w:hAnsi="Times New Roman" w:eastAsia="仿宋" w:cs="Times New Roman"/>
          <w:sz w:val="32"/>
          <w:szCs w:val="32"/>
        </w:rPr>
        <w:t>形成报告初稿，与相关部门征求意见，并根据反馈意见修改后形成评审稿，待专家评审后根据专家意见修改形成定稿提交委托方，项目结项。</w:t>
      </w:r>
    </w:p>
    <w:p>
      <w:pPr>
        <w:spacing w:line="560" w:lineRule="exact"/>
        <w:ind w:firstLine="640" w:firstLineChars="200"/>
        <w:outlineLvl w:val="0"/>
        <w:rPr>
          <w:rFonts w:ascii="Times New Roman" w:hAnsi="Times New Roman" w:eastAsia="黑体" w:cs="Times New Roman"/>
          <w:sz w:val="32"/>
          <w:szCs w:val="32"/>
        </w:rPr>
      </w:pPr>
      <w:bookmarkStart w:id="141" w:name="_Toc171093941"/>
      <w:r>
        <w:rPr>
          <w:rFonts w:hint="eastAsia" w:ascii="Times New Roman" w:hAnsi="Times New Roman" w:eastAsia="黑体" w:cs="Times New Roman"/>
          <w:sz w:val="32"/>
          <w:szCs w:val="32"/>
        </w:rPr>
        <w:t>三、评价结论与绩效分析</w:t>
      </w:r>
      <w:bookmarkEnd w:id="141"/>
    </w:p>
    <w:p>
      <w:pPr>
        <w:pStyle w:val="26"/>
        <w:ind w:firstLine="640"/>
      </w:pPr>
      <w:bookmarkStart w:id="142" w:name="_Toc171093942"/>
      <w:r>
        <w:rPr>
          <w:rFonts w:hint="eastAsia"/>
        </w:rPr>
        <w:t>（一）评价结论</w:t>
      </w:r>
      <w:bookmarkEnd w:id="142"/>
    </w:p>
    <w:p>
      <w:pPr>
        <w:pStyle w:val="24"/>
        <w:ind w:firstLine="643"/>
      </w:pPr>
      <w:bookmarkStart w:id="143" w:name="_Toc169439208"/>
      <w:bookmarkStart w:id="144" w:name="_Toc171093943"/>
      <w:bookmarkStart w:id="145" w:name="_Toc169390972"/>
      <w:r>
        <w:rPr>
          <w:rFonts w:hint="eastAsia"/>
        </w:rPr>
        <w:t>1.评价结果</w:t>
      </w:r>
      <w:bookmarkEnd w:id="143"/>
      <w:bookmarkEnd w:id="144"/>
      <w:bookmarkEnd w:id="145"/>
    </w:p>
    <w:p>
      <w:pPr>
        <w:pStyle w:val="22"/>
      </w:pPr>
      <w:bookmarkStart w:id="146" w:name="_Hlk169380979"/>
      <w:r>
        <w:rPr>
          <w:rFonts w:hint="eastAsia"/>
        </w:rPr>
        <w:t>我司通过数据采集、社会调查等方式，运用绩效评价指标体系，从项目决策、项目过程、项目产出、项目效益等四方面对污水管网完善工程项目进行客观评价，最终评分结果为84.45分，绩效评级为“良”。其中，得分率最高的是项目决策类指标，其次为产出类指标，项目效益类指标再次之，具体为：（1）项目决策类指标标准分20分，实际得分18.25分，得分率91.27%；（2）项目过程类指标标准分20分，实际得分13.95分，得分率69.75%；（3）项目产出类指标标准分30分，实际得分26.25分，得分率87.50%；（4）项目效益类指标标准分30分，实际得分26分，得分率86.67%。其中：</w:t>
      </w:r>
    </w:p>
    <w:p>
      <w:pPr>
        <w:pStyle w:val="22"/>
      </w:pPr>
      <w:r>
        <w:rPr>
          <w:rFonts w:hint="eastAsia"/>
        </w:rPr>
        <w:t>堡镇项目的指标标准分49分，实际得分41.15分，得分率83.98%，具体为：</w:t>
      </w:r>
      <w:bookmarkStart w:id="147" w:name="_Hlk169367084"/>
      <w:r>
        <w:rPr>
          <w:rFonts w:hint="eastAsia"/>
        </w:rPr>
        <w:t>（1）项目决策类指标权重分10分，实际得分8.67</w:t>
      </w:r>
      <w:r>
        <w:t>分，</w:t>
      </w:r>
      <w:r>
        <w:rPr>
          <w:rFonts w:hint="eastAsia"/>
        </w:rPr>
        <w:t>得分率为86.70%；（2）项目过程类指标权重分10分，实际得分6.98</w:t>
      </w:r>
      <w:r>
        <w:t>分，</w:t>
      </w:r>
      <w:r>
        <w:rPr>
          <w:rFonts w:hint="eastAsia"/>
        </w:rPr>
        <w:t>得分率为</w:t>
      </w:r>
      <w:r>
        <w:t>6</w:t>
      </w:r>
      <w:r>
        <w:rPr>
          <w:rFonts w:hint="eastAsia"/>
        </w:rPr>
        <w:t>9.80</w:t>
      </w:r>
      <w:r>
        <w:t>%</w:t>
      </w:r>
      <w:r>
        <w:rPr>
          <w:rFonts w:hint="eastAsia"/>
        </w:rPr>
        <w:t>；（3）项目产出类指标权重分14分，实际得分12.50</w:t>
      </w:r>
      <w:r>
        <w:t>分，</w:t>
      </w:r>
      <w:r>
        <w:rPr>
          <w:rFonts w:hint="eastAsia"/>
        </w:rPr>
        <w:t>得分率为89.29</w:t>
      </w:r>
      <w:r>
        <w:t>%</w:t>
      </w:r>
      <w:r>
        <w:rPr>
          <w:rFonts w:hint="eastAsia"/>
        </w:rPr>
        <w:t>；（4）项目效益类指标权重分15分，实际得分13</w:t>
      </w:r>
      <w:r>
        <w:t>分，</w:t>
      </w:r>
      <w:r>
        <w:rPr>
          <w:rFonts w:hint="eastAsia"/>
        </w:rPr>
        <w:t>得分率为86.67</w:t>
      </w:r>
      <w:r>
        <w:t>%</w:t>
      </w:r>
      <w:r>
        <w:rPr>
          <w:rFonts w:hint="eastAsia"/>
        </w:rPr>
        <w:t>。</w:t>
      </w:r>
      <w:bookmarkEnd w:id="147"/>
    </w:p>
    <w:p>
      <w:pPr>
        <w:pStyle w:val="22"/>
      </w:pPr>
      <w:r>
        <w:rPr>
          <w:rFonts w:hint="eastAsia"/>
        </w:rPr>
        <w:t>新河镇项目的指标标准分51分，实际得分43.31分，得分率84.92%，具体为：（1）项目决策类指标权重分10分，实际得分9.58分，得分率为95.83%；（2）项目过程类指标权重分10分，实际得分6.98分，得分率为69.80%；（3）项目产出类指标权重分16分，实际得分13.75分，得分率为85.94%。（4）项目效益类指标权重分15分，实际得分13分，得分率为86.67%。</w:t>
      </w:r>
    </w:p>
    <w:bookmarkEnd w:id="146"/>
    <w:p>
      <w:pPr>
        <w:pStyle w:val="22"/>
      </w:pPr>
      <w:r>
        <w:t>具体得分如下：</w:t>
      </w:r>
    </w:p>
    <w:p>
      <w:pPr>
        <w:pStyle w:val="22"/>
        <w:ind w:firstLine="0" w:firstLineChars="0"/>
        <w:jc w:val="center"/>
        <w:rPr>
          <w:b/>
          <w:bCs w:val="0"/>
          <w:sz w:val="28"/>
          <w:szCs w:val="24"/>
        </w:rPr>
      </w:pPr>
      <w:r>
        <w:rPr>
          <w:b/>
          <w:bCs w:val="0"/>
          <w:sz w:val="28"/>
          <w:szCs w:val="24"/>
        </w:rPr>
        <w:t>表3-1：</w:t>
      </w:r>
      <w:r>
        <w:rPr>
          <w:rFonts w:hint="eastAsia"/>
          <w:b/>
          <w:bCs w:val="0"/>
          <w:sz w:val="28"/>
          <w:szCs w:val="24"/>
        </w:rPr>
        <w:t>污水管网完善工程</w:t>
      </w:r>
      <w:r>
        <w:rPr>
          <w:b/>
          <w:bCs w:val="0"/>
          <w:sz w:val="28"/>
          <w:szCs w:val="24"/>
        </w:rPr>
        <w:t>项目绩效得分表</w:t>
      </w:r>
    </w:p>
    <w:tbl>
      <w:tblPr>
        <w:tblStyle w:val="12"/>
        <w:tblW w:w="5163" w:type="pct"/>
        <w:tblInd w:w="-176" w:type="dxa"/>
        <w:tblLayout w:type="fixed"/>
        <w:tblCellMar>
          <w:top w:w="0" w:type="dxa"/>
          <w:left w:w="108" w:type="dxa"/>
          <w:bottom w:w="0" w:type="dxa"/>
          <w:right w:w="108" w:type="dxa"/>
        </w:tblCellMar>
      </w:tblPr>
      <w:tblGrid>
        <w:gridCol w:w="703"/>
        <w:gridCol w:w="569"/>
        <w:gridCol w:w="1280"/>
        <w:gridCol w:w="567"/>
        <w:gridCol w:w="681"/>
        <w:gridCol w:w="1016"/>
        <w:gridCol w:w="550"/>
        <w:gridCol w:w="739"/>
        <w:gridCol w:w="981"/>
        <w:gridCol w:w="586"/>
        <w:gridCol w:w="689"/>
        <w:gridCol w:w="995"/>
      </w:tblGrid>
      <w:tr>
        <w:tblPrEx>
          <w:tblCellMar>
            <w:top w:w="0" w:type="dxa"/>
            <w:left w:w="108" w:type="dxa"/>
            <w:bottom w:w="0" w:type="dxa"/>
            <w:right w:w="108" w:type="dxa"/>
          </w:tblCellMar>
        </w:tblPrEx>
        <w:trPr>
          <w:trHeight w:val="20" w:hRule="atLeast"/>
          <w:tblHeader/>
        </w:trPr>
        <w:tc>
          <w:tcPr>
            <w:tcW w:w="3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一级指标</w:t>
            </w:r>
          </w:p>
        </w:tc>
        <w:tc>
          <w:tcPr>
            <w:tcW w:w="3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权重</w:t>
            </w:r>
          </w:p>
        </w:tc>
        <w:tc>
          <w:tcPr>
            <w:tcW w:w="6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二级指标</w:t>
            </w:r>
          </w:p>
        </w:tc>
        <w:tc>
          <w:tcPr>
            <w:tcW w:w="30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分值</w:t>
            </w:r>
          </w:p>
        </w:tc>
        <w:tc>
          <w:tcPr>
            <w:tcW w:w="36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得分</w:t>
            </w:r>
          </w:p>
        </w:tc>
        <w:tc>
          <w:tcPr>
            <w:tcW w:w="54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得分率</w:t>
            </w:r>
          </w:p>
        </w:tc>
        <w:tc>
          <w:tcPr>
            <w:tcW w:w="121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其中：堡镇</w:t>
            </w:r>
          </w:p>
        </w:tc>
        <w:tc>
          <w:tcPr>
            <w:tcW w:w="121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其中：新河镇</w:t>
            </w:r>
          </w:p>
        </w:tc>
      </w:tr>
      <w:tr>
        <w:tblPrEx>
          <w:tblCellMar>
            <w:top w:w="0" w:type="dxa"/>
            <w:left w:w="108" w:type="dxa"/>
            <w:bottom w:w="0" w:type="dxa"/>
            <w:right w:w="108" w:type="dxa"/>
          </w:tblCellMar>
        </w:tblPrEx>
        <w:trPr>
          <w:trHeight w:val="20" w:hRule="atLeast"/>
          <w:tblHeader/>
        </w:trPr>
        <w:tc>
          <w:tcPr>
            <w:tcW w:w="376"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b/>
                <w:bCs/>
                <w:kern w:val="0"/>
                <w:sz w:val="24"/>
                <w:szCs w:val="24"/>
              </w:rPr>
            </w:pPr>
          </w:p>
        </w:tc>
        <w:tc>
          <w:tcPr>
            <w:tcW w:w="30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b/>
                <w:bCs/>
                <w:kern w:val="0"/>
                <w:sz w:val="24"/>
                <w:szCs w:val="24"/>
              </w:rPr>
            </w:pPr>
          </w:p>
        </w:tc>
        <w:tc>
          <w:tcPr>
            <w:tcW w:w="68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b/>
                <w:bCs/>
                <w:kern w:val="0"/>
                <w:sz w:val="24"/>
                <w:szCs w:val="24"/>
              </w:rPr>
            </w:pPr>
          </w:p>
        </w:tc>
        <w:tc>
          <w:tcPr>
            <w:tcW w:w="30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b/>
                <w:bCs/>
                <w:kern w:val="0"/>
                <w:sz w:val="24"/>
                <w:szCs w:val="24"/>
              </w:rPr>
            </w:pPr>
          </w:p>
        </w:tc>
        <w:tc>
          <w:tcPr>
            <w:tcW w:w="36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b/>
                <w:bCs/>
                <w:kern w:val="0"/>
                <w:sz w:val="24"/>
                <w:szCs w:val="24"/>
              </w:rPr>
            </w:pPr>
          </w:p>
        </w:tc>
        <w:tc>
          <w:tcPr>
            <w:tcW w:w="54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b/>
                <w:bCs/>
                <w:kern w:val="0"/>
                <w:sz w:val="24"/>
                <w:szCs w:val="24"/>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分值</w:t>
            </w:r>
          </w:p>
        </w:tc>
        <w:tc>
          <w:tcPr>
            <w:tcW w:w="3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得分</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得分率</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分值</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得分</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得分率</w:t>
            </w:r>
          </w:p>
        </w:tc>
      </w:tr>
      <w:tr>
        <w:tblPrEx>
          <w:tblCellMar>
            <w:top w:w="0" w:type="dxa"/>
            <w:left w:w="108" w:type="dxa"/>
            <w:bottom w:w="0" w:type="dxa"/>
            <w:right w:w="108" w:type="dxa"/>
          </w:tblCellMar>
        </w:tblPrEx>
        <w:trPr>
          <w:trHeight w:val="20" w:hRule="atLeast"/>
        </w:trPr>
        <w:tc>
          <w:tcPr>
            <w:tcW w:w="3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A 决策</w:t>
            </w:r>
          </w:p>
        </w:tc>
        <w:tc>
          <w:tcPr>
            <w:tcW w:w="3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w:t>
            </w: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A1 项目立项</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5.00 </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2.5</w:t>
            </w:r>
          </w:p>
        </w:tc>
        <w:tc>
          <w:tcPr>
            <w:tcW w:w="3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2.50 </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2.5</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2.50 </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CellMar>
            <w:top w:w="0" w:type="dxa"/>
            <w:left w:w="108" w:type="dxa"/>
            <w:bottom w:w="0" w:type="dxa"/>
            <w:right w:w="108" w:type="dxa"/>
          </w:tblCellMar>
        </w:tblPrEx>
        <w:trPr>
          <w:trHeight w:val="20" w:hRule="atLeast"/>
        </w:trPr>
        <w:tc>
          <w:tcPr>
            <w:tcW w:w="376"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30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A2 前期工作</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4.25 </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85.00%</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2.5</w:t>
            </w:r>
          </w:p>
        </w:tc>
        <w:tc>
          <w:tcPr>
            <w:tcW w:w="3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1.75 </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70.00%</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2.5</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2.50 </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CellMar>
            <w:top w:w="0" w:type="dxa"/>
            <w:left w:w="108" w:type="dxa"/>
            <w:bottom w:w="0" w:type="dxa"/>
            <w:right w:w="108" w:type="dxa"/>
          </w:tblCellMar>
        </w:tblPrEx>
        <w:trPr>
          <w:trHeight w:val="20" w:hRule="atLeast"/>
        </w:trPr>
        <w:tc>
          <w:tcPr>
            <w:tcW w:w="376"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30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A3 资金投入</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3.00 </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1.5</w:t>
            </w:r>
          </w:p>
        </w:tc>
        <w:tc>
          <w:tcPr>
            <w:tcW w:w="3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1.50 </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1.5</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1.50 </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CellMar>
            <w:top w:w="0" w:type="dxa"/>
            <w:left w:w="108" w:type="dxa"/>
            <w:bottom w:w="0" w:type="dxa"/>
            <w:right w:w="108" w:type="dxa"/>
          </w:tblCellMar>
        </w:tblPrEx>
        <w:trPr>
          <w:trHeight w:val="20" w:hRule="atLeast"/>
        </w:trPr>
        <w:tc>
          <w:tcPr>
            <w:tcW w:w="376"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30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A4 专项债券安排</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5.00 </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2.5</w:t>
            </w:r>
          </w:p>
        </w:tc>
        <w:tc>
          <w:tcPr>
            <w:tcW w:w="3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2.50 </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2.5</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2.50 </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CellMar>
            <w:top w:w="0" w:type="dxa"/>
            <w:left w:w="108" w:type="dxa"/>
            <w:bottom w:w="0" w:type="dxa"/>
            <w:right w:w="108" w:type="dxa"/>
          </w:tblCellMar>
        </w:tblPrEx>
        <w:trPr>
          <w:trHeight w:val="20" w:hRule="atLeast"/>
        </w:trPr>
        <w:tc>
          <w:tcPr>
            <w:tcW w:w="376"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30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A5 绩效目标</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1.00 </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50.17%</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3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0.42 </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42.00%</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0.58 </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58.33%</w:t>
            </w:r>
          </w:p>
        </w:tc>
      </w:tr>
      <w:tr>
        <w:tblPrEx>
          <w:tblCellMar>
            <w:top w:w="0" w:type="dxa"/>
            <w:left w:w="108" w:type="dxa"/>
            <w:bottom w:w="0" w:type="dxa"/>
            <w:right w:w="108" w:type="dxa"/>
          </w:tblCellMar>
        </w:tblPrEx>
        <w:trPr>
          <w:trHeight w:val="20" w:hRule="atLeast"/>
        </w:trPr>
        <w:tc>
          <w:tcPr>
            <w:tcW w:w="376"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30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小计</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20</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18.25 </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91.27%</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10</w:t>
            </w:r>
          </w:p>
        </w:tc>
        <w:tc>
          <w:tcPr>
            <w:tcW w:w="3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8.67 </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86.70%</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10</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9.58 </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95.83%</w:t>
            </w:r>
          </w:p>
        </w:tc>
      </w:tr>
      <w:tr>
        <w:tblPrEx>
          <w:tblCellMar>
            <w:top w:w="0" w:type="dxa"/>
            <w:left w:w="108" w:type="dxa"/>
            <w:bottom w:w="0" w:type="dxa"/>
            <w:right w:w="108" w:type="dxa"/>
          </w:tblCellMar>
        </w:tblPrEx>
        <w:trPr>
          <w:trHeight w:val="20" w:hRule="atLeast"/>
        </w:trPr>
        <w:tc>
          <w:tcPr>
            <w:tcW w:w="3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B 过程</w:t>
            </w:r>
          </w:p>
        </w:tc>
        <w:tc>
          <w:tcPr>
            <w:tcW w:w="3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w:t>
            </w: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B1 专项债券管理</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3.00 </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1.5</w:t>
            </w:r>
          </w:p>
        </w:tc>
        <w:tc>
          <w:tcPr>
            <w:tcW w:w="3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1.50 </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1.5</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1.50 </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CellMar>
            <w:top w:w="0" w:type="dxa"/>
            <w:left w:w="108" w:type="dxa"/>
            <w:bottom w:w="0" w:type="dxa"/>
            <w:right w:w="108" w:type="dxa"/>
          </w:tblCellMar>
        </w:tblPrEx>
        <w:trPr>
          <w:trHeight w:val="20" w:hRule="atLeast"/>
        </w:trPr>
        <w:tc>
          <w:tcPr>
            <w:tcW w:w="376"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30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B2 资金管理</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2.75 </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45.83%</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3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1.38 </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45.83%</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1.38 </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45.83%</w:t>
            </w:r>
          </w:p>
        </w:tc>
      </w:tr>
      <w:tr>
        <w:tblPrEx>
          <w:tblCellMar>
            <w:top w:w="0" w:type="dxa"/>
            <w:left w:w="108" w:type="dxa"/>
            <w:bottom w:w="0" w:type="dxa"/>
            <w:right w:w="108" w:type="dxa"/>
          </w:tblCellMar>
        </w:tblPrEx>
        <w:trPr>
          <w:trHeight w:val="20" w:hRule="atLeast"/>
        </w:trPr>
        <w:tc>
          <w:tcPr>
            <w:tcW w:w="376"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30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B3 组织实施</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11</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8.20</w:t>
            </w:r>
            <w:r>
              <w:rPr>
                <w:rFonts w:ascii="Times New Roman" w:hAnsi="Times New Roman" w:eastAsia="仿宋_GB2312" w:cs="Times New Roman"/>
                <w:kern w:val="0"/>
                <w:sz w:val="24"/>
                <w:szCs w:val="24"/>
              </w:rPr>
              <w:t xml:space="preserve"> </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74.55</w:t>
            </w:r>
            <w:r>
              <w:rPr>
                <w:rFonts w:ascii="Times New Roman" w:hAnsi="Times New Roman" w:eastAsia="仿宋_GB2312" w:cs="Times New Roman"/>
                <w:kern w:val="0"/>
                <w:sz w:val="24"/>
                <w:szCs w:val="24"/>
              </w:rPr>
              <w:t>%</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5.5</w:t>
            </w:r>
          </w:p>
        </w:tc>
        <w:tc>
          <w:tcPr>
            <w:tcW w:w="3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4.10</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74.55</w:t>
            </w:r>
            <w:r>
              <w:rPr>
                <w:rFonts w:ascii="Times New Roman" w:hAnsi="Times New Roman" w:eastAsia="仿宋_GB2312" w:cs="Times New Roman"/>
                <w:kern w:val="0"/>
                <w:sz w:val="24"/>
                <w:szCs w:val="24"/>
              </w:rPr>
              <w:t>%</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5.5</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4.10</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74.55</w:t>
            </w:r>
            <w:r>
              <w:rPr>
                <w:rFonts w:ascii="Times New Roman" w:hAnsi="Times New Roman" w:eastAsia="仿宋_GB2312" w:cs="Times New Roman"/>
                <w:kern w:val="0"/>
                <w:sz w:val="24"/>
                <w:szCs w:val="24"/>
              </w:rPr>
              <w:t>%</w:t>
            </w:r>
          </w:p>
        </w:tc>
      </w:tr>
      <w:tr>
        <w:tblPrEx>
          <w:tblCellMar>
            <w:top w:w="0" w:type="dxa"/>
            <w:left w:w="108" w:type="dxa"/>
            <w:bottom w:w="0" w:type="dxa"/>
            <w:right w:w="108" w:type="dxa"/>
          </w:tblCellMar>
        </w:tblPrEx>
        <w:trPr>
          <w:trHeight w:val="20" w:hRule="atLeast"/>
        </w:trPr>
        <w:tc>
          <w:tcPr>
            <w:tcW w:w="376"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30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小计</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20</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1</w:t>
            </w:r>
            <w:r>
              <w:rPr>
                <w:rFonts w:hint="eastAsia" w:ascii="Times New Roman" w:hAnsi="Times New Roman" w:eastAsia="仿宋_GB2312" w:cs="Times New Roman"/>
                <w:b/>
                <w:bCs/>
                <w:kern w:val="0"/>
                <w:sz w:val="24"/>
                <w:szCs w:val="24"/>
              </w:rPr>
              <w:t>3.95</w:t>
            </w:r>
            <w:r>
              <w:rPr>
                <w:rFonts w:ascii="Times New Roman" w:hAnsi="Times New Roman" w:eastAsia="仿宋_GB2312" w:cs="Times New Roman"/>
                <w:b/>
                <w:bCs/>
                <w:kern w:val="0"/>
                <w:sz w:val="24"/>
                <w:szCs w:val="24"/>
              </w:rPr>
              <w:t xml:space="preserve"> </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6</w:t>
            </w:r>
            <w:r>
              <w:rPr>
                <w:rFonts w:hint="eastAsia" w:ascii="Times New Roman" w:hAnsi="Times New Roman" w:eastAsia="仿宋_GB2312" w:cs="Times New Roman"/>
                <w:b/>
                <w:bCs/>
                <w:kern w:val="0"/>
                <w:sz w:val="24"/>
                <w:szCs w:val="24"/>
              </w:rPr>
              <w:t>9.75</w:t>
            </w:r>
            <w:r>
              <w:rPr>
                <w:rFonts w:ascii="Times New Roman" w:hAnsi="Times New Roman" w:eastAsia="仿宋_GB2312" w:cs="Times New Roman"/>
                <w:b/>
                <w:bCs/>
                <w:kern w:val="0"/>
                <w:sz w:val="24"/>
                <w:szCs w:val="24"/>
              </w:rPr>
              <w:t>%</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10</w:t>
            </w:r>
          </w:p>
        </w:tc>
        <w:tc>
          <w:tcPr>
            <w:tcW w:w="3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6.</w:t>
            </w:r>
            <w:r>
              <w:rPr>
                <w:rFonts w:hint="eastAsia" w:ascii="Times New Roman" w:hAnsi="Times New Roman" w:eastAsia="仿宋_GB2312" w:cs="Times New Roman"/>
                <w:b/>
                <w:bCs/>
                <w:kern w:val="0"/>
                <w:sz w:val="24"/>
                <w:szCs w:val="24"/>
              </w:rPr>
              <w:t>98</w:t>
            </w:r>
            <w:r>
              <w:rPr>
                <w:rFonts w:ascii="Times New Roman" w:hAnsi="Times New Roman" w:eastAsia="仿宋_GB2312" w:cs="Times New Roman"/>
                <w:b/>
                <w:bCs/>
                <w:kern w:val="0"/>
                <w:sz w:val="24"/>
                <w:szCs w:val="24"/>
              </w:rPr>
              <w:t xml:space="preserve"> </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6</w:t>
            </w:r>
            <w:r>
              <w:rPr>
                <w:rFonts w:hint="eastAsia" w:ascii="Times New Roman" w:hAnsi="Times New Roman" w:eastAsia="仿宋_GB2312" w:cs="Times New Roman"/>
                <w:b/>
                <w:bCs/>
                <w:kern w:val="0"/>
                <w:sz w:val="24"/>
                <w:szCs w:val="24"/>
              </w:rPr>
              <w:t>9.80</w:t>
            </w:r>
            <w:r>
              <w:rPr>
                <w:rFonts w:ascii="Times New Roman" w:hAnsi="Times New Roman" w:eastAsia="仿宋_GB2312" w:cs="Times New Roman"/>
                <w:b/>
                <w:bCs/>
                <w:kern w:val="0"/>
                <w:sz w:val="24"/>
                <w:szCs w:val="24"/>
              </w:rPr>
              <w:t>%</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10</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6.</w:t>
            </w:r>
            <w:r>
              <w:rPr>
                <w:rFonts w:hint="eastAsia" w:ascii="Times New Roman" w:hAnsi="Times New Roman" w:eastAsia="仿宋_GB2312" w:cs="Times New Roman"/>
                <w:b/>
                <w:bCs/>
                <w:kern w:val="0"/>
                <w:sz w:val="24"/>
                <w:szCs w:val="24"/>
              </w:rPr>
              <w:t>98</w:t>
            </w:r>
            <w:r>
              <w:rPr>
                <w:rFonts w:ascii="Times New Roman" w:hAnsi="Times New Roman" w:eastAsia="仿宋_GB2312" w:cs="Times New Roman"/>
                <w:b/>
                <w:bCs/>
                <w:kern w:val="0"/>
                <w:sz w:val="24"/>
                <w:szCs w:val="24"/>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6</w:t>
            </w:r>
            <w:r>
              <w:rPr>
                <w:rFonts w:hint="eastAsia" w:ascii="Times New Roman" w:hAnsi="Times New Roman" w:eastAsia="仿宋_GB2312" w:cs="Times New Roman"/>
                <w:b/>
                <w:bCs/>
                <w:kern w:val="0"/>
                <w:sz w:val="24"/>
                <w:szCs w:val="24"/>
              </w:rPr>
              <w:t>9.80</w:t>
            </w:r>
            <w:r>
              <w:rPr>
                <w:rFonts w:ascii="Times New Roman" w:hAnsi="Times New Roman" w:eastAsia="仿宋_GB2312" w:cs="Times New Roman"/>
                <w:b/>
                <w:bCs/>
                <w:kern w:val="0"/>
                <w:sz w:val="24"/>
                <w:szCs w:val="24"/>
              </w:rPr>
              <w:t>%</w:t>
            </w:r>
          </w:p>
        </w:tc>
      </w:tr>
      <w:tr>
        <w:tblPrEx>
          <w:tblCellMar>
            <w:top w:w="0" w:type="dxa"/>
            <w:left w:w="108" w:type="dxa"/>
            <w:bottom w:w="0" w:type="dxa"/>
            <w:right w:w="108" w:type="dxa"/>
          </w:tblCellMar>
        </w:tblPrEx>
        <w:trPr>
          <w:trHeight w:val="20" w:hRule="atLeast"/>
        </w:trPr>
        <w:tc>
          <w:tcPr>
            <w:tcW w:w="3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C 产出</w:t>
            </w:r>
          </w:p>
        </w:tc>
        <w:tc>
          <w:tcPr>
            <w:tcW w:w="3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30%</w:t>
            </w: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C1 产出数量</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13</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13.00 </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5.5</w:t>
            </w:r>
          </w:p>
        </w:tc>
        <w:tc>
          <w:tcPr>
            <w:tcW w:w="3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5.50 </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7.5</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7.50 </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CellMar>
            <w:top w:w="0" w:type="dxa"/>
            <w:left w:w="108" w:type="dxa"/>
            <w:bottom w:w="0" w:type="dxa"/>
            <w:right w:w="108" w:type="dxa"/>
          </w:tblCellMar>
        </w:tblPrEx>
        <w:trPr>
          <w:trHeight w:val="20" w:hRule="atLeast"/>
        </w:trPr>
        <w:tc>
          <w:tcPr>
            <w:tcW w:w="376"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30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C2 产出质量</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8</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8.00 </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3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4.00 </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4.00 </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CellMar>
            <w:top w:w="0" w:type="dxa"/>
            <w:left w:w="108" w:type="dxa"/>
            <w:bottom w:w="0" w:type="dxa"/>
            <w:right w:w="108" w:type="dxa"/>
          </w:tblCellMar>
        </w:tblPrEx>
        <w:trPr>
          <w:trHeight w:val="20" w:hRule="atLeast"/>
        </w:trPr>
        <w:tc>
          <w:tcPr>
            <w:tcW w:w="376"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30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C3 产出时效</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9</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5.25 </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58.33%</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4.5</w:t>
            </w:r>
          </w:p>
        </w:tc>
        <w:tc>
          <w:tcPr>
            <w:tcW w:w="3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3.00 </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66.67%</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4.5</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2.25 </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50.00%</w:t>
            </w:r>
          </w:p>
        </w:tc>
      </w:tr>
      <w:tr>
        <w:tblPrEx>
          <w:tblCellMar>
            <w:top w:w="0" w:type="dxa"/>
            <w:left w:w="108" w:type="dxa"/>
            <w:bottom w:w="0" w:type="dxa"/>
            <w:right w:w="108" w:type="dxa"/>
          </w:tblCellMar>
        </w:tblPrEx>
        <w:trPr>
          <w:trHeight w:val="20" w:hRule="atLeast"/>
        </w:trPr>
        <w:tc>
          <w:tcPr>
            <w:tcW w:w="376"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30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小计</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30</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26.25 </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87.50%</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14</w:t>
            </w:r>
          </w:p>
        </w:tc>
        <w:tc>
          <w:tcPr>
            <w:tcW w:w="3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12.50 </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89.29%</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16</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13.75 </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85.94%</w:t>
            </w:r>
          </w:p>
        </w:tc>
      </w:tr>
      <w:tr>
        <w:tblPrEx>
          <w:tblCellMar>
            <w:top w:w="0" w:type="dxa"/>
            <w:left w:w="108" w:type="dxa"/>
            <w:bottom w:w="0" w:type="dxa"/>
            <w:right w:w="108" w:type="dxa"/>
          </w:tblCellMar>
        </w:tblPrEx>
        <w:trPr>
          <w:trHeight w:val="20" w:hRule="atLeast"/>
        </w:trPr>
        <w:tc>
          <w:tcPr>
            <w:tcW w:w="3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 效益</w:t>
            </w:r>
          </w:p>
        </w:tc>
        <w:tc>
          <w:tcPr>
            <w:tcW w:w="3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30%</w:t>
            </w: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D1 社会效益</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12</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12.00 </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w:t>
            </w:r>
          </w:p>
        </w:tc>
        <w:tc>
          <w:tcPr>
            <w:tcW w:w="3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6.00 </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6.00 </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CellMar>
            <w:top w:w="0" w:type="dxa"/>
            <w:left w:w="108" w:type="dxa"/>
            <w:bottom w:w="0" w:type="dxa"/>
            <w:right w:w="108" w:type="dxa"/>
          </w:tblCellMar>
        </w:tblPrEx>
        <w:trPr>
          <w:trHeight w:val="20" w:hRule="atLeast"/>
        </w:trPr>
        <w:tc>
          <w:tcPr>
            <w:tcW w:w="376"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30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D2 生态效益</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3.00 </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1.5</w:t>
            </w:r>
          </w:p>
        </w:tc>
        <w:tc>
          <w:tcPr>
            <w:tcW w:w="3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1.50 </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1.5</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1.50 </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CellMar>
            <w:top w:w="0" w:type="dxa"/>
            <w:left w:w="108" w:type="dxa"/>
            <w:bottom w:w="0" w:type="dxa"/>
            <w:right w:w="108" w:type="dxa"/>
          </w:tblCellMar>
        </w:tblPrEx>
        <w:trPr>
          <w:trHeight w:val="20" w:hRule="atLeast"/>
        </w:trPr>
        <w:tc>
          <w:tcPr>
            <w:tcW w:w="376"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30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D3 可持续影响力指标</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6.00 </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60.00%</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3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3.00 </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60.00%</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3.00 </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60.00%</w:t>
            </w:r>
          </w:p>
        </w:tc>
      </w:tr>
      <w:tr>
        <w:tblPrEx>
          <w:tblCellMar>
            <w:top w:w="0" w:type="dxa"/>
            <w:left w:w="108" w:type="dxa"/>
            <w:bottom w:w="0" w:type="dxa"/>
            <w:right w:w="108" w:type="dxa"/>
          </w:tblCellMar>
        </w:tblPrEx>
        <w:trPr>
          <w:trHeight w:val="20" w:hRule="atLeast"/>
        </w:trPr>
        <w:tc>
          <w:tcPr>
            <w:tcW w:w="376"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30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D4满意度指标</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5.00 </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2.5</w:t>
            </w:r>
          </w:p>
        </w:tc>
        <w:tc>
          <w:tcPr>
            <w:tcW w:w="3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2.50 </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2.5</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2.50 </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CellMar>
            <w:top w:w="0" w:type="dxa"/>
            <w:left w:w="108" w:type="dxa"/>
            <w:bottom w:w="0" w:type="dxa"/>
            <w:right w:w="108" w:type="dxa"/>
          </w:tblCellMar>
        </w:tblPrEx>
        <w:trPr>
          <w:trHeight w:val="20" w:hRule="atLeast"/>
        </w:trPr>
        <w:tc>
          <w:tcPr>
            <w:tcW w:w="376"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30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eastAsia="仿宋_GB2312" w:cs="Times New Roman"/>
                <w:kern w:val="0"/>
                <w:sz w:val="24"/>
                <w:szCs w:val="24"/>
              </w:rPr>
            </w:pP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小计</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30</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26.00 </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86.67%</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15</w:t>
            </w:r>
          </w:p>
        </w:tc>
        <w:tc>
          <w:tcPr>
            <w:tcW w:w="3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13.00 </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86.67%</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15</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13.00 </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86.67%</w:t>
            </w:r>
          </w:p>
        </w:tc>
      </w:tr>
      <w:tr>
        <w:tblPrEx>
          <w:tblCellMar>
            <w:top w:w="0" w:type="dxa"/>
            <w:left w:w="108" w:type="dxa"/>
            <w:bottom w:w="0" w:type="dxa"/>
            <w:right w:w="108" w:type="dxa"/>
          </w:tblCellMar>
        </w:tblPrEx>
        <w:trPr>
          <w:trHeight w:val="20" w:hRule="atLeast"/>
        </w:trPr>
        <w:tc>
          <w:tcPr>
            <w:tcW w:w="136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合计</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100</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8</w:t>
            </w:r>
            <w:r>
              <w:rPr>
                <w:rFonts w:hint="eastAsia" w:ascii="Times New Roman" w:hAnsi="Times New Roman" w:eastAsia="仿宋_GB2312" w:cs="Times New Roman"/>
                <w:b/>
                <w:bCs/>
                <w:kern w:val="0"/>
                <w:sz w:val="24"/>
                <w:szCs w:val="24"/>
              </w:rPr>
              <w:t>4.45</w:t>
            </w:r>
            <w:r>
              <w:rPr>
                <w:rFonts w:ascii="Times New Roman" w:hAnsi="Times New Roman" w:eastAsia="仿宋_GB2312" w:cs="Times New Roman"/>
                <w:b/>
                <w:bCs/>
                <w:kern w:val="0"/>
                <w:sz w:val="24"/>
                <w:szCs w:val="24"/>
              </w:rPr>
              <w:t xml:space="preserve"> </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8</w:t>
            </w:r>
            <w:r>
              <w:rPr>
                <w:rFonts w:hint="eastAsia" w:ascii="Times New Roman" w:hAnsi="Times New Roman" w:eastAsia="仿宋_GB2312" w:cs="Times New Roman"/>
                <w:b/>
                <w:bCs/>
                <w:kern w:val="0"/>
                <w:sz w:val="24"/>
                <w:szCs w:val="24"/>
              </w:rPr>
              <w:t>4.45</w:t>
            </w:r>
            <w:r>
              <w:rPr>
                <w:rFonts w:ascii="Times New Roman" w:hAnsi="Times New Roman" w:eastAsia="仿宋_GB2312" w:cs="Times New Roman"/>
                <w:b/>
                <w:bCs/>
                <w:kern w:val="0"/>
                <w:sz w:val="24"/>
                <w:szCs w:val="24"/>
              </w:rPr>
              <w:t>%</w:t>
            </w:r>
          </w:p>
        </w:tc>
        <w:tc>
          <w:tcPr>
            <w:tcW w:w="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49</w:t>
            </w:r>
          </w:p>
        </w:tc>
        <w:tc>
          <w:tcPr>
            <w:tcW w:w="3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4</w:t>
            </w:r>
            <w:r>
              <w:rPr>
                <w:rFonts w:hint="eastAsia" w:ascii="Times New Roman" w:hAnsi="Times New Roman" w:eastAsia="仿宋_GB2312" w:cs="Times New Roman"/>
                <w:b/>
                <w:bCs/>
                <w:kern w:val="0"/>
                <w:sz w:val="24"/>
                <w:szCs w:val="24"/>
              </w:rPr>
              <w:t>1.15</w:t>
            </w:r>
            <w:r>
              <w:rPr>
                <w:rFonts w:ascii="Times New Roman" w:hAnsi="Times New Roman" w:eastAsia="仿宋_GB2312" w:cs="Times New Roman"/>
                <w:b/>
                <w:bCs/>
                <w:kern w:val="0"/>
                <w:sz w:val="24"/>
                <w:szCs w:val="24"/>
              </w:rPr>
              <w:t xml:space="preserve"> </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8</w:t>
            </w:r>
            <w:r>
              <w:rPr>
                <w:rFonts w:hint="eastAsia" w:ascii="Times New Roman" w:hAnsi="Times New Roman" w:eastAsia="仿宋_GB2312" w:cs="Times New Roman"/>
                <w:b/>
                <w:bCs/>
                <w:kern w:val="0"/>
                <w:sz w:val="24"/>
                <w:szCs w:val="24"/>
              </w:rPr>
              <w:t>3.98</w:t>
            </w:r>
            <w:r>
              <w:rPr>
                <w:rFonts w:ascii="Times New Roman" w:hAnsi="Times New Roman" w:eastAsia="仿宋_GB2312" w:cs="Times New Roman"/>
                <w:b/>
                <w:bCs/>
                <w:kern w:val="0"/>
                <w:sz w:val="24"/>
                <w:szCs w:val="24"/>
              </w:rPr>
              <w:t>%</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51</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4</w:t>
            </w:r>
            <w:r>
              <w:rPr>
                <w:rFonts w:hint="eastAsia" w:ascii="Times New Roman" w:hAnsi="Times New Roman" w:eastAsia="仿宋_GB2312" w:cs="Times New Roman"/>
                <w:b/>
                <w:bCs/>
                <w:kern w:val="0"/>
                <w:sz w:val="24"/>
                <w:szCs w:val="24"/>
              </w:rPr>
              <w:t>3.31</w:t>
            </w:r>
          </w:p>
        </w:tc>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8</w:t>
            </w:r>
            <w:r>
              <w:rPr>
                <w:rFonts w:hint="eastAsia" w:ascii="Times New Roman" w:hAnsi="Times New Roman" w:eastAsia="仿宋_GB2312" w:cs="Times New Roman"/>
                <w:b/>
                <w:bCs/>
                <w:kern w:val="0"/>
                <w:sz w:val="24"/>
                <w:szCs w:val="24"/>
              </w:rPr>
              <w:t>4.92</w:t>
            </w:r>
            <w:r>
              <w:rPr>
                <w:rFonts w:ascii="Times New Roman" w:hAnsi="Times New Roman" w:eastAsia="仿宋_GB2312" w:cs="Times New Roman"/>
                <w:b/>
                <w:bCs/>
                <w:kern w:val="0"/>
                <w:sz w:val="24"/>
                <w:szCs w:val="24"/>
              </w:rPr>
              <w:t>%</w:t>
            </w:r>
          </w:p>
        </w:tc>
      </w:tr>
    </w:tbl>
    <w:p>
      <w:pPr>
        <w:pStyle w:val="22"/>
        <w:ind w:firstLine="0" w:firstLineChars="0"/>
      </w:pPr>
    </w:p>
    <w:p>
      <w:pPr>
        <w:pStyle w:val="24"/>
        <w:ind w:firstLine="643"/>
      </w:pPr>
      <w:bookmarkStart w:id="148" w:name="_Toc169439209"/>
      <w:bookmarkStart w:id="149" w:name="_Toc171093944"/>
      <w:bookmarkStart w:id="150" w:name="_Toc169390973"/>
      <w:r>
        <w:rPr>
          <w:rFonts w:hint="eastAsia"/>
        </w:rPr>
        <w:t>2.主要绩效</w:t>
      </w:r>
      <w:bookmarkEnd w:id="148"/>
      <w:bookmarkEnd w:id="149"/>
      <w:bookmarkEnd w:id="150"/>
    </w:p>
    <w:p>
      <w:pPr>
        <w:pStyle w:val="22"/>
        <w:rPr>
          <w:rFonts w:ascii="仿宋_GB2312" w:eastAsia="仿宋_GB2312"/>
          <w:szCs w:val="32"/>
        </w:rPr>
      </w:pPr>
      <w:r>
        <w:rPr>
          <w:rFonts w:hint="eastAsia"/>
        </w:rPr>
        <w:t>从指标得分情况看，堡镇、新河镇污水管网完善工程项目达到了基本要求，实施效果较好。项目决策方面，两镇项目立项实施前期均取得区发改委、区建管委的相关批复，涉及的区级专项债券资金按要求编制了实施方案，明确了专项债券额度、发行期限等，专项债券额度与项目建设的实际需要相匹配。项目管理方面，项目预算安排与实施内容匹配，专项债券预算管理规范并按照规定时间、规定金额进行偿还，市、区、镇三级资金依据项目建设进度及时到位。项目产出方面，施工单位按照合同约定及实际情况完成了污水管网相关工程建设，其中堡镇项目敷设了De110～DN300污水管道8117.29米，建设检查井149座、截流井1座、一体化泵站3座，完成3912.27平方米道路拆除修复以及新增的微顶工程、菜场工程、公交候车亭拆除安装等内容，项目一次性通过通水验收和竣工验收，目前已完成审计，污水管网已投入使用；新河镇项目敷设了DN200～DN400污水管道7966.08米，建设2座泵站、检查井111座、压力井4座、沉井61座、泄压井2座、排气阀井3座、出水流量井2座、排泥井3座、雨水口38座、标志牌20个，完成4595.75平方米道路修复和局部树脂固化、绿化修复等内容，项目一次性通过通水验收和竣工验收，目前项目正在进行审计，污水管网已投入使用。效益方面，项目实施后两镇的原管道用于雨水输送，新建管网用于污水输送，实现了雨污水分流；新建的污水管网与</w:t>
      </w:r>
      <w:r>
        <w:rPr>
          <w:rFonts w:hint="eastAsia" w:ascii="仿宋_GB2312" w:hAnsi="仿宋_GB2312" w:cs="仿宋_GB2312"/>
        </w:rPr>
        <w:t>堡镇污水厂、新河污水厂衔接，2个集镇区的污水通过管网排入污水厂集中处理达标后排放，改善了周边河道的水质，</w:t>
      </w:r>
      <w:r>
        <w:rPr>
          <w:rFonts w:hint="eastAsia"/>
        </w:rPr>
        <w:t>堡镇受访对象对该项目实施的综合满意度达到了98.03%，新河镇受访对象的综合满意度达到了90.61%。</w:t>
      </w:r>
    </w:p>
    <w:p>
      <w:pPr>
        <w:pStyle w:val="22"/>
        <w:rPr>
          <w:rFonts w:ascii="仿宋_GB2312" w:eastAsia="仿宋_GB2312"/>
          <w:szCs w:val="32"/>
        </w:rPr>
      </w:pPr>
      <w:r>
        <w:rPr>
          <w:rFonts w:hint="eastAsia"/>
        </w:rPr>
        <w:t>但项目实施过程中在管理环节存在一定风险，主要体现在工程量变更流程不明晰、合同管理及执行有效性不足、资金支付进度与项目建设进度不匹配、后续管养主体不明确等方面。</w:t>
      </w:r>
    </w:p>
    <w:p>
      <w:pPr>
        <w:pStyle w:val="26"/>
        <w:ind w:firstLine="640"/>
      </w:pPr>
      <w:bookmarkStart w:id="151" w:name="_Toc171093945"/>
      <w:r>
        <w:rPr>
          <w:rFonts w:hint="eastAsia"/>
        </w:rPr>
        <w:t>（二）具体绩效分析</w:t>
      </w:r>
      <w:bookmarkEnd w:id="151"/>
    </w:p>
    <w:p>
      <w:pPr>
        <w:pStyle w:val="22"/>
      </w:pPr>
      <w:r>
        <w:rPr>
          <w:rFonts w:hint="eastAsia"/>
        </w:rPr>
        <w:t>通过对相关政策文件的解读、数据采集及分析、问卷调查、访谈、现场调研，按照工作方案确定的指标体系及评分标准，评价小组对各项指标完成情况进行客观分析，逐项打分，并对扣分指标的扣分原因进行了具体分析，具体情况如下：</w:t>
      </w:r>
    </w:p>
    <w:p>
      <w:pPr>
        <w:pStyle w:val="24"/>
        <w:ind w:firstLine="643"/>
      </w:pPr>
      <w:bookmarkStart w:id="152" w:name="_Toc169390975"/>
      <w:bookmarkStart w:id="153" w:name="_Toc169439211"/>
      <w:bookmarkStart w:id="154" w:name="_Toc171093946"/>
      <w:r>
        <w:rPr>
          <w:rFonts w:hint="eastAsia"/>
        </w:rPr>
        <w:t>1.决策类指标</w:t>
      </w:r>
      <w:bookmarkEnd w:id="152"/>
      <w:bookmarkEnd w:id="153"/>
      <w:bookmarkEnd w:id="154"/>
    </w:p>
    <w:p>
      <w:pPr>
        <w:pStyle w:val="22"/>
      </w:pPr>
      <w:r>
        <w:rPr>
          <w:rFonts w:hint="eastAsia"/>
        </w:rPr>
        <w:t>项目决策类指标由5个二级指标和9个三级指标构成，权重分20分，实际得分18.25分，得分率为91.27%。其中：堡镇项目权重分10分，实际得分8.67</w:t>
      </w:r>
      <w:r>
        <w:t>分，</w:t>
      </w:r>
      <w:r>
        <w:rPr>
          <w:rFonts w:hint="eastAsia"/>
        </w:rPr>
        <w:t>得分率为86.70%；新河镇项目权重分10分，实际得分9.58</w:t>
      </w:r>
      <w:r>
        <w:t>分，</w:t>
      </w:r>
      <w:r>
        <w:rPr>
          <w:rFonts w:hint="eastAsia"/>
        </w:rPr>
        <w:t>得分率为95.83%。具体指标得分情况见下表：</w:t>
      </w:r>
    </w:p>
    <w:p>
      <w:pPr>
        <w:pStyle w:val="22"/>
        <w:ind w:firstLine="0" w:firstLineChars="0"/>
        <w:jc w:val="center"/>
        <w:rPr>
          <w:b/>
          <w:bCs w:val="0"/>
          <w:sz w:val="28"/>
          <w:szCs w:val="24"/>
        </w:rPr>
      </w:pPr>
      <w:r>
        <w:rPr>
          <w:b/>
          <w:bCs w:val="0"/>
          <w:sz w:val="28"/>
          <w:szCs w:val="24"/>
        </w:rPr>
        <w:t>表3-2：决策类指标得分情况表</w:t>
      </w:r>
    </w:p>
    <w:tbl>
      <w:tblPr>
        <w:tblStyle w:val="12"/>
        <w:tblW w:w="5476" w:type="pct"/>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568"/>
        <w:gridCol w:w="849"/>
        <w:gridCol w:w="1701"/>
        <w:gridCol w:w="834"/>
        <w:gridCol w:w="488"/>
        <w:gridCol w:w="1195"/>
        <w:gridCol w:w="911"/>
        <w:gridCol w:w="534"/>
        <w:gridCol w:w="715"/>
        <w:gridCol w:w="709"/>
        <w:gridCol w:w="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blHeader/>
        </w:trPr>
        <w:tc>
          <w:tcPr>
            <w:tcW w:w="357" w:type="pct"/>
            <w:vMerge w:val="restart"/>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一级指标</w:t>
            </w:r>
          </w:p>
        </w:tc>
        <w:tc>
          <w:tcPr>
            <w:tcW w:w="286" w:type="pct"/>
            <w:vMerge w:val="restart"/>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权重</w:t>
            </w:r>
          </w:p>
        </w:tc>
        <w:tc>
          <w:tcPr>
            <w:tcW w:w="428" w:type="pct"/>
            <w:vMerge w:val="restart"/>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二级指标</w:t>
            </w:r>
          </w:p>
        </w:tc>
        <w:tc>
          <w:tcPr>
            <w:tcW w:w="857" w:type="pct"/>
            <w:vMerge w:val="restart"/>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三级指标</w:t>
            </w:r>
          </w:p>
        </w:tc>
        <w:tc>
          <w:tcPr>
            <w:tcW w:w="420" w:type="pct"/>
            <w:vMerge w:val="restart"/>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标杆值</w:t>
            </w:r>
          </w:p>
        </w:tc>
        <w:tc>
          <w:tcPr>
            <w:tcW w:w="246" w:type="pct"/>
            <w:vMerge w:val="restart"/>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分值</w:t>
            </w:r>
          </w:p>
        </w:tc>
        <w:tc>
          <w:tcPr>
            <w:tcW w:w="1061" w:type="pct"/>
            <w:gridSpan w:val="2"/>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业绩值</w:t>
            </w:r>
          </w:p>
        </w:tc>
        <w:tc>
          <w:tcPr>
            <w:tcW w:w="629" w:type="pct"/>
            <w:gridSpan w:val="2"/>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得分</w:t>
            </w:r>
          </w:p>
        </w:tc>
        <w:tc>
          <w:tcPr>
            <w:tcW w:w="357" w:type="pct"/>
            <w:vMerge w:val="restart"/>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总得分</w:t>
            </w:r>
          </w:p>
        </w:tc>
        <w:tc>
          <w:tcPr>
            <w:tcW w:w="358" w:type="pct"/>
            <w:vMerge w:val="restart"/>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blHeader/>
        </w:trPr>
        <w:tc>
          <w:tcPr>
            <w:tcW w:w="357" w:type="pct"/>
            <w:vMerge w:val="continue"/>
            <w:vAlign w:val="center"/>
          </w:tcPr>
          <w:p>
            <w:pPr>
              <w:widowControl/>
              <w:jc w:val="center"/>
              <w:rPr>
                <w:rFonts w:ascii="Times New Roman" w:hAnsi="Times New Roman" w:eastAsia="仿宋_GB2312" w:cs="Times New Roman"/>
                <w:b/>
                <w:bCs/>
                <w:kern w:val="0"/>
                <w:sz w:val="24"/>
                <w:szCs w:val="24"/>
              </w:rPr>
            </w:pPr>
          </w:p>
        </w:tc>
        <w:tc>
          <w:tcPr>
            <w:tcW w:w="286" w:type="pct"/>
            <w:vMerge w:val="continue"/>
            <w:vAlign w:val="center"/>
          </w:tcPr>
          <w:p>
            <w:pPr>
              <w:widowControl/>
              <w:jc w:val="center"/>
              <w:rPr>
                <w:rFonts w:ascii="Times New Roman" w:hAnsi="Times New Roman" w:eastAsia="仿宋_GB2312" w:cs="Times New Roman"/>
                <w:b/>
                <w:bCs/>
                <w:kern w:val="0"/>
                <w:sz w:val="24"/>
                <w:szCs w:val="24"/>
              </w:rPr>
            </w:pPr>
          </w:p>
        </w:tc>
        <w:tc>
          <w:tcPr>
            <w:tcW w:w="428" w:type="pct"/>
            <w:vMerge w:val="continue"/>
            <w:vAlign w:val="center"/>
          </w:tcPr>
          <w:p>
            <w:pPr>
              <w:widowControl/>
              <w:jc w:val="center"/>
              <w:rPr>
                <w:rFonts w:ascii="Times New Roman" w:hAnsi="Times New Roman" w:eastAsia="仿宋_GB2312" w:cs="Times New Roman"/>
                <w:b/>
                <w:bCs/>
                <w:kern w:val="0"/>
                <w:sz w:val="24"/>
                <w:szCs w:val="24"/>
              </w:rPr>
            </w:pPr>
          </w:p>
        </w:tc>
        <w:tc>
          <w:tcPr>
            <w:tcW w:w="857" w:type="pct"/>
            <w:vMerge w:val="continue"/>
            <w:vAlign w:val="center"/>
          </w:tcPr>
          <w:p>
            <w:pPr>
              <w:widowControl/>
              <w:jc w:val="center"/>
              <w:rPr>
                <w:rFonts w:ascii="Times New Roman" w:hAnsi="Times New Roman" w:eastAsia="仿宋_GB2312" w:cs="Times New Roman"/>
                <w:b/>
                <w:bCs/>
                <w:kern w:val="0"/>
                <w:sz w:val="24"/>
                <w:szCs w:val="24"/>
              </w:rPr>
            </w:pPr>
          </w:p>
        </w:tc>
        <w:tc>
          <w:tcPr>
            <w:tcW w:w="420" w:type="pct"/>
            <w:vMerge w:val="continue"/>
            <w:vAlign w:val="center"/>
          </w:tcPr>
          <w:p>
            <w:pPr>
              <w:widowControl/>
              <w:jc w:val="center"/>
              <w:rPr>
                <w:rFonts w:ascii="Times New Roman" w:hAnsi="Times New Roman" w:eastAsia="仿宋_GB2312" w:cs="Times New Roman"/>
                <w:b/>
                <w:bCs/>
                <w:kern w:val="0"/>
                <w:sz w:val="24"/>
                <w:szCs w:val="24"/>
              </w:rPr>
            </w:pPr>
          </w:p>
        </w:tc>
        <w:tc>
          <w:tcPr>
            <w:tcW w:w="246" w:type="pct"/>
            <w:vMerge w:val="continue"/>
            <w:vAlign w:val="center"/>
          </w:tcPr>
          <w:p>
            <w:pPr>
              <w:widowControl/>
              <w:jc w:val="center"/>
              <w:rPr>
                <w:rFonts w:ascii="Times New Roman" w:hAnsi="Times New Roman" w:eastAsia="仿宋_GB2312" w:cs="Times New Roman"/>
                <w:b/>
                <w:bCs/>
                <w:kern w:val="0"/>
                <w:sz w:val="24"/>
                <w:szCs w:val="24"/>
              </w:rPr>
            </w:pPr>
          </w:p>
        </w:tc>
        <w:tc>
          <w:tcPr>
            <w:tcW w:w="602" w:type="pct"/>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堡镇</w:t>
            </w:r>
          </w:p>
        </w:tc>
        <w:tc>
          <w:tcPr>
            <w:tcW w:w="459" w:type="pct"/>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新河镇</w:t>
            </w:r>
          </w:p>
        </w:tc>
        <w:tc>
          <w:tcPr>
            <w:tcW w:w="269" w:type="pct"/>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堡镇</w:t>
            </w:r>
          </w:p>
        </w:tc>
        <w:tc>
          <w:tcPr>
            <w:tcW w:w="360" w:type="pct"/>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新河镇</w:t>
            </w:r>
          </w:p>
        </w:tc>
        <w:tc>
          <w:tcPr>
            <w:tcW w:w="357" w:type="pct"/>
            <w:vMerge w:val="continue"/>
            <w:vAlign w:val="center"/>
          </w:tcPr>
          <w:p>
            <w:pPr>
              <w:widowControl/>
              <w:jc w:val="center"/>
              <w:rPr>
                <w:rFonts w:ascii="Times New Roman" w:hAnsi="Times New Roman" w:eastAsia="仿宋_GB2312" w:cs="Times New Roman"/>
                <w:b/>
                <w:bCs/>
                <w:kern w:val="0"/>
                <w:sz w:val="24"/>
                <w:szCs w:val="24"/>
              </w:rPr>
            </w:pPr>
          </w:p>
        </w:tc>
        <w:tc>
          <w:tcPr>
            <w:tcW w:w="358" w:type="pct"/>
            <w:vMerge w:val="continue"/>
            <w:vAlign w:val="center"/>
          </w:tcPr>
          <w:p>
            <w:pPr>
              <w:widowControl/>
              <w:jc w:val="center"/>
              <w:rPr>
                <w:rFonts w:ascii="Times New Roman" w:hAnsi="Times New Roman" w:eastAsia="仿宋_GB2312" w:cs="Times New Roman"/>
                <w:b/>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357" w:type="pct"/>
            <w:vMerge w:val="restar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A决策</w:t>
            </w:r>
          </w:p>
        </w:tc>
        <w:tc>
          <w:tcPr>
            <w:tcW w:w="286" w:type="pct"/>
            <w:vMerge w:val="restar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w:t>
            </w:r>
          </w:p>
        </w:tc>
        <w:tc>
          <w:tcPr>
            <w:tcW w:w="428" w:type="pct"/>
            <w:vMerge w:val="restar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A1 项目立项</w:t>
            </w:r>
          </w:p>
        </w:tc>
        <w:tc>
          <w:tcPr>
            <w:tcW w:w="857"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A11 立项依据充分性</w:t>
            </w:r>
          </w:p>
        </w:tc>
        <w:tc>
          <w:tcPr>
            <w:tcW w:w="420"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充分</w:t>
            </w:r>
          </w:p>
        </w:tc>
        <w:tc>
          <w:tcPr>
            <w:tcW w:w="246"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602"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充分</w:t>
            </w:r>
          </w:p>
        </w:tc>
        <w:tc>
          <w:tcPr>
            <w:tcW w:w="459"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充分</w:t>
            </w:r>
          </w:p>
        </w:tc>
        <w:tc>
          <w:tcPr>
            <w:tcW w:w="269"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1.5</w:t>
            </w:r>
          </w:p>
        </w:tc>
        <w:tc>
          <w:tcPr>
            <w:tcW w:w="360"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1.5</w:t>
            </w:r>
          </w:p>
        </w:tc>
        <w:tc>
          <w:tcPr>
            <w:tcW w:w="357"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358" w:type="pct"/>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357" w:type="pct"/>
            <w:vMerge w:val="continue"/>
            <w:vAlign w:val="center"/>
          </w:tcPr>
          <w:p>
            <w:pPr>
              <w:widowControl/>
              <w:jc w:val="center"/>
              <w:rPr>
                <w:rFonts w:ascii="Times New Roman" w:hAnsi="Times New Roman" w:eastAsia="仿宋_GB2312" w:cs="Times New Roman"/>
                <w:kern w:val="0"/>
                <w:sz w:val="24"/>
                <w:szCs w:val="24"/>
              </w:rPr>
            </w:pPr>
          </w:p>
        </w:tc>
        <w:tc>
          <w:tcPr>
            <w:tcW w:w="286" w:type="pct"/>
            <w:vMerge w:val="continue"/>
            <w:vAlign w:val="center"/>
          </w:tcPr>
          <w:p>
            <w:pPr>
              <w:widowControl/>
              <w:jc w:val="center"/>
              <w:rPr>
                <w:rFonts w:ascii="Times New Roman" w:hAnsi="Times New Roman" w:eastAsia="仿宋_GB2312" w:cs="Times New Roman"/>
                <w:kern w:val="0"/>
                <w:sz w:val="24"/>
                <w:szCs w:val="24"/>
              </w:rPr>
            </w:pPr>
          </w:p>
        </w:tc>
        <w:tc>
          <w:tcPr>
            <w:tcW w:w="428" w:type="pct"/>
            <w:vMerge w:val="continue"/>
            <w:vAlign w:val="center"/>
          </w:tcPr>
          <w:p>
            <w:pPr>
              <w:widowControl/>
              <w:jc w:val="center"/>
              <w:rPr>
                <w:rFonts w:ascii="Times New Roman" w:hAnsi="Times New Roman" w:eastAsia="仿宋_GB2312" w:cs="Times New Roman"/>
                <w:kern w:val="0"/>
                <w:sz w:val="24"/>
                <w:szCs w:val="24"/>
              </w:rPr>
            </w:pPr>
          </w:p>
        </w:tc>
        <w:tc>
          <w:tcPr>
            <w:tcW w:w="857"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A12 立项程序规范性</w:t>
            </w:r>
          </w:p>
        </w:tc>
        <w:tc>
          <w:tcPr>
            <w:tcW w:w="420"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规范</w:t>
            </w:r>
          </w:p>
        </w:tc>
        <w:tc>
          <w:tcPr>
            <w:tcW w:w="246"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602"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规范</w:t>
            </w:r>
          </w:p>
        </w:tc>
        <w:tc>
          <w:tcPr>
            <w:tcW w:w="459"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规范</w:t>
            </w:r>
          </w:p>
        </w:tc>
        <w:tc>
          <w:tcPr>
            <w:tcW w:w="269"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360"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357"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358" w:type="pct"/>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357" w:type="pct"/>
            <w:vMerge w:val="continue"/>
            <w:vAlign w:val="center"/>
          </w:tcPr>
          <w:p>
            <w:pPr>
              <w:widowControl/>
              <w:jc w:val="center"/>
              <w:rPr>
                <w:rFonts w:ascii="Times New Roman" w:hAnsi="Times New Roman" w:eastAsia="仿宋_GB2312" w:cs="Times New Roman"/>
                <w:kern w:val="0"/>
                <w:sz w:val="24"/>
                <w:szCs w:val="24"/>
              </w:rPr>
            </w:pPr>
          </w:p>
        </w:tc>
        <w:tc>
          <w:tcPr>
            <w:tcW w:w="286" w:type="pct"/>
            <w:vMerge w:val="continue"/>
            <w:vAlign w:val="center"/>
          </w:tcPr>
          <w:p>
            <w:pPr>
              <w:widowControl/>
              <w:jc w:val="center"/>
              <w:rPr>
                <w:rFonts w:ascii="Times New Roman" w:hAnsi="Times New Roman" w:eastAsia="仿宋_GB2312" w:cs="Times New Roman"/>
                <w:kern w:val="0"/>
                <w:sz w:val="24"/>
                <w:szCs w:val="24"/>
              </w:rPr>
            </w:pPr>
          </w:p>
        </w:tc>
        <w:tc>
          <w:tcPr>
            <w:tcW w:w="428" w:type="pct"/>
            <w:vMerge w:val="restar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A2 前期工作</w:t>
            </w:r>
          </w:p>
        </w:tc>
        <w:tc>
          <w:tcPr>
            <w:tcW w:w="857"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A21前期工作准备充分性</w:t>
            </w:r>
          </w:p>
        </w:tc>
        <w:tc>
          <w:tcPr>
            <w:tcW w:w="420"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充分</w:t>
            </w:r>
          </w:p>
        </w:tc>
        <w:tc>
          <w:tcPr>
            <w:tcW w:w="246"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602"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选线规划工作开展时间晚于开工令取得时间</w:t>
            </w:r>
          </w:p>
        </w:tc>
        <w:tc>
          <w:tcPr>
            <w:tcW w:w="459"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充分</w:t>
            </w:r>
          </w:p>
        </w:tc>
        <w:tc>
          <w:tcPr>
            <w:tcW w:w="269"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0.75</w:t>
            </w:r>
          </w:p>
        </w:tc>
        <w:tc>
          <w:tcPr>
            <w:tcW w:w="360"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1.5</w:t>
            </w:r>
          </w:p>
        </w:tc>
        <w:tc>
          <w:tcPr>
            <w:tcW w:w="357"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2.25</w:t>
            </w:r>
          </w:p>
        </w:tc>
        <w:tc>
          <w:tcPr>
            <w:tcW w:w="358" w:type="pct"/>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75.00%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357" w:type="pct"/>
            <w:vMerge w:val="continue"/>
            <w:vAlign w:val="center"/>
          </w:tcPr>
          <w:p>
            <w:pPr>
              <w:widowControl/>
              <w:jc w:val="center"/>
              <w:rPr>
                <w:rFonts w:ascii="Times New Roman" w:hAnsi="Times New Roman" w:eastAsia="仿宋_GB2312" w:cs="Times New Roman"/>
                <w:kern w:val="0"/>
                <w:sz w:val="24"/>
                <w:szCs w:val="24"/>
              </w:rPr>
            </w:pPr>
          </w:p>
        </w:tc>
        <w:tc>
          <w:tcPr>
            <w:tcW w:w="286" w:type="pct"/>
            <w:vMerge w:val="continue"/>
            <w:vAlign w:val="center"/>
          </w:tcPr>
          <w:p>
            <w:pPr>
              <w:widowControl/>
              <w:jc w:val="center"/>
              <w:rPr>
                <w:rFonts w:ascii="Times New Roman" w:hAnsi="Times New Roman" w:eastAsia="仿宋_GB2312" w:cs="Times New Roman"/>
                <w:kern w:val="0"/>
                <w:sz w:val="24"/>
                <w:szCs w:val="24"/>
              </w:rPr>
            </w:pPr>
          </w:p>
        </w:tc>
        <w:tc>
          <w:tcPr>
            <w:tcW w:w="428" w:type="pct"/>
            <w:vMerge w:val="continue"/>
            <w:vAlign w:val="center"/>
          </w:tcPr>
          <w:p>
            <w:pPr>
              <w:widowControl/>
              <w:jc w:val="center"/>
              <w:rPr>
                <w:rFonts w:ascii="Times New Roman" w:hAnsi="Times New Roman" w:eastAsia="仿宋_GB2312" w:cs="Times New Roman"/>
                <w:kern w:val="0"/>
                <w:sz w:val="24"/>
                <w:szCs w:val="24"/>
              </w:rPr>
            </w:pPr>
          </w:p>
        </w:tc>
        <w:tc>
          <w:tcPr>
            <w:tcW w:w="857"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A22 前期工作开展规范性</w:t>
            </w:r>
          </w:p>
        </w:tc>
        <w:tc>
          <w:tcPr>
            <w:tcW w:w="420"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规范</w:t>
            </w:r>
          </w:p>
        </w:tc>
        <w:tc>
          <w:tcPr>
            <w:tcW w:w="246"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602"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规范</w:t>
            </w:r>
          </w:p>
        </w:tc>
        <w:tc>
          <w:tcPr>
            <w:tcW w:w="459"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规范</w:t>
            </w:r>
          </w:p>
        </w:tc>
        <w:tc>
          <w:tcPr>
            <w:tcW w:w="269"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360"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357"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358" w:type="pct"/>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357" w:type="pct"/>
            <w:vMerge w:val="continue"/>
            <w:vAlign w:val="center"/>
          </w:tcPr>
          <w:p>
            <w:pPr>
              <w:widowControl/>
              <w:jc w:val="center"/>
              <w:rPr>
                <w:rFonts w:ascii="Times New Roman" w:hAnsi="Times New Roman" w:eastAsia="仿宋_GB2312" w:cs="Times New Roman"/>
                <w:kern w:val="0"/>
                <w:sz w:val="24"/>
                <w:szCs w:val="24"/>
              </w:rPr>
            </w:pPr>
          </w:p>
        </w:tc>
        <w:tc>
          <w:tcPr>
            <w:tcW w:w="286" w:type="pct"/>
            <w:vMerge w:val="continue"/>
            <w:vAlign w:val="center"/>
          </w:tcPr>
          <w:p>
            <w:pPr>
              <w:widowControl/>
              <w:jc w:val="center"/>
              <w:rPr>
                <w:rFonts w:ascii="Times New Roman" w:hAnsi="Times New Roman" w:eastAsia="仿宋_GB2312" w:cs="Times New Roman"/>
                <w:kern w:val="0"/>
                <w:sz w:val="24"/>
                <w:szCs w:val="24"/>
              </w:rPr>
            </w:pPr>
          </w:p>
        </w:tc>
        <w:tc>
          <w:tcPr>
            <w:tcW w:w="428"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A3 资金投入</w:t>
            </w:r>
          </w:p>
        </w:tc>
        <w:tc>
          <w:tcPr>
            <w:tcW w:w="857"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A31 预算编制科学性</w:t>
            </w:r>
          </w:p>
        </w:tc>
        <w:tc>
          <w:tcPr>
            <w:tcW w:w="420"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科学</w:t>
            </w:r>
          </w:p>
        </w:tc>
        <w:tc>
          <w:tcPr>
            <w:tcW w:w="246"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602"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科学</w:t>
            </w:r>
          </w:p>
        </w:tc>
        <w:tc>
          <w:tcPr>
            <w:tcW w:w="459"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科学</w:t>
            </w:r>
          </w:p>
        </w:tc>
        <w:tc>
          <w:tcPr>
            <w:tcW w:w="269"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1.5</w:t>
            </w:r>
          </w:p>
        </w:tc>
        <w:tc>
          <w:tcPr>
            <w:tcW w:w="360"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1.5</w:t>
            </w:r>
          </w:p>
        </w:tc>
        <w:tc>
          <w:tcPr>
            <w:tcW w:w="357"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358" w:type="pct"/>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357" w:type="pct"/>
            <w:vMerge w:val="continue"/>
            <w:vAlign w:val="center"/>
          </w:tcPr>
          <w:p>
            <w:pPr>
              <w:widowControl/>
              <w:jc w:val="center"/>
              <w:rPr>
                <w:rFonts w:ascii="Times New Roman" w:hAnsi="Times New Roman" w:eastAsia="仿宋_GB2312" w:cs="Times New Roman"/>
                <w:kern w:val="0"/>
                <w:sz w:val="24"/>
                <w:szCs w:val="24"/>
              </w:rPr>
            </w:pPr>
          </w:p>
        </w:tc>
        <w:tc>
          <w:tcPr>
            <w:tcW w:w="286" w:type="pct"/>
            <w:vMerge w:val="continue"/>
            <w:vAlign w:val="center"/>
          </w:tcPr>
          <w:p>
            <w:pPr>
              <w:widowControl/>
              <w:jc w:val="center"/>
              <w:rPr>
                <w:rFonts w:ascii="Times New Roman" w:hAnsi="Times New Roman" w:eastAsia="仿宋_GB2312" w:cs="Times New Roman"/>
                <w:kern w:val="0"/>
                <w:sz w:val="24"/>
                <w:szCs w:val="24"/>
              </w:rPr>
            </w:pPr>
          </w:p>
        </w:tc>
        <w:tc>
          <w:tcPr>
            <w:tcW w:w="428" w:type="pct"/>
            <w:vMerge w:val="restar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A4 专项债券安排</w:t>
            </w:r>
          </w:p>
        </w:tc>
        <w:tc>
          <w:tcPr>
            <w:tcW w:w="857"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A41项目与专项债券支持领域及方案匹配性</w:t>
            </w:r>
          </w:p>
        </w:tc>
        <w:tc>
          <w:tcPr>
            <w:tcW w:w="420"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匹配</w:t>
            </w:r>
          </w:p>
        </w:tc>
        <w:tc>
          <w:tcPr>
            <w:tcW w:w="246"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602"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匹配</w:t>
            </w:r>
          </w:p>
        </w:tc>
        <w:tc>
          <w:tcPr>
            <w:tcW w:w="459"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匹配</w:t>
            </w:r>
          </w:p>
        </w:tc>
        <w:tc>
          <w:tcPr>
            <w:tcW w:w="269"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1.5</w:t>
            </w:r>
          </w:p>
        </w:tc>
        <w:tc>
          <w:tcPr>
            <w:tcW w:w="360"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1.5</w:t>
            </w:r>
          </w:p>
        </w:tc>
        <w:tc>
          <w:tcPr>
            <w:tcW w:w="357"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358" w:type="pct"/>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357" w:type="pct"/>
            <w:vMerge w:val="continue"/>
            <w:vAlign w:val="center"/>
          </w:tcPr>
          <w:p>
            <w:pPr>
              <w:widowControl/>
              <w:jc w:val="center"/>
              <w:rPr>
                <w:rFonts w:ascii="Times New Roman" w:hAnsi="Times New Roman" w:eastAsia="仿宋_GB2312" w:cs="Times New Roman"/>
                <w:kern w:val="0"/>
                <w:sz w:val="24"/>
                <w:szCs w:val="24"/>
              </w:rPr>
            </w:pPr>
          </w:p>
        </w:tc>
        <w:tc>
          <w:tcPr>
            <w:tcW w:w="286" w:type="pct"/>
            <w:vMerge w:val="continue"/>
            <w:vAlign w:val="center"/>
          </w:tcPr>
          <w:p>
            <w:pPr>
              <w:widowControl/>
              <w:jc w:val="center"/>
              <w:rPr>
                <w:rFonts w:ascii="Times New Roman" w:hAnsi="Times New Roman" w:eastAsia="仿宋_GB2312" w:cs="Times New Roman"/>
                <w:kern w:val="0"/>
                <w:sz w:val="24"/>
                <w:szCs w:val="24"/>
              </w:rPr>
            </w:pPr>
          </w:p>
        </w:tc>
        <w:tc>
          <w:tcPr>
            <w:tcW w:w="428" w:type="pct"/>
            <w:vMerge w:val="continue"/>
            <w:vAlign w:val="center"/>
          </w:tcPr>
          <w:p>
            <w:pPr>
              <w:widowControl/>
              <w:jc w:val="center"/>
              <w:rPr>
                <w:rFonts w:ascii="Times New Roman" w:hAnsi="Times New Roman" w:eastAsia="仿宋_GB2312" w:cs="Times New Roman"/>
                <w:kern w:val="0"/>
                <w:sz w:val="24"/>
                <w:szCs w:val="24"/>
              </w:rPr>
            </w:pPr>
          </w:p>
        </w:tc>
        <w:tc>
          <w:tcPr>
            <w:tcW w:w="857"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A42项目申请专项债券额度与实际需要匹配性</w:t>
            </w:r>
          </w:p>
        </w:tc>
        <w:tc>
          <w:tcPr>
            <w:tcW w:w="420"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匹配</w:t>
            </w:r>
          </w:p>
        </w:tc>
        <w:tc>
          <w:tcPr>
            <w:tcW w:w="246"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602"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匹配</w:t>
            </w:r>
          </w:p>
        </w:tc>
        <w:tc>
          <w:tcPr>
            <w:tcW w:w="459"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匹配</w:t>
            </w:r>
          </w:p>
        </w:tc>
        <w:tc>
          <w:tcPr>
            <w:tcW w:w="269"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360"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357"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358" w:type="pct"/>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357" w:type="pct"/>
            <w:vMerge w:val="continue"/>
            <w:vAlign w:val="center"/>
          </w:tcPr>
          <w:p>
            <w:pPr>
              <w:widowControl/>
              <w:jc w:val="center"/>
              <w:rPr>
                <w:rFonts w:ascii="Times New Roman" w:hAnsi="Times New Roman" w:eastAsia="仿宋_GB2312" w:cs="Times New Roman"/>
                <w:kern w:val="0"/>
                <w:sz w:val="24"/>
                <w:szCs w:val="24"/>
              </w:rPr>
            </w:pPr>
          </w:p>
        </w:tc>
        <w:tc>
          <w:tcPr>
            <w:tcW w:w="286" w:type="pct"/>
            <w:vMerge w:val="continue"/>
            <w:vAlign w:val="center"/>
          </w:tcPr>
          <w:p>
            <w:pPr>
              <w:widowControl/>
              <w:jc w:val="center"/>
              <w:rPr>
                <w:rFonts w:ascii="Times New Roman" w:hAnsi="Times New Roman" w:eastAsia="仿宋_GB2312" w:cs="Times New Roman"/>
                <w:kern w:val="0"/>
                <w:sz w:val="24"/>
                <w:szCs w:val="24"/>
              </w:rPr>
            </w:pPr>
          </w:p>
        </w:tc>
        <w:tc>
          <w:tcPr>
            <w:tcW w:w="428" w:type="pct"/>
            <w:vMerge w:val="restar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A5 绩效目标</w:t>
            </w:r>
          </w:p>
        </w:tc>
        <w:tc>
          <w:tcPr>
            <w:tcW w:w="857"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A51 绩效目标合理性</w:t>
            </w:r>
          </w:p>
        </w:tc>
        <w:tc>
          <w:tcPr>
            <w:tcW w:w="420"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合理</w:t>
            </w:r>
          </w:p>
        </w:tc>
        <w:tc>
          <w:tcPr>
            <w:tcW w:w="246"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602"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与实际工作内容和预算资金额匹配度较低</w:t>
            </w:r>
          </w:p>
        </w:tc>
        <w:tc>
          <w:tcPr>
            <w:tcW w:w="459"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与实际工作内容和预算资金额匹配度较低</w:t>
            </w:r>
          </w:p>
        </w:tc>
        <w:tc>
          <w:tcPr>
            <w:tcW w:w="269"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0.25</w:t>
            </w:r>
          </w:p>
        </w:tc>
        <w:tc>
          <w:tcPr>
            <w:tcW w:w="360"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0.25</w:t>
            </w:r>
          </w:p>
        </w:tc>
        <w:tc>
          <w:tcPr>
            <w:tcW w:w="357"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w:t>
            </w:r>
            <w:r>
              <w:rPr>
                <w:rFonts w:hint="eastAsia" w:ascii="Times New Roman" w:hAnsi="Times New Roman" w:eastAsia="仿宋_GB2312" w:cs="Times New Roman"/>
                <w:kern w:val="0"/>
                <w:sz w:val="24"/>
                <w:szCs w:val="24"/>
              </w:rPr>
              <w:t>50</w:t>
            </w:r>
          </w:p>
        </w:tc>
        <w:tc>
          <w:tcPr>
            <w:tcW w:w="358" w:type="pct"/>
            <w:shd w:val="clear" w:color="auto" w:fill="auto"/>
            <w:noWrap/>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50</w:t>
            </w:r>
            <w:r>
              <w:rPr>
                <w:rFonts w:ascii="Times New Roman" w:hAnsi="Times New Roman" w:eastAsia="仿宋_GB2312" w:cs="Times New Roman"/>
                <w:kern w:val="0"/>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357" w:type="pct"/>
            <w:vMerge w:val="continue"/>
            <w:vAlign w:val="center"/>
          </w:tcPr>
          <w:p>
            <w:pPr>
              <w:widowControl/>
              <w:jc w:val="center"/>
              <w:rPr>
                <w:rFonts w:ascii="Times New Roman" w:hAnsi="Times New Roman" w:eastAsia="仿宋_GB2312" w:cs="Times New Roman"/>
                <w:kern w:val="0"/>
                <w:sz w:val="24"/>
                <w:szCs w:val="24"/>
              </w:rPr>
            </w:pPr>
          </w:p>
        </w:tc>
        <w:tc>
          <w:tcPr>
            <w:tcW w:w="286" w:type="pct"/>
            <w:vMerge w:val="continue"/>
            <w:vAlign w:val="center"/>
          </w:tcPr>
          <w:p>
            <w:pPr>
              <w:widowControl/>
              <w:jc w:val="center"/>
              <w:rPr>
                <w:rFonts w:ascii="Times New Roman" w:hAnsi="Times New Roman" w:eastAsia="仿宋_GB2312" w:cs="Times New Roman"/>
                <w:kern w:val="0"/>
                <w:sz w:val="24"/>
                <w:szCs w:val="24"/>
              </w:rPr>
            </w:pPr>
          </w:p>
        </w:tc>
        <w:tc>
          <w:tcPr>
            <w:tcW w:w="428" w:type="pct"/>
            <w:vMerge w:val="continue"/>
            <w:vAlign w:val="center"/>
          </w:tcPr>
          <w:p>
            <w:pPr>
              <w:widowControl/>
              <w:jc w:val="center"/>
              <w:rPr>
                <w:rFonts w:ascii="Times New Roman" w:hAnsi="Times New Roman" w:eastAsia="仿宋_GB2312" w:cs="Times New Roman"/>
                <w:kern w:val="0"/>
                <w:sz w:val="24"/>
                <w:szCs w:val="24"/>
              </w:rPr>
            </w:pPr>
          </w:p>
        </w:tc>
        <w:tc>
          <w:tcPr>
            <w:tcW w:w="857"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A52 绩效指标明确性</w:t>
            </w:r>
          </w:p>
        </w:tc>
        <w:tc>
          <w:tcPr>
            <w:tcW w:w="420"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明确</w:t>
            </w:r>
          </w:p>
        </w:tc>
        <w:tc>
          <w:tcPr>
            <w:tcW w:w="246"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602" w:type="pct"/>
            <w:shd w:val="clear" w:color="auto" w:fill="auto"/>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指标设置不够全面</w:t>
            </w:r>
          </w:p>
        </w:tc>
        <w:tc>
          <w:tcPr>
            <w:tcW w:w="459" w:type="pct"/>
            <w:shd w:val="clear" w:color="auto" w:fill="auto"/>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指标设置不够全面</w:t>
            </w:r>
          </w:p>
        </w:tc>
        <w:tc>
          <w:tcPr>
            <w:tcW w:w="269"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0.17</w:t>
            </w:r>
          </w:p>
        </w:tc>
        <w:tc>
          <w:tcPr>
            <w:tcW w:w="360" w:type="pct"/>
            <w:shd w:val="clear" w:color="auto" w:fill="auto"/>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0.33</w:t>
            </w:r>
          </w:p>
        </w:tc>
        <w:tc>
          <w:tcPr>
            <w:tcW w:w="357"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w:t>
            </w:r>
            <w:r>
              <w:rPr>
                <w:rFonts w:hint="eastAsia" w:ascii="Times New Roman" w:hAnsi="Times New Roman" w:eastAsia="仿宋_GB2312" w:cs="Times New Roman"/>
                <w:kern w:val="0"/>
                <w:sz w:val="24"/>
                <w:szCs w:val="24"/>
              </w:rPr>
              <w:t>50</w:t>
            </w:r>
          </w:p>
        </w:tc>
        <w:tc>
          <w:tcPr>
            <w:tcW w:w="358" w:type="pct"/>
            <w:shd w:val="clear" w:color="auto" w:fill="auto"/>
            <w:noWrap/>
            <w:vAlign w:val="center"/>
          </w:tcPr>
          <w:p>
            <w:pPr>
              <w:widowControl/>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50.33</w:t>
            </w:r>
            <w:r>
              <w:rPr>
                <w:rFonts w:ascii="Times New Roman" w:hAnsi="Times New Roman" w:eastAsia="仿宋_GB2312" w:cs="Times New Roman"/>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57" w:type="pct"/>
            <w:vMerge w:val="continue"/>
            <w:vAlign w:val="center"/>
          </w:tcPr>
          <w:p>
            <w:pPr>
              <w:widowControl/>
              <w:jc w:val="center"/>
              <w:rPr>
                <w:rFonts w:ascii="Times New Roman" w:hAnsi="Times New Roman" w:eastAsia="仿宋_GB2312" w:cs="Times New Roman"/>
                <w:kern w:val="0"/>
                <w:sz w:val="24"/>
                <w:szCs w:val="24"/>
              </w:rPr>
            </w:pPr>
          </w:p>
        </w:tc>
        <w:tc>
          <w:tcPr>
            <w:tcW w:w="286" w:type="pct"/>
            <w:vMerge w:val="continue"/>
            <w:vAlign w:val="center"/>
          </w:tcPr>
          <w:p>
            <w:pPr>
              <w:widowControl/>
              <w:jc w:val="center"/>
              <w:rPr>
                <w:rFonts w:ascii="Times New Roman" w:hAnsi="Times New Roman" w:eastAsia="仿宋_GB2312" w:cs="Times New Roman"/>
                <w:kern w:val="0"/>
                <w:sz w:val="24"/>
                <w:szCs w:val="24"/>
              </w:rPr>
            </w:pPr>
          </w:p>
        </w:tc>
        <w:tc>
          <w:tcPr>
            <w:tcW w:w="1705" w:type="pct"/>
            <w:gridSpan w:val="3"/>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小计</w:t>
            </w:r>
          </w:p>
        </w:tc>
        <w:tc>
          <w:tcPr>
            <w:tcW w:w="246" w:type="pct"/>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20</w:t>
            </w:r>
          </w:p>
        </w:tc>
        <w:tc>
          <w:tcPr>
            <w:tcW w:w="602" w:type="pct"/>
            <w:shd w:val="clear" w:color="auto" w:fill="auto"/>
            <w:vAlign w:val="center"/>
          </w:tcPr>
          <w:p>
            <w:pPr>
              <w:widowControl/>
              <w:jc w:val="center"/>
              <w:rPr>
                <w:rFonts w:ascii="Times New Roman" w:hAnsi="Times New Roman" w:eastAsia="仿宋_GB2312" w:cs="Times New Roman"/>
                <w:b/>
                <w:bCs/>
                <w:kern w:val="0"/>
                <w:sz w:val="24"/>
                <w:szCs w:val="24"/>
              </w:rPr>
            </w:pPr>
          </w:p>
        </w:tc>
        <w:tc>
          <w:tcPr>
            <w:tcW w:w="459" w:type="pct"/>
            <w:shd w:val="clear" w:color="auto" w:fill="auto"/>
            <w:vAlign w:val="center"/>
          </w:tcPr>
          <w:p>
            <w:pPr>
              <w:widowControl/>
              <w:jc w:val="center"/>
              <w:rPr>
                <w:rFonts w:ascii="Times New Roman" w:hAnsi="Times New Roman" w:eastAsia="仿宋_GB2312" w:cs="Times New Roman"/>
                <w:kern w:val="0"/>
                <w:sz w:val="24"/>
                <w:szCs w:val="24"/>
              </w:rPr>
            </w:pPr>
          </w:p>
        </w:tc>
        <w:tc>
          <w:tcPr>
            <w:tcW w:w="269" w:type="pct"/>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8.67</w:t>
            </w:r>
          </w:p>
        </w:tc>
        <w:tc>
          <w:tcPr>
            <w:tcW w:w="360" w:type="pct"/>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9</w:t>
            </w:r>
            <w:r>
              <w:rPr>
                <w:rFonts w:hint="eastAsia" w:ascii="Times New Roman" w:hAnsi="Times New Roman" w:eastAsia="仿宋_GB2312" w:cs="Times New Roman"/>
                <w:b/>
                <w:bCs/>
                <w:kern w:val="0"/>
                <w:sz w:val="24"/>
                <w:szCs w:val="24"/>
              </w:rPr>
              <w:t>.58</w:t>
            </w:r>
          </w:p>
        </w:tc>
        <w:tc>
          <w:tcPr>
            <w:tcW w:w="357" w:type="pct"/>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1</w:t>
            </w:r>
            <w:r>
              <w:rPr>
                <w:rFonts w:hint="eastAsia" w:ascii="Times New Roman" w:hAnsi="Times New Roman" w:eastAsia="仿宋_GB2312" w:cs="Times New Roman"/>
                <w:b/>
                <w:bCs/>
                <w:kern w:val="0"/>
                <w:sz w:val="24"/>
                <w:szCs w:val="24"/>
              </w:rPr>
              <w:t>8.25</w:t>
            </w:r>
          </w:p>
        </w:tc>
        <w:tc>
          <w:tcPr>
            <w:tcW w:w="358" w:type="pct"/>
            <w:shd w:val="clear" w:color="auto" w:fill="auto"/>
            <w:noWrap/>
            <w:vAlign w:val="center"/>
          </w:tcPr>
          <w:p>
            <w:pPr>
              <w:widowControl/>
              <w:jc w:val="center"/>
              <w:rPr>
                <w:rFonts w:ascii="Times New Roman" w:hAnsi="Times New Roman" w:eastAsia="仿宋_GB2312" w:cs="Times New Roman"/>
                <w:b/>
                <w:bCs/>
                <w:kern w:val="0"/>
                <w:sz w:val="24"/>
                <w:szCs w:val="24"/>
              </w:rPr>
            </w:pPr>
            <w:r>
              <w:rPr>
                <w:rFonts w:hint="eastAsia" w:ascii="Times New Roman" w:hAnsi="Times New Roman" w:eastAsia="仿宋_GB2312" w:cs="Times New Roman"/>
                <w:b/>
                <w:bCs/>
                <w:kern w:val="0"/>
                <w:sz w:val="24"/>
                <w:szCs w:val="24"/>
              </w:rPr>
              <w:t>91.27</w:t>
            </w:r>
            <w:r>
              <w:rPr>
                <w:rFonts w:ascii="Times New Roman" w:hAnsi="Times New Roman" w:eastAsia="仿宋_GB2312" w:cs="Times New Roman"/>
                <w:b/>
                <w:bCs/>
                <w:kern w:val="0"/>
                <w:sz w:val="24"/>
                <w:szCs w:val="24"/>
              </w:rPr>
              <w:t>%</w:t>
            </w:r>
          </w:p>
        </w:tc>
      </w:tr>
    </w:tbl>
    <w:p>
      <w:pPr>
        <w:pStyle w:val="22"/>
        <w:ind w:firstLine="0" w:firstLineChars="0"/>
        <w:jc w:val="center"/>
        <w:rPr>
          <w:b/>
          <w:bCs w:val="0"/>
          <w:sz w:val="28"/>
          <w:szCs w:val="24"/>
        </w:rPr>
      </w:pPr>
    </w:p>
    <w:p>
      <w:pPr>
        <w:pStyle w:val="22"/>
        <w:ind w:firstLine="643"/>
      </w:pPr>
      <w:r>
        <w:rPr>
          <w:rFonts w:hint="eastAsia"/>
          <w:b/>
          <w:bCs w:val="0"/>
        </w:rPr>
        <w:t>A11 立项依据充分性：</w:t>
      </w:r>
      <w:r>
        <w:rPr>
          <w:rFonts w:hint="eastAsia"/>
        </w:rPr>
        <w:t>①水环境质量与居民日常生产生活息息相关，污水收集处理及资源化利用设施是城镇环境基础设施的核心组成，为改善城镇人居环境，</w:t>
      </w:r>
      <w:r>
        <w:t>《“十四五”城镇污水处理及资源化利用发展规划》中提出</w:t>
      </w:r>
      <w:r>
        <w:rPr>
          <w:rFonts w:hint="eastAsia"/>
        </w:rPr>
        <w:t>了</w:t>
      </w:r>
      <w:r>
        <w:t xml:space="preserve"> “</w:t>
      </w:r>
      <w:r>
        <w:rPr>
          <w:rFonts w:hint="eastAsia"/>
        </w:rPr>
        <w:t>到 2025 年，基本消除城市建成区生活污水直排口和收集处理设施空白区，全国城市生活污水集中收集率力争达到 70%以上；城市和县城污水处理能力基本满足经济社会发展需要，县城污水处理率达到 95%以上</w:t>
      </w:r>
      <w:r>
        <w:t>”</w:t>
      </w:r>
      <w:r>
        <w:rPr>
          <w:rFonts w:hint="eastAsia"/>
        </w:rPr>
        <w:t>的发展目标；为推进上海市水系统治理，</w:t>
      </w:r>
      <w:r>
        <w:t>《上海市水系统治理“十四五”规划》</w:t>
      </w:r>
      <w:r>
        <w:rPr>
          <w:rFonts w:hint="eastAsia"/>
        </w:rPr>
        <w:t>中同样明确了到“十四五”末“城镇污水处理率达到99%”的发展目标，</w:t>
      </w:r>
      <w:r>
        <w:t>污水管网完善工程</w:t>
      </w:r>
      <w:r>
        <w:rPr>
          <w:rFonts w:hint="eastAsia"/>
        </w:rPr>
        <w:t>项目立项符合上级政策文件和行业发展规划。②为持续改善水环境质量，《崇明区水务“十四五”规划》（沪崇府办发〔2021〕21号）中提出了“完成10个撤制乡镇（农场）实现污水管网收集系统盲区全覆盖”“持续优化结构布局，全区城镇污水处理率至2025年达到99％，城镇污水处理厂出水水质不低于国家一级A排放标准”等主要任务，且</w:t>
      </w:r>
      <w:r>
        <w:t>上海市第四生态环境保护督察组来崇督察</w:t>
      </w:r>
      <w:r>
        <w:rPr>
          <w:rFonts w:hint="eastAsia"/>
        </w:rPr>
        <w:t>时</w:t>
      </w:r>
      <w:r>
        <w:t>提出</w:t>
      </w:r>
      <w:r>
        <w:rPr>
          <w:rFonts w:hint="eastAsia"/>
        </w:rPr>
        <w:t>了</w:t>
      </w:r>
      <w:r>
        <w:t>撤制乡镇集镇区域污水直排河道影响环境的问题，</w:t>
      </w:r>
      <w:r>
        <w:rPr>
          <w:rFonts w:hint="eastAsia"/>
        </w:rPr>
        <w:t>明确了</w:t>
      </w:r>
      <w:r>
        <w:t>需在2021年完成撤制乡镇污水收集处理建设任务</w:t>
      </w:r>
      <w:r>
        <w:rPr>
          <w:rFonts w:hint="eastAsia"/>
        </w:rPr>
        <w:t>，因此</w:t>
      </w:r>
      <w:r>
        <w:t>亟需完善撤制乡镇污水管网，</w:t>
      </w:r>
      <w:r>
        <w:rPr>
          <w:rFonts w:hint="eastAsia"/>
        </w:rPr>
        <w:t>项目立项符合上海市和崇明区污水管网完善的行业发展规划和政策要求。③根据公开信息，区水务局的职能职责包括“负责本区城镇排水设施与污水、污泥处理设施建设、运行、维护和调度的监管”，镇政府职能职责包括“加强公用、市政、水利设施建设和管理”，堡镇、新河镇人民政府按照职能职责立项实施污水管网完善工程项目，项目具体由堡镇水务所、新河镇规划办负责实施，项目立项与崇明区水务局、堡镇人民政府、新河镇人民政府的职责范围相符。④根据财政部公开信息，2022年专项债券重点用于交通基础设施、能源、农林水利、生态环保、社会事业、城乡冷链等物流基础设施、市政和产业园区基础设施、国家重大战略项目、保障性安居工程等9大领域，根据2022年第二批专项债券实施方案，本项目属于生态环保领域，属于专项债券资金支持领域和方向。⑤堡镇和新河镇的污水管网完善工程项目为新增一次性项目，实施范围覆盖两镇的撤制镇区，相关部门无其他同类项目。综上，堡镇、新河镇项目立项依据均充分。根据评分标准，该指标满分3分，得100%权重分，实际得分3分。</w:t>
      </w:r>
    </w:p>
    <w:p>
      <w:pPr>
        <w:pStyle w:val="22"/>
        <w:ind w:firstLine="643"/>
      </w:pPr>
      <w:r>
        <w:rPr>
          <w:rFonts w:hint="eastAsia"/>
          <w:b/>
          <w:bCs w:val="0"/>
        </w:rPr>
        <w:t>A12 立项程序规范性：</w:t>
      </w:r>
      <w:r>
        <w:rPr>
          <w:rFonts w:hint="eastAsia"/>
        </w:rPr>
        <w:t>①项目立项前期，堡镇和新河镇按照实际需求分别形成了《关于崇明区堡镇污水管网完善工程可行性研究报告（兼项目建议书）的请示》（沪崇堡府〔2021〕26 号文）、《关于崇明区新河镇污水管网完善工程可行性研究报告（兼项目建议书）的请示》（沪崇河府〔2021〕29 号）上报区发改委审批。②两镇可研报告中包含了工程设计方案、工程量及投资估算、工程实施方案等内容，明确了项目工程量及所需费用，内容基本符合要求，且区发改委基于两镇的可研报告分别下达了批复，明确了项目建设内容、投资估算等，建管委下达批复中进一步明确了建设内容及投资概算等。③项目实施前期，堡镇和新河镇委托第三方单位完成了线路规划、方案设计、工程勘测、开工许可办理等前期工作。综上，堡镇、新河镇项目立项程序较为规范。根据评分标准，该指标满分2分，得100%权重分，实际得分2分。</w:t>
      </w:r>
    </w:p>
    <w:p>
      <w:pPr>
        <w:pStyle w:val="22"/>
        <w:ind w:firstLine="643"/>
        <w:rPr>
          <w:b/>
          <w:bCs w:val="0"/>
        </w:rPr>
      </w:pPr>
      <w:r>
        <w:rPr>
          <w:rFonts w:hint="eastAsia"/>
          <w:b/>
          <w:bCs w:val="0"/>
        </w:rPr>
        <w:t>A21前期工作准备充分性：</w:t>
      </w:r>
      <w:r>
        <w:rPr>
          <w:rFonts w:hint="eastAsia"/>
        </w:rPr>
        <w:t>①堡镇项目在2021年6月取得可研批复、7月取得初设批复、2021年9月30日签订施工合同，新河镇项目在2021年6月取得可研批复、8月取得初设批复、2021年10月8日签订施工合同，经梳理项目单位与各第三方单位签订的合同，堡镇和新河镇污水管网完善工程项目实施涉及到的工可报告编制、初设报告编制、工程勘测等前期工作均在施工合同签订前完成，施工合同签订后两镇根据实际情况完成了施工许可办理，但堡镇选线规划工作于2021年12月底开展，晚于开工令取得时间2021年11月8日，未做好项目整体工作排布，影响建设进度。②两镇项目的可研报告、初步设计方案中均结合建设实际明确了工作量后上报区发改委、区建管委审批，项目批复后，堡镇和新河镇根据批复内容编制了招标需求，细化了工程量清单。综上，堡镇项目的前期工作准备不够充分，新河镇项目前期工作准备较为充分。根据评分标准，该指标满分3分，得75%权重分，实际得分2.25分。</w:t>
      </w:r>
    </w:p>
    <w:p>
      <w:pPr>
        <w:pStyle w:val="22"/>
        <w:ind w:firstLine="643"/>
      </w:pPr>
      <w:r>
        <w:rPr>
          <w:rFonts w:hint="eastAsia"/>
          <w:b/>
          <w:bCs w:val="0"/>
        </w:rPr>
        <w:t>A22 前期工作开展规范性：</w:t>
      </w:r>
      <w:r>
        <w:rPr>
          <w:rFonts w:hint="eastAsia"/>
        </w:rPr>
        <w:t>经梳理，两镇项目批复的前期工作主要包括可行性研究、工程勘测、设计和物探，项目开工前，镇级相关部门会同第三方单位办理并取得了建筑工程施工许可证，在召开设计交底会议后监理单位对开工条件进行了审查，审查两镇具备开工条件后分别发布了《工程开工令》，项目开始实施。综上，两镇前期工作的开展较为规范。根据评分标准，该指标满分2分，得100%权重分，实际得分2分。</w:t>
      </w:r>
    </w:p>
    <w:p>
      <w:pPr>
        <w:pStyle w:val="22"/>
        <w:ind w:firstLine="643"/>
      </w:pPr>
      <w:r>
        <w:rPr>
          <w:rFonts w:hint="eastAsia"/>
          <w:b/>
          <w:bCs w:val="0"/>
        </w:rPr>
        <w:t>A31 预算编制科学性：</w:t>
      </w:r>
      <w:r>
        <w:rPr>
          <w:rFonts w:hint="eastAsia"/>
        </w:rPr>
        <w:t>堡镇、新河镇污水管网完善工程项目立项实施前期，两镇分别委托第三方单位依据选线规划及行业规范测算了工程量及所需费用，明确了各项建设内容对应的单价、数量后形成了可研报告、初步设计报告分别上报区发改委、区建管委审批；经审核后两部门下达了可研批复和初设批复，明确了投资估算金额、概算金额及管道敷设、检查井、泵站建设等内容对应的工程量，两镇依据批复金额及批复建设内容开展招标，因此，项目资金经过论证，测算依据较为充分，资金内容与项目内容相匹配。市级补助资金主要是在项目建设完成提交相关材料后，由市发改委审定工程量的基础上核定；区级专项债券资金是在结合《崇明世界级生态岛建设第五轮三年行动计划（2022-2024年）》（沪崇生态办〔2022〕1号）、项目批复资金来源等规定的基础上，经由崇明区相关部门审议后确定融资规模，市级补助资金额度与专项债券额度均按照项目实际测算。综上，堡镇、新河镇项目预算编制较为科学。根据评分标准，该指标满分3分，得100%权重分，实际得分3分。</w:t>
      </w:r>
    </w:p>
    <w:p>
      <w:pPr>
        <w:pStyle w:val="22"/>
        <w:ind w:firstLine="643"/>
      </w:pPr>
      <w:r>
        <w:rPr>
          <w:rFonts w:hint="eastAsia"/>
          <w:b/>
          <w:bCs w:val="0"/>
        </w:rPr>
        <w:t>A41项目与专项债券支持领域及方案匹配性：</w:t>
      </w:r>
      <w:bookmarkStart w:id="155" w:name="_Hlk169197981"/>
      <w:r>
        <w:rPr>
          <w:rFonts w:hint="eastAsia"/>
        </w:rPr>
        <w:t>堡镇和新河镇的污水管网完善工程项目涉及到区级专项债券，根据专项债券实施方案及项目实施内容，其属于生态环保领域的项目，符合财政部明确的“2022年专项债券重点用于交通基础设施、能源、农林水利、生态环保、社会事业、城乡冷链等物流基础设施、市政和产业园区基础设施、国家重大战略项目、保障性安居工程等9大领域”的规定，即项目所属领域和方向属于国家规定的专项债券支持领域和方向。</w:t>
      </w:r>
      <w:bookmarkEnd w:id="155"/>
      <w:r>
        <w:rPr>
          <w:rFonts w:hint="eastAsia"/>
        </w:rPr>
        <w:t>根据评分标准，该指标满分3分，得100%权重分，实际得分3分。</w:t>
      </w:r>
    </w:p>
    <w:p>
      <w:pPr>
        <w:pStyle w:val="22"/>
        <w:ind w:firstLine="643"/>
      </w:pPr>
      <w:r>
        <w:rPr>
          <w:rFonts w:hint="eastAsia"/>
          <w:b/>
          <w:bCs w:val="0"/>
        </w:rPr>
        <w:t>A42项目申请专项债券额度与实际需要匹配性：</w:t>
      </w:r>
      <w:r>
        <w:rPr>
          <w:rFonts w:hint="eastAsia"/>
        </w:rPr>
        <w:t>堡镇、新河镇污水管网完善工程项目的建设是上海市雨污混接综合整治攻坚战的重要组成部分，项目实施后能够改善污水及雨水收集系统的运行状况，完善城市雨、污水排水系统，是改善项目区水环境质量的有效措施。崇明区相关部门结合项目实施内容、可研批复、资金使用计划等确定两镇工程建设费用除财政预算安排部分外，剩余申请专项债券资金解决，其中堡镇项目的债券融资计划规模为1000万元、新河镇为2600万元，根据实施方案，依照项目计划和施工进度，申请的债券资金需求符合项目建设进程。根据评分标准，该指标满分2分，得100%权重分，实际得分2分。</w:t>
      </w:r>
    </w:p>
    <w:p>
      <w:pPr>
        <w:pStyle w:val="22"/>
        <w:ind w:firstLine="643"/>
      </w:pPr>
      <w:r>
        <w:rPr>
          <w:rFonts w:hint="eastAsia"/>
          <w:b/>
          <w:bCs w:val="0"/>
        </w:rPr>
        <w:t>A51 绩效目标合理性：</w:t>
      </w:r>
      <w:r>
        <w:rPr>
          <w:rFonts w:hint="eastAsia"/>
        </w:rPr>
        <w:t>污水管网完善工程项目的预算单位为堡镇人民政府和新河镇人民政府，两镇按照要求填报了绩效目标表，明确了项目绩效目标，但新河镇未提供绩效目标申报表。堡镇填报的《财政支出绩效目标申报表》中，项目总目标和年度目标均为“为减少雨污混接对水环境的影响，改善水环境质量，满足群众排水需求，提高该区域的污水收集处理能力”；新河镇编制的《政府投资项目绩效目标申报表》中的总目标为“通过本工程的实施，完善老镇区内污水管网的布局，实现新河老镇区污水管网全覆盖”。项目预期产出和效果符合正常业绩水平，但绩效目标与实际工作内容和预算资金额匹配度较低，未体现项目建设内容。根据评分标准，该指标满分1分，得50%权重分，实际得分0.5分。</w:t>
      </w:r>
    </w:p>
    <w:p>
      <w:pPr>
        <w:pStyle w:val="22"/>
        <w:ind w:firstLine="643"/>
      </w:pPr>
      <w:r>
        <w:rPr>
          <w:rFonts w:hint="eastAsia"/>
          <w:b/>
          <w:bCs w:val="0"/>
        </w:rPr>
        <w:t>A52 绩效指标明确性：</w:t>
      </w:r>
      <w:r>
        <w:rPr>
          <w:rFonts w:hint="eastAsia"/>
        </w:rPr>
        <w:t>堡镇和新河镇分别将项目绩效目标分解为了产出指标、效益指标和满意度指标，产出指标细化为了数量指标、质量指标、时效指标和成本指标，数量指标“新建管道长度”、“检查井数量”、“新建泵站”的目标值按照批复建设内容进行了量化，但堡镇指标设置不够全面，缺少对于截流井、化粪池、道路修复等建设内容的考核指标；效益指标中，堡镇仅设置了“提高区域污水处理能力”、“改善区域水环境”两个指标，新河镇设置了“提升区域经济效应”、“优化城市环境面貌”、“优化生态人居”三个指标，项目预期效益无法有效体现。根据评分标准，该指标满分1分，得50 %权重分，实际得分0.5分。</w:t>
      </w:r>
    </w:p>
    <w:p>
      <w:pPr>
        <w:pStyle w:val="24"/>
        <w:ind w:firstLine="643"/>
      </w:pPr>
      <w:bookmarkStart w:id="156" w:name="_Toc169439212"/>
      <w:bookmarkStart w:id="157" w:name="_Toc169390976"/>
      <w:bookmarkStart w:id="158" w:name="_Toc171093947"/>
      <w:r>
        <w:rPr>
          <w:rFonts w:hint="eastAsia"/>
        </w:rPr>
        <w:t>2.过程类指标</w:t>
      </w:r>
      <w:bookmarkEnd w:id="156"/>
      <w:bookmarkEnd w:id="157"/>
      <w:bookmarkEnd w:id="158"/>
    </w:p>
    <w:p>
      <w:pPr>
        <w:pStyle w:val="22"/>
      </w:pPr>
      <w:r>
        <w:rPr>
          <w:rFonts w:hint="eastAsia"/>
        </w:rPr>
        <w:t>项目过程类指标由3个二级指标和14个三级指标构成，权重分20分，实际得分13.95分，得分率为69.75%。其中：堡镇项目权重分10分，实际得分6.98</w:t>
      </w:r>
      <w:r>
        <w:t>分，</w:t>
      </w:r>
      <w:r>
        <w:rPr>
          <w:rFonts w:hint="eastAsia"/>
        </w:rPr>
        <w:t>得分率为</w:t>
      </w:r>
      <w:r>
        <w:t>6</w:t>
      </w:r>
      <w:r>
        <w:rPr>
          <w:rFonts w:hint="eastAsia"/>
        </w:rPr>
        <w:t>9.80</w:t>
      </w:r>
      <w:r>
        <w:t>%</w:t>
      </w:r>
      <w:r>
        <w:rPr>
          <w:rFonts w:hint="eastAsia"/>
        </w:rPr>
        <w:t>；新河镇项目权重分10分，实际得分6.98</w:t>
      </w:r>
      <w:r>
        <w:t>分，</w:t>
      </w:r>
      <w:r>
        <w:rPr>
          <w:rFonts w:hint="eastAsia"/>
        </w:rPr>
        <w:t>得分率为</w:t>
      </w:r>
      <w:r>
        <w:t>6</w:t>
      </w:r>
      <w:r>
        <w:rPr>
          <w:rFonts w:hint="eastAsia"/>
        </w:rPr>
        <w:t>9.80</w:t>
      </w:r>
      <w:r>
        <w:t>%</w:t>
      </w:r>
      <w:r>
        <w:rPr>
          <w:rFonts w:hint="eastAsia"/>
        </w:rPr>
        <w:t>。具体指标得分情况见下表：</w:t>
      </w:r>
    </w:p>
    <w:p>
      <w:pPr>
        <w:pStyle w:val="22"/>
        <w:ind w:firstLine="0" w:firstLineChars="0"/>
        <w:jc w:val="center"/>
        <w:rPr>
          <w:b/>
          <w:bCs w:val="0"/>
          <w:sz w:val="28"/>
          <w:szCs w:val="24"/>
        </w:rPr>
      </w:pPr>
      <w:r>
        <w:rPr>
          <w:b/>
          <w:bCs w:val="0"/>
          <w:sz w:val="28"/>
          <w:szCs w:val="24"/>
        </w:rPr>
        <w:t>表3-</w:t>
      </w:r>
      <w:r>
        <w:rPr>
          <w:rFonts w:hint="eastAsia"/>
          <w:b/>
          <w:bCs w:val="0"/>
          <w:sz w:val="28"/>
          <w:szCs w:val="24"/>
        </w:rPr>
        <w:t>3</w:t>
      </w:r>
      <w:r>
        <w:rPr>
          <w:b/>
          <w:bCs w:val="0"/>
          <w:sz w:val="28"/>
          <w:szCs w:val="24"/>
        </w:rPr>
        <w:t>：</w:t>
      </w:r>
      <w:r>
        <w:rPr>
          <w:rFonts w:hint="eastAsia"/>
          <w:b/>
          <w:bCs w:val="0"/>
          <w:sz w:val="28"/>
          <w:szCs w:val="24"/>
        </w:rPr>
        <w:t>过程</w:t>
      </w:r>
      <w:r>
        <w:rPr>
          <w:b/>
          <w:bCs w:val="0"/>
          <w:sz w:val="28"/>
          <w:szCs w:val="24"/>
        </w:rPr>
        <w:t>类指标得分情况表</w:t>
      </w:r>
    </w:p>
    <w:tbl>
      <w:tblPr>
        <w:tblStyle w:val="12"/>
        <w:tblW w:w="5398" w:type="pct"/>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485"/>
        <w:gridCol w:w="700"/>
        <w:gridCol w:w="1354"/>
        <w:gridCol w:w="914"/>
        <w:gridCol w:w="567"/>
        <w:gridCol w:w="1135"/>
        <w:gridCol w:w="1135"/>
        <w:gridCol w:w="708"/>
        <w:gridCol w:w="710"/>
        <w:gridCol w:w="565"/>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trPr>
        <w:tc>
          <w:tcPr>
            <w:tcW w:w="409" w:type="pct"/>
            <w:vMerge w:val="restart"/>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一级指标</w:t>
            </w:r>
          </w:p>
        </w:tc>
        <w:tc>
          <w:tcPr>
            <w:tcW w:w="248" w:type="pct"/>
            <w:vMerge w:val="restart"/>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权重</w:t>
            </w:r>
          </w:p>
        </w:tc>
        <w:tc>
          <w:tcPr>
            <w:tcW w:w="358" w:type="pct"/>
            <w:vMerge w:val="restart"/>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二级指标</w:t>
            </w:r>
          </w:p>
        </w:tc>
        <w:tc>
          <w:tcPr>
            <w:tcW w:w="692" w:type="pct"/>
            <w:vMerge w:val="restart"/>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三级指标</w:t>
            </w:r>
          </w:p>
        </w:tc>
        <w:tc>
          <w:tcPr>
            <w:tcW w:w="467" w:type="pct"/>
            <w:vMerge w:val="restart"/>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标杆值</w:t>
            </w:r>
          </w:p>
        </w:tc>
        <w:tc>
          <w:tcPr>
            <w:tcW w:w="290" w:type="pct"/>
            <w:vMerge w:val="restart"/>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分值</w:t>
            </w:r>
          </w:p>
        </w:tc>
        <w:tc>
          <w:tcPr>
            <w:tcW w:w="1160" w:type="pct"/>
            <w:gridSpan w:val="2"/>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业绩值</w:t>
            </w:r>
          </w:p>
        </w:tc>
        <w:tc>
          <w:tcPr>
            <w:tcW w:w="725" w:type="pct"/>
            <w:gridSpan w:val="2"/>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得分</w:t>
            </w:r>
          </w:p>
        </w:tc>
        <w:tc>
          <w:tcPr>
            <w:tcW w:w="289" w:type="pct"/>
            <w:vMerge w:val="restart"/>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总得分</w:t>
            </w:r>
          </w:p>
        </w:tc>
        <w:tc>
          <w:tcPr>
            <w:tcW w:w="362" w:type="pct"/>
            <w:vMerge w:val="restart"/>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trPr>
        <w:tc>
          <w:tcPr>
            <w:tcW w:w="409"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248"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358"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692"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467"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290"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580" w:type="pct"/>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堡镇</w:t>
            </w:r>
          </w:p>
        </w:tc>
        <w:tc>
          <w:tcPr>
            <w:tcW w:w="580" w:type="pct"/>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新河镇</w:t>
            </w:r>
          </w:p>
        </w:tc>
        <w:tc>
          <w:tcPr>
            <w:tcW w:w="362" w:type="pct"/>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堡镇</w:t>
            </w:r>
          </w:p>
        </w:tc>
        <w:tc>
          <w:tcPr>
            <w:tcW w:w="363" w:type="pct"/>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新河镇</w:t>
            </w:r>
          </w:p>
        </w:tc>
        <w:tc>
          <w:tcPr>
            <w:tcW w:w="289" w:type="pct"/>
            <w:vMerge w:val="continue"/>
            <w:vAlign w:val="center"/>
          </w:tcPr>
          <w:p>
            <w:pPr>
              <w:widowControl/>
              <w:snapToGrid w:val="0"/>
              <w:jc w:val="left"/>
              <w:rPr>
                <w:rFonts w:ascii="Times New Roman" w:hAnsi="Times New Roman" w:eastAsia="仿宋_GB2312" w:cs="Times New Roman"/>
                <w:b/>
                <w:bCs/>
                <w:kern w:val="0"/>
                <w:sz w:val="24"/>
                <w:szCs w:val="24"/>
              </w:rPr>
            </w:pPr>
          </w:p>
        </w:tc>
        <w:tc>
          <w:tcPr>
            <w:tcW w:w="362" w:type="pct"/>
            <w:vMerge w:val="continue"/>
            <w:vAlign w:val="center"/>
          </w:tcPr>
          <w:p>
            <w:pPr>
              <w:widowControl/>
              <w:snapToGrid w:val="0"/>
              <w:jc w:val="left"/>
              <w:rPr>
                <w:rFonts w:ascii="Times New Roman" w:hAnsi="Times New Roman" w:eastAsia="仿宋_GB2312" w:cs="Times New Roman"/>
                <w:b/>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9" w:type="pct"/>
            <w:vMerge w:val="restar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B过程</w:t>
            </w:r>
          </w:p>
        </w:tc>
        <w:tc>
          <w:tcPr>
            <w:tcW w:w="248" w:type="pct"/>
            <w:vMerge w:val="restar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20%</w:t>
            </w:r>
          </w:p>
        </w:tc>
        <w:tc>
          <w:tcPr>
            <w:tcW w:w="358" w:type="pct"/>
            <w:vMerge w:val="restar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B1 专项债券管理</w:t>
            </w:r>
          </w:p>
        </w:tc>
        <w:tc>
          <w:tcPr>
            <w:tcW w:w="692"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B11专项债券预算管理规范性</w:t>
            </w:r>
          </w:p>
        </w:tc>
        <w:tc>
          <w:tcPr>
            <w:tcW w:w="467"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规范</w:t>
            </w:r>
          </w:p>
        </w:tc>
        <w:tc>
          <w:tcPr>
            <w:tcW w:w="29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58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规范</w:t>
            </w:r>
          </w:p>
        </w:tc>
        <w:tc>
          <w:tcPr>
            <w:tcW w:w="58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规范</w:t>
            </w:r>
          </w:p>
        </w:tc>
        <w:tc>
          <w:tcPr>
            <w:tcW w:w="362"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0.50 </w:t>
            </w:r>
          </w:p>
        </w:tc>
        <w:tc>
          <w:tcPr>
            <w:tcW w:w="36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0.50 </w:t>
            </w:r>
          </w:p>
        </w:tc>
        <w:tc>
          <w:tcPr>
            <w:tcW w:w="289"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1.00 </w:t>
            </w:r>
          </w:p>
        </w:tc>
        <w:tc>
          <w:tcPr>
            <w:tcW w:w="362"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9" w:type="pct"/>
            <w:vMerge w:val="continue"/>
            <w:vAlign w:val="center"/>
          </w:tcPr>
          <w:p>
            <w:pPr>
              <w:widowControl/>
              <w:snapToGrid w:val="0"/>
              <w:jc w:val="left"/>
              <w:rPr>
                <w:rFonts w:ascii="Times New Roman" w:hAnsi="Times New Roman" w:eastAsia="仿宋_GB2312" w:cs="Times New Roman"/>
                <w:kern w:val="0"/>
                <w:sz w:val="24"/>
                <w:szCs w:val="24"/>
              </w:rPr>
            </w:pPr>
          </w:p>
        </w:tc>
        <w:tc>
          <w:tcPr>
            <w:tcW w:w="248" w:type="pct"/>
            <w:vMerge w:val="continue"/>
            <w:vAlign w:val="center"/>
          </w:tcPr>
          <w:p>
            <w:pPr>
              <w:widowControl/>
              <w:snapToGrid w:val="0"/>
              <w:jc w:val="left"/>
              <w:rPr>
                <w:rFonts w:ascii="Times New Roman" w:hAnsi="Times New Roman" w:eastAsia="仿宋_GB2312" w:cs="Times New Roman"/>
                <w:kern w:val="0"/>
                <w:sz w:val="24"/>
                <w:szCs w:val="24"/>
              </w:rPr>
            </w:pPr>
          </w:p>
        </w:tc>
        <w:tc>
          <w:tcPr>
            <w:tcW w:w="358" w:type="pct"/>
            <w:vMerge w:val="continue"/>
            <w:vAlign w:val="center"/>
          </w:tcPr>
          <w:p>
            <w:pPr>
              <w:widowControl/>
              <w:snapToGrid w:val="0"/>
              <w:jc w:val="left"/>
              <w:rPr>
                <w:rFonts w:ascii="Times New Roman" w:hAnsi="Times New Roman" w:eastAsia="仿宋_GB2312" w:cs="Times New Roman"/>
                <w:kern w:val="0"/>
                <w:sz w:val="24"/>
                <w:szCs w:val="24"/>
              </w:rPr>
            </w:pPr>
          </w:p>
        </w:tc>
        <w:tc>
          <w:tcPr>
            <w:tcW w:w="692"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B12专项债券本息偿还计划执行情况</w:t>
            </w:r>
          </w:p>
        </w:tc>
        <w:tc>
          <w:tcPr>
            <w:tcW w:w="467"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与计划一致</w:t>
            </w:r>
          </w:p>
        </w:tc>
        <w:tc>
          <w:tcPr>
            <w:tcW w:w="29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0.5</w:t>
            </w:r>
          </w:p>
        </w:tc>
        <w:tc>
          <w:tcPr>
            <w:tcW w:w="58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与计划一致，付息29万元，债券尚未到期，暂不涉及还本</w:t>
            </w:r>
          </w:p>
        </w:tc>
        <w:tc>
          <w:tcPr>
            <w:tcW w:w="58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与计划一致，付息75.4万元，债券尚未到期，暂不涉及还本</w:t>
            </w:r>
          </w:p>
        </w:tc>
        <w:tc>
          <w:tcPr>
            <w:tcW w:w="362"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0.25 </w:t>
            </w:r>
          </w:p>
        </w:tc>
        <w:tc>
          <w:tcPr>
            <w:tcW w:w="36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0.25 </w:t>
            </w:r>
          </w:p>
        </w:tc>
        <w:tc>
          <w:tcPr>
            <w:tcW w:w="289"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0.50 </w:t>
            </w:r>
          </w:p>
        </w:tc>
        <w:tc>
          <w:tcPr>
            <w:tcW w:w="362"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9" w:type="pct"/>
            <w:vMerge w:val="continue"/>
            <w:vAlign w:val="center"/>
          </w:tcPr>
          <w:p>
            <w:pPr>
              <w:widowControl/>
              <w:snapToGrid w:val="0"/>
              <w:jc w:val="left"/>
              <w:rPr>
                <w:rFonts w:ascii="Times New Roman" w:hAnsi="Times New Roman" w:eastAsia="仿宋_GB2312" w:cs="Times New Roman"/>
                <w:kern w:val="0"/>
                <w:sz w:val="24"/>
                <w:szCs w:val="24"/>
              </w:rPr>
            </w:pPr>
          </w:p>
        </w:tc>
        <w:tc>
          <w:tcPr>
            <w:tcW w:w="248" w:type="pct"/>
            <w:vMerge w:val="continue"/>
            <w:vAlign w:val="center"/>
          </w:tcPr>
          <w:p>
            <w:pPr>
              <w:widowControl/>
              <w:snapToGrid w:val="0"/>
              <w:jc w:val="left"/>
              <w:rPr>
                <w:rFonts w:ascii="Times New Roman" w:hAnsi="Times New Roman" w:eastAsia="仿宋_GB2312" w:cs="Times New Roman"/>
                <w:kern w:val="0"/>
                <w:sz w:val="24"/>
                <w:szCs w:val="24"/>
              </w:rPr>
            </w:pPr>
          </w:p>
        </w:tc>
        <w:tc>
          <w:tcPr>
            <w:tcW w:w="358" w:type="pct"/>
            <w:vMerge w:val="continue"/>
            <w:vAlign w:val="center"/>
          </w:tcPr>
          <w:p>
            <w:pPr>
              <w:widowControl/>
              <w:snapToGrid w:val="0"/>
              <w:jc w:val="left"/>
              <w:rPr>
                <w:rFonts w:ascii="Times New Roman" w:hAnsi="Times New Roman" w:eastAsia="仿宋_GB2312" w:cs="Times New Roman"/>
                <w:kern w:val="0"/>
                <w:sz w:val="24"/>
                <w:szCs w:val="24"/>
              </w:rPr>
            </w:pPr>
          </w:p>
        </w:tc>
        <w:tc>
          <w:tcPr>
            <w:tcW w:w="692"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B13项目收入、成本及预期收益合理性</w:t>
            </w:r>
          </w:p>
        </w:tc>
        <w:tc>
          <w:tcPr>
            <w:tcW w:w="467"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合理</w:t>
            </w:r>
          </w:p>
        </w:tc>
        <w:tc>
          <w:tcPr>
            <w:tcW w:w="29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0.5</w:t>
            </w:r>
          </w:p>
        </w:tc>
        <w:tc>
          <w:tcPr>
            <w:tcW w:w="58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合理</w:t>
            </w:r>
          </w:p>
        </w:tc>
        <w:tc>
          <w:tcPr>
            <w:tcW w:w="58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合理</w:t>
            </w:r>
          </w:p>
        </w:tc>
        <w:tc>
          <w:tcPr>
            <w:tcW w:w="362"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0.25 </w:t>
            </w:r>
          </w:p>
        </w:tc>
        <w:tc>
          <w:tcPr>
            <w:tcW w:w="36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0.25 </w:t>
            </w:r>
          </w:p>
        </w:tc>
        <w:tc>
          <w:tcPr>
            <w:tcW w:w="289"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0.50 </w:t>
            </w:r>
          </w:p>
        </w:tc>
        <w:tc>
          <w:tcPr>
            <w:tcW w:w="362"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9" w:type="pct"/>
            <w:vMerge w:val="continue"/>
            <w:vAlign w:val="center"/>
          </w:tcPr>
          <w:p>
            <w:pPr>
              <w:widowControl/>
              <w:snapToGrid w:val="0"/>
              <w:jc w:val="left"/>
              <w:rPr>
                <w:rFonts w:ascii="Times New Roman" w:hAnsi="Times New Roman" w:eastAsia="仿宋_GB2312" w:cs="Times New Roman"/>
                <w:kern w:val="0"/>
                <w:sz w:val="24"/>
                <w:szCs w:val="24"/>
              </w:rPr>
            </w:pPr>
          </w:p>
        </w:tc>
        <w:tc>
          <w:tcPr>
            <w:tcW w:w="248" w:type="pct"/>
            <w:vMerge w:val="continue"/>
            <w:vAlign w:val="center"/>
          </w:tcPr>
          <w:p>
            <w:pPr>
              <w:widowControl/>
              <w:snapToGrid w:val="0"/>
              <w:jc w:val="left"/>
              <w:rPr>
                <w:rFonts w:ascii="Times New Roman" w:hAnsi="Times New Roman" w:eastAsia="仿宋_GB2312" w:cs="Times New Roman"/>
                <w:kern w:val="0"/>
                <w:sz w:val="24"/>
                <w:szCs w:val="24"/>
              </w:rPr>
            </w:pPr>
          </w:p>
        </w:tc>
        <w:tc>
          <w:tcPr>
            <w:tcW w:w="358" w:type="pct"/>
            <w:vMerge w:val="continue"/>
            <w:vAlign w:val="center"/>
          </w:tcPr>
          <w:p>
            <w:pPr>
              <w:widowControl/>
              <w:snapToGrid w:val="0"/>
              <w:jc w:val="left"/>
              <w:rPr>
                <w:rFonts w:ascii="Times New Roman" w:hAnsi="Times New Roman" w:eastAsia="仿宋_GB2312" w:cs="Times New Roman"/>
                <w:kern w:val="0"/>
                <w:sz w:val="24"/>
                <w:szCs w:val="24"/>
              </w:rPr>
            </w:pPr>
          </w:p>
        </w:tc>
        <w:tc>
          <w:tcPr>
            <w:tcW w:w="692"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B14专项债券期限结构合理性</w:t>
            </w:r>
          </w:p>
        </w:tc>
        <w:tc>
          <w:tcPr>
            <w:tcW w:w="467"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结构合理</w:t>
            </w:r>
          </w:p>
        </w:tc>
        <w:tc>
          <w:tcPr>
            <w:tcW w:w="29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58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结构合理</w:t>
            </w:r>
          </w:p>
        </w:tc>
        <w:tc>
          <w:tcPr>
            <w:tcW w:w="58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结构合理</w:t>
            </w:r>
          </w:p>
        </w:tc>
        <w:tc>
          <w:tcPr>
            <w:tcW w:w="362"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0.50 </w:t>
            </w:r>
          </w:p>
        </w:tc>
        <w:tc>
          <w:tcPr>
            <w:tcW w:w="36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0.50 </w:t>
            </w:r>
          </w:p>
        </w:tc>
        <w:tc>
          <w:tcPr>
            <w:tcW w:w="289"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1.00 </w:t>
            </w:r>
          </w:p>
        </w:tc>
        <w:tc>
          <w:tcPr>
            <w:tcW w:w="362"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9" w:type="pct"/>
            <w:vMerge w:val="continue"/>
            <w:vAlign w:val="center"/>
          </w:tcPr>
          <w:p>
            <w:pPr>
              <w:widowControl/>
              <w:snapToGrid w:val="0"/>
              <w:jc w:val="left"/>
              <w:rPr>
                <w:rFonts w:ascii="Times New Roman" w:hAnsi="Times New Roman" w:eastAsia="仿宋_GB2312" w:cs="Times New Roman"/>
                <w:kern w:val="0"/>
                <w:sz w:val="24"/>
                <w:szCs w:val="24"/>
              </w:rPr>
            </w:pPr>
          </w:p>
        </w:tc>
        <w:tc>
          <w:tcPr>
            <w:tcW w:w="248" w:type="pct"/>
            <w:vMerge w:val="continue"/>
            <w:vAlign w:val="center"/>
          </w:tcPr>
          <w:p>
            <w:pPr>
              <w:widowControl/>
              <w:snapToGrid w:val="0"/>
              <w:jc w:val="left"/>
              <w:rPr>
                <w:rFonts w:ascii="Times New Roman" w:hAnsi="Times New Roman" w:eastAsia="仿宋_GB2312" w:cs="Times New Roman"/>
                <w:kern w:val="0"/>
                <w:sz w:val="24"/>
                <w:szCs w:val="24"/>
              </w:rPr>
            </w:pPr>
          </w:p>
        </w:tc>
        <w:tc>
          <w:tcPr>
            <w:tcW w:w="358" w:type="pct"/>
            <w:vMerge w:val="restar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B2 资金管理</w:t>
            </w:r>
          </w:p>
        </w:tc>
        <w:tc>
          <w:tcPr>
            <w:tcW w:w="692"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B21资金到位率</w:t>
            </w:r>
          </w:p>
        </w:tc>
        <w:tc>
          <w:tcPr>
            <w:tcW w:w="467"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各级资金100%到位</w:t>
            </w:r>
          </w:p>
        </w:tc>
        <w:tc>
          <w:tcPr>
            <w:tcW w:w="29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1160" w:type="pct"/>
            <w:gridSpan w:val="2"/>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无明确分担比例，实际区级转移支付资金和镇级承担资金合计数未低于审计金额/审价金额，按照各级资金100%到位进行认定</w:t>
            </w:r>
          </w:p>
        </w:tc>
        <w:tc>
          <w:tcPr>
            <w:tcW w:w="362"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1.00 </w:t>
            </w:r>
          </w:p>
        </w:tc>
        <w:tc>
          <w:tcPr>
            <w:tcW w:w="36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1.00 </w:t>
            </w:r>
          </w:p>
        </w:tc>
        <w:tc>
          <w:tcPr>
            <w:tcW w:w="289"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2.00 </w:t>
            </w:r>
          </w:p>
        </w:tc>
        <w:tc>
          <w:tcPr>
            <w:tcW w:w="362"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9" w:type="pct"/>
            <w:vMerge w:val="continue"/>
            <w:vAlign w:val="center"/>
          </w:tcPr>
          <w:p>
            <w:pPr>
              <w:widowControl/>
              <w:snapToGrid w:val="0"/>
              <w:jc w:val="left"/>
              <w:rPr>
                <w:rFonts w:ascii="Times New Roman" w:hAnsi="Times New Roman" w:eastAsia="仿宋_GB2312" w:cs="Times New Roman"/>
                <w:kern w:val="0"/>
                <w:sz w:val="24"/>
                <w:szCs w:val="24"/>
              </w:rPr>
            </w:pPr>
          </w:p>
        </w:tc>
        <w:tc>
          <w:tcPr>
            <w:tcW w:w="248" w:type="pct"/>
            <w:vMerge w:val="continue"/>
            <w:vAlign w:val="center"/>
          </w:tcPr>
          <w:p>
            <w:pPr>
              <w:widowControl/>
              <w:snapToGrid w:val="0"/>
              <w:jc w:val="left"/>
              <w:rPr>
                <w:rFonts w:ascii="Times New Roman" w:hAnsi="Times New Roman" w:eastAsia="仿宋_GB2312" w:cs="Times New Roman"/>
                <w:kern w:val="0"/>
                <w:sz w:val="24"/>
                <w:szCs w:val="24"/>
              </w:rPr>
            </w:pPr>
          </w:p>
        </w:tc>
        <w:tc>
          <w:tcPr>
            <w:tcW w:w="358" w:type="pct"/>
            <w:vMerge w:val="continue"/>
            <w:vAlign w:val="center"/>
          </w:tcPr>
          <w:p>
            <w:pPr>
              <w:widowControl/>
              <w:snapToGrid w:val="0"/>
              <w:jc w:val="left"/>
              <w:rPr>
                <w:rFonts w:ascii="Times New Roman" w:hAnsi="Times New Roman" w:eastAsia="仿宋_GB2312" w:cs="Times New Roman"/>
                <w:kern w:val="0"/>
                <w:sz w:val="24"/>
                <w:szCs w:val="24"/>
              </w:rPr>
            </w:pPr>
          </w:p>
        </w:tc>
        <w:tc>
          <w:tcPr>
            <w:tcW w:w="692"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B22 资金使用率</w:t>
            </w:r>
          </w:p>
        </w:tc>
        <w:tc>
          <w:tcPr>
            <w:tcW w:w="467"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≥95%</w:t>
            </w:r>
          </w:p>
        </w:tc>
        <w:tc>
          <w:tcPr>
            <w:tcW w:w="29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58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市区资金使用率69.89%，镇级资金100%使用完毕</w:t>
            </w:r>
            <w:r>
              <w:rPr>
                <w:rFonts w:hint="eastAsia" w:ascii="Times New Roman" w:hAnsi="Times New Roman" w:eastAsia="仿宋_GB2312" w:cs="Times New Roman"/>
                <w:kern w:val="0"/>
                <w:sz w:val="24"/>
                <w:szCs w:val="24"/>
              </w:rPr>
              <w:t>，未支付资金需根据到位情况再行核付</w:t>
            </w:r>
          </w:p>
        </w:tc>
        <w:tc>
          <w:tcPr>
            <w:tcW w:w="58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市区资金使用率75.18%，镇级资金100%使用完毕</w:t>
            </w:r>
            <w:r>
              <w:rPr>
                <w:rFonts w:hint="eastAsia" w:ascii="Times New Roman" w:hAnsi="Times New Roman" w:eastAsia="仿宋_GB2312" w:cs="Times New Roman"/>
                <w:kern w:val="0"/>
                <w:sz w:val="24"/>
                <w:szCs w:val="24"/>
              </w:rPr>
              <w:t>，未支付资金需根据到位情况再行核付</w:t>
            </w:r>
          </w:p>
        </w:tc>
        <w:tc>
          <w:tcPr>
            <w:tcW w:w="362"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6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289"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62"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9" w:type="pct"/>
            <w:vMerge w:val="continue"/>
            <w:vAlign w:val="center"/>
          </w:tcPr>
          <w:p>
            <w:pPr>
              <w:widowControl/>
              <w:snapToGrid w:val="0"/>
              <w:jc w:val="left"/>
              <w:rPr>
                <w:rFonts w:ascii="Times New Roman" w:hAnsi="Times New Roman" w:eastAsia="仿宋_GB2312" w:cs="Times New Roman"/>
                <w:kern w:val="0"/>
                <w:sz w:val="24"/>
                <w:szCs w:val="24"/>
              </w:rPr>
            </w:pPr>
          </w:p>
        </w:tc>
        <w:tc>
          <w:tcPr>
            <w:tcW w:w="248" w:type="pct"/>
            <w:vMerge w:val="continue"/>
            <w:vAlign w:val="center"/>
          </w:tcPr>
          <w:p>
            <w:pPr>
              <w:widowControl/>
              <w:snapToGrid w:val="0"/>
              <w:jc w:val="left"/>
              <w:rPr>
                <w:rFonts w:ascii="Times New Roman" w:hAnsi="Times New Roman" w:eastAsia="仿宋_GB2312" w:cs="Times New Roman"/>
                <w:kern w:val="0"/>
                <w:sz w:val="24"/>
                <w:szCs w:val="24"/>
              </w:rPr>
            </w:pPr>
          </w:p>
        </w:tc>
        <w:tc>
          <w:tcPr>
            <w:tcW w:w="358" w:type="pct"/>
            <w:vMerge w:val="continue"/>
            <w:vAlign w:val="center"/>
          </w:tcPr>
          <w:p>
            <w:pPr>
              <w:widowControl/>
              <w:snapToGrid w:val="0"/>
              <w:jc w:val="left"/>
              <w:rPr>
                <w:rFonts w:ascii="Times New Roman" w:hAnsi="Times New Roman" w:eastAsia="仿宋_GB2312" w:cs="Times New Roman"/>
                <w:kern w:val="0"/>
                <w:sz w:val="24"/>
                <w:szCs w:val="24"/>
              </w:rPr>
            </w:pPr>
          </w:p>
        </w:tc>
        <w:tc>
          <w:tcPr>
            <w:tcW w:w="692"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B23资金拨付和支出进度与项目建设进度匹配性</w:t>
            </w:r>
          </w:p>
        </w:tc>
        <w:tc>
          <w:tcPr>
            <w:tcW w:w="467"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匹配</w:t>
            </w:r>
          </w:p>
        </w:tc>
        <w:tc>
          <w:tcPr>
            <w:tcW w:w="29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58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不匹配</w:t>
            </w:r>
          </w:p>
        </w:tc>
        <w:tc>
          <w:tcPr>
            <w:tcW w:w="58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不匹配</w:t>
            </w:r>
          </w:p>
        </w:tc>
        <w:tc>
          <w:tcPr>
            <w:tcW w:w="362"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6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289"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62"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9" w:type="pct"/>
            <w:vMerge w:val="continue"/>
            <w:vAlign w:val="center"/>
          </w:tcPr>
          <w:p>
            <w:pPr>
              <w:widowControl/>
              <w:snapToGrid w:val="0"/>
              <w:jc w:val="left"/>
              <w:rPr>
                <w:rFonts w:ascii="Times New Roman" w:hAnsi="Times New Roman" w:eastAsia="仿宋_GB2312" w:cs="Times New Roman"/>
                <w:kern w:val="0"/>
                <w:sz w:val="24"/>
                <w:szCs w:val="24"/>
              </w:rPr>
            </w:pPr>
          </w:p>
        </w:tc>
        <w:tc>
          <w:tcPr>
            <w:tcW w:w="248" w:type="pct"/>
            <w:vMerge w:val="continue"/>
            <w:vAlign w:val="center"/>
          </w:tcPr>
          <w:p>
            <w:pPr>
              <w:widowControl/>
              <w:snapToGrid w:val="0"/>
              <w:jc w:val="left"/>
              <w:rPr>
                <w:rFonts w:ascii="Times New Roman" w:hAnsi="Times New Roman" w:eastAsia="仿宋_GB2312" w:cs="Times New Roman"/>
                <w:kern w:val="0"/>
                <w:sz w:val="24"/>
                <w:szCs w:val="24"/>
              </w:rPr>
            </w:pPr>
          </w:p>
        </w:tc>
        <w:tc>
          <w:tcPr>
            <w:tcW w:w="358" w:type="pct"/>
            <w:vMerge w:val="continue"/>
            <w:vAlign w:val="center"/>
          </w:tcPr>
          <w:p>
            <w:pPr>
              <w:widowControl/>
              <w:snapToGrid w:val="0"/>
              <w:jc w:val="left"/>
              <w:rPr>
                <w:rFonts w:ascii="Times New Roman" w:hAnsi="Times New Roman" w:eastAsia="仿宋_GB2312" w:cs="Times New Roman"/>
                <w:kern w:val="0"/>
                <w:sz w:val="24"/>
                <w:szCs w:val="24"/>
              </w:rPr>
            </w:pPr>
          </w:p>
        </w:tc>
        <w:tc>
          <w:tcPr>
            <w:tcW w:w="692"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B24 资金使用合规性</w:t>
            </w:r>
          </w:p>
        </w:tc>
        <w:tc>
          <w:tcPr>
            <w:tcW w:w="467"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合规</w:t>
            </w:r>
          </w:p>
        </w:tc>
        <w:tc>
          <w:tcPr>
            <w:tcW w:w="29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58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选线规划费、涉河论证费、竣工档案编制费、审计费不在批复的二类费用中</w:t>
            </w:r>
          </w:p>
        </w:tc>
        <w:tc>
          <w:tcPr>
            <w:tcW w:w="58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选线规划费、涉河论证费、跟测费、绿化补植、绿化搬迁咨询费不在批复的二类费用中</w:t>
            </w:r>
          </w:p>
        </w:tc>
        <w:tc>
          <w:tcPr>
            <w:tcW w:w="362"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0.38 </w:t>
            </w:r>
          </w:p>
        </w:tc>
        <w:tc>
          <w:tcPr>
            <w:tcW w:w="36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0.38 </w:t>
            </w:r>
          </w:p>
        </w:tc>
        <w:tc>
          <w:tcPr>
            <w:tcW w:w="289"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0.75 </w:t>
            </w:r>
          </w:p>
        </w:tc>
        <w:tc>
          <w:tcPr>
            <w:tcW w:w="362"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75.00%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9" w:type="pct"/>
            <w:vMerge w:val="continue"/>
            <w:vAlign w:val="center"/>
          </w:tcPr>
          <w:p>
            <w:pPr>
              <w:widowControl/>
              <w:snapToGrid w:val="0"/>
              <w:jc w:val="left"/>
              <w:rPr>
                <w:rFonts w:ascii="Times New Roman" w:hAnsi="Times New Roman" w:eastAsia="仿宋_GB2312" w:cs="Times New Roman"/>
                <w:kern w:val="0"/>
                <w:sz w:val="24"/>
                <w:szCs w:val="24"/>
              </w:rPr>
            </w:pPr>
          </w:p>
        </w:tc>
        <w:tc>
          <w:tcPr>
            <w:tcW w:w="248" w:type="pct"/>
            <w:vMerge w:val="continue"/>
            <w:vAlign w:val="center"/>
          </w:tcPr>
          <w:p>
            <w:pPr>
              <w:widowControl/>
              <w:snapToGrid w:val="0"/>
              <w:jc w:val="left"/>
              <w:rPr>
                <w:rFonts w:ascii="Times New Roman" w:hAnsi="Times New Roman" w:eastAsia="仿宋_GB2312" w:cs="Times New Roman"/>
                <w:kern w:val="0"/>
                <w:sz w:val="24"/>
                <w:szCs w:val="24"/>
              </w:rPr>
            </w:pPr>
          </w:p>
        </w:tc>
        <w:tc>
          <w:tcPr>
            <w:tcW w:w="358" w:type="pct"/>
            <w:vMerge w:val="restar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B3 组织实施</w:t>
            </w:r>
          </w:p>
        </w:tc>
        <w:tc>
          <w:tcPr>
            <w:tcW w:w="692"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B31 管理制度健全性</w:t>
            </w:r>
          </w:p>
        </w:tc>
        <w:tc>
          <w:tcPr>
            <w:tcW w:w="467"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健全</w:t>
            </w:r>
          </w:p>
        </w:tc>
        <w:tc>
          <w:tcPr>
            <w:tcW w:w="29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58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主要参照市区相关政策文件及往年项目开展流程执行</w:t>
            </w:r>
          </w:p>
        </w:tc>
        <w:tc>
          <w:tcPr>
            <w:tcW w:w="58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主要参照市区相关政策文件及往年项目开展流程执行</w:t>
            </w:r>
          </w:p>
        </w:tc>
        <w:tc>
          <w:tcPr>
            <w:tcW w:w="362"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1.00 </w:t>
            </w:r>
          </w:p>
        </w:tc>
        <w:tc>
          <w:tcPr>
            <w:tcW w:w="36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1.00 </w:t>
            </w:r>
          </w:p>
        </w:tc>
        <w:tc>
          <w:tcPr>
            <w:tcW w:w="289"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2.00 </w:t>
            </w:r>
          </w:p>
        </w:tc>
        <w:tc>
          <w:tcPr>
            <w:tcW w:w="362"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9" w:type="pct"/>
            <w:vMerge w:val="continue"/>
            <w:vAlign w:val="center"/>
          </w:tcPr>
          <w:p>
            <w:pPr>
              <w:widowControl/>
              <w:snapToGrid w:val="0"/>
              <w:jc w:val="left"/>
              <w:rPr>
                <w:rFonts w:ascii="Times New Roman" w:hAnsi="Times New Roman" w:eastAsia="仿宋_GB2312" w:cs="Times New Roman"/>
                <w:kern w:val="0"/>
                <w:sz w:val="24"/>
                <w:szCs w:val="24"/>
              </w:rPr>
            </w:pPr>
          </w:p>
        </w:tc>
        <w:tc>
          <w:tcPr>
            <w:tcW w:w="248" w:type="pct"/>
            <w:vMerge w:val="continue"/>
            <w:vAlign w:val="center"/>
          </w:tcPr>
          <w:p>
            <w:pPr>
              <w:widowControl/>
              <w:snapToGrid w:val="0"/>
              <w:jc w:val="left"/>
              <w:rPr>
                <w:rFonts w:ascii="Times New Roman" w:hAnsi="Times New Roman" w:eastAsia="仿宋_GB2312" w:cs="Times New Roman"/>
                <w:kern w:val="0"/>
                <w:sz w:val="24"/>
                <w:szCs w:val="24"/>
              </w:rPr>
            </w:pPr>
          </w:p>
        </w:tc>
        <w:tc>
          <w:tcPr>
            <w:tcW w:w="358" w:type="pct"/>
            <w:vMerge w:val="continue"/>
            <w:vAlign w:val="center"/>
          </w:tcPr>
          <w:p>
            <w:pPr>
              <w:widowControl/>
              <w:snapToGrid w:val="0"/>
              <w:jc w:val="left"/>
              <w:rPr>
                <w:rFonts w:ascii="Times New Roman" w:hAnsi="Times New Roman" w:eastAsia="仿宋_GB2312" w:cs="Times New Roman"/>
                <w:kern w:val="0"/>
                <w:sz w:val="24"/>
                <w:szCs w:val="24"/>
              </w:rPr>
            </w:pPr>
          </w:p>
        </w:tc>
        <w:tc>
          <w:tcPr>
            <w:tcW w:w="692"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B32 政府采购合规性</w:t>
            </w:r>
          </w:p>
        </w:tc>
        <w:tc>
          <w:tcPr>
            <w:tcW w:w="467"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合规</w:t>
            </w:r>
          </w:p>
        </w:tc>
        <w:tc>
          <w:tcPr>
            <w:tcW w:w="29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58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合规</w:t>
            </w:r>
          </w:p>
        </w:tc>
        <w:tc>
          <w:tcPr>
            <w:tcW w:w="58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合规</w:t>
            </w:r>
          </w:p>
        </w:tc>
        <w:tc>
          <w:tcPr>
            <w:tcW w:w="362"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1.00 </w:t>
            </w:r>
          </w:p>
        </w:tc>
        <w:tc>
          <w:tcPr>
            <w:tcW w:w="36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1.00 </w:t>
            </w:r>
          </w:p>
        </w:tc>
        <w:tc>
          <w:tcPr>
            <w:tcW w:w="289"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2.00 </w:t>
            </w:r>
          </w:p>
        </w:tc>
        <w:tc>
          <w:tcPr>
            <w:tcW w:w="362"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9" w:type="pct"/>
            <w:vMerge w:val="continue"/>
            <w:vAlign w:val="center"/>
          </w:tcPr>
          <w:p>
            <w:pPr>
              <w:widowControl/>
              <w:snapToGrid w:val="0"/>
              <w:jc w:val="left"/>
              <w:rPr>
                <w:rFonts w:ascii="Times New Roman" w:hAnsi="Times New Roman" w:eastAsia="仿宋_GB2312" w:cs="Times New Roman"/>
                <w:kern w:val="0"/>
                <w:sz w:val="24"/>
                <w:szCs w:val="24"/>
              </w:rPr>
            </w:pPr>
          </w:p>
        </w:tc>
        <w:tc>
          <w:tcPr>
            <w:tcW w:w="248" w:type="pct"/>
            <w:vMerge w:val="continue"/>
            <w:vAlign w:val="center"/>
          </w:tcPr>
          <w:p>
            <w:pPr>
              <w:widowControl/>
              <w:snapToGrid w:val="0"/>
              <w:jc w:val="left"/>
              <w:rPr>
                <w:rFonts w:ascii="Times New Roman" w:hAnsi="Times New Roman" w:eastAsia="仿宋_GB2312" w:cs="Times New Roman"/>
                <w:kern w:val="0"/>
                <w:sz w:val="24"/>
                <w:szCs w:val="24"/>
              </w:rPr>
            </w:pPr>
          </w:p>
        </w:tc>
        <w:tc>
          <w:tcPr>
            <w:tcW w:w="358" w:type="pct"/>
            <w:vMerge w:val="continue"/>
            <w:vAlign w:val="center"/>
          </w:tcPr>
          <w:p>
            <w:pPr>
              <w:widowControl/>
              <w:snapToGrid w:val="0"/>
              <w:jc w:val="left"/>
              <w:rPr>
                <w:rFonts w:ascii="Times New Roman" w:hAnsi="Times New Roman" w:eastAsia="仿宋_GB2312" w:cs="Times New Roman"/>
                <w:kern w:val="0"/>
                <w:sz w:val="24"/>
                <w:szCs w:val="24"/>
              </w:rPr>
            </w:pPr>
          </w:p>
        </w:tc>
        <w:tc>
          <w:tcPr>
            <w:tcW w:w="692"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B33 合同管理及执行有效性</w:t>
            </w:r>
          </w:p>
        </w:tc>
        <w:tc>
          <w:tcPr>
            <w:tcW w:w="467"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有效</w:t>
            </w:r>
          </w:p>
        </w:tc>
        <w:tc>
          <w:tcPr>
            <w:tcW w:w="29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58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个别合同要素不完整，实际建设周期超出合同约定工期</w:t>
            </w:r>
          </w:p>
        </w:tc>
        <w:tc>
          <w:tcPr>
            <w:tcW w:w="580" w:type="pct"/>
            <w:shd w:val="clear" w:color="auto" w:fill="auto"/>
            <w:vAlign w:val="center"/>
          </w:tcPr>
          <w:p>
            <w:pPr>
              <w:widowControl/>
              <w:snapToGrid w:val="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个别合同要素不完整，实际建设周期超出合同约定工期</w:t>
            </w:r>
          </w:p>
        </w:tc>
        <w:tc>
          <w:tcPr>
            <w:tcW w:w="362"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0.60 </w:t>
            </w:r>
          </w:p>
        </w:tc>
        <w:tc>
          <w:tcPr>
            <w:tcW w:w="36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0.60 </w:t>
            </w:r>
          </w:p>
        </w:tc>
        <w:tc>
          <w:tcPr>
            <w:tcW w:w="289"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1.20 </w:t>
            </w:r>
          </w:p>
        </w:tc>
        <w:tc>
          <w:tcPr>
            <w:tcW w:w="362"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9" w:type="pct"/>
            <w:vMerge w:val="continue"/>
            <w:vAlign w:val="center"/>
          </w:tcPr>
          <w:p>
            <w:pPr>
              <w:widowControl/>
              <w:snapToGrid w:val="0"/>
              <w:jc w:val="left"/>
              <w:rPr>
                <w:rFonts w:ascii="Times New Roman" w:hAnsi="Times New Roman" w:eastAsia="仿宋_GB2312" w:cs="Times New Roman"/>
                <w:kern w:val="0"/>
                <w:sz w:val="24"/>
                <w:szCs w:val="24"/>
              </w:rPr>
            </w:pPr>
          </w:p>
        </w:tc>
        <w:tc>
          <w:tcPr>
            <w:tcW w:w="248" w:type="pct"/>
            <w:vMerge w:val="continue"/>
            <w:vAlign w:val="center"/>
          </w:tcPr>
          <w:p>
            <w:pPr>
              <w:widowControl/>
              <w:snapToGrid w:val="0"/>
              <w:jc w:val="left"/>
              <w:rPr>
                <w:rFonts w:ascii="Times New Roman" w:hAnsi="Times New Roman" w:eastAsia="仿宋_GB2312" w:cs="Times New Roman"/>
                <w:kern w:val="0"/>
                <w:sz w:val="24"/>
                <w:szCs w:val="24"/>
              </w:rPr>
            </w:pPr>
          </w:p>
        </w:tc>
        <w:tc>
          <w:tcPr>
            <w:tcW w:w="358" w:type="pct"/>
            <w:vMerge w:val="continue"/>
            <w:vAlign w:val="center"/>
          </w:tcPr>
          <w:p>
            <w:pPr>
              <w:widowControl/>
              <w:snapToGrid w:val="0"/>
              <w:jc w:val="left"/>
              <w:rPr>
                <w:rFonts w:ascii="Times New Roman" w:hAnsi="Times New Roman" w:eastAsia="仿宋_GB2312" w:cs="Times New Roman"/>
                <w:kern w:val="0"/>
                <w:sz w:val="24"/>
                <w:szCs w:val="24"/>
              </w:rPr>
            </w:pPr>
          </w:p>
        </w:tc>
        <w:tc>
          <w:tcPr>
            <w:tcW w:w="692"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B34 过程监管有效性</w:t>
            </w:r>
          </w:p>
        </w:tc>
        <w:tc>
          <w:tcPr>
            <w:tcW w:w="467"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有效</w:t>
            </w:r>
          </w:p>
        </w:tc>
        <w:tc>
          <w:tcPr>
            <w:tcW w:w="29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58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有效</w:t>
            </w:r>
          </w:p>
        </w:tc>
        <w:tc>
          <w:tcPr>
            <w:tcW w:w="58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有效</w:t>
            </w:r>
          </w:p>
        </w:tc>
        <w:tc>
          <w:tcPr>
            <w:tcW w:w="362"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0.50 </w:t>
            </w:r>
          </w:p>
        </w:tc>
        <w:tc>
          <w:tcPr>
            <w:tcW w:w="36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0.50 </w:t>
            </w:r>
          </w:p>
        </w:tc>
        <w:tc>
          <w:tcPr>
            <w:tcW w:w="289"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1.00 </w:t>
            </w:r>
          </w:p>
        </w:tc>
        <w:tc>
          <w:tcPr>
            <w:tcW w:w="362"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9" w:type="pct"/>
            <w:vMerge w:val="continue"/>
            <w:vAlign w:val="center"/>
          </w:tcPr>
          <w:p>
            <w:pPr>
              <w:widowControl/>
              <w:snapToGrid w:val="0"/>
              <w:jc w:val="left"/>
              <w:rPr>
                <w:rFonts w:ascii="Times New Roman" w:hAnsi="Times New Roman" w:eastAsia="仿宋_GB2312" w:cs="Times New Roman"/>
                <w:kern w:val="0"/>
                <w:sz w:val="24"/>
                <w:szCs w:val="24"/>
              </w:rPr>
            </w:pPr>
          </w:p>
        </w:tc>
        <w:tc>
          <w:tcPr>
            <w:tcW w:w="248" w:type="pct"/>
            <w:vMerge w:val="continue"/>
            <w:vAlign w:val="center"/>
          </w:tcPr>
          <w:p>
            <w:pPr>
              <w:widowControl/>
              <w:snapToGrid w:val="0"/>
              <w:jc w:val="left"/>
              <w:rPr>
                <w:rFonts w:ascii="Times New Roman" w:hAnsi="Times New Roman" w:eastAsia="仿宋_GB2312" w:cs="Times New Roman"/>
                <w:kern w:val="0"/>
                <w:sz w:val="24"/>
                <w:szCs w:val="24"/>
              </w:rPr>
            </w:pPr>
          </w:p>
        </w:tc>
        <w:tc>
          <w:tcPr>
            <w:tcW w:w="358" w:type="pct"/>
            <w:vMerge w:val="continue"/>
            <w:vAlign w:val="center"/>
          </w:tcPr>
          <w:p>
            <w:pPr>
              <w:widowControl/>
              <w:snapToGrid w:val="0"/>
              <w:jc w:val="left"/>
              <w:rPr>
                <w:rFonts w:ascii="Times New Roman" w:hAnsi="Times New Roman" w:eastAsia="仿宋_GB2312" w:cs="Times New Roman"/>
                <w:kern w:val="0"/>
                <w:sz w:val="24"/>
                <w:szCs w:val="24"/>
              </w:rPr>
            </w:pPr>
          </w:p>
        </w:tc>
        <w:tc>
          <w:tcPr>
            <w:tcW w:w="692"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B35 建设内容变更率</w:t>
            </w:r>
          </w:p>
        </w:tc>
        <w:tc>
          <w:tcPr>
            <w:tcW w:w="467"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控制在一定范围</w:t>
            </w:r>
          </w:p>
        </w:tc>
        <w:tc>
          <w:tcPr>
            <w:tcW w:w="29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58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建安工程费的审定价较中标价减少1.34%，未超出区级规定比例5%</w:t>
            </w:r>
          </w:p>
        </w:tc>
        <w:tc>
          <w:tcPr>
            <w:tcW w:w="58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建安工程费的审价金额较中标价增加0.65%，未超出区级规定比例5%</w:t>
            </w:r>
          </w:p>
        </w:tc>
        <w:tc>
          <w:tcPr>
            <w:tcW w:w="362"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1.00 </w:t>
            </w:r>
          </w:p>
        </w:tc>
        <w:tc>
          <w:tcPr>
            <w:tcW w:w="36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1.00 </w:t>
            </w:r>
          </w:p>
        </w:tc>
        <w:tc>
          <w:tcPr>
            <w:tcW w:w="289"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2.00 </w:t>
            </w:r>
          </w:p>
        </w:tc>
        <w:tc>
          <w:tcPr>
            <w:tcW w:w="362"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9" w:type="pct"/>
            <w:vMerge w:val="continue"/>
            <w:vAlign w:val="center"/>
          </w:tcPr>
          <w:p>
            <w:pPr>
              <w:widowControl/>
              <w:snapToGrid w:val="0"/>
              <w:jc w:val="left"/>
              <w:rPr>
                <w:rFonts w:ascii="Times New Roman" w:hAnsi="Times New Roman" w:eastAsia="仿宋_GB2312" w:cs="Times New Roman"/>
                <w:kern w:val="0"/>
                <w:sz w:val="24"/>
                <w:szCs w:val="24"/>
              </w:rPr>
            </w:pPr>
          </w:p>
        </w:tc>
        <w:tc>
          <w:tcPr>
            <w:tcW w:w="248" w:type="pct"/>
            <w:vMerge w:val="continue"/>
            <w:vAlign w:val="center"/>
          </w:tcPr>
          <w:p>
            <w:pPr>
              <w:widowControl/>
              <w:snapToGrid w:val="0"/>
              <w:jc w:val="left"/>
              <w:rPr>
                <w:rFonts w:ascii="Times New Roman" w:hAnsi="Times New Roman" w:eastAsia="仿宋_GB2312" w:cs="Times New Roman"/>
                <w:kern w:val="0"/>
                <w:sz w:val="24"/>
                <w:szCs w:val="24"/>
              </w:rPr>
            </w:pPr>
          </w:p>
        </w:tc>
        <w:tc>
          <w:tcPr>
            <w:tcW w:w="358" w:type="pct"/>
            <w:vMerge w:val="continue"/>
            <w:vAlign w:val="center"/>
          </w:tcPr>
          <w:p>
            <w:pPr>
              <w:widowControl/>
              <w:snapToGrid w:val="0"/>
              <w:jc w:val="left"/>
              <w:rPr>
                <w:rFonts w:ascii="Times New Roman" w:hAnsi="Times New Roman" w:eastAsia="仿宋_GB2312" w:cs="Times New Roman"/>
                <w:kern w:val="0"/>
                <w:sz w:val="24"/>
                <w:szCs w:val="24"/>
              </w:rPr>
            </w:pPr>
          </w:p>
        </w:tc>
        <w:tc>
          <w:tcPr>
            <w:tcW w:w="692"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B36 建设内容变更程序合规性</w:t>
            </w:r>
          </w:p>
        </w:tc>
        <w:tc>
          <w:tcPr>
            <w:tcW w:w="467"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合规</w:t>
            </w:r>
          </w:p>
        </w:tc>
        <w:tc>
          <w:tcPr>
            <w:tcW w:w="29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58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未</w:t>
            </w:r>
            <w:r>
              <w:rPr>
                <w:rFonts w:hint="eastAsia" w:ascii="Times New Roman" w:hAnsi="Times New Roman" w:eastAsia="仿宋_GB2312" w:cs="Times New Roman"/>
                <w:kern w:val="0"/>
                <w:sz w:val="24"/>
                <w:szCs w:val="24"/>
              </w:rPr>
              <w:t>按要求进行报备</w:t>
            </w:r>
          </w:p>
        </w:tc>
        <w:tc>
          <w:tcPr>
            <w:tcW w:w="580"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未</w:t>
            </w:r>
            <w:r>
              <w:rPr>
                <w:rFonts w:hint="eastAsia" w:ascii="Times New Roman" w:hAnsi="Times New Roman" w:eastAsia="仿宋_GB2312" w:cs="Times New Roman"/>
                <w:kern w:val="0"/>
                <w:sz w:val="24"/>
                <w:szCs w:val="24"/>
              </w:rPr>
              <w:t>按要求进行报备</w:t>
            </w:r>
          </w:p>
        </w:tc>
        <w:tc>
          <w:tcPr>
            <w:tcW w:w="362"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63"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289" w:type="pct"/>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62" w:type="pct"/>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9" w:type="pct"/>
            <w:vMerge w:val="continue"/>
            <w:shd w:val="clear" w:color="auto" w:fill="auto"/>
            <w:vAlign w:val="center"/>
          </w:tcPr>
          <w:p>
            <w:pPr>
              <w:widowControl/>
              <w:snapToGrid w:val="0"/>
              <w:jc w:val="center"/>
              <w:rPr>
                <w:rFonts w:ascii="Times New Roman" w:hAnsi="Times New Roman" w:eastAsia="仿宋_GB2312" w:cs="Times New Roman"/>
                <w:kern w:val="0"/>
                <w:sz w:val="24"/>
                <w:szCs w:val="24"/>
              </w:rPr>
            </w:pPr>
          </w:p>
        </w:tc>
        <w:tc>
          <w:tcPr>
            <w:tcW w:w="248" w:type="pct"/>
            <w:vMerge w:val="continue"/>
            <w:shd w:val="clear" w:color="auto" w:fill="auto"/>
            <w:vAlign w:val="center"/>
          </w:tcPr>
          <w:p>
            <w:pPr>
              <w:widowControl/>
              <w:snapToGrid w:val="0"/>
              <w:jc w:val="center"/>
              <w:rPr>
                <w:rFonts w:ascii="Times New Roman" w:hAnsi="Times New Roman" w:eastAsia="仿宋_GB2312" w:cs="Times New Roman"/>
                <w:kern w:val="0"/>
                <w:sz w:val="24"/>
                <w:szCs w:val="24"/>
              </w:rPr>
            </w:pPr>
          </w:p>
        </w:tc>
        <w:tc>
          <w:tcPr>
            <w:tcW w:w="1517" w:type="pct"/>
            <w:gridSpan w:val="3"/>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小计</w:t>
            </w:r>
          </w:p>
        </w:tc>
        <w:tc>
          <w:tcPr>
            <w:tcW w:w="290" w:type="pct"/>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20</w:t>
            </w:r>
          </w:p>
        </w:tc>
        <w:tc>
          <w:tcPr>
            <w:tcW w:w="580" w:type="pct"/>
            <w:shd w:val="clear" w:color="auto" w:fill="auto"/>
            <w:vAlign w:val="center"/>
          </w:tcPr>
          <w:p>
            <w:pPr>
              <w:widowControl/>
              <w:snapToGrid w:val="0"/>
              <w:jc w:val="center"/>
              <w:rPr>
                <w:rFonts w:ascii="Times New Roman" w:hAnsi="Times New Roman" w:eastAsia="仿宋_GB2312" w:cs="Times New Roman"/>
                <w:b/>
                <w:bCs/>
                <w:kern w:val="0"/>
                <w:sz w:val="24"/>
                <w:szCs w:val="24"/>
              </w:rPr>
            </w:pPr>
          </w:p>
        </w:tc>
        <w:tc>
          <w:tcPr>
            <w:tcW w:w="580" w:type="pct"/>
            <w:shd w:val="clear" w:color="auto" w:fill="auto"/>
            <w:vAlign w:val="center"/>
          </w:tcPr>
          <w:p>
            <w:pPr>
              <w:widowControl/>
              <w:snapToGrid w:val="0"/>
              <w:jc w:val="center"/>
              <w:rPr>
                <w:rFonts w:ascii="Times New Roman" w:hAnsi="Times New Roman" w:eastAsia="仿宋_GB2312" w:cs="Times New Roman"/>
                <w:kern w:val="0"/>
                <w:sz w:val="24"/>
                <w:szCs w:val="24"/>
              </w:rPr>
            </w:pPr>
          </w:p>
        </w:tc>
        <w:tc>
          <w:tcPr>
            <w:tcW w:w="362" w:type="pct"/>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6.31 </w:t>
            </w:r>
          </w:p>
        </w:tc>
        <w:tc>
          <w:tcPr>
            <w:tcW w:w="363" w:type="pct"/>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6.31 </w:t>
            </w:r>
          </w:p>
        </w:tc>
        <w:tc>
          <w:tcPr>
            <w:tcW w:w="289" w:type="pct"/>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12.62 </w:t>
            </w:r>
          </w:p>
        </w:tc>
        <w:tc>
          <w:tcPr>
            <w:tcW w:w="362" w:type="pct"/>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63.08%</w:t>
            </w:r>
          </w:p>
        </w:tc>
      </w:tr>
    </w:tbl>
    <w:p>
      <w:pPr>
        <w:pStyle w:val="22"/>
        <w:ind w:firstLine="0" w:firstLineChars="0"/>
        <w:rPr>
          <w:b/>
          <w:bCs w:val="0"/>
        </w:rPr>
      </w:pPr>
    </w:p>
    <w:p>
      <w:pPr>
        <w:pStyle w:val="22"/>
        <w:ind w:firstLine="643"/>
      </w:pPr>
      <w:r>
        <w:rPr>
          <w:rFonts w:hint="eastAsia"/>
          <w:b/>
          <w:bCs w:val="0"/>
        </w:rPr>
        <w:t>B11专项债券预算管理规范性：</w:t>
      </w:r>
      <w:bookmarkStart w:id="159" w:name="_Hlk169197997"/>
      <w:r>
        <w:rPr>
          <w:rFonts w:hint="eastAsia"/>
        </w:rPr>
        <w:t>根据</w:t>
      </w:r>
      <w:r>
        <w:t>《上海市地方政府专项债券项目资金绩效管理办法》（沪财绩〔2021〕27号）</w:t>
      </w:r>
      <w:r>
        <w:rPr>
          <w:rFonts w:hint="eastAsia"/>
        </w:rPr>
        <w:t>，专项债券收支、还本付息和专项收入应纳入政府性基金预算管理，且三项内容要按照专门设置的预算收支科目单独核算和全面管理。经评价小组与财政部门相关项目负责人访谈了解，堡镇、新河镇污水管网完善工程项目中涉及到区级专项债券资金的部分，其资金全部纳入政府性基金预算管理，其中：债券资金收入纳入地方政府专项债务转贷收入科目核算，债券资金支出纳入国有土地使用权出让收入对应专项债务收入安排的支出科目进行核算；付息纳入国有土地使用权出让金债务付息支出科目进行核算；项目收入来源是土地出让金计提收入，纳入国有土地使用权出让金科目进行核算。目前债券尚未到期，暂不涉及还本。综上，区级专项债券资金管理规范。</w:t>
      </w:r>
      <w:bookmarkEnd w:id="159"/>
      <w:r>
        <w:rPr>
          <w:rFonts w:hint="eastAsia"/>
        </w:rPr>
        <w:t>根据评分标准，该指标满分1分，得100%权重分，实际得分1分。</w:t>
      </w:r>
    </w:p>
    <w:p>
      <w:pPr>
        <w:pStyle w:val="22"/>
        <w:ind w:firstLine="643"/>
        <w:rPr>
          <w:b/>
          <w:bCs w:val="0"/>
        </w:rPr>
      </w:pPr>
      <w:r>
        <w:rPr>
          <w:rFonts w:hint="eastAsia"/>
          <w:b/>
          <w:bCs w:val="0"/>
        </w:rPr>
        <w:t>B12专项债券本息偿还计划执行情况：</w:t>
      </w:r>
      <w:bookmarkStart w:id="160" w:name="_Hlk169198006"/>
      <w:r>
        <w:rPr>
          <w:rFonts w:hint="eastAsia"/>
        </w:rPr>
        <w:t>堡镇污水管网完善工程项目债券融资计划规模为1000万元、新河镇为2600万元，债券期限为10年，每半年付息一次，经与财政部门沟通确认，截至2023年底已按照发行利率2.9%支付堡镇项目利息29万元、新河镇项目75.4万元；本金方面，从债券存续期第6年开始还本，每年偿还本金的20%，目前债券尚未到期，暂不涉及还本</w:t>
      </w:r>
      <w:r>
        <w:rPr>
          <w:rFonts w:hint="eastAsia"/>
          <w:b/>
          <w:bCs w:val="0"/>
        </w:rPr>
        <w:t>。</w:t>
      </w:r>
      <w:bookmarkEnd w:id="160"/>
      <w:r>
        <w:rPr>
          <w:rFonts w:hint="eastAsia"/>
        </w:rPr>
        <w:t>综上，两镇的专项债券本息均按计划偿还。根据评分标准，该指标满分0.5分，得100%权重分，实际得分0.5分。</w:t>
      </w:r>
    </w:p>
    <w:p>
      <w:pPr>
        <w:pStyle w:val="22"/>
        <w:ind w:firstLine="643"/>
        <w:rPr>
          <w:b/>
          <w:bCs w:val="0"/>
        </w:rPr>
      </w:pPr>
      <w:r>
        <w:rPr>
          <w:rFonts w:hint="eastAsia"/>
          <w:b/>
          <w:bCs w:val="0"/>
        </w:rPr>
        <w:t>B13项目收入、成本及预期收益合理性：</w:t>
      </w:r>
      <w:r>
        <w:rPr>
          <w:rFonts w:hint="eastAsia"/>
        </w:rPr>
        <w:t>本项目收入为计提生态环保项目建设基金以及财政补助收入，根据《关于在区级土地出让收入中计提生态环保项目建设基金的实施意见》（沪崇财预〔2020〕6号），崇明区每年将从区级土地出让收入中计提5.00%的生态环保项目建设基金，用于有一定收益的生态环保类公益性项目建设，优先保障纳入专项债券支持的重点项目的还本付息，支持崇明世界级生态岛建设。运营期间，堡镇项目经营活动累计收入预测为1909.50万元，经营活动累计支出预测为389.50万元，经营活动累计收支结余为1520.00万元；专项债券存续期内债券本息合计为1256.00万元，期末累计现金结余为264.00万元。新河镇项目经营活动累计收入预测为4503.50万元，经营活动累计支出预测为503.50万元，经营活动累计收支结余为4000.00万元；专项债券存续期内债券本息合计为3265.60万元，期末累计现金结余为734.40万元。综上，在满足假设条件的前提下，项目收入、成本、收益情况均根据充分依据测算得出，较为合理。根据评分标准，该指标满分0.5分，得100%权重分，实际得分0.5分。</w:t>
      </w:r>
    </w:p>
    <w:p>
      <w:pPr>
        <w:pStyle w:val="22"/>
        <w:ind w:firstLine="643"/>
        <w:rPr>
          <w:b/>
          <w:bCs w:val="0"/>
        </w:rPr>
      </w:pPr>
      <w:r>
        <w:rPr>
          <w:rFonts w:hint="eastAsia"/>
          <w:b/>
          <w:bCs w:val="0"/>
        </w:rPr>
        <w:t>B14专项债券期限结构合理性：</w:t>
      </w:r>
      <w:r>
        <w:rPr>
          <w:rFonts w:hint="eastAsia"/>
        </w:rPr>
        <w:t>专项债券期限为10</w:t>
      </w:r>
      <w:r>
        <w:t>年，</w:t>
      </w:r>
      <w:r>
        <w:rPr>
          <w:rFonts w:hint="eastAsia"/>
        </w:rPr>
        <w:t>根据资金平衡测算平衡分析，在满足假设条件的前提下，债券存续期内，项目经营活动产生的净现金流在偿还专项债券本息后，堡镇项目期末累计现金结余为264.00万元，本项目资金覆盖率达1.21倍；新河镇项目期末累计现金结余为734.40万元，该项目资金覆盖率达1.22。均能够满足资金筹措充足性的要求，项目不能偿还的风险较低。综上，专项债券期限与项目建设和运营期限匹配。根据评分标准，该指标满分1分，得100%权重分，实际得分1分。</w:t>
      </w:r>
    </w:p>
    <w:p>
      <w:pPr>
        <w:pStyle w:val="22"/>
        <w:ind w:firstLine="643"/>
        <w:rPr>
          <w:b/>
          <w:bCs w:val="0"/>
        </w:rPr>
      </w:pPr>
      <w:r>
        <w:rPr>
          <w:rFonts w:hint="eastAsia"/>
          <w:b/>
          <w:bCs w:val="0"/>
        </w:rPr>
        <w:t>B21资金到位率：</w:t>
      </w:r>
      <w:r>
        <w:rPr>
          <w:rFonts w:hint="eastAsia"/>
        </w:rPr>
        <w:t>市级资金方面，</w:t>
      </w:r>
      <w:r>
        <w:t>2023年区财政</w:t>
      </w:r>
      <w:r>
        <w:rPr>
          <w:rFonts w:hint="eastAsia"/>
        </w:rPr>
        <w:t>共转移支付</w:t>
      </w:r>
      <w:r>
        <w:t>2380万元市级建设财力资金至两镇，其中：堡镇580万元，新河镇1800万元</w:t>
      </w:r>
      <w:r>
        <w:rPr>
          <w:rFonts w:hint="eastAsia"/>
        </w:rPr>
        <w:t>；</w:t>
      </w:r>
      <w:r>
        <w:t>2024年1月对两镇提前告知270万元市级建设财力资金，其中：堡镇150万元，新河镇120万元。</w:t>
      </w:r>
      <w:r>
        <w:rPr>
          <w:rFonts w:hint="eastAsia"/>
        </w:rPr>
        <w:t>区级资金方面，专项债券融资计划规模为3600万元，区财政于2022年全部转移支付到两镇，其中：堡镇1000万元，新河镇2600万元，区级资金100%</w:t>
      </w:r>
      <w:r>
        <w:t>到位</w:t>
      </w:r>
      <w:r>
        <w:rPr>
          <w:rFonts w:hint="eastAsia"/>
        </w:rPr>
        <w:t>。镇级资金方面，堡镇共承担355.37万元，新河镇共承担</w:t>
      </w:r>
      <w:r>
        <w:t>222.87万元。由于各级资金无明确分担比例，</w:t>
      </w:r>
      <w:r>
        <w:rPr>
          <w:rFonts w:hint="eastAsia"/>
        </w:rPr>
        <w:t>实际区级转移支付资金和镇级承担资金合计数未低于审计金额/</w:t>
      </w:r>
      <w:r>
        <w:t>审价金额，评价小</w:t>
      </w:r>
      <w:r>
        <w:rPr>
          <w:rFonts w:hint="eastAsia"/>
        </w:rPr>
        <w:t>组按照各级资金100%到位进行认定。根据评分标准，该指标满分2分，得100%权重分，实际得分2分。</w:t>
      </w:r>
    </w:p>
    <w:p>
      <w:pPr>
        <w:pStyle w:val="22"/>
        <w:ind w:firstLine="643"/>
        <w:rPr>
          <w:b/>
          <w:bCs w:val="0"/>
        </w:rPr>
      </w:pPr>
      <w:r>
        <w:rPr>
          <w:rFonts w:hint="eastAsia"/>
          <w:b/>
          <w:bCs w:val="0"/>
        </w:rPr>
        <w:t>B22 资金使用率：</w:t>
      </w:r>
      <w:r>
        <w:rPr>
          <w:rFonts w:hint="eastAsia"/>
        </w:rPr>
        <w:t>截至2024年5月底，区财政转移支付及提前告知①堡镇的市级建设财力资金为730万元、区级专项债券资金为1000万元、镇级配套资金为355.37万元，各级资金共计2085.37万元，项目单位实际支出1457.43万元，资金使用率为69.89%，其中镇级配套资金100%全部支出；目前有225.44万元已请款待核付的资金，届时将根据资金到位情况及时核付。新河镇的市级建设财力资金为1920万元、区级专项债券资金为2600万元、镇级配套资金为222.87万元，各级资金共计4737.97万元，项目单位实际支出3621.04万元，资金使用率为75.18%，其中镇级配套资金100%全部支出。根据评分标准，该指标满分2分，实际不得分。</w:t>
      </w:r>
    </w:p>
    <w:p>
      <w:pPr>
        <w:pStyle w:val="22"/>
        <w:ind w:firstLine="643"/>
        <w:rPr>
          <w:b/>
          <w:bCs w:val="0"/>
        </w:rPr>
      </w:pPr>
      <w:r>
        <w:rPr>
          <w:rFonts w:hint="eastAsia"/>
          <w:b/>
          <w:bCs w:val="0"/>
        </w:rPr>
        <w:t>B23资金拨付和支出进度与项目建设进度匹配性：</w:t>
      </w:r>
      <w:r>
        <w:rPr>
          <w:rFonts w:hint="eastAsia"/>
        </w:rPr>
        <w:t>堡镇项目于2023年8月30日通过竣工验收，2023年11月21日完成了审计并出具审计报告，目前项目已结项，相关设施设备已经入养护阶段；新河镇项目于2024年4月10日通过竣工验收，目前项目已送审。两镇施工合同约定的付款方式均为“在承包人按要求实际进场开始施工后（7天内）且在区财政配套资金到位的前提下，发包人预付合同价的30%（预付款分三次等额在支付月进度工程款时扣回；工程完工验收合格后付至已核实工程量价款的85%；完成竣工档案等相关资料的编制，并通过竣工验收后，支付至结算审定价的90%；完成工程档案资料移交档案馆工作后，支付至审定价的97%；剩余审定价的3%作为质量保证金待审计完成、保修期满后支付”，按照合同约定堡镇应支付至审定价的90%，即1407.44万元，实际支付1252.15万元（80%合同额）；新河镇应支付至工程量价款的85%，即3449.98万元，实际支付3081万元。综上，两镇资金支出进度均与项目建设进度不匹配。根据评分标准，该指标满分1分，实际不得分。</w:t>
      </w:r>
    </w:p>
    <w:p>
      <w:pPr>
        <w:pStyle w:val="22"/>
        <w:ind w:firstLine="643"/>
        <w:rPr>
          <w:b/>
          <w:bCs w:val="0"/>
        </w:rPr>
      </w:pPr>
      <w:r>
        <w:rPr>
          <w:rFonts w:hint="eastAsia"/>
          <w:b/>
          <w:bCs w:val="0"/>
        </w:rPr>
        <w:t>B24 资金使用合规性：</w:t>
      </w:r>
      <w:r>
        <w:rPr>
          <w:rFonts w:hint="eastAsia"/>
        </w:rPr>
        <w:t>①根据评价小组核查2家项目单位的财务收支明细账、记账凭证等资料，已支出的项目资金全部用于支付项目相关的施工费和设计、勘测、涉河论证等二类费用，符合合同规定的用途。②资金支付有完整的审批程序和手续，如堡镇在支付工程款及二类费用时，首先由第三方单位按照合同约定进行申报并附发票，由代建单位填写《工程预付款申请表》，财务监理出具“财务监理付款建议书”，经工程监理单位、投资监理单位、代建单位、建设单位各级确认后递交至镇水务所、镇财政所和分管领导、主要领导审批；审批通过后镇财政所填报《崇明区水务局拨付工程（独立、前期）费用申请汇总表（乡镇给排水条线专用）》后上报至区水务局业务科审批通过签章确认后反馈至镇级；镇级支付费用前，再经各级审核通过后进行支付。③经评价小组梳理，堡镇已签订合同中的选线规划费、涉河论证费、竣工档案编制费、审计费不在区发改委及区建管委批复的二类费用中，涉及费用共计23.02万元；新河镇已签订合同中的选线规划费、涉河论证费、跟测费、绿化补植、绿化搬迁咨询费均不在批复内容中，涉及费用共计41.21万元。④经核查，两镇项目均未发生截留、挤占、挪用、虚列支出等情况，目前尚有部分资金未支付。根据评分标准，该指标满分1分，得75%权重分，实际得分0.75分</w:t>
      </w:r>
      <w:r>
        <w:rPr>
          <w:rFonts w:hint="eastAsia"/>
          <w:b/>
          <w:bCs w:val="0"/>
        </w:rPr>
        <w:t>。</w:t>
      </w:r>
    </w:p>
    <w:p>
      <w:pPr>
        <w:pStyle w:val="22"/>
        <w:ind w:firstLine="643"/>
        <w:rPr>
          <w:b/>
          <w:bCs w:val="0"/>
        </w:rPr>
      </w:pPr>
      <w:r>
        <w:rPr>
          <w:rFonts w:hint="eastAsia"/>
          <w:b/>
          <w:bCs w:val="0"/>
        </w:rPr>
        <w:t>B31 管理制度健全性：</w:t>
      </w:r>
      <w:r>
        <w:rPr>
          <w:rFonts w:hint="eastAsia"/>
        </w:rPr>
        <w:t>堡镇和新河镇污水管网完善工程项目的实施严格按照国家、上海市相关政策文件以及《上海市崇明区人民政府办公室关于印发&lt;崇明区水务“十四五”规划&gt;的通知》（沪崇府办发〔2021〕21号）、《关于印发&lt;推进崇明区污水管网完善工程的实施意见&gt;的通知》（沪崇水务〔2019〕237 号）、《关于加快推进本区撤制乡镇污水管网完善工程的通知》（崇河长办〔2021〕11 号）、《崇明世界级生态岛建设第五轮三年行动计划（2022-2024年）》（沪崇生态办〔2022〕1号）等政策文件规定执行，崇明区水务局和两个项目单位主要是依据工程类项目往年实施流程进行申报、审核、批复、立项、费用审核等。第三方单位方面，项目实施过程中，主要是依据单位内部质量管理措施、人员管理措施、安全管理等规范项目共开展。综上，项目管理制度较为健全。根据评分标准，该指标满分2分，得100%权重分，实际得分2分</w:t>
      </w:r>
      <w:r>
        <w:rPr>
          <w:rFonts w:hint="eastAsia"/>
          <w:b/>
          <w:bCs w:val="0"/>
        </w:rPr>
        <w:t>。</w:t>
      </w:r>
    </w:p>
    <w:p>
      <w:pPr>
        <w:pStyle w:val="22"/>
        <w:ind w:firstLine="643"/>
        <w:rPr>
          <w:b/>
          <w:bCs w:val="0"/>
        </w:rPr>
      </w:pPr>
      <w:r>
        <w:rPr>
          <w:rFonts w:hint="eastAsia"/>
          <w:b/>
          <w:bCs w:val="0"/>
        </w:rPr>
        <w:t>B32 政府采购合规性：</w:t>
      </w:r>
      <w:r>
        <w:rPr>
          <w:rFonts w:hint="eastAsia"/>
        </w:rPr>
        <w:t>①堡镇和新河镇对于的项目采购工作主要按照上海市的相关规定执行，《上海市政府集中采购目录及标准（2021年版）》（沪财采〔2020〕25号）中明确规定工程项目分散采购的限额标准为100万元，公开招标数额标准为400万元。对于项目建设费用，两镇批复金额均超出400万元，实际采用公开招投标的方式确定施工单位，符合采购制度规定；二类费用方面，经梳理，新河镇设计费批复金额超出100万元，项目单位同样选取公开招投标的方式，其他二类费用批复金额低于100万元，两镇主要根据沪财采〔2020〕25号文中“对分散采购项目，采购人可以自行组织开展采购活动，也可以根据国家和本市相关规定，择优委托具备相应专业能力的采购代理机构采购”“集中采购目录以外且金额未达到分散采购限额标准的项目，由采购人按照相关预算支出管理规定和单位内部控制采购规程等组织实施采购”等规定，选取邀标、比价的方式，具体采购方式见表1-7。②两镇施工招标文件内容完整，采购需求中明确了项目建设内容、建设地点，与批复一致，项目评标结束后根据评审结果及时发布了中标通知书。③目前项目相关的招投标文件均由代建单位管理，项目验收通过审计完成后将根据要求编制竣工档案提交区镇相关部门存档。综上，政府采购合规。根据评分标准，该指标满分2分，得100%权重分，实际得分2分</w:t>
      </w:r>
      <w:r>
        <w:rPr>
          <w:rFonts w:hint="eastAsia"/>
          <w:b/>
          <w:bCs w:val="0"/>
        </w:rPr>
        <w:t>。</w:t>
      </w:r>
    </w:p>
    <w:p>
      <w:pPr>
        <w:pStyle w:val="22"/>
        <w:ind w:firstLine="643"/>
      </w:pPr>
      <w:r>
        <w:rPr>
          <w:rFonts w:hint="eastAsia"/>
          <w:b/>
          <w:bCs w:val="0"/>
        </w:rPr>
        <w:t>B33 合同管理及执行有效性：</w:t>
      </w:r>
      <w:r>
        <w:rPr>
          <w:rFonts w:hint="eastAsia"/>
        </w:rPr>
        <w:t>根据评价小组梳理项目单位提供的材料，中标通知书发布后，两镇分别与施工单位及各二类费用涉及的第三方单位按照中标事项签订了合同，合同中明确了标的、数量、价款等内容。合同签订后，各第三方单位完成了勘察、设计、可研、选线规划、涉河论证、物探等工作并形成相应的材料和报告提交到镇级部门；施工单位根据合同约定协助镇级部门及时办理施工许可证，并根据合同要求开展工程交桩、地下管线交底等工作，保证项目具备开工条件，在取得开工令后及时敷设管网、建设检查井等。但仍存在以下问题：一是个别合同要素不够齐全，如堡镇前期咨询合同中问填写结束日期，新河镇工程勘测费合同中缺少签订日期及勘察报告的提交时间；二是两镇项目建设周期均超出合同约定工期，如堡镇施工合同约定的工期为2021年10月2日至2021年12月30日，项目实际于11月8日开工并于2022年7月1日竣工，晚于合同约定时间，主要是受工程量变化及特殊时期影响，但建设内容发生变更后未同步调整合同期限。根据评分标准，该指标满分2分，得60%权重分，实际得分1.2分</w:t>
      </w:r>
      <w:r>
        <w:rPr>
          <w:rFonts w:hint="eastAsia"/>
          <w:b/>
          <w:bCs w:val="0"/>
        </w:rPr>
        <w:t>。</w:t>
      </w:r>
    </w:p>
    <w:p>
      <w:pPr>
        <w:pStyle w:val="22"/>
        <w:ind w:firstLine="643"/>
        <w:rPr>
          <w:b/>
          <w:bCs w:val="0"/>
        </w:rPr>
      </w:pPr>
      <w:r>
        <w:rPr>
          <w:rFonts w:hint="eastAsia"/>
          <w:b/>
          <w:bCs w:val="0"/>
        </w:rPr>
        <w:t>B34 过程监管有效性：</w:t>
      </w:r>
      <w:r>
        <w:rPr>
          <w:rFonts w:hint="eastAsia"/>
        </w:rPr>
        <w:t>污水管网完善工程项目实施过程中，堡镇和新河镇分别委托财务监理单位和施工监理单位对项目财务部分和工程建设部分进行监管，代建单位全程参与施工过程的管理。根据施工监理报告、财务监理报告等材料，堡镇、新河镇在项目实施过程中进场的材料全部合格，所有隐蔽工程的主控项目和一般项目质量全部合格，资金支付经过审核。项目建设完成后，两镇分别组织了区水务局相关部门、水务质监、安质监和监理单位、设计单位、勘察单位、施工单位、检测单位、投资监理单位等参与通水验收。综上，项目过程监管较为有效。根据评分标准，该指标满分1分，得100%权重分，实际得分1分。</w:t>
      </w:r>
    </w:p>
    <w:p>
      <w:pPr>
        <w:pStyle w:val="22"/>
        <w:ind w:firstLine="643"/>
      </w:pPr>
      <w:r>
        <w:rPr>
          <w:rFonts w:hint="eastAsia"/>
          <w:b/>
          <w:bCs w:val="0"/>
        </w:rPr>
        <w:t>B35 建设内容变更率：</w:t>
      </w:r>
      <w:r>
        <w:rPr>
          <w:rFonts w:hint="eastAsia"/>
        </w:rPr>
        <w:t>经梳理项目过程性材料及审价审计报告，两镇项目审定工程量与合同约定均存在一定变更。①经梳理统计，堡镇项目中的2项内容取消，费用减少55.61万元；新增9项内容，费用增加174.61万元；7项内容的工程量较合同约定数量减少，涉及302.97万元，审定费用较合同价降低66.95%；5项内容的工程量较合同约定数量增加，涉及58.97万元，审定费用较合同价增长7.07%。</w:t>
      </w:r>
      <w:bookmarkStart w:id="161" w:name="_Hlk171080786"/>
      <w:r>
        <w:rPr>
          <w:rFonts w:hint="eastAsia"/>
        </w:rPr>
        <w:t>经审计，项目建安工程费的审定价为1542.87万元，较中标价减少1.34%。</w:t>
      </w:r>
      <w:bookmarkEnd w:id="161"/>
      <w:r>
        <w:rPr>
          <w:rFonts w:hint="eastAsia"/>
        </w:rPr>
        <w:t>②新河镇项目合同内实际建设内容包括污水管道7966.08米，2座泵站，检查井111座，压力井4座，沉井61座，泄压井2座，排气阀井3座，出水流量井2座，雨水口38座，道路修复4595.75平方米及局部树脂固化、绿化修复等；合同外新增内容主要涉及3座排泥井，20个标志牌及设计变更相关内容等。经统计，污水管网长度较合同约定减少3.76%，各类检查井减少5.10%，雨水口减少15.56%，道路修复面积增加24.04%，新增20个标志牌等，项目建安工程费的审价金额为4085.12万元，较中标价增加0.65%。综上，两镇项目建安费用增减比例未超出沪崇发改〔2020〕478</w:t>
      </w:r>
      <w:r>
        <w:t>号</w:t>
      </w:r>
      <w:r>
        <w:rPr>
          <w:rFonts w:hint="eastAsia"/>
        </w:rPr>
        <w:t>文中规定的5%，建设内容变更率控制在一定范围。根据评分标准，该指标满分2分，得100%权重分，实际得分2分。</w:t>
      </w:r>
    </w:p>
    <w:p>
      <w:pPr>
        <w:pStyle w:val="22"/>
        <w:ind w:firstLine="643"/>
      </w:pPr>
      <w:r>
        <w:rPr>
          <w:rFonts w:hint="eastAsia"/>
          <w:b/>
          <w:bCs w:val="0"/>
        </w:rPr>
        <w:t>B36 建设内容变更程序合规性：</w:t>
      </w:r>
      <w:r>
        <w:rPr>
          <w:rFonts w:hint="eastAsia"/>
        </w:rPr>
        <w:t>污水管网完善工程项目主要依据上级相关制度文件和规定执行，崇明区水务局、堡镇、新河镇均无相应的工程变更报批机制。根据《水利部关于印发〈水利工程设计变更管理暂行办法〉的通知》（水规计〔2020〕283号），“重大设计变更是指工程建设过程中，对初步设计批复的有关建设任务和内容进行调整，导致工程任务、规模、工程等级及设计标准发生变化……对工程质量、安全、工期、投资、效益、环境和运行管理等产生重大影响的设计变更”，“涉及工程开发任务变化和工程规模、设计标准、总体布局等方面的重大设计变更，应征得可行性研究报告批复部门的同意”“重大设计变更文件，由项目法人按原报审程序报原初步设计审批部门审批”“一般设计变更文件由项目法人组织有关参建方研究确认后实施变更，并报项目主管部门核备，项目主管部门认为必要时可组织审批。设计变更文件审查批准后，由项目法人负责组织实施”，经评价小组梳理项目材料，两镇在项目实施过程中均存在根据现场实际情况对工程部分部位进行变更的情况，堡镇在变更时填写了5份签证单和2份设计变更通知单，新河镇填写了4份业务联系单，除此之外缺少其他经相关部门或单位审批的变更材料。综上，建设内容变更程序不够合规。根据评分标准，该指标满分2分，不得分。</w:t>
      </w:r>
    </w:p>
    <w:p>
      <w:pPr>
        <w:pStyle w:val="24"/>
        <w:ind w:firstLine="643"/>
      </w:pPr>
      <w:bookmarkStart w:id="162" w:name="_Toc169390977"/>
      <w:bookmarkStart w:id="163" w:name="_Toc171093948"/>
      <w:bookmarkStart w:id="164" w:name="_Toc169439213"/>
      <w:r>
        <w:rPr>
          <w:rFonts w:hint="eastAsia"/>
        </w:rPr>
        <w:t>3.产出类指标</w:t>
      </w:r>
      <w:bookmarkEnd w:id="162"/>
      <w:bookmarkEnd w:id="163"/>
      <w:bookmarkEnd w:id="164"/>
    </w:p>
    <w:p>
      <w:pPr>
        <w:pStyle w:val="22"/>
      </w:pPr>
      <w:r>
        <w:rPr>
          <w:rFonts w:hint="eastAsia"/>
        </w:rPr>
        <w:t>项目产出类指标由3个二级指标和11个三级指标构成，权重分30分，实际得分26.25分，得分率为87.50%。其中：堡镇项目权重分14分，实际得分12.50</w:t>
      </w:r>
      <w:r>
        <w:t>分，</w:t>
      </w:r>
      <w:r>
        <w:rPr>
          <w:rFonts w:hint="eastAsia"/>
        </w:rPr>
        <w:t>得分率为89.29</w:t>
      </w:r>
      <w:r>
        <w:t>%</w:t>
      </w:r>
      <w:r>
        <w:rPr>
          <w:rFonts w:hint="eastAsia"/>
        </w:rPr>
        <w:t>；新河镇项目权重分16分，实际得分13.75</w:t>
      </w:r>
      <w:r>
        <w:t>分，</w:t>
      </w:r>
      <w:r>
        <w:rPr>
          <w:rFonts w:hint="eastAsia"/>
        </w:rPr>
        <w:t>得分率为85.94</w:t>
      </w:r>
      <w:r>
        <w:t>%</w:t>
      </w:r>
      <w:r>
        <w:rPr>
          <w:rFonts w:hint="eastAsia"/>
        </w:rPr>
        <w:t>。产出数量指标中，考虑到实际工程量主要根据设计变更的具体情况进行调整，因此业绩值较标杆值存在偏差，暂未进行扣分。具体指标得分情况见下表：</w:t>
      </w:r>
    </w:p>
    <w:p>
      <w:pPr>
        <w:pStyle w:val="22"/>
        <w:ind w:firstLine="0" w:firstLineChars="0"/>
        <w:jc w:val="center"/>
        <w:rPr>
          <w:b/>
          <w:bCs w:val="0"/>
          <w:sz w:val="28"/>
          <w:szCs w:val="24"/>
        </w:rPr>
      </w:pPr>
      <w:r>
        <w:rPr>
          <w:b/>
          <w:bCs w:val="0"/>
          <w:sz w:val="28"/>
          <w:szCs w:val="24"/>
        </w:rPr>
        <w:t>表3-</w:t>
      </w:r>
      <w:r>
        <w:rPr>
          <w:rFonts w:hint="eastAsia"/>
          <w:b/>
          <w:bCs w:val="0"/>
          <w:sz w:val="28"/>
          <w:szCs w:val="24"/>
        </w:rPr>
        <w:t>4</w:t>
      </w:r>
      <w:r>
        <w:rPr>
          <w:b/>
          <w:bCs w:val="0"/>
          <w:sz w:val="28"/>
          <w:szCs w:val="24"/>
        </w:rPr>
        <w:t>：</w:t>
      </w:r>
      <w:r>
        <w:rPr>
          <w:rFonts w:hint="eastAsia"/>
          <w:b/>
          <w:bCs w:val="0"/>
          <w:sz w:val="28"/>
          <w:szCs w:val="24"/>
        </w:rPr>
        <w:t>产出</w:t>
      </w:r>
      <w:r>
        <w:rPr>
          <w:b/>
          <w:bCs w:val="0"/>
          <w:sz w:val="28"/>
          <w:szCs w:val="24"/>
        </w:rPr>
        <w:t>类指标得分情况表</w:t>
      </w:r>
    </w:p>
    <w:tbl>
      <w:tblPr>
        <w:tblStyle w:val="12"/>
        <w:tblW w:w="5320" w:type="pct"/>
        <w:tblInd w:w="-318" w:type="dxa"/>
        <w:tblLayout w:type="fixed"/>
        <w:tblCellMar>
          <w:top w:w="0" w:type="dxa"/>
          <w:left w:w="108" w:type="dxa"/>
          <w:bottom w:w="0" w:type="dxa"/>
          <w:right w:w="108" w:type="dxa"/>
        </w:tblCellMar>
      </w:tblPr>
      <w:tblGrid>
        <w:gridCol w:w="824"/>
        <w:gridCol w:w="505"/>
        <w:gridCol w:w="798"/>
        <w:gridCol w:w="1134"/>
        <w:gridCol w:w="1134"/>
        <w:gridCol w:w="426"/>
        <w:gridCol w:w="1275"/>
        <w:gridCol w:w="1224"/>
        <w:gridCol w:w="555"/>
        <w:gridCol w:w="555"/>
        <w:gridCol w:w="457"/>
        <w:gridCol w:w="754"/>
      </w:tblGrid>
      <w:tr>
        <w:tblPrEx>
          <w:tblCellMar>
            <w:top w:w="0" w:type="dxa"/>
            <w:left w:w="108" w:type="dxa"/>
            <w:bottom w:w="0" w:type="dxa"/>
            <w:right w:w="108" w:type="dxa"/>
          </w:tblCellMar>
        </w:tblPrEx>
        <w:trPr>
          <w:trHeight w:val="300" w:hRule="atLeast"/>
          <w:tblHeader/>
        </w:trPr>
        <w:tc>
          <w:tcPr>
            <w:tcW w:w="42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一级指标</w:t>
            </w:r>
          </w:p>
        </w:tc>
        <w:tc>
          <w:tcPr>
            <w:tcW w:w="26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权重</w:t>
            </w:r>
          </w:p>
        </w:tc>
        <w:tc>
          <w:tcPr>
            <w:tcW w:w="41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二级指标</w:t>
            </w:r>
          </w:p>
        </w:tc>
        <w:tc>
          <w:tcPr>
            <w:tcW w:w="58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三级指标</w:t>
            </w:r>
          </w:p>
        </w:tc>
        <w:tc>
          <w:tcPr>
            <w:tcW w:w="58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标杆值</w:t>
            </w:r>
          </w:p>
        </w:tc>
        <w:tc>
          <w:tcPr>
            <w:tcW w:w="22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分值</w:t>
            </w:r>
          </w:p>
        </w:tc>
        <w:tc>
          <w:tcPr>
            <w:tcW w:w="129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业绩值</w:t>
            </w:r>
          </w:p>
        </w:tc>
        <w:tc>
          <w:tcPr>
            <w:tcW w:w="57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得分</w:t>
            </w:r>
          </w:p>
        </w:tc>
        <w:tc>
          <w:tcPr>
            <w:tcW w:w="23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总得分</w:t>
            </w:r>
          </w:p>
        </w:tc>
        <w:tc>
          <w:tcPr>
            <w:tcW w:w="39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得分率</w:t>
            </w:r>
          </w:p>
        </w:tc>
      </w:tr>
      <w:tr>
        <w:tblPrEx>
          <w:tblCellMar>
            <w:top w:w="0" w:type="dxa"/>
            <w:left w:w="108" w:type="dxa"/>
            <w:bottom w:w="0" w:type="dxa"/>
            <w:right w:w="108" w:type="dxa"/>
          </w:tblCellMar>
        </w:tblPrEx>
        <w:trPr>
          <w:trHeight w:val="300" w:hRule="atLeast"/>
          <w:tblHeader/>
        </w:trPr>
        <w:tc>
          <w:tcPr>
            <w:tcW w:w="427"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b/>
                <w:bCs/>
                <w:kern w:val="0"/>
                <w:sz w:val="24"/>
                <w:szCs w:val="24"/>
              </w:rPr>
            </w:pPr>
          </w:p>
        </w:tc>
        <w:tc>
          <w:tcPr>
            <w:tcW w:w="262"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b/>
                <w:bCs/>
                <w:kern w:val="0"/>
                <w:sz w:val="24"/>
                <w:szCs w:val="24"/>
              </w:rPr>
            </w:pPr>
          </w:p>
        </w:tc>
        <w:tc>
          <w:tcPr>
            <w:tcW w:w="414"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b/>
                <w:bCs/>
                <w:kern w:val="0"/>
                <w:sz w:val="24"/>
                <w:szCs w:val="24"/>
              </w:rPr>
            </w:pPr>
          </w:p>
        </w:tc>
        <w:tc>
          <w:tcPr>
            <w:tcW w:w="588"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b/>
                <w:bCs/>
                <w:kern w:val="0"/>
                <w:sz w:val="24"/>
                <w:szCs w:val="24"/>
              </w:rPr>
            </w:pPr>
          </w:p>
        </w:tc>
        <w:tc>
          <w:tcPr>
            <w:tcW w:w="588"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b/>
                <w:bCs/>
                <w:kern w:val="0"/>
                <w:sz w:val="24"/>
                <w:szCs w:val="24"/>
              </w:rPr>
            </w:pPr>
          </w:p>
        </w:tc>
        <w:tc>
          <w:tcPr>
            <w:tcW w:w="221"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b/>
                <w:bCs/>
                <w:kern w:val="0"/>
                <w:sz w:val="24"/>
                <w:szCs w:val="24"/>
              </w:rPr>
            </w:pP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堡镇</w:t>
            </w:r>
          </w:p>
        </w:tc>
        <w:tc>
          <w:tcPr>
            <w:tcW w:w="63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新河镇</w:t>
            </w:r>
          </w:p>
        </w:tc>
        <w:tc>
          <w:tcPr>
            <w:tcW w:w="2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堡镇</w:t>
            </w:r>
          </w:p>
        </w:tc>
        <w:tc>
          <w:tcPr>
            <w:tcW w:w="2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新河</w:t>
            </w:r>
          </w:p>
        </w:tc>
        <w:tc>
          <w:tcPr>
            <w:tcW w:w="237"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b/>
                <w:bCs/>
                <w:kern w:val="0"/>
                <w:sz w:val="24"/>
                <w:szCs w:val="24"/>
              </w:rPr>
            </w:pPr>
          </w:p>
        </w:tc>
        <w:tc>
          <w:tcPr>
            <w:tcW w:w="391"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b/>
                <w:bCs/>
                <w:kern w:val="0"/>
                <w:sz w:val="24"/>
                <w:szCs w:val="24"/>
              </w:rPr>
            </w:pPr>
          </w:p>
        </w:tc>
      </w:tr>
      <w:tr>
        <w:tblPrEx>
          <w:tblCellMar>
            <w:top w:w="0" w:type="dxa"/>
            <w:left w:w="108" w:type="dxa"/>
            <w:bottom w:w="0" w:type="dxa"/>
            <w:right w:w="108" w:type="dxa"/>
          </w:tblCellMar>
        </w:tblPrEx>
        <w:trPr>
          <w:trHeight w:val="930" w:hRule="atLeast"/>
        </w:trPr>
        <w:tc>
          <w:tcPr>
            <w:tcW w:w="42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C产出</w:t>
            </w:r>
          </w:p>
        </w:tc>
        <w:tc>
          <w:tcPr>
            <w:tcW w:w="26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30%</w:t>
            </w:r>
          </w:p>
        </w:tc>
        <w:tc>
          <w:tcPr>
            <w:tcW w:w="41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C1 产出数量</w:t>
            </w:r>
          </w:p>
        </w:tc>
        <w:tc>
          <w:tcPr>
            <w:tcW w:w="5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C11 污水管道敷设完成量</w:t>
            </w:r>
          </w:p>
        </w:tc>
        <w:tc>
          <w:tcPr>
            <w:tcW w:w="5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17718米，其中：堡镇9441米，新河镇8277米</w:t>
            </w:r>
          </w:p>
        </w:tc>
        <w:tc>
          <w:tcPr>
            <w:tcW w:w="22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8117.29 </w:t>
            </w:r>
          </w:p>
        </w:tc>
        <w:tc>
          <w:tcPr>
            <w:tcW w:w="63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7966.08 </w:t>
            </w:r>
          </w:p>
        </w:tc>
        <w:tc>
          <w:tcPr>
            <w:tcW w:w="2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1.50 </w:t>
            </w:r>
          </w:p>
        </w:tc>
        <w:tc>
          <w:tcPr>
            <w:tcW w:w="2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1.50 </w:t>
            </w: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3.00 </w:t>
            </w:r>
          </w:p>
        </w:tc>
        <w:tc>
          <w:tcPr>
            <w:tcW w:w="39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CellMar>
            <w:top w:w="0" w:type="dxa"/>
            <w:left w:w="108" w:type="dxa"/>
            <w:bottom w:w="0" w:type="dxa"/>
            <w:right w:w="108" w:type="dxa"/>
          </w:tblCellMar>
        </w:tblPrEx>
        <w:trPr>
          <w:trHeight w:val="620" w:hRule="atLeast"/>
        </w:trPr>
        <w:tc>
          <w:tcPr>
            <w:tcW w:w="427"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kern w:val="0"/>
                <w:sz w:val="24"/>
                <w:szCs w:val="24"/>
              </w:rPr>
            </w:pPr>
          </w:p>
        </w:tc>
        <w:tc>
          <w:tcPr>
            <w:tcW w:w="262"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kern w:val="0"/>
                <w:sz w:val="24"/>
                <w:szCs w:val="24"/>
              </w:rPr>
            </w:pPr>
          </w:p>
        </w:tc>
        <w:tc>
          <w:tcPr>
            <w:tcW w:w="414"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kern w:val="0"/>
                <w:sz w:val="24"/>
                <w:szCs w:val="24"/>
              </w:rPr>
            </w:pPr>
          </w:p>
        </w:tc>
        <w:tc>
          <w:tcPr>
            <w:tcW w:w="5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C12 检查井、截流井、压力井等建设完成数</w:t>
            </w:r>
          </w:p>
        </w:tc>
        <w:tc>
          <w:tcPr>
            <w:tcW w:w="5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471座，其中：堡镇275座，新河镇196座</w:t>
            </w:r>
          </w:p>
        </w:tc>
        <w:tc>
          <w:tcPr>
            <w:tcW w:w="22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150座</w:t>
            </w:r>
          </w:p>
        </w:tc>
        <w:tc>
          <w:tcPr>
            <w:tcW w:w="63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186座</w:t>
            </w:r>
          </w:p>
        </w:tc>
        <w:tc>
          <w:tcPr>
            <w:tcW w:w="2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1.50 </w:t>
            </w:r>
          </w:p>
        </w:tc>
        <w:tc>
          <w:tcPr>
            <w:tcW w:w="2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1.50 </w:t>
            </w: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3.00 </w:t>
            </w:r>
          </w:p>
        </w:tc>
        <w:tc>
          <w:tcPr>
            <w:tcW w:w="39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CellMar>
            <w:top w:w="0" w:type="dxa"/>
            <w:left w:w="108" w:type="dxa"/>
            <w:bottom w:w="0" w:type="dxa"/>
            <w:right w:w="108" w:type="dxa"/>
          </w:tblCellMar>
        </w:tblPrEx>
        <w:trPr>
          <w:trHeight w:val="620" w:hRule="atLeast"/>
        </w:trPr>
        <w:tc>
          <w:tcPr>
            <w:tcW w:w="427"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kern w:val="0"/>
                <w:sz w:val="24"/>
                <w:szCs w:val="24"/>
              </w:rPr>
            </w:pPr>
          </w:p>
        </w:tc>
        <w:tc>
          <w:tcPr>
            <w:tcW w:w="262"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kern w:val="0"/>
                <w:sz w:val="24"/>
                <w:szCs w:val="24"/>
              </w:rPr>
            </w:pPr>
          </w:p>
        </w:tc>
        <w:tc>
          <w:tcPr>
            <w:tcW w:w="414"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kern w:val="0"/>
                <w:sz w:val="24"/>
                <w:szCs w:val="24"/>
              </w:rPr>
            </w:pPr>
          </w:p>
        </w:tc>
        <w:tc>
          <w:tcPr>
            <w:tcW w:w="5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C13 泵站建设完成数</w:t>
            </w:r>
          </w:p>
        </w:tc>
        <w:tc>
          <w:tcPr>
            <w:tcW w:w="5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6座，其中：堡镇4座，新河镇2座</w:t>
            </w:r>
          </w:p>
        </w:tc>
        <w:tc>
          <w:tcPr>
            <w:tcW w:w="22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3座一体化预制泵站，2座泵站提升井</w:t>
            </w:r>
          </w:p>
        </w:tc>
        <w:tc>
          <w:tcPr>
            <w:tcW w:w="63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1座</w:t>
            </w:r>
          </w:p>
        </w:tc>
        <w:tc>
          <w:tcPr>
            <w:tcW w:w="2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1.00 </w:t>
            </w:r>
          </w:p>
        </w:tc>
        <w:tc>
          <w:tcPr>
            <w:tcW w:w="2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1.00 </w:t>
            </w: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2.00 </w:t>
            </w:r>
          </w:p>
        </w:tc>
        <w:tc>
          <w:tcPr>
            <w:tcW w:w="39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CellMar>
            <w:top w:w="0" w:type="dxa"/>
            <w:left w:w="108" w:type="dxa"/>
            <w:bottom w:w="0" w:type="dxa"/>
            <w:right w:w="108" w:type="dxa"/>
          </w:tblCellMar>
        </w:tblPrEx>
        <w:trPr>
          <w:trHeight w:val="310" w:hRule="atLeast"/>
        </w:trPr>
        <w:tc>
          <w:tcPr>
            <w:tcW w:w="427"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kern w:val="0"/>
                <w:sz w:val="24"/>
                <w:szCs w:val="24"/>
              </w:rPr>
            </w:pPr>
          </w:p>
        </w:tc>
        <w:tc>
          <w:tcPr>
            <w:tcW w:w="262"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kern w:val="0"/>
                <w:sz w:val="24"/>
                <w:szCs w:val="24"/>
              </w:rPr>
            </w:pPr>
          </w:p>
        </w:tc>
        <w:tc>
          <w:tcPr>
            <w:tcW w:w="414"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kern w:val="0"/>
                <w:sz w:val="24"/>
                <w:szCs w:val="24"/>
              </w:rPr>
            </w:pPr>
          </w:p>
        </w:tc>
        <w:tc>
          <w:tcPr>
            <w:tcW w:w="5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C14 雨水口建设完成数</w:t>
            </w:r>
          </w:p>
        </w:tc>
        <w:tc>
          <w:tcPr>
            <w:tcW w:w="5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新河镇45座</w:t>
            </w:r>
          </w:p>
        </w:tc>
        <w:tc>
          <w:tcPr>
            <w:tcW w:w="22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不涉及</w:t>
            </w:r>
          </w:p>
        </w:tc>
        <w:tc>
          <w:tcPr>
            <w:tcW w:w="63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38座</w:t>
            </w:r>
          </w:p>
        </w:tc>
        <w:tc>
          <w:tcPr>
            <w:tcW w:w="2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 xml:space="preserve"> </w:t>
            </w:r>
          </w:p>
        </w:tc>
        <w:tc>
          <w:tcPr>
            <w:tcW w:w="2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2.00 </w:t>
            </w: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2.00 </w:t>
            </w:r>
          </w:p>
        </w:tc>
        <w:tc>
          <w:tcPr>
            <w:tcW w:w="39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CellMar>
            <w:top w:w="0" w:type="dxa"/>
            <w:left w:w="108" w:type="dxa"/>
            <w:bottom w:w="0" w:type="dxa"/>
            <w:right w:w="108" w:type="dxa"/>
          </w:tblCellMar>
        </w:tblPrEx>
        <w:trPr>
          <w:trHeight w:val="610" w:hRule="atLeast"/>
        </w:trPr>
        <w:tc>
          <w:tcPr>
            <w:tcW w:w="427"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kern w:val="0"/>
                <w:sz w:val="24"/>
                <w:szCs w:val="24"/>
              </w:rPr>
            </w:pPr>
          </w:p>
        </w:tc>
        <w:tc>
          <w:tcPr>
            <w:tcW w:w="262"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kern w:val="0"/>
                <w:sz w:val="24"/>
                <w:szCs w:val="24"/>
              </w:rPr>
            </w:pPr>
          </w:p>
        </w:tc>
        <w:tc>
          <w:tcPr>
            <w:tcW w:w="414"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kern w:val="0"/>
                <w:sz w:val="24"/>
                <w:szCs w:val="24"/>
              </w:rPr>
            </w:pPr>
          </w:p>
        </w:tc>
        <w:tc>
          <w:tcPr>
            <w:tcW w:w="5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C15 道路修复、绿化修复等其他内容建设完成率</w:t>
            </w:r>
          </w:p>
        </w:tc>
        <w:tc>
          <w:tcPr>
            <w:tcW w:w="5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100%完成</w:t>
            </w:r>
          </w:p>
        </w:tc>
        <w:tc>
          <w:tcPr>
            <w:tcW w:w="22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100%完成</w:t>
            </w:r>
          </w:p>
        </w:tc>
        <w:tc>
          <w:tcPr>
            <w:tcW w:w="63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100%完成</w:t>
            </w:r>
          </w:p>
        </w:tc>
        <w:tc>
          <w:tcPr>
            <w:tcW w:w="2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1.50 </w:t>
            </w:r>
          </w:p>
        </w:tc>
        <w:tc>
          <w:tcPr>
            <w:tcW w:w="2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1.50 </w:t>
            </w: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3.00 </w:t>
            </w:r>
          </w:p>
        </w:tc>
        <w:tc>
          <w:tcPr>
            <w:tcW w:w="39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CellMar>
            <w:top w:w="0" w:type="dxa"/>
            <w:left w:w="108" w:type="dxa"/>
            <w:bottom w:w="0" w:type="dxa"/>
            <w:right w:w="108" w:type="dxa"/>
          </w:tblCellMar>
        </w:tblPrEx>
        <w:trPr>
          <w:trHeight w:val="610" w:hRule="atLeast"/>
        </w:trPr>
        <w:tc>
          <w:tcPr>
            <w:tcW w:w="427"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kern w:val="0"/>
                <w:sz w:val="24"/>
                <w:szCs w:val="24"/>
              </w:rPr>
            </w:pPr>
          </w:p>
        </w:tc>
        <w:tc>
          <w:tcPr>
            <w:tcW w:w="262"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kern w:val="0"/>
                <w:sz w:val="24"/>
                <w:szCs w:val="24"/>
              </w:rPr>
            </w:pPr>
          </w:p>
        </w:tc>
        <w:tc>
          <w:tcPr>
            <w:tcW w:w="41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C2 产出质量</w:t>
            </w:r>
          </w:p>
        </w:tc>
        <w:tc>
          <w:tcPr>
            <w:tcW w:w="5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C21 前期工作验收合格率</w:t>
            </w:r>
          </w:p>
        </w:tc>
        <w:tc>
          <w:tcPr>
            <w:tcW w:w="5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100%合格并一次性通过验收</w:t>
            </w:r>
          </w:p>
        </w:tc>
        <w:tc>
          <w:tcPr>
            <w:tcW w:w="22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100%合格并一次性通过验收</w:t>
            </w:r>
          </w:p>
        </w:tc>
        <w:tc>
          <w:tcPr>
            <w:tcW w:w="63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100%合格并一次性通过验收</w:t>
            </w:r>
          </w:p>
        </w:tc>
        <w:tc>
          <w:tcPr>
            <w:tcW w:w="2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1.00 </w:t>
            </w:r>
          </w:p>
        </w:tc>
        <w:tc>
          <w:tcPr>
            <w:tcW w:w="2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1.00 </w:t>
            </w: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2.00 </w:t>
            </w:r>
          </w:p>
        </w:tc>
        <w:tc>
          <w:tcPr>
            <w:tcW w:w="39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CellMar>
            <w:top w:w="0" w:type="dxa"/>
            <w:left w:w="108" w:type="dxa"/>
            <w:bottom w:w="0" w:type="dxa"/>
            <w:right w:w="108" w:type="dxa"/>
          </w:tblCellMar>
        </w:tblPrEx>
        <w:trPr>
          <w:trHeight w:val="610" w:hRule="atLeast"/>
        </w:trPr>
        <w:tc>
          <w:tcPr>
            <w:tcW w:w="427"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kern w:val="0"/>
                <w:sz w:val="24"/>
                <w:szCs w:val="24"/>
              </w:rPr>
            </w:pPr>
          </w:p>
        </w:tc>
        <w:tc>
          <w:tcPr>
            <w:tcW w:w="262"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kern w:val="0"/>
                <w:sz w:val="24"/>
                <w:szCs w:val="24"/>
              </w:rPr>
            </w:pPr>
          </w:p>
        </w:tc>
        <w:tc>
          <w:tcPr>
            <w:tcW w:w="414"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kern w:val="0"/>
                <w:sz w:val="24"/>
                <w:szCs w:val="24"/>
              </w:rPr>
            </w:pPr>
          </w:p>
        </w:tc>
        <w:tc>
          <w:tcPr>
            <w:tcW w:w="5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C22 通水验收合格率</w:t>
            </w:r>
          </w:p>
        </w:tc>
        <w:tc>
          <w:tcPr>
            <w:tcW w:w="5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100%合格并一次性通过验收</w:t>
            </w:r>
          </w:p>
        </w:tc>
        <w:tc>
          <w:tcPr>
            <w:tcW w:w="22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100%合格并一次性通过验收</w:t>
            </w:r>
          </w:p>
        </w:tc>
        <w:tc>
          <w:tcPr>
            <w:tcW w:w="63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100%合格并一次性通过验收</w:t>
            </w:r>
          </w:p>
        </w:tc>
        <w:tc>
          <w:tcPr>
            <w:tcW w:w="2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1.50 </w:t>
            </w:r>
          </w:p>
        </w:tc>
        <w:tc>
          <w:tcPr>
            <w:tcW w:w="2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1.50 </w:t>
            </w: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3.00 </w:t>
            </w:r>
          </w:p>
        </w:tc>
        <w:tc>
          <w:tcPr>
            <w:tcW w:w="39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CellMar>
            <w:top w:w="0" w:type="dxa"/>
            <w:left w:w="108" w:type="dxa"/>
            <w:bottom w:w="0" w:type="dxa"/>
            <w:right w:w="108" w:type="dxa"/>
          </w:tblCellMar>
        </w:tblPrEx>
        <w:trPr>
          <w:trHeight w:val="610" w:hRule="atLeast"/>
        </w:trPr>
        <w:tc>
          <w:tcPr>
            <w:tcW w:w="427"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kern w:val="0"/>
                <w:sz w:val="24"/>
                <w:szCs w:val="24"/>
              </w:rPr>
            </w:pPr>
          </w:p>
        </w:tc>
        <w:tc>
          <w:tcPr>
            <w:tcW w:w="262"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kern w:val="0"/>
                <w:sz w:val="24"/>
                <w:szCs w:val="24"/>
              </w:rPr>
            </w:pPr>
          </w:p>
        </w:tc>
        <w:tc>
          <w:tcPr>
            <w:tcW w:w="414"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kern w:val="0"/>
                <w:sz w:val="24"/>
                <w:szCs w:val="24"/>
              </w:rPr>
            </w:pPr>
          </w:p>
        </w:tc>
        <w:tc>
          <w:tcPr>
            <w:tcW w:w="5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C23 竣工验收合格率</w:t>
            </w:r>
          </w:p>
        </w:tc>
        <w:tc>
          <w:tcPr>
            <w:tcW w:w="5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100%合格并一次性通过验收</w:t>
            </w:r>
          </w:p>
        </w:tc>
        <w:tc>
          <w:tcPr>
            <w:tcW w:w="22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100%合格并一次性通过验收</w:t>
            </w:r>
          </w:p>
        </w:tc>
        <w:tc>
          <w:tcPr>
            <w:tcW w:w="63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100%合格并一次性通过验收</w:t>
            </w:r>
          </w:p>
        </w:tc>
        <w:tc>
          <w:tcPr>
            <w:tcW w:w="2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1.50 </w:t>
            </w:r>
          </w:p>
        </w:tc>
        <w:tc>
          <w:tcPr>
            <w:tcW w:w="2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1.50 </w:t>
            </w: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3.00 </w:t>
            </w:r>
          </w:p>
        </w:tc>
        <w:tc>
          <w:tcPr>
            <w:tcW w:w="39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CellMar>
            <w:top w:w="0" w:type="dxa"/>
            <w:left w:w="108" w:type="dxa"/>
            <w:bottom w:w="0" w:type="dxa"/>
            <w:right w:w="108" w:type="dxa"/>
          </w:tblCellMar>
        </w:tblPrEx>
        <w:trPr>
          <w:trHeight w:val="310" w:hRule="atLeast"/>
        </w:trPr>
        <w:tc>
          <w:tcPr>
            <w:tcW w:w="427"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kern w:val="0"/>
                <w:sz w:val="24"/>
                <w:szCs w:val="24"/>
              </w:rPr>
            </w:pPr>
          </w:p>
        </w:tc>
        <w:tc>
          <w:tcPr>
            <w:tcW w:w="262"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kern w:val="0"/>
                <w:sz w:val="24"/>
                <w:szCs w:val="24"/>
              </w:rPr>
            </w:pPr>
          </w:p>
        </w:tc>
        <w:tc>
          <w:tcPr>
            <w:tcW w:w="41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C3 产出时效</w:t>
            </w:r>
          </w:p>
        </w:tc>
        <w:tc>
          <w:tcPr>
            <w:tcW w:w="5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C31 前期工作完成及时性</w:t>
            </w:r>
          </w:p>
        </w:tc>
        <w:tc>
          <w:tcPr>
            <w:tcW w:w="5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及时</w:t>
            </w:r>
          </w:p>
        </w:tc>
        <w:tc>
          <w:tcPr>
            <w:tcW w:w="22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及时</w:t>
            </w:r>
          </w:p>
        </w:tc>
        <w:tc>
          <w:tcPr>
            <w:tcW w:w="63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及时</w:t>
            </w:r>
          </w:p>
        </w:tc>
        <w:tc>
          <w:tcPr>
            <w:tcW w:w="2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1.50 </w:t>
            </w:r>
          </w:p>
        </w:tc>
        <w:tc>
          <w:tcPr>
            <w:tcW w:w="2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1.50 </w:t>
            </w: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3.00 </w:t>
            </w:r>
          </w:p>
        </w:tc>
        <w:tc>
          <w:tcPr>
            <w:tcW w:w="39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CellMar>
            <w:top w:w="0" w:type="dxa"/>
            <w:left w:w="108" w:type="dxa"/>
            <w:bottom w:w="0" w:type="dxa"/>
            <w:right w:w="108" w:type="dxa"/>
          </w:tblCellMar>
        </w:tblPrEx>
        <w:trPr>
          <w:trHeight w:val="1120" w:hRule="atLeast"/>
        </w:trPr>
        <w:tc>
          <w:tcPr>
            <w:tcW w:w="427"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kern w:val="0"/>
                <w:sz w:val="24"/>
                <w:szCs w:val="24"/>
              </w:rPr>
            </w:pPr>
          </w:p>
        </w:tc>
        <w:tc>
          <w:tcPr>
            <w:tcW w:w="262"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kern w:val="0"/>
                <w:sz w:val="24"/>
                <w:szCs w:val="24"/>
              </w:rPr>
            </w:pPr>
          </w:p>
        </w:tc>
        <w:tc>
          <w:tcPr>
            <w:tcW w:w="414"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kern w:val="0"/>
                <w:sz w:val="24"/>
                <w:szCs w:val="24"/>
              </w:rPr>
            </w:pPr>
          </w:p>
        </w:tc>
        <w:tc>
          <w:tcPr>
            <w:tcW w:w="5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C32 开竣工及时性</w:t>
            </w:r>
          </w:p>
        </w:tc>
        <w:tc>
          <w:tcPr>
            <w:tcW w:w="5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按合同约定及时开工并完工</w:t>
            </w:r>
          </w:p>
        </w:tc>
        <w:tc>
          <w:tcPr>
            <w:tcW w:w="22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合同约定建设周期为90个日历天，实际历时236个日历天</w:t>
            </w:r>
          </w:p>
        </w:tc>
        <w:tc>
          <w:tcPr>
            <w:tcW w:w="63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合同约定建设周期为240个日历天，实际历时262个日历天</w:t>
            </w:r>
          </w:p>
        </w:tc>
        <w:tc>
          <w:tcPr>
            <w:tcW w:w="2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2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0.00 </w:t>
            </w:r>
          </w:p>
        </w:tc>
        <w:tc>
          <w:tcPr>
            <w:tcW w:w="39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0.00%</w:t>
            </w:r>
          </w:p>
        </w:tc>
      </w:tr>
      <w:tr>
        <w:tblPrEx>
          <w:tblCellMar>
            <w:top w:w="0" w:type="dxa"/>
            <w:left w:w="108" w:type="dxa"/>
            <w:bottom w:w="0" w:type="dxa"/>
            <w:right w:w="108" w:type="dxa"/>
          </w:tblCellMar>
        </w:tblPrEx>
        <w:trPr>
          <w:trHeight w:val="1120" w:hRule="atLeast"/>
        </w:trPr>
        <w:tc>
          <w:tcPr>
            <w:tcW w:w="427"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kern w:val="0"/>
                <w:sz w:val="24"/>
                <w:szCs w:val="24"/>
              </w:rPr>
            </w:pPr>
          </w:p>
        </w:tc>
        <w:tc>
          <w:tcPr>
            <w:tcW w:w="262"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kern w:val="0"/>
                <w:sz w:val="24"/>
                <w:szCs w:val="24"/>
              </w:rPr>
            </w:pPr>
          </w:p>
        </w:tc>
        <w:tc>
          <w:tcPr>
            <w:tcW w:w="414"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kern w:val="0"/>
                <w:sz w:val="24"/>
                <w:szCs w:val="24"/>
              </w:rPr>
            </w:pPr>
          </w:p>
        </w:tc>
        <w:tc>
          <w:tcPr>
            <w:tcW w:w="5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C33 项目验收及投入使用及时性</w:t>
            </w:r>
          </w:p>
        </w:tc>
        <w:tc>
          <w:tcPr>
            <w:tcW w:w="58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及时</w:t>
            </w:r>
          </w:p>
        </w:tc>
        <w:tc>
          <w:tcPr>
            <w:tcW w:w="22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及时</w:t>
            </w:r>
          </w:p>
        </w:tc>
        <w:tc>
          <w:tcPr>
            <w:tcW w:w="63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通水验收较为及时，但竣工验收时间距审价完成时间较久</w:t>
            </w:r>
          </w:p>
        </w:tc>
        <w:tc>
          <w:tcPr>
            <w:tcW w:w="2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1.50 </w:t>
            </w:r>
          </w:p>
        </w:tc>
        <w:tc>
          <w:tcPr>
            <w:tcW w:w="2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0.75 </w:t>
            </w: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2.25 </w:t>
            </w:r>
          </w:p>
        </w:tc>
        <w:tc>
          <w:tcPr>
            <w:tcW w:w="39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75.00%</w:t>
            </w:r>
          </w:p>
        </w:tc>
      </w:tr>
      <w:tr>
        <w:tblPrEx>
          <w:tblCellMar>
            <w:top w:w="0" w:type="dxa"/>
            <w:left w:w="108" w:type="dxa"/>
            <w:bottom w:w="0" w:type="dxa"/>
            <w:right w:w="108" w:type="dxa"/>
          </w:tblCellMar>
        </w:tblPrEx>
        <w:trPr>
          <w:trHeight w:val="300" w:hRule="atLeast"/>
        </w:trPr>
        <w:tc>
          <w:tcPr>
            <w:tcW w:w="427"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kern w:val="0"/>
                <w:sz w:val="24"/>
                <w:szCs w:val="24"/>
              </w:rPr>
            </w:pPr>
          </w:p>
        </w:tc>
        <w:tc>
          <w:tcPr>
            <w:tcW w:w="262" w:type="pct"/>
            <w:vMerge w:val="continue"/>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Times New Roman" w:hAnsi="Times New Roman" w:eastAsia="仿宋_GB2312" w:cs="Times New Roman"/>
                <w:kern w:val="0"/>
                <w:sz w:val="24"/>
                <w:szCs w:val="24"/>
              </w:rPr>
            </w:pPr>
          </w:p>
        </w:tc>
        <w:tc>
          <w:tcPr>
            <w:tcW w:w="1590"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小计</w:t>
            </w:r>
          </w:p>
        </w:tc>
        <w:tc>
          <w:tcPr>
            <w:tcW w:w="22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30</w:t>
            </w: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b/>
                <w:bCs/>
                <w:kern w:val="0"/>
                <w:sz w:val="24"/>
                <w:szCs w:val="24"/>
              </w:rPr>
            </w:pPr>
          </w:p>
        </w:tc>
        <w:tc>
          <w:tcPr>
            <w:tcW w:w="63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Times New Roman" w:hAnsi="Times New Roman" w:eastAsia="仿宋_GB2312" w:cs="Times New Roman"/>
                <w:kern w:val="0"/>
                <w:sz w:val="24"/>
                <w:szCs w:val="24"/>
              </w:rPr>
            </w:pPr>
          </w:p>
        </w:tc>
        <w:tc>
          <w:tcPr>
            <w:tcW w:w="28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12.50 </w:t>
            </w:r>
          </w:p>
        </w:tc>
        <w:tc>
          <w:tcPr>
            <w:tcW w:w="28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13.75</w:t>
            </w:r>
          </w:p>
        </w:tc>
        <w:tc>
          <w:tcPr>
            <w:tcW w:w="23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26.25</w:t>
            </w:r>
          </w:p>
        </w:tc>
        <w:tc>
          <w:tcPr>
            <w:tcW w:w="39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napToGrid w:val="0"/>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87.50%</w:t>
            </w:r>
          </w:p>
        </w:tc>
      </w:tr>
    </w:tbl>
    <w:p>
      <w:pPr>
        <w:pStyle w:val="22"/>
        <w:ind w:firstLine="0" w:firstLineChars="0"/>
      </w:pPr>
    </w:p>
    <w:p>
      <w:pPr>
        <w:pStyle w:val="22"/>
        <w:ind w:firstLine="643"/>
      </w:pPr>
      <w:r>
        <w:rPr>
          <w:rFonts w:hint="eastAsia"/>
          <w:b/>
          <w:bCs w:val="0"/>
        </w:rPr>
        <w:t>C11 污水管道敷设完成量：</w:t>
      </w:r>
      <w:r>
        <w:rPr>
          <w:rFonts w:hint="eastAsia"/>
        </w:rPr>
        <w:t>堡镇污水管网完善工程项目施工合同约定的污水管道敷设长度为9441米，实际敷设8117.29米，其中6411米为合同内管道敷设量。新河镇污水管网完善工程项目施工合同约定的污水管道敷设长度为8277米，实际敷设</w:t>
      </w:r>
      <w:r>
        <w:t>7966.08</w:t>
      </w:r>
      <w:r>
        <w:rPr>
          <w:rFonts w:hint="eastAsia"/>
        </w:rPr>
        <w:t>米。综上，污水管网敷设完成量共计16083.37米。考虑到实际敷设管网长度及管径等主要根据施工现场的条件进行调整，暂不予扣分。根据评分标准，该指标满分3分，得100%权重分，实际得分3分。</w:t>
      </w:r>
    </w:p>
    <w:p>
      <w:pPr>
        <w:pStyle w:val="22"/>
        <w:ind w:firstLine="643"/>
      </w:pPr>
      <w:r>
        <w:rPr>
          <w:rFonts w:hint="eastAsia"/>
          <w:b/>
          <w:bCs w:val="0"/>
        </w:rPr>
        <w:t>C12 检查井、截流井、压力井等建设完成数：</w:t>
      </w:r>
      <w:r>
        <w:rPr>
          <w:rFonts w:hint="eastAsia"/>
        </w:rPr>
        <w:t>堡镇污水管网完善工程项目施工合同约定中数量为275座，包括68座塑料检查井、145座砌块井、50座压力管检修井、6座排气阀井、2座截流井、4座混凝土井；实际建设150座，包括7座塑料检查井、101座砌块井、11座压力管检修井、22座排气阀井、1座截流井、5座混凝土井和3座沉泥井，其中132座为合同内工程量。新河镇污水管网完善工程项目施工合同约定数量为196座，包括109座检查井、13座压力井、62座沉井、2座泄压井、8座排气阀井、2座出水流量井；实际建设186座，包括检查井111座，压力井4座，沉井61座，泄压井2座，排气阀井3座，出水流量井2座和3座排泥井。综上，检查井、截流井、压力井等建设完成数共计336座。考虑到实际工程量主要根据施工现场的条件进行调整，暂不予扣分。根据评分标准，该指标满分3分，得100%权重分，实际得分3分。</w:t>
      </w:r>
    </w:p>
    <w:p>
      <w:pPr>
        <w:pStyle w:val="22"/>
        <w:ind w:firstLine="643"/>
      </w:pPr>
      <w:r>
        <w:rPr>
          <w:rFonts w:hint="eastAsia"/>
          <w:b/>
          <w:bCs w:val="0"/>
        </w:rPr>
        <w:t>C13 泵站建设完成数：</w:t>
      </w:r>
      <w:r>
        <w:rPr>
          <w:rFonts w:hint="eastAsia"/>
        </w:rPr>
        <w:t>堡镇污水管网完善工程项目施工合同约定的一体化预制泵站数量为4座，实际建设3座并增加了2座泵站提升井；新河镇污水管网完善工程项目施工合同约定的泵站数量为2座，实际建设2座。考虑到实际工程量主要是根据设计变更进行调整，暂不予扣分。根据评分标准，该指标满分2分，得100%权重分，实际得分2分。</w:t>
      </w:r>
    </w:p>
    <w:p>
      <w:pPr>
        <w:pStyle w:val="22"/>
        <w:ind w:firstLine="643"/>
        <w:rPr>
          <w:b/>
          <w:bCs w:val="0"/>
        </w:rPr>
      </w:pPr>
      <w:r>
        <w:rPr>
          <w:rFonts w:hint="eastAsia"/>
          <w:b/>
          <w:bCs w:val="0"/>
        </w:rPr>
        <w:t>C14 雨水口建设完成数：</w:t>
      </w:r>
      <w:r>
        <w:rPr>
          <w:rFonts w:hint="eastAsia"/>
        </w:rPr>
        <w:t>新河镇污水管网完善工程项目施工合同约定的雨水口数量为45座，实际建设38座。考虑到实际工程量主要是根据设计变更进行调整，暂不予扣分。根据评分标准，该指标满分2分，得100%权重分，实际得分2分。</w:t>
      </w:r>
    </w:p>
    <w:p>
      <w:pPr>
        <w:pStyle w:val="22"/>
        <w:ind w:firstLine="643"/>
        <w:rPr>
          <w:b/>
          <w:bCs w:val="0"/>
        </w:rPr>
      </w:pPr>
      <w:r>
        <w:rPr>
          <w:rFonts w:hint="eastAsia"/>
          <w:b/>
          <w:bCs w:val="0"/>
        </w:rPr>
        <w:t>C15 道路修复、绿化修复等其他内容建设完成率：</w:t>
      </w:r>
      <w:r>
        <w:rPr>
          <w:rFonts w:hint="eastAsia"/>
        </w:rPr>
        <w:t>堡镇污水管网完善工程项目施工合同约定的其他内容主要为6964平方米的道路修复，实际施工过程中共涉及</w:t>
      </w:r>
      <w:r>
        <w:t>3912.27</w:t>
      </w:r>
      <w:r>
        <w:rPr>
          <w:rFonts w:hint="eastAsia"/>
        </w:rPr>
        <w:t>平方米，包括砼道路拆除及恢复</w:t>
      </w:r>
      <w:r>
        <w:t>61</w:t>
      </w:r>
      <w:r>
        <w:rPr>
          <w:rFonts w:hint="eastAsia"/>
        </w:rPr>
        <w:t>平方米，沥青道路拆除及恢复</w:t>
      </w:r>
      <w:r>
        <w:t>2074.95</w:t>
      </w:r>
      <w:r>
        <w:rPr>
          <w:rFonts w:hint="eastAsia"/>
        </w:rPr>
        <w:t>平方米，混凝土道路拆除及恢复</w:t>
      </w:r>
      <w:r>
        <w:t>1776.32</w:t>
      </w:r>
      <w:r>
        <w:rPr>
          <w:rFonts w:hint="eastAsia"/>
        </w:rPr>
        <w:t>平方米。新河镇项目合同约定的其他建设内容主要包括436米合流管修复、18处局部树脂固化、4300平方米道路和1212平方米绿化修复等，实际道路修复面积为4595.75平方米，完成了局部树脂固化、绿化修复等工程内容及设计变更相关内容等。考虑到实际工程量主要是根据设计变更进行调整，暂不予扣分。根据评分标准，该指标满分3分，得100%权重分，实际得分3分。</w:t>
      </w:r>
    </w:p>
    <w:p>
      <w:pPr>
        <w:pStyle w:val="22"/>
        <w:ind w:firstLine="643"/>
      </w:pPr>
      <w:r>
        <w:rPr>
          <w:rFonts w:hint="eastAsia"/>
          <w:b/>
          <w:bCs w:val="0"/>
        </w:rPr>
        <w:t>C21 前期工作验收合格率：</w:t>
      </w:r>
      <w:r>
        <w:rPr>
          <w:rFonts w:hint="eastAsia"/>
        </w:rPr>
        <w:t>堡镇、新河镇与勘察单位、设计单位、工可编制单位、选线规划设计单位、涉河论证单位等项目相关的第三方单位签订合同后，各第三方单位根据合同要求提交了成果材料，经堡镇水务所、新河镇规划办等相关单位审核后，各材料符合工程建设相关需求。根据评分标准，该指标满分2分，得100%权重分，实际得分2分。</w:t>
      </w:r>
    </w:p>
    <w:p>
      <w:pPr>
        <w:pStyle w:val="22"/>
        <w:ind w:firstLine="643"/>
        <w:rPr>
          <w:b/>
          <w:bCs w:val="0"/>
        </w:rPr>
      </w:pPr>
      <w:r>
        <w:rPr>
          <w:rFonts w:hint="eastAsia"/>
          <w:b/>
          <w:bCs w:val="0"/>
        </w:rPr>
        <w:t>C22 通水验收合格率：</w:t>
      </w:r>
      <w:r>
        <w:rPr>
          <w:rFonts w:hint="eastAsia"/>
        </w:rPr>
        <w:t>①堡镇项目建设完成后，第三方检测机构对2770米新建污水管道进行了通水验收，根据《管道通水验收检测报告确认证明》，检测中无不合格管道报告；勘察单位对管道位置、类型进行了复核，并对地基土进行了验槽，后设计单位、监理单位、施工单位分别对工程质量出具了验收意见，各单位认为项目达到验收条件。经各相关单位组成的验收组对项目相关材料进行检查后同意对本工程通过通水验收。②新河镇项目建设完成后，建设单位组织施工单位、勘察单位、设计单位、监理单位、检测单位、投资监理单位等组成验收组，同时邀请水务主管部门和质量监督机构监督指导，经审核项目相关材料，验收组同意本工程通过通水验收。综上，两镇项目均一次性通过通水验收。根据评分标准，该指标满分3分，得100%权重分，实际得分3分。</w:t>
      </w:r>
    </w:p>
    <w:p>
      <w:pPr>
        <w:pStyle w:val="22"/>
        <w:ind w:firstLine="643"/>
        <w:rPr>
          <w:b/>
          <w:bCs w:val="0"/>
        </w:rPr>
      </w:pPr>
      <w:r>
        <w:rPr>
          <w:rFonts w:hint="eastAsia"/>
          <w:b/>
          <w:bCs w:val="0"/>
        </w:rPr>
        <w:t>C23 竣工验收合格率：</w:t>
      </w:r>
      <w:r>
        <w:rPr>
          <w:rFonts w:hint="eastAsia"/>
        </w:rPr>
        <w:t>项目建设完成后，两镇分别编制了竣工验收报告，明确了竣工验收内容、验收标准等内容，建设单位组织施工单位、勘察单位、设计单位、施工监理单位、财务监理单位等组成竣工验收组，同时邀请水务主管部门和质量监督机构监督指导，经验收工作组评定，两镇工程质量等级均合格，同意工程交付使用。根据评分标准，该指标满分3分，得100%权重分，实际得分3分。综上，两镇项目均一次性通过竣工验收。根据评分标准，该指标满分3分，得100%权重分，实际得分3分。</w:t>
      </w:r>
    </w:p>
    <w:p>
      <w:pPr>
        <w:pStyle w:val="22"/>
        <w:ind w:firstLine="643"/>
      </w:pPr>
      <w:r>
        <w:rPr>
          <w:rFonts w:hint="eastAsia"/>
          <w:b/>
          <w:bCs w:val="0"/>
        </w:rPr>
        <w:t>C31 前期工作完成及时性：</w:t>
      </w:r>
      <w:r>
        <w:rPr>
          <w:rFonts w:hint="eastAsia"/>
        </w:rPr>
        <w:t>经梳理堡镇和新河镇勘察、设计、可研、概算等合同及各第三方单位形成的成果材料，两镇相关前期工作开展较为及时，但堡镇选线规划工作开展较晚，项目施工合同于2021年9月30日签订，2021年11月8日取得开工令，但选线规划合同于2021年12月24日签订，晚于施工单位建设工作的启动时间。该问题已在“A21前期工作准备充分性”指标中予以扣分，此处不再重复扣分。根据评分标准，该指标满分3分，得100%权重分，实际得分3分。</w:t>
      </w:r>
    </w:p>
    <w:p>
      <w:pPr>
        <w:pStyle w:val="22"/>
        <w:ind w:firstLine="643"/>
        <w:rPr>
          <w:b/>
          <w:bCs w:val="0"/>
        </w:rPr>
      </w:pPr>
      <w:r>
        <w:rPr>
          <w:rFonts w:hint="eastAsia"/>
          <w:b/>
          <w:bCs w:val="0"/>
        </w:rPr>
        <w:t>C32 开竣工及时性：</w:t>
      </w:r>
      <w:r>
        <w:rPr>
          <w:rFonts w:hint="eastAsia"/>
        </w:rPr>
        <w:t>①堡镇污水管网完善工程项目施工合同约定的建设周期为2021年10月2日至2021年12月30日共90个日历天，项目实际于11月8日开工并于2022年7月1日竣工，历时236个日历天，超出合同约定的建设时间，根据项目单位反馈，主要受工程量变更的影响。②新河镇污水管网完善工程项目施工合同约定的工期为2021年10月1日至2022年5月28日共240个日历天，项目实际于2021年11月4日开工并于2022年7月23日竣工，历时262个日历天，超出合同约定的工期时长</w:t>
      </w:r>
      <w:r>
        <w:rPr>
          <w:rFonts w:hint="eastAsia"/>
          <w:b/>
          <w:bCs w:val="0"/>
        </w:rPr>
        <w:t>。</w:t>
      </w:r>
      <w:r>
        <w:rPr>
          <w:rFonts w:hint="eastAsia"/>
        </w:rPr>
        <w:t>综上，两镇项目开工较为及时，但竣工时间晚于合同约定时间。根据评分标准，该指标满分3分，实际不得分。</w:t>
      </w:r>
    </w:p>
    <w:p>
      <w:pPr>
        <w:pStyle w:val="22"/>
        <w:ind w:firstLine="643"/>
        <w:rPr>
          <w:b/>
          <w:bCs w:val="0"/>
        </w:rPr>
      </w:pPr>
      <w:r>
        <w:rPr>
          <w:rFonts w:hint="eastAsia"/>
          <w:b/>
          <w:bCs w:val="0"/>
        </w:rPr>
        <w:t>C33 项目验收及投入使用及时性：</w:t>
      </w:r>
      <w:r>
        <w:rPr>
          <w:rFonts w:hint="eastAsia"/>
        </w:rPr>
        <w:t>①堡镇污水管网完善工程项目建设完成后在2022年8月18日通过了通水验收，2023年7月6日完成审价并出具了审价报告，2023年8月30日通过竣工验收，2023年11月21日完成审计并出具了审计报告，目前项目已结项，相关设施设备均已投入使用。②新河镇污水管网完善工程项目建设完成后在2022年10月9日通过了通水验收，2023年9月26日完成审价并出具了审价报告，2024年4月10日通过了竣工验收，目前项目已送审，相关设施设备已在使用中。综上，堡镇项目验收及投入使用较为及时，新河镇项目的通水验收较为及时但竣工验收距审价完成时间较久。根据评分标准，该指标满分3分，得75%权重分，实际得分2.25分。</w:t>
      </w:r>
    </w:p>
    <w:p>
      <w:pPr>
        <w:pStyle w:val="24"/>
        <w:ind w:firstLine="639" w:firstLineChars="199"/>
      </w:pPr>
      <w:bookmarkStart w:id="165" w:name="_Toc171093949"/>
      <w:bookmarkStart w:id="166" w:name="_Toc169390978"/>
      <w:bookmarkStart w:id="167" w:name="_Toc169439214"/>
      <w:r>
        <w:rPr>
          <w:rFonts w:hint="eastAsia"/>
        </w:rPr>
        <w:t>4.效益类指标</w:t>
      </w:r>
      <w:bookmarkEnd w:id="165"/>
      <w:bookmarkEnd w:id="166"/>
      <w:bookmarkEnd w:id="167"/>
    </w:p>
    <w:p>
      <w:pPr>
        <w:pStyle w:val="22"/>
      </w:pPr>
      <w:r>
        <w:rPr>
          <w:rFonts w:hint="eastAsia"/>
        </w:rPr>
        <w:t>项目效益类指标由4个二级指标和8个三级指标构成，权重分30分，实际得分26分，得分率为86.67%。其中：堡镇项目权重分15分，实际得分13</w:t>
      </w:r>
      <w:r>
        <w:t>分，</w:t>
      </w:r>
      <w:r>
        <w:rPr>
          <w:rFonts w:hint="eastAsia"/>
        </w:rPr>
        <w:t>得分率为86.67</w:t>
      </w:r>
      <w:r>
        <w:t>%</w:t>
      </w:r>
      <w:r>
        <w:rPr>
          <w:rFonts w:hint="eastAsia"/>
        </w:rPr>
        <w:t>；新河镇项目权重分15分，实际得分13</w:t>
      </w:r>
      <w:r>
        <w:t>分，</w:t>
      </w:r>
      <w:r>
        <w:rPr>
          <w:rFonts w:hint="eastAsia"/>
        </w:rPr>
        <w:t>得分率为86.67</w:t>
      </w:r>
      <w:r>
        <w:t>%</w:t>
      </w:r>
      <w:r>
        <w:rPr>
          <w:rFonts w:hint="eastAsia"/>
        </w:rPr>
        <w:t>。具体指标得分情况见下表：</w:t>
      </w:r>
    </w:p>
    <w:p>
      <w:pPr>
        <w:pStyle w:val="22"/>
        <w:ind w:firstLine="0" w:firstLineChars="0"/>
        <w:jc w:val="center"/>
        <w:rPr>
          <w:b/>
          <w:bCs w:val="0"/>
          <w:sz w:val="28"/>
          <w:szCs w:val="24"/>
        </w:rPr>
      </w:pPr>
      <w:r>
        <w:rPr>
          <w:b/>
          <w:bCs w:val="0"/>
          <w:sz w:val="28"/>
          <w:szCs w:val="24"/>
        </w:rPr>
        <w:t>表3-</w:t>
      </w:r>
      <w:r>
        <w:rPr>
          <w:rFonts w:hint="eastAsia"/>
          <w:b/>
          <w:bCs w:val="0"/>
          <w:sz w:val="28"/>
          <w:szCs w:val="24"/>
        </w:rPr>
        <w:t>5</w:t>
      </w:r>
      <w:r>
        <w:rPr>
          <w:b/>
          <w:bCs w:val="0"/>
          <w:sz w:val="28"/>
          <w:szCs w:val="24"/>
        </w:rPr>
        <w:t>：</w:t>
      </w:r>
      <w:r>
        <w:rPr>
          <w:rFonts w:hint="eastAsia"/>
          <w:b/>
          <w:bCs w:val="0"/>
          <w:sz w:val="28"/>
          <w:szCs w:val="24"/>
        </w:rPr>
        <w:t>效益</w:t>
      </w:r>
      <w:r>
        <w:rPr>
          <w:b/>
          <w:bCs w:val="0"/>
          <w:sz w:val="28"/>
          <w:szCs w:val="24"/>
        </w:rPr>
        <w:t>类指标得分情况表</w:t>
      </w:r>
    </w:p>
    <w:tbl>
      <w:tblPr>
        <w:tblStyle w:val="12"/>
        <w:tblW w:w="5320" w:type="pct"/>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503"/>
        <w:gridCol w:w="800"/>
        <w:gridCol w:w="1136"/>
        <w:gridCol w:w="991"/>
        <w:gridCol w:w="426"/>
        <w:gridCol w:w="1136"/>
        <w:gridCol w:w="1134"/>
        <w:gridCol w:w="567"/>
        <w:gridCol w:w="710"/>
        <w:gridCol w:w="609"/>
        <w:gridCol w:w="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trPr>
        <w:tc>
          <w:tcPr>
            <w:tcW w:w="426" w:type="pct"/>
            <w:vMerge w:val="restart"/>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一级指标</w:t>
            </w:r>
          </w:p>
        </w:tc>
        <w:tc>
          <w:tcPr>
            <w:tcW w:w="261" w:type="pct"/>
            <w:vMerge w:val="restart"/>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权重</w:t>
            </w:r>
          </w:p>
        </w:tc>
        <w:tc>
          <w:tcPr>
            <w:tcW w:w="415" w:type="pct"/>
            <w:vMerge w:val="restart"/>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二级指标</w:t>
            </w:r>
          </w:p>
        </w:tc>
        <w:tc>
          <w:tcPr>
            <w:tcW w:w="589" w:type="pct"/>
            <w:vMerge w:val="restart"/>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三级指标</w:t>
            </w:r>
          </w:p>
        </w:tc>
        <w:tc>
          <w:tcPr>
            <w:tcW w:w="514" w:type="pct"/>
            <w:vMerge w:val="restart"/>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标杆值</w:t>
            </w:r>
          </w:p>
        </w:tc>
        <w:tc>
          <w:tcPr>
            <w:tcW w:w="221" w:type="pct"/>
            <w:vMerge w:val="restart"/>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分值</w:t>
            </w:r>
          </w:p>
        </w:tc>
        <w:tc>
          <w:tcPr>
            <w:tcW w:w="1177" w:type="pct"/>
            <w:gridSpan w:val="2"/>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业绩值</w:t>
            </w:r>
          </w:p>
        </w:tc>
        <w:tc>
          <w:tcPr>
            <w:tcW w:w="662" w:type="pct"/>
            <w:gridSpan w:val="2"/>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得分</w:t>
            </w:r>
          </w:p>
        </w:tc>
        <w:tc>
          <w:tcPr>
            <w:tcW w:w="316" w:type="pct"/>
            <w:vMerge w:val="restart"/>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总得分</w:t>
            </w:r>
          </w:p>
        </w:tc>
        <w:tc>
          <w:tcPr>
            <w:tcW w:w="419" w:type="pct"/>
            <w:vMerge w:val="restart"/>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trPr>
        <w:tc>
          <w:tcPr>
            <w:tcW w:w="426" w:type="pct"/>
            <w:vMerge w:val="continue"/>
            <w:vAlign w:val="center"/>
          </w:tcPr>
          <w:p>
            <w:pPr>
              <w:widowControl/>
              <w:jc w:val="left"/>
              <w:rPr>
                <w:rFonts w:ascii="Times New Roman" w:hAnsi="Times New Roman" w:eastAsia="仿宋_GB2312" w:cs="Times New Roman"/>
                <w:b/>
                <w:bCs/>
                <w:kern w:val="0"/>
                <w:sz w:val="24"/>
                <w:szCs w:val="24"/>
              </w:rPr>
            </w:pPr>
          </w:p>
        </w:tc>
        <w:tc>
          <w:tcPr>
            <w:tcW w:w="261" w:type="pct"/>
            <w:vMerge w:val="continue"/>
            <w:vAlign w:val="center"/>
          </w:tcPr>
          <w:p>
            <w:pPr>
              <w:widowControl/>
              <w:jc w:val="left"/>
              <w:rPr>
                <w:rFonts w:ascii="Times New Roman" w:hAnsi="Times New Roman" w:eastAsia="仿宋_GB2312" w:cs="Times New Roman"/>
                <w:b/>
                <w:bCs/>
                <w:kern w:val="0"/>
                <w:sz w:val="24"/>
                <w:szCs w:val="24"/>
              </w:rPr>
            </w:pPr>
          </w:p>
        </w:tc>
        <w:tc>
          <w:tcPr>
            <w:tcW w:w="415" w:type="pct"/>
            <w:vMerge w:val="continue"/>
            <w:vAlign w:val="center"/>
          </w:tcPr>
          <w:p>
            <w:pPr>
              <w:widowControl/>
              <w:jc w:val="left"/>
              <w:rPr>
                <w:rFonts w:ascii="Times New Roman" w:hAnsi="Times New Roman" w:eastAsia="仿宋_GB2312" w:cs="Times New Roman"/>
                <w:b/>
                <w:bCs/>
                <w:kern w:val="0"/>
                <w:sz w:val="24"/>
                <w:szCs w:val="24"/>
              </w:rPr>
            </w:pPr>
          </w:p>
        </w:tc>
        <w:tc>
          <w:tcPr>
            <w:tcW w:w="589" w:type="pct"/>
            <w:vMerge w:val="continue"/>
            <w:vAlign w:val="center"/>
          </w:tcPr>
          <w:p>
            <w:pPr>
              <w:widowControl/>
              <w:jc w:val="left"/>
              <w:rPr>
                <w:rFonts w:ascii="Times New Roman" w:hAnsi="Times New Roman" w:eastAsia="仿宋_GB2312" w:cs="Times New Roman"/>
                <w:b/>
                <w:bCs/>
                <w:kern w:val="0"/>
                <w:sz w:val="24"/>
                <w:szCs w:val="24"/>
              </w:rPr>
            </w:pPr>
          </w:p>
        </w:tc>
        <w:tc>
          <w:tcPr>
            <w:tcW w:w="514" w:type="pct"/>
            <w:vMerge w:val="continue"/>
            <w:vAlign w:val="center"/>
          </w:tcPr>
          <w:p>
            <w:pPr>
              <w:widowControl/>
              <w:jc w:val="left"/>
              <w:rPr>
                <w:rFonts w:ascii="Times New Roman" w:hAnsi="Times New Roman" w:eastAsia="仿宋_GB2312" w:cs="Times New Roman"/>
                <w:b/>
                <w:bCs/>
                <w:kern w:val="0"/>
                <w:sz w:val="24"/>
                <w:szCs w:val="24"/>
              </w:rPr>
            </w:pPr>
          </w:p>
        </w:tc>
        <w:tc>
          <w:tcPr>
            <w:tcW w:w="221" w:type="pct"/>
            <w:vMerge w:val="continue"/>
            <w:vAlign w:val="center"/>
          </w:tcPr>
          <w:p>
            <w:pPr>
              <w:widowControl/>
              <w:jc w:val="left"/>
              <w:rPr>
                <w:rFonts w:ascii="Times New Roman" w:hAnsi="Times New Roman" w:eastAsia="仿宋_GB2312" w:cs="Times New Roman"/>
                <w:b/>
                <w:bCs/>
                <w:kern w:val="0"/>
                <w:sz w:val="24"/>
                <w:szCs w:val="24"/>
              </w:rPr>
            </w:pPr>
          </w:p>
        </w:tc>
        <w:tc>
          <w:tcPr>
            <w:tcW w:w="589" w:type="pct"/>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堡镇</w:t>
            </w:r>
          </w:p>
        </w:tc>
        <w:tc>
          <w:tcPr>
            <w:tcW w:w="588" w:type="pct"/>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新河镇</w:t>
            </w:r>
          </w:p>
        </w:tc>
        <w:tc>
          <w:tcPr>
            <w:tcW w:w="294" w:type="pct"/>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堡镇</w:t>
            </w:r>
          </w:p>
        </w:tc>
        <w:tc>
          <w:tcPr>
            <w:tcW w:w="368" w:type="pct"/>
            <w:shd w:val="clear" w:color="auto" w:fill="auto"/>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新河镇</w:t>
            </w:r>
          </w:p>
        </w:tc>
        <w:tc>
          <w:tcPr>
            <w:tcW w:w="316" w:type="pct"/>
            <w:vMerge w:val="continue"/>
            <w:vAlign w:val="center"/>
          </w:tcPr>
          <w:p>
            <w:pPr>
              <w:widowControl/>
              <w:jc w:val="left"/>
              <w:rPr>
                <w:rFonts w:ascii="Times New Roman" w:hAnsi="Times New Roman" w:eastAsia="仿宋_GB2312" w:cs="Times New Roman"/>
                <w:b/>
                <w:bCs/>
                <w:kern w:val="0"/>
                <w:sz w:val="24"/>
                <w:szCs w:val="24"/>
              </w:rPr>
            </w:pPr>
          </w:p>
        </w:tc>
        <w:tc>
          <w:tcPr>
            <w:tcW w:w="419" w:type="pct"/>
            <w:vMerge w:val="continue"/>
            <w:vAlign w:val="center"/>
          </w:tcPr>
          <w:p>
            <w:pPr>
              <w:widowControl/>
              <w:jc w:val="left"/>
              <w:rPr>
                <w:rFonts w:ascii="Times New Roman" w:hAnsi="Times New Roman" w:eastAsia="仿宋_GB2312" w:cs="Times New Roman"/>
                <w:b/>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426" w:type="pct"/>
            <w:vMerge w:val="restar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D效益</w:t>
            </w:r>
          </w:p>
        </w:tc>
        <w:tc>
          <w:tcPr>
            <w:tcW w:w="261" w:type="pct"/>
            <w:vMerge w:val="restar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30%</w:t>
            </w:r>
          </w:p>
        </w:tc>
        <w:tc>
          <w:tcPr>
            <w:tcW w:w="415" w:type="pct"/>
            <w:vMerge w:val="restar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D1 社会效益</w:t>
            </w:r>
          </w:p>
        </w:tc>
        <w:tc>
          <w:tcPr>
            <w:tcW w:w="589"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D11 2个集镇区污水管网全覆盖</w:t>
            </w:r>
          </w:p>
        </w:tc>
        <w:tc>
          <w:tcPr>
            <w:tcW w:w="514"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100%覆盖</w:t>
            </w:r>
          </w:p>
        </w:tc>
        <w:tc>
          <w:tcPr>
            <w:tcW w:w="221"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1177" w:type="pct"/>
            <w:gridSpan w:val="2"/>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100%覆盖</w:t>
            </w:r>
          </w:p>
        </w:tc>
        <w:tc>
          <w:tcPr>
            <w:tcW w:w="294"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2.00 </w:t>
            </w:r>
          </w:p>
        </w:tc>
        <w:tc>
          <w:tcPr>
            <w:tcW w:w="368"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2.00 </w:t>
            </w:r>
          </w:p>
        </w:tc>
        <w:tc>
          <w:tcPr>
            <w:tcW w:w="316"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4.00 </w:t>
            </w:r>
          </w:p>
        </w:tc>
        <w:tc>
          <w:tcPr>
            <w:tcW w:w="419" w:type="pct"/>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426" w:type="pct"/>
            <w:vMerge w:val="continue"/>
            <w:vAlign w:val="center"/>
          </w:tcPr>
          <w:p>
            <w:pPr>
              <w:widowControl/>
              <w:jc w:val="left"/>
              <w:rPr>
                <w:rFonts w:ascii="Times New Roman" w:hAnsi="Times New Roman" w:eastAsia="仿宋_GB2312" w:cs="Times New Roman"/>
                <w:kern w:val="0"/>
                <w:sz w:val="24"/>
                <w:szCs w:val="24"/>
              </w:rPr>
            </w:pPr>
          </w:p>
        </w:tc>
        <w:tc>
          <w:tcPr>
            <w:tcW w:w="261" w:type="pct"/>
            <w:vMerge w:val="continue"/>
            <w:vAlign w:val="center"/>
          </w:tcPr>
          <w:p>
            <w:pPr>
              <w:widowControl/>
              <w:jc w:val="left"/>
              <w:rPr>
                <w:rFonts w:ascii="Times New Roman" w:hAnsi="Times New Roman" w:eastAsia="仿宋_GB2312" w:cs="Times New Roman"/>
                <w:kern w:val="0"/>
                <w:sz w:val="24"/>
                <w:szCs w:val="24"/>
              </w:rPr>
            </w:pPr>
          </w:p>
        </w:tc>
        <w:tc>
          <w:tcPr>
            <w:tcW w:w="415" w:type="pct"/>
            <w:vMerge w:val="continue"/>
            <w:vAlign w:val="center"/>
          </w:tcPr>
          <w:p>
            <w:pPr>
              <w:widowControl/>
              <w:jc w:val="left"/>
              <w:rPr>
                <w:rFonts w:ascii="Times New Roman" w:hAnsi="Times New Roman" w:eastAsia="仿宋_GB2312" w:cs="Times New Roman"/>
                <w:kern w:val="0"/>
                <w:sz w:val="24"/>
                <w:szCs w:val="24"/>
              </w:rPr>
            </w:pPr>
          </w:p>
        </w:tc>
        <w:tc>
          <w:tcPr>
            <w:tcW w:w="589"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D12 区域污水集中处理率</w:t>
            </w:r>
          </w:p>
        </w:tc>
        <w:tc>
          <w:tcPr>
            <w:tcW w:w="514"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≥99%</w:t>
            </w:r>
          </w:p>
        </w:tc>
        <w:tc>
          <w:tcPr>
            <w:tcW w:w="221"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589"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区域污水排入堡镇污水厂集中处理达标后排放</w:t>
            </w:r>
          </w:p>
        </w:tc>
        <w:tc>
          <w:tcPr>
            <w:tcW w:w="588"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区域污水排入新河污水厂集中处理达标后排放</w:t>
            </w:r>
          </w:p>
        </w:tc>
        <w:tc>
          <w:tcPr>
            <w:tcW w:w="294"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1.50 </w:t>
            </w:r>
          </w:p>
        </w:tc>
        <w:tc>
          <w:tcPr>
            <w:tcW w:w="368"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1.50 </w:t>
            </w:r>
          </w:p>
        </w:tc>
        <w:tc>
          <w:tcPr>
            <w:tcW w:w="316"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3.00 </w:t>
            </w:r>
          </w:p>
        </w:tc>
        <w:tc>
          <w:tcPr>
            <w:tcW w:w="419" w:type="pct"/>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426" w:type="pct"/>
            <w:vMerge w:val="continue"/>
            <w:vAlign w:val="center"/>
          </w:tcPr>
          <w:p>
            <w:pPr>
              <w:widowControl/>
              <w:jc w:val="left"/>
              <w:rPr>
                <w:rFonts w:ascii="Times New Roman" w:hAnsi="Times New Roman" w:eastAsia="仿宋_GB2312" w:cs="Times New Roman"/>
                <w:kern w:val="0"/>
                <w:sz w:val="24"/>
                <w:szCs w:val="24"/>
              </w:rPr>
            </w:pPr>
          </w:p>
        </w:tc>
        <w:tc>
          <w:tcPr>
            <w:tcW w:w="261" w:type="pct"/>
            <w:vMerge w:val="continue"/>
            <w:vAlign w:val="center"/>
          </w:tcPr>
          <w:p>
            <w:pPr>
              <w:widowControl/>
              <w:jc w:val="left"/>
              <w:rPr>
                <w:rFonts w:ascii="Times New Roman" w:hAnsi="Times New Roman" w:eastAsia="仿宋_GB2312" w:cs="Times New Roman"/>
                <w:kern w:val="0"/>
                <w:sz w:val="24"/>
                <w:szCs w:val="24"/>
              </w:rPr>
            </w:pPr>
          </w:p>
        </w:tc>
        <w:tc>
          <w:tcPr>
            <w:tcW w:w="415" w:type="pct"/>
            <w:vMerge w:val="continue"/>
            <w:vAlign w:val="center"/>
          </w:tcPr>
          <w:p>
            <w:pPr>
              <w:widowControl/>
              <w:jc w:val="left"/>
              <w:rPr>
                <w:rFonts w:ascii="Times New Roman" w:hAnsi="Times New Roman" w:eastAsia="仿宋_GB2312" w:cs="Times New Roman"/>
                <w:kern w:val="0"/>
                <w:sz w:val="24"/>
                <w:szCs w:val="24"/>
              </w:rPr>
            </w:pPr>
          </w:p>
        </w:tc>
        <w:tc>
          <w:tcPr>
            <w:tcW w:w="589"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D13 未发生居民有责投诉</w:t>
            </w:r>
          </w:p>
        </w:tc>
        <w:tc>
          <w:tcPr>
            <w:tcW w:w="514"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0次</w:t>
            </w:r>
          </w:p>
        </w:tc>
        <w:tc>
          <w:tcPr>
            <w:tcW w:w="221"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1177" w:type="pct"/>
            <w:gridSpan w:val="2"/>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及时进行了整改</w:t>
            </w:r>
          </w:p>
        </w:tc>
        <w:tc>
          <w:tcPr>
            <w:tcW w:w="294"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1.00 </w:t>
            </w:r>
          </w:p>
        </w:tc>
        <w:tc>
          <w:tcPr>
            <w:tcW w:w="368"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1.00 </w:t>
            </w:r>
          </w:p>
        </w:tc>
        <w:tc>
          <w:tcPr>
            <w:tcW w:w="316"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2.00 </w:t>
            </w:r>
          </w:p>
        </w:tc>
        <w:tc>
          <w:tcPr>
            <w:tcW w:w="419" w:type="pct"/>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426" w:type="pct"/>
            <w:vMerge w:val="continue"/>
            <w:vAlign w:val="center"/>
          </w:tcPr>
          <w:p>
            <w:pPr>
              <w:widowControl/>
              <w:jc w:val="left"/>
              <w:rPr>
                <w:rFonts w:ascii="Times New Roman" w:hAnsi="Times New Roman" w:eastAsia="仿宋_GB2312" w:cs="Times New Roman"/>
                <w:kern w:val="0"/>
                <w:sz w:val="24"/>
                <w:szCs w:val="24"/>
              </w:rPr>
            </w:pPr>
          </w:p>
        </w:tc>
        <w:tc>
          <w:tcPr>
            <w:tcW w:w="261" w:type="pct"/>
            <w:vMerge w:val="continue"/>
            <w:vAlign w:val="center"/>
          </w:tcPr>
          <w:p>
            <w:pPr>
              <w:widowControl/>
              <w:jc w:val="left"/>
              <w:rPr>
                <w:rFonts w:ascii="Times New Roman" w:hAnsi="Times New Roman" w:eastAsia="仿宋_GB2312" w:cs="Times New Roman"/>
                <w:kern w:val="0"/>
                <w:sz w:val="24"/>
                <w:szCs w:val="24"/>
              </w:rPr>
            </w:pPr>
          </w:p>
        </w:tc>
        <w:tc>
          <w:tcPr>
            <w:tcW w:w="415" w:type="pct"/>
            <w:vMerge w:val="continue"/>
            <w:vAlign w:val="center"/>
          </w:tcPr>
          <w:p>
            <w:pPr>
              <w:widowControl/>
              <w:jc w:val="left"/>
              <w:rPr>
                <w:rFonts w:ascii="Times New Roman" w:hAnsi="Times New Roman" w:eastAsia="仿宋_GB2312" w:cs="Times New Roman"/>
                <w:kern w:val="0"/>
                <w:sz w:val="24"/>
                <w:szCs w:val="24"/>
              </w:rPr>
            </w:pPr>
          </w:p>
        </w:tc>
        <w:tc>
          <w:tcPr>
            <w:tcW w:w="589"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D14 未发生安全事故</w:t>
            </w:r>
          </w:p>
        </w:tc>
        <w:tc>
          <w:tcPr>
            <w:tcW w:w="514"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0次</w:t>
            </w:r>
          </w:p>
        </w:tc>
        <w:tc>
          <w:tcPr>
            <w:tcW w:w="221"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1177" w:type="pct"/>
            <w:gridSpan w:val="2"/>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0次</w:t>
            </w:r>
          </w:p>
        </w:tc>
        <w:tc>
          <w:tcPr>
            <w:tcW w:w="294"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1.50 </w:t>
            </w:r>
          </w:p>
        </w:tc>
        <w:tc>
          <w:tcPr>
            <w:tcW w:w="368"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1.50 </w:t>
            </w:r>
          </w:p>
        </w:tc>
        <w:tc>
          <w:tcPr>
            <w:tcW w:w="316"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3.00 </w:t>
            </w:r>
          </w:p>
        </w:tc>
        <w:tc>
          <w:tcPr>
            <w:tcW w:w="419" w:type="pct"/>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426" w:type="pct"/>
            <w:vMerge w:val="continue"/>
            <w:vAlign w:val="center"/>
          </w:tcPr>
          <w:p>
            <w:pPr>
              <w:widowControl/>
              <w:jc w:val="left"/>
              <w:rPr>
                <w:rFonts w:ascii="Times New Roman" w:hAnsi="Times New Roman" w:eastAsia="仿宋_GB2312" w:cs="Times New Roman"/>
                <w:kern w:val="0"/>
                <w:sz w:val="24"/>
                <w:szCs w:val="24"/>
              </w:rPr>
            </w:pPr>
          </w:p>
        </w:tc>
        <w:tc>
          <w:tcPr>
            <w:tcW w:w="261" w:type="pct"/>
            <w:vMerge w:val="continue"/>
            <w:vAlign w:val="center"/>
          </w:tcPr>
          <w:p>
            <w:pPr>
              <w:widowControl/>
              <w:jc w:val="left"/>
              <w:rPr>
                <w:rFonts w:ascii="Times New Roman" w:hAnsi="Times New Roman" w:eastAsia="仿宋_GB2312" w:cs="Times New Roman"/>
                <w:kern w:val="0"/>
                <w:sz w:val="24"/>
                <w:szCs w:val="24"/>
              </w:rPr>
            </w:pPr>
          </w:p>
        </w:tc>
        <w:tc>
          <w:tcPr>
            <w:tcW w:w="415"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D2 生态效益</w:t>
            </w:r>
          </w:p>
        </w:tc>
        <w:tc>
          <w:tcPr>
            <w:tcW w:w="589"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D21河道水质改善情况</w:t>
            </w:r>
          </w:p>
        </w:tc>
        <w:tc>
          <w:tcPr>
            <w:tcW w:w="514"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较项目实施前有所改善</w:t>
            </w:r>
          </w:p>
        </w:tc>
        <w:tc>
          <w:tcPr>
            <w:tcW w:w="221"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1177" w:type="pct"/>
            <w:gridSpan w:val="2"/>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较项目实施前有所改善</w:t>
            </w:r>
          </w:p>
        </w:tc>
        <w:tc>
          <w:tcPr>
            <w:tcW w:w="294"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1.50 </w:t>
            </w:r>
          </w:p>
        </w:tc>
        <w:tc>
          <w:tcPr>
            <w:tcW w:w="368"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1.50 </w:t>
            </w:r>
          </w:p>
        </w:tc>
        <w:tc>
          <w:tcPr>
            <w:tcW w:w="316"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3.00 </w:t>
            </w:r>
          </w:p>
        </w:tc>
        <w:tc>
          <w:tcPr>
            <w:tcW w:w="419" w:type="pct"/>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426" w:type="pct"/>
            <w:vMerge w:val="continue"/>
            <w:vAlign w:val="center"/>
          </w:tcPr>
          <w:p>
            <w:pPr>
              <w:widowControl/>
              <w:jc w:val="left"/>
              <w:rPr>
                <w:rFonts w:ascii="Times New Roman" w:hAnsi="Times New Roman" w:eastAsia="仿宋_GB2312" w:cs="Times New Roman"/>
                <w:kern w:val="0"/>
                <w:sz w:val="24"/>
                <w:szCs w:val="24"/>
              </w:rPr>
            </w:pPr>
          </w:p>
        </w:tc>
        <w:tc>
          <w:tcPr>
            <w:tcW w:w="261" w:type="pct"/>
            <w:vMerge w:val="continue"/>
            <w:vAlign w:val="center"/>
          </w:tcPr>
          <w:p>
            <w:pPr>
              <w:widowControl/>
              <w:jc w:val="left"/>
              <w:rPr>
                <w:rFonts w:ascii="Times New Roman" w:hAnsi="Times New Roman" w:eastAsia="仿宋_GB2312" w:cs="Times New Roman"/>
                <w:kern w:val="0"/>
                <w:sz w:val="24"/>
                <w:szCs w:val="24"/>
              </w:rPr>
            </w:pPr>
          </w:p>
        </w:tc>
        <w:tc>
          <w:tcPr>
            <w:tcW w:w="415" w:type="pct"/>
            <w:vMerge w:val="restar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D3 可持续影响力指标</w:t>
            </w:r>
          </w:p>
        </w:tc>
        <w:tc>
          <w:tcPr>
            <w:tcW w:w="589"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D31 资产管理机制健全性</w:t>
            </w:r>
          </w:p>
        </w:tc>
        <w:tc>
          <w:tcPr>
            <w:tcW w:w="514"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建立健全并有效执行</w:t>
            </w:r>
          </w:p>
        </w:tc>
        <w:tc>
          <w:tcPr>
            <w:tcW w:w="221" w:type="pct"/>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1177" w:type="pct"/>
            <w:gridSpan w:val="2"/>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目前资产归属于镇级，但未建立管理制度</w:t>
            </w:r>
          </w:p>
        </w:tc>
        <w:tc>
          <w:tcPr>
            <w:tcW w:w="294"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1.50 </w:t>
            </w:r>
          </w:p>
        </w:tc>
        <w:tc>
          <w:tcPr>
            <w:tcW w:w="368"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1.50 </w:t>
            </w:r>
          </w:p>
        </w:tc>
        <w:tc>
          <w:tcPr>
            <w:tcW w:w="316"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3.00 </w:t>
            </w:r>
          </w:p>
        </w:tc>
        <w:tc>
          <w:tcPr>
            <w:tcW w:w="419" w:type="pct"/>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426" w:type="pct"/>
            <w:vMerge w:val="continue"/>
            <w:vAlign w:val="center"/>
          </w:tcPr>
          <w:p>
            <w:pPr>
              <w:widowControl/>
              <w:jc w:val="left"/>
              <w:rPr>
                <w:rFonts w:ascii="Times New Roman" w:hAnsi="Times New Roman" w:eastAsia="仿宋_GB2312" w:cs="Times New Roman"/>
                <w:kern w:val="0"/>
                <w:sz w:val="24"/>
                <w:szCs w:val="24"/>
              </w:rPr>
            </w:pPr>
          </w:p>
        </w:tc>
        <w:tc>
          <w:tcPr>
            <w:tcW w:w="261" w:type="pct"/>
            <w:vMerge w:val="continue"/>
            <w:vAlign w:val="center"/>
          </w:tcPr>
          <w:p>
            <w:pPr>
              <w:widowControl/>
              <w:jc w:val="left"/>
              <w:rPr>
                <w:rFonts w:ascii="Times New Roman" w:hAnsi="Times New Roman" w:eastAsia="仿宋_GB2312" w:cs="Times New Roman"/>
                <w:kern w:val="0"/>
                <w:sz w:val="24"/>
                <w:szCs w:val="24"/>
              </w:rPr>
            </w:pPr>
          </w:p>
        </w:tc>
        <w:tc>
          <w:tcPr>
            <w:tcW w:w="415" w:type="pct"/>
            <w:vMerge w:val="continue"/>
            <w:vAlign w:val="center"/>
          </w:tcPr>
          <w:p>
            <w:pPr>
              <w:widowControl/>
              <w:jc w:val="left"/>
              <w:rPr>
                <w:rFonts w:ascii="Times New Roman" w:hAnsi="Times New Roman" w:eastAsia="仿宋_GB2312" w:cs="Times New Roman"/>
                <w:kern w:val="0"/>
                <w:sz w:val="24"/>
                <w:szCs w:val="24"/>
              </w:rPr>
            </w:pPr>
          </w:p>
        </w:tc>
        <w:tc>
          <w:tcPr>
            <w:tcW w:w="589"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D32 管养机制健全性</w:t>
            </w:r>
          </w:p>
        </w:tc>
        <w:tc>
          <w:tcPr>
            <w:tcW w:w="514"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建立健全并有效执行</w:t>
            </w:r>
          </w:p>
        </w:tc>
        <w:tc>
          <w:tcPr>
            <w:tcW w:w="221"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1177" w:type="pct"/>
            <w:gridSpan w:val="2"/>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目前由镇级养护并承担养护费用，但未建立管理制度明确管养主体</w:t>
            </w:r>
          </w:p>
        </w:tc>
        <w:tc>
          <w:tcPr>
            <w:tcW w:w="294"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1.50 </w:t>
            </w:r>
          </w:p>
        </w:tc>
        <w:tc>
          <w:tcPr>
            <w:tcW w:w="368"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1.50 </w:t>
            </w:r>
          </w:p>
        </w:tc>
        <w:tc>
          <w:tcPr>
            <w:tcW w:w="316"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3.00 </w:t>
            </w:r>
          </w:p>
        </w:tc>
        <w:tc>
          <w:tcPr>
            <w:tcW w:w="419" w:type="pct"/>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426" w:type="pct"/>
            <w:vMerge w:val="continue"/>
            <w:vAlign w:val="center"/>
          </w:tcPr>
          <w:p>
            <w:pPr>
              <w:widowControl/>
              <w:jc w:val="left"/>
              <w:rPr>
                <w:rFonts w:ascii="Times New Roman" w:hAnsi="Times New Roman" w:eastAsia="仿宋_GB2312" w:cs="Times New Roman"/>
                <w:kern w:val="0"/>
                <w:sz w:val="24"/>
                <w:szCs w:val="24"/>
              </w:rPr>
            </w:pPr>
          </w:p>
        </w:tc>
        <w:tc>
          <w:tcPr>
            <w:tcW w:w="261" w:type="pct"/>
            <w:vMerge w:val="continue"/>
            <w:vAlign w:val="center"/>
          </w:tcPr>
          <w:p>
            <w:pPr>
              <w:widowControl/>
              <w:jc w:val="left"/>
              <w:rPr>
                <w:rFonts w:ascii="Times New Roman" w:hAnsi="Times New Roman" w:eastAsia="仿宋_GB2312" w:cs="Times New Roman"/>
                <w:kern w:val="0"/>
                <w:sz w:val="24"/>
                <w:szCs w:val="24"/>
              </w:rPr>
            </w:pPr>
          </w:p>
        </w:tc>
        <w:tc>
          <w:tcPr>
            <w:tcW w:w="415"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D4满意度指标</w:t>
            </w:r>
          </w:p>
        </w:tc>
        <w:tc>
          <w:tcPr>
            <w:tcW w:w="589"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D41 周边居民满意度</w:t>
            </w:r>
          </w:p>
        </w:tc>
        <w:tc>
          <w:tcPr>
            <w:tcW w:w="514"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≥90%</w:t>
            </w:r>
          </w:p>
        </w:tc>
        <w:tc>
          <w:tcPr>
            <w:tcW w:w="221"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589"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98.03%</w:t>
            </w:r>
          </w:p>
        </w:tc>
        <w:tc>
          <w:tcPr>
            <w:tcW w:w="588"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90.61%</w:t>
            </w:r>
          </w:p>
        </w:tc>
        <w:tc>
          <w:tcPr>
            <w:tcW w:w="294"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2.50 </w:t>
            </w:r>
          </w:p>
        </w:tc>
        <w:tc>
          <w:tcPr>
            <w:tcW w:w="368"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2.50 </w:t>
            </w:r>
          </w:p>
        </w:tc>
        <w:tc>
          <w:tcPr>
            <w:tcW w:w="316" w:type="pct"/>
            <w:shd w:val="clear" w:color="auto" w:fill="auto"/>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5.00 </w:t>
            </w:r>
          </w:p>
        </w:tc>
        <w:tc>
          <w:tcPr>
            <w:tcW w:w="419" w:type="pct"/>
            <w:shd w:val="clear" w:color="auto" w:fill="auto"/>
            <w:noWrap/>
            <w:vAlign w:val="center"/>
          </w:tcPr>
          <w:p>
            <w:pPr>
              <w:widowControl/>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426" w:type="pct"/>
            <w:vMerge w:val="continue"/>
            <w:shd w:val="clear" w:color="auto" w:fill="auto"/>
            <w:vAlign w:val="center"/>
          </w:tcPr>
          <w:p>
            <w:pPr>
              <w:widowControl/>
              <w:jc w:val="center"/>
              <w:rPr>
                <w:rFonts w:ascii="Times New Roman" w:hAnsi="Times New Roman" w:eastAsia="仿宋_GB2312" w:cs="Times New Roman"/>
                <w:kern w:val="0"/>
                <w:sz w:val="24"/>
                <w:szCs w:val="24"/>
              </w:rPr>
            </w:pPr>
          </w:p>
        </w:tc>
        <w:tc>
          <w:tcPr>
            <w:tcW w:w="261" w:type="pct"/>
            <w:vMerge w:val="continue"/>
            <w:shd w:val="clear" w:color="auto" w:fill="auto"/>
            <w:vAlign w:val="center"/>
          </w:tcPr>
          <w:p>
            <w:pPr>
              <w:widowControl/>
              <w:jc w:val="center"/>
              <w:rPr>
                <w:rFonts w:ascii="Times New Roman" w:hAnsi="Times New Roman" w:eastAsia="仿宋_GB2312" w:cs="Times New Roman"/>
                <w:kern w:val="0"/>
                <w:sz w:val="24"/>
                <w:szCs w:val="24"/>
              </w:rPr>
            </w:pPr>
          </w:p>
        </w:tc>
        <w:tc>
          <w:tcPr>
            <w:tcW w:w="1518" w:type="pct"/>
            <w:gridSpan w:val="3"/>
            <w:shd w:val="clear" w:color="auto" w:fill="auto"/>
            <w:vAlign w:val="center"/>
          </w:tcPr>
          <w:p>
            <w:pPr>
              <w:widowControl/>
              <w:jc w:val="center"/>
              <w:rPr>
                <w:rFonts w:ascii="Times New Roman" w:hAnsi="Times New Roman" w:eastAsia="仿宋_GB2312" w:cs="Times New Roman"/>
                <w:b/>
                <w:bCs/>
                <w:kern w:val="0"/>
                <w:sz w:val="24"/>
                <w:szCs w:val="24"/>
              </w:rPr>
            </w:pPr>
            <w:r>
              <w:rPr>
                <w:rFonts w:hint="eastAsia" w:ascii="Times New Roman" w:hAnsi="Times New Roman" w:eastAsia="仿宋_GB2312" w:cs="Times New Roman"/>
                <w:b/>
                <w:bCs/>
                <w:kern w:val="0"/>
                <w:sz w:val="24"/>
                <w:szCs w:val="24"/>
              </w:rPr>
              <w:t>小计</w:t>
            </w:r>
          </w:p>
        </w:tc>
        <w:tc>
          <w:tcPr>
            <w:tcW w:w="221" w:type="pct"/>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30</w:t>
            </w:r>
          </w:p>
        </w:tc>
        <w:tc>
          <w:tcPr>
            <w:tcW w:w="589" w:type="pct"/>
            <w:shd w:val="clear" w:color="auto" w:fill="auto"/>
            <w:vAlign w:val="center"/>
          </w:tcPr>
          <w:p>
            <w:pPr>
              <w:widowControl/>
              <w:jc w:val="center"/>
              <w:rPr>
                <w:rFonts w:ascii="Times New Roman" w:hAnsi="Times New Roman" w:eastAsia="仿宋_GB2312" w:cs="Times New Roman"/>
                <w:b/>
                <w:bCs/>
                <w:kern w:val="0"/>
                <w:sz w:val="24"/>
                <w:szCs w:val="24"/>
              </w:rPr>
            </w:pPr>
          </w:p>
        </w:tc>
        <w:tc>
          <w:tcPr>
            <w:tcW w:w="588" w:type="pct"/>
            <w:shd w:val="clear" w:color="auto" w:fill="auto"/>
            <w:vAlign w:val="center"/>
          </w:tcPr>
          <w:p>
            <w:pPr>
              <w:widowControl/>
              <w:jc w:val="center"/>
              <w:rPr>
                <w:rFonts w:ascii="Times New Roman" w:hAnsi="Times New Roman" w:eastAsia="仿宋_GB2312" w:cs="Times New Roman"/>
                <w:kern w:val="0"/>
                <w:sz w:val="24"/>
                <w:szCs w:val="24"/>
              </w:rPr>
            </w:pPr>
          </w:p>
        </w:tc>
        <w:tc>
          <w:tcPr>
            <w:tcW w:w="294" w:type="pct"/>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13.00 </w:t>
            </w:r>
          </w:p>
        </w:tc>
        <w:tc>
          <w:tcPr>
            <w:tcW w:w="368" w:type="pct"/>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13.00 </w:t>
            </w:r>
          </w:p>
        </w:tc>
        <w:tc>
          <w:tcPr>
            <w:tcW w:w="316" w:type="pct"/>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 xml:space="preserve">26.00 </w:t>
            </w:r>
          </w:p>
        </w:tc>
        <w:tc>
          <w:tcPr>
            <w:tcW w:w="419" w:type="pct"/>
            <w:shd w:val="clear" w:color="auto" w:fill="auto"/>
            <w:noWrap/>
            <w:vAlign w:val="center"/>
          </w:tcPr>
          <w:p>
            <w:pPr>
              <w:widowControl/>
              <w:jc w:val="center"/>
              <w:rPr>
                <w:rFonts w:ascii="Times New Roman" w:hAnsi="Times New Roman" w:eastAsia="仿宋_GB2312" w:cs="Times New Roman"/>
                <w:b/>
                <w:bCs/>
                <w:kern w:val="0"/>
                <w:sz w:val="24"/>
                <w:szCs w:val="24"/>
              </w:rPr>
            </w:pPr>
            <w:r>
              <w:rPr>
                <w:rFonts w:ascii="Times New Roman" w:hAnsi="Times New Roman" w:eastAsia="仿宋_GB2312" w:cs="Times New Roman"/>
                <w:b/>
                <w:bCs/>
                <w:kern w:val="0"/>
                <w:sz w:val="24"/>
                <w:szCs w:val="24"/>
              </w:rPr>
              <w:t>86.67%</w:t>
            </w:r>
          </w:p>
        </w:tc>
      </w:tr>
    </w:tbl>
    <w:p>
      <w:pPr>
        <w:spacing w:line="560" w:lineRule="exact"/>
        <w:rPr>
          <w:rFonts w:ascii="仿宋_GB2312" w:eastAsia="仿宋_GB2312"/>
          <w:sz w:val="32"/>
          <w:szCs w:val="32"/>
        </w:rPr>
      </w:pPr>
    </w:p>
    <w:p>
      <w:pPr>
        <w:pStyle w:val="22"/>
        <w:ind w:firstLine="643"/>
        <w:rPr>
          <w:b/>
          <w:bCs w:val="0"/>
        </w:rPr>
      </w:pPr>
      <w:r>
        <w:rPr>
          <w:rFonts w:hint="eastAsia"/>
          <w:b/>
          <w:bCs w:val="0"/>
        </w:rPr>
        <w:t>D11 2个集镇区污水管网全覆盖：</w:t>
      </w:r>
      <w:r>
        <w:rPr>
          <w:rFonts w:hint="eastAsia"/>
        </w:rPr>
        <w:t>根据访谈了解，污水管网建设前期，堡镇-五效集镇区和新河-新民集镇区均为雨污混接，影响区域水质，项目实施后原管道用于雨水输送，新建管网用于污水输送，管网敷设区域100%覆盖2个集镇区。根据评分标准，该指标满分4分，得100%权重分，实际得分4分。</w:t>
      </w:r>
    </w:p>
    <w:p>
      <w:pPr>
        <w:pStyle w:val="22"/>
        <w:ind w:firstLine="643"/>
        <w:rPr>
          <w:b/>
          <w:bCs w:val="0"/>
        </w:rPr>
      </w:pPr>
      <w:r>
        <w:rPr>
          <w:rFonts w:hint="eastAsia"/>
          <w:b/>
          <w:bCs w:val="0"/>
        </w:rPr>
        <w:t>D12 区域污水集中处理率：</w:t>
      </w:r>
      <w:r>
        <w:rPr>
          <w:rFonts w:hint="eastAsia"/>
        </w:rPr>
        <w:t>污水管网完善工程项目实施前，堡镇-五效集镇区和新河-新民集镇区的污水通过雨水管道直排，污水管网完善工程项目实施后，堡镇-五效集镇区的污水管网与</w:t>
      </w:r>
      <w:r>
        <w:rPr>
          <w:rFonts w:hint="eastAsia" w:ascii="仿宋_GB2312" w:hAnsi="仿宋_GB2312" w:cs="仿宋_GB2312"/>
        </w:rPr>
        <w:t>堡镇污水厂衔接、</w:t>
      </w:r>
      <w:r>
        <w:rPr>
          <w:rFonts w:hint="eastAsia"/>
        </w:rPr>
        <w:t>新河-新民集镇区的污水管网与</w:t>
      </w:r>
      <w:r>
        <w:rPr>
          <w:rFonts w:hint="eastAsia" w:ascii="仿宋_GB2312" w:hAnsi="仿宋_GB2312" w:cs="仿宋_GB2312"/>
        </w:rPr>
        <w:t>新河污水厂衔接，区域污水排入污水厂经集中处理达标后进行排放，且经实地走访</w:t>
      </w:r>
      <w:r>
        <w:rPr>
          <w:rFonts w:hint="eastAsia"/>
        </w:rPr>
        <w:t>未发现区域内污水自排情况。根据评分标准，该指标满分3分，得100%权重分，实际得分3分。</w:t>
      </w:r>
    </w:p>
    <w:p>
      <w:pPr>
        <w:pStyle w:val="22"/>
        <w:ind w:firstLine="643"/>
        <w:rPr>
          <w:b/>
          <w:bCs w:val="0"/>
        </w:rPr>
      </w:pPr>
      <w:r>
        <w:rPr>
          <w:rFonts w:hint="eastAsia"/>
          <w:b/>
          <w:bCs w:val="0"/>
        </w:rPr>
        <w:t>D13 未发生居民有责投诉：</w:t>
      </w:r>
      <w:r>
        <w:rPr>
          <w:rFonts w:hint="eastAsia"/>
        </w:rPr>
        <w:t>根据评价小组梳理项目过程材料及统计、分析满意度问卷填报情况，2镇项目实施过程中存在居民投诉夜间噪音、反复施工影响出行等问题，镇级相关部门及监理单位督促施工单位及时进行了整改解决上述问题。根据评分标准，该指标满分2分，得100%权重分，实际得分2分。</w:t>
      </w:r>
    </w:p>
    <w:p>
      <w:pPr>
        <w:pStyle w:val="22"/>
        <w:ind w:firstLine="643"/>
        <w:rPr>
          <w:b/>
          <w:bCs w:val="0"/>
        </w:rPr>
      </w:pPr>
      <w:r>
        <w:rPr>
          <w:rFonts w:hint="eastAsia"/>
          <w:b/>
          <w:bCs w:val="0"/>
        </w:rPr>
        <w:t>D14 未发生安全事故：</w:t>
      </w:r>
      <w:r>
        <w:rPr>
          <w:rFonts w:hint="eastAsia"/>
        </w:rPr>
        <w:t>根据监理总结报告、施工单位总结报告等项目过程材料，堡镇和新河镇在项目实施过程中均未发生安全事故。根据评分标准，该指标满分3分，得100%权重分，实际得分3分。</w:t>
      </w:r>
    </w:p>
    <w:p>
      <w:pPr>
        <w:pStyle w:val="22"/>
        <w:ind w:firstLine="643"/>
        <w:rPr>
          <w:b/>
          <w:bCs w:val="0"/>
        </w:rPr>
      </w:pPr>
      <w:r>
        <w:rPr>
          <w:rFonts w:hint="eastAsia"/>
          <w:b/>
          <w:bCs w:val="0"/>
        </w:rPr>
        <w:t>D21河道水质改善情况：</w:t>
      </w:r>
      <w:r>
        <w:rPr>
          <w:rFonts w:hint="eastAsia"/>
        </w:rPr>
        <w:t>污水管网完善工程项目实施前，堡镇-五效集镇区和新河-新民集镇区均为雨污混接，污水通过雨水管道直排入周边河道，项目实施后2个集镇区均实现了雨污分流，污水排入</w:t>
      </w:r>
      <w:r>
        <w:rPr>
          <w:rFonts w:hint="eastAsia" w:ascii="仿宋_GB2312" w:hAnsi="仿宋_GB2312" w:cs="仿宋_GB2312"/>
        </w:rPr>
        <w:t>堡镇污水厂和新河污水厂，项目实施后集镇区周边河道的水质有所改善，</w:t>
      </w:r>
      <w:r>
        <w:rPr>
          <w:rFonts w:hint="eastAsia"/>
        </w:rPr>
        <w:t>以堡镇登瀛河为例，2021</w:t>
      </w:r>
      <w:r>
        <w:t>年</w:t>
      </w:r>
      <w:r>
        <w:rPr>
          <w:rFonts w:hint="eastAsia"/>
        </w:rPr>
        <w:t>6</w:t>
      </w:r>
      <w:r>
        <w:t>月采样数据中</w:t>
      </w:r>
      <w:r>
        <w:rPr>
          <w:rFonts w:hint="eastAsia"/>
        </w:rPr>
        <w:t>的PH</w:t>
      </w:r>
      <w:r>
        <w:t>值为</w:t>
      </w:r>
      <w:r>
        <w:rPr>
          <w:rFonts w:hint="eastAsia"/>
        </w:rPr>
        <w:t>7.9，溶解氧2.3mg/L、等级为V，高锰酸盐指数4.8mg/L、等级为</w:t>
      </w:r>
      <w:r>
        <w:t>III</w:t>
      </w:r>
      <w:r>
        <w:rPr>
          <w:rFonts w:hint="eastAsia"/>
        </w:rPr>
        <w:t>，氨氮0.65mg/L、等级为</w:t>
      </w:r>
      <w:r>
        <w:t>III</w:t>
      </w:r>
      <w:r>
        <w:rPr>
          <w:rFonts w:hint="eastAsia"/>
        </w:rPr>
        <w:t>，总磷0.214mg/L、等级为</w:t>
      </w:r>
      <w:r>
        <w:t>IV</w:t>
      </w:r>
      <w:r>
        <w:rPr>
          <w:rFonts w:hint="eastAsia"/>
        </w:rPr>
        <w:t>，河道综合评价等级为</w:t>
      </w:r>
      <w:r>
        <w:t>V</w:t>
      </w:r>
      <w:r>
        <w:rPr>
          <w:rFonts w:hint="eastAsia"/>
        </w:rPr>
        <w:t>；2024年1月</w:t>
      </w:r>
      <w:r>
        <w:t>采样数据中</w:t>
      </w:r>
      <w:r>
        <w:rPr>
          <w:rFonts w:hint="eastAsia"/>
        </w:rPr>
        <w:t>的PH</w:t>
      </w:r>
      <w:r>
        <w:t>值为</w:t>
      </w:r>
      <w:r>
        <w:rPr>
          <w:rFonts w:hint="eastAsia"/>
        </w:rPr>
        <w:t>7，溶解氧10.3mg/L、等级为</w:t>
      </w:r>
      <w:r>
        <w:t>I</w:t>
      </w:r>
      <w:r>
        <w:rPr>
          <w:rFonts w:hint="eastAsia"/>
        </w:rPr>
        <w:t>，高锰酸盐指数4.1mg/L、等级为</w:t>
      </w:r>
      <w:r>
        <w:t>III</w:t>
      </w:r>
      <w:r>
        <w:rPr>
          <w:rFonts w:hint="eastAsia"/>
        </w:rPr>
        <w:t>，氨氮</w:t>
      </w:r>
      <w:r>
        <w:t>0.676</w:t>
      </w:r>
      <w:r>
        <w:rPr>
          <w:rFonts w:hint="eastAsia"/>
        </w:rPr>
        <w:t>mg/L、等级为</w:t>
      </w:r>
      <w:r>
        <w:t>III</w:t>
      </w:r>
      <w:r>
        <w:rPr>
          <w:rFonts w:hint="eastAsia"/>
        </w:rPr>
        <w:t>，总磷</w:t>
      </w:r>
      <w:r>
        <w:t>0.116</w:t>
      </w:r>
      <w:r>
        <w:rPr>
          <w:rFonts w:hint="eastAsia"/>
        </w:rPr>
        <w:t>mg/L、等级为</w:t>
      </w:r>
      <w:r>
        <w:t>III</w:t>
      </w:r>
      <w:r>
        <w:rPr>
          <w:rFonts w:hint="eastAsia"/>
        </w:rPr>
        <w:t>，河道综合评价等级为</w:t>
      </w:r>
      <w:r>
        <w:t>III</w:t>
      </w:r>
      <w:r>
        <w:rPr>
          <w:rFonts w:hint="eastAsia"/>
        </w:rPr>
        <w:t>，其中溶解氧、总磷评价等级明显升高。根据评分标准，该指标满分3分，得100%权重分，实际得分3分。</w:t>
      </w:r>
    </w:p>
    <w:p>
      <w:pPr>
        <w:pStyle w:val="22"/>
        <w:ind w:firstLine="643"/>
        <w:rPr>
          <w:b/>
          <w:bCs w:val="0"/>
        </w:rPr>
      </w:pPr>
      <w:r>
        <w:rPr>
          <w:rFonts w:hint="eastAsia"/>
          <w:b/>
          <w:bCs w:val="0"/>
        </w:rPr>
        <w:t>D31 资产管理机制健全性：</w:t>
      </w:r>
      <w:r>
        <w:rPr>
          <w:rFonts w:hint="eastAsia"/>
        </w:rPr>
        <w:t>根据评价小组与堡镇和新河镇相关负责人访谈了解，本项目涉及的撤制镇污水管网的性质介于城镇、农村之间，区、镇目前均未建立针对撤制镇污水管网的资产管理机制。项目竣工后两镇对相关资产进行了入账，现资产归属及管理权限均为镇级部门。根据评分标准，该指标满分5分，得60%权重分，实际得分3分。</w:t>
      </w:r>
    </w:p>
    <w:p>
      <w:pPr>
        <w:pStyle w:val="22"/>
        <w:ind w:firstLine="643"/>
        <w:rPr>
          <w:b/>
          <w:bCs w:val="0"/>
        </w:rPr>
      </w:pPr>
      <w:r>
        <w:rPr>
          <w:rFonts w:hint="eastAsia"/>
          <w:b/>
          <w:bCs w:val="0"/>
        </w:rPr>
        <w:t>D32 管养机制健全性：</w:t>
      </w:r>
      <w:r>
        <w:rPr>
          <w:rFonts w:hint="eastAsia"/>
        </w:rPr>
        <w:t>本项目涉及的撤制镇污水管网的性质介于城镇、农村之间，区级对于城镇和农村污水管网的建设和养护机制均已比较成熟，但目前未制定针对撤制镇污水管网的政策文件及长效管理机制，实际操作中业务管理参照城镇污水管网执行，但养护费用由镇级自行承担，目前污水管网已投入使用，两镇根据管网运行需求委托第三方单位开展日常的养护。根据评分标准，该指标满分5分，得60%权重分，实际得分3分。</w:t>
      </w:r>
    </w:p>
    <w:p>
      <w:pPr>
        <w:pStyle w:val="22"/>
        <w:ind w:firstLine="643"/>
      </w:pPr>
      <w:r>
        <w:rPr>
          <w:rFonts w:hint="eastAsia"/>
          <w:b/>
          <w:bCs w:val="0"/>
        </w:rPr>
        <w:t>D41 周边居民满意度：</w:t>
      </w:r>
      <w:r>
        <w:rPr>
          <w:rFonts w:hint="eastAsia"/>
        </w:rPr>
        <w:t>根据工作小组统计、分析满意度问卷填报情况，堡镇受访对象的综合满意度为98.03%，其中对绿化修复的满意度最高为98.26%，对异味控制的满意度相对最低为97.20%；新河镇受访对象的综合满意度为90.61%，其中对绿化修复、未侵占农民土地的满意度最高为90.90%，对扬尘控制的满意度相对最低为90%。根据评分标准，该指标满分5分，得100%权重分，实际得分5分。</w:t>
      </w:r>
    </w:p>
    <w:p>
      <w:pPr>
        <w:spacing w:line="560" w:lineRule="exact"/>
        <w:ind w:firstLine="640" w:firstLineChars="200"/>
        <w:outlineLvl w:val="0"/>
        <w:rPr>
          <w:rFonts w:ascii="Times New Roman" w:hAnsi="Times New Roman" w:eastAsia="黑体" w:cs="Times New Roman"/>
          <w:sz w:val="32"/>
          <w:szCs w:val="32"/>
        </w:rPr>
      </w:pPr>
      <w:bookmarkStart w:id="168" w:name="_Toc171093950"/>
      <w:r>
        <w:rPr>
          <w:rFonts w:hint="eastAsia" w:ascii="Times New Roman" w:hAnsi="Times New Roman" w:eastAsia="黑体" w:cs="Times New Roman"/>
          <w:sz w:val="32"/>
          <w:szCs w:val="32"/>
        </w:rPr>
        <w:t>四、主要经验及做法、存在问题和建议</w:t>
      </w:r>
      <w:bookmarkEnd w:id="168"/>
    </w:p>
    <w:p>
      <w:pPr>
        <w:pStyle w:val="26"/>
        <w:ind w:firstLine="640"/>
      </w:pPr>
      <w:bookmarkStart w:id="169" w:name="_Toc171093951"/>
      <w:r>
        <w:rPr>
          <w:rFonts w:hint="eastAsia"/>
        </w:rPr>
        <w:t>（一）主要经验及做法</w:t>
      </w:r>
      <w:bookmarkEnd w:id="169"/>
    </w:p>
    <w:p>
      <w:pPr>
        <w:pStyle w:val="22"/>
        <w:ind w:firstLine="643"/>
      </w:pPr>
      <w:bookmarkStart w:id="170" w:name="_Hlk169438747"/>
      <w:r>
        <w:rPr>
          <w:rFonts w:hint="eastAsia"/>
          <w:b/>
          <w:bCs w:val="0"/>
        </w:rPr>
        <w:t>1.全面统筹考虑，实现新建管网与现状管网有效衔接。</w:t>
      </w:r>
      <w:r>
        <w:rPr>
          <w:rFonts w:hint="eastAsia"/>
        </w:rPr>
        <w:t>污水管网完善工程项目规划实施前期，堡镇人民政府和新河镇人民政府统筹考虑区域市政管网和农村生活污水管网敷设现状，排除已纳管区域避免重复开挖，项目实施后污水管网100%覆盖</w:t>
      </w:r>
      <w:r>
        <w:rPr>
          <w:rFonts w:hint="eastAsia"/>
          <w:szCs w:val="32"/>
        </w:rPr>
        <w:t>堡镇-五效集镇区和新河-新民集镇区</w:t>
      </w:r>
      <w:r>
        <w:rPr>
          <w:rFonts w:hint="eastAsia"/>
        </w:rPr>
        <w:t>且实现了雨污分流，加快了区域污水收集率及处理率，避免了污水对河道、地下水造成污染，同时有利于降低污水处理成本。</w:t>
      </w:r>
    </w:p>
    <w:p>
      <w:pPr>
        <w:pStyle w:val="22"/>
        <w:ind w:firstLine="643"/>
      </w:pPr>
      <w:r>
        <w:rPr>
          <w:rFonts w:hint="eastAsia"/>
          <w:b/>
          <w:bCs w:val="0"/>
        </w:rPr>
        <w:t>2.预留市政接口，确保污水排放长效长治。</w:t>
      </w:r>
      <w:r>
        <w:rPr>
          <w:rFonts w:hint="eastAsia"/>
        </w:rPr>
        <w:t>污水管网完善工程项目施工过程中，堡镇人民政府和新河镇人民政府从区域整体排水角度出发，对于目前无法接入已建管网的区域，在对其接入条件进行考量后预留了市政接口。其中：五滧养老院、登瀛小学片区的生活污水在往年农村生活污水处理项目中实施了就地处理，本项目实施过程中新增一座提升泵并通过预留纳管口的形式对该区域农村生活污水进行接纳排管，经提升泵提升通过拖拉管方式穿越四滧港排至合五公路新建污水管道。新河镇在工业厂房处预留了接入井，今后预留沿线企业如有需要可直接接入污水管道进行输送。</w:t>
      </w:r>
    </w:p>
    <w:p>
      <w:pPr>
        <w:pStyle w:val="26"/>
        <w:ind w:firstLine="640"/>
      </w:pPr>
      <w:bookmarkStart w:id="171" w:name="_Toc171093952"/>
      <w:r>
        <w:rPr>
          <w:rFonts w:hint="eastAsia"/>
        </w:rPr>
        <w:t>（二）存在问题</w:t>
      </w:r>
      <w:bookmarkEnd w:id="171"/>
    </w:p>
    <w:p>
      <w:pPr>
        <w:pStyle w:val="22"/>
        <w:ind w:firstLine="643"/>
        <w:rPr>
          <w:b/>
          <w:bCs w:val="0"/>
        </w:rPr>
      </w:pPr>
      <w:r>
        <w:rPr>
          <w:rFonts w:hint="eastAsia"/>
          <w:b/>
          <w:bCs w:val="0"/>
        </w:rPr>
        <w:t>1.建设周期超规定时限，合同制定及执行尚需加强</w:t>
      </w:r>
    </w:p>
    <w:p>
      <w:pPr>
        <w:pStyle w:val="22"/>
        <w:ind w:firstLine="643"/>
      </w:pPr>
      <w:r>
        <w:rPr>
          <w:rFonts w:hint="eastAsia"/>
          <w:b/>
        </w:rPr>
        <w:t>一</w:t>
      </w:r>
      <w:r>
        <w:rPr>
          <w:b/>
        </w:rPr>
        <w:t>是</w:t>
      </w:r>
      <w:r>
        <w:rPr>
          <w:rFonts w:hint="eastAsia"/>
          <w:b/>
        </w:rPr>
        <w:t>个别</w:t>
      </w:r>
      <w:r>
        <w:rPr>
          <w:b/>
        </w:rPr>
        <w:t>合同要素填写</w:t>
      </w:r>
      <w:r>
        <w:rPr>
          <w:rFonts w:hint="eastAsia"/>
          <w:b/>
        </w:rPr>
        <w:t>不规范</w:t>
      </w:r>
      <w:r>
        <w:rPr>
          <w:b/>
        </w:rPr>
        <w:t>。</w:t>
      </w:r>
      <w:r>
        <w:t>如堡镇前期咨询合同中未填写合同结束日期</w:t>
      </w:r>
      <w:r>
        <w:rPr>
          <w:rFonts w:hint="eastAsia"/>
        </w:rPr>
        <w:t>；</w:t>
      </w:r>
      <w:r>
        <w:t>新河镇施工监理合同缺少签订日期</w:t>
      </w:r>
      <w:r>
        <w:rPr>
          <w:rFonts w:hint="eastAsia"/>
        </w:rPr>
        <w:t>，其次是</w:t>
      </w:r>
      <w:r>
        <w:rPr>
          <w:bCs w:val="0"/>
        </w:rPr>
        <w:t>施工合同</w:t>
      </w:r>
      <w:r>
        <w:t>中标通知书于2021年9月28日发布，</w:t>
      </w:r>
      <w:r>
        <w:rPr>
          <w:rFonts w:hint="eastAsia"/>
        </w:rPr>
        <w:t>双方于</w:t>
      </w:r>
      <w:r>
        <w:t>10月8日签订合同</w:t>
      </w:r>
      <w:r>
        <w:rPr>
          <w:rFonts w:hint="eastAsia"/>
        </w:rPr>
        <w:t>，</w:t>
      </w:r>
      <w:r>
        <w:t>工期为2021年10月1日至2022年5月28日，</w:t>
      </w:r>
      <w:r>
        <w:rPr>
          <w:rFonts w:hint="eastAsia"/>
          <w:bCs w:val="0"/>
        </w:rPr>
        <w:t>签订时间晚于起始时间，</w:t>
      </w:r>
      <w:r>
        <w:rPr>
          <w:rFonts w:hint="eastAsia"/>
        </w:rPr>
        <w:t>实际于11月4日取得开工令后施工。</w:t>
      </w:r>
    </w:p>
    <w:p>
      <w:pPr>
        <w:pStyle w:val="22"/>
        <w:ind w:firstLine="643"/>
      </w:pPr>
      <w:r>
        <w:rPr>
          <w:rFonts w:hint="eastAsia"/>
          <w:b/>
          <w:bCs w:val="0"/>
        </w:rPr>
        <w:t>二</w:t>
      </w:r>
      <w:r>
        <w:rPr>
          <w:b/>
        </w:rPr>
        <w:t>是两镇</w:t>
      </w:r>
      <w:r>
        <w:rPr>
          <w:rFonts w:hint="eastAsia"/>
          <w:b/>
        </w:rPr>
        <w:t>开竣工</w:t>
      </w:r>
      <w:r>
        <w:rPr>
          <w:b/>
        </w:rPr>
        <w:t>晚于督察组</w:t>
      </w:r>
      <w:r>
        <w:rPr>
          <w:rFonts w:hint="eastAsia"/>
          <w:b/>
        </w:rPr>
        <w:t>要求时限，且工程</w:t>
      </w:r>
      <w:r>
        <w:rPr>
          <w:b/>
        </w:rPr>
        <w:t>实际建设周期超出合同</w:t>
      </w:r>
      <w:r>
        <w:rPr>
          <w:rFonts w:hint="eastAsia"/>
          <w:b/>
        </w:rPr>
        <w:t>约定天数</w:t>
      </w:r>
      <w:r>
        <w:rPr>
          <w:b/>
        </w:rPr>
        <w:t>。</w:t>
      </w:r>
      <w:r>
        <w:rPr>
          <w:rFonts w:hint="eastAsia"/>
          <w:bCs w:val="0"/>
        </w:rPr>
        <w:t>（1）</w:t>
      </w:r>
      <w:r>
        <w:t>上海市第四生态环境保护督察组提出需在2021年完成撤制乡镇污水收集处理建设任务，实际两镇均于2021年中旬启动前期报批并于2022年下旬竣工，竣工结项时间较晚，主要是受2022年初疫情防控因素影响</w:t>
      </w:r>
      <w:r>
        <w:rPr>
          <w:rFonts w:hint="eastAsia"/>
        </w:rPr>
        <w:t>，全区撤制镇的污水管网完善项目均启动较晚</w:t>
      </w:r>
      <w:r>
        <w:t>。</w:t>
      </w:r>
      <w:r>
        <w:rPr>
          <w:rFonts w:hint="eastAsia"/>
        </w:rPr>
        <w:t>此外，相较新河镇，堡镇项目选线规划工作在取得开工令后开展，对后续工作进度产生一定影响。（2）</w:t>
      </w:r>
      <w:r>
        <w:t>堡镇施工合同约定的工期为2021年10月2日至2021年12月30日</w:t>
      </w:r>
      <w:r>
        <w:rPr>
          <w:rFonts w:hint="eastAsia"/>
        </w:rPr>
        <w:t>，共90个日历天</w:t>
      </w:r>
      <w:r>
        <w:t>，项目实际于11月8日开工并于2022年7月1日竣工，</w:t>
      </w:r>
      <w:r>
        <w:rPr>
          <w:rFonts w:hint="eastAsia"/>
          <w:bCs w:val="0"/>
        </w:rPr>
        <w:t>历时236个日历天</w:t>
      </w:r>
      <w:r>
        <w:rPr>
          <w:rFonts w:hint="eastAsia"/>
        </w:rPr>
        <w:t>，工期拉长，进度滞后</w:t>
      </w:r>
      <w:r>
        <w:t>，项目单位反馈主要是由于工程量发生变化影响实施工期，但工程量变更后未同步调整合同</w:t>
      </w:r>
      <w:r>
        <w:rPr>
          <w:rFonts w:hint="eastAsia"/>
        </w:rPr>
        <w:t>内容</w:t>
      </w:r>
      <w:r>
        <w:t>。</w:t>
      </w:r>
      <w:r>
        <w:rPr>
          <w:rFonts w:hint="eastAsia"/>
        </w:rPr>
        <w:t>（3）</w:t>
      </w:r>
      <w:r>
        <w:t>新河镇施工合同约定的工期共240个日历天，实际于2021年11月4日取得《工程开工令》后开工并于2022年7月23日竣工，</w:t>
      </w:r>
      <w:r>
        <w:rPr>
          <w:rFonts w:hint="eastAsia"/>
          <w:bCs w:val="0"/>
        </w:rPr>
        <w:t>历时262个日历天，工期也有所延后</w:t>
      </w:r>
      <w:r>
        <w:t>。</w:t>
      </w:r>
    </w:p>
    <w:p>
      <w:pPr>
        <w:pStyle w:val="22"/>
        <w:ind w:firstLine="643"/>
        <w:rPr>
          <w:b/>
        </w:rPr>
      </w:pPr>
      <w:r>
        <w:rPr>
          <w:rFonts w:hint="eastAsia"/>
          <w:b/>
        </w:rPr>
        <w:t>三</w:t>
      </w:r>
      <w:r>
        <w:rPr>
          <w:b/>
        </w:rPr>
        <w:t>是部分</w:t>
      </w:r>
      <w:r>
        <w:rPr>
          <w:rFonts w:hint="eastAsia"/>
          <w:b/>
        </w:rPr>
        <w:t>工程款</w:t>
      </w:r>
      <w:r>
        <w:rPr>
          <w:b/>
        </w:rPr>
        <w:t>未及时支付</w:t>
      </w:r>
      <w:r>
        <w:rPr>
          <w:rFonts w:hint="eastAsia"/>
          <w:b/>
        </w:rPr>
        <w:t>。</w:t>
      </w:r>
      <w:r>
        <w:rPr>
          <w:rFonts w:hint="eastAsia"/>
        </w:rPr>
        <w:t>堡镇项目于2023年8月30日通过竣工验收，2023年11月21日完成了审计并出具审计报告，目前项目已结项，相关设施设备已经入养护阶段；新河镇项目于2024年4月10日通过竣工验收，目前项目已送审。施工合同约定，“工程完工验收合格后付至已核实工程量价款的85%；完成竣工档案等相关资料的编制，并通过竣工验收后，支付至结算审定价的90%”，即堡镇应支付至审定价的90%（1407.44万元），目前实际支付至87.64%（1352.15万元），剩余部分已提交请款材料；新河镇应支付至工程量价款的85%（即3449.98万元），目前实际支付83.61%合同款（3081万元）。主要原因为：差额部分区财政已下达相应额度，但目前镇级暂无资金垫付，需待区级下达资金后再行核付。</w:t>
      </w:r>
    </w:p>
    <w:p>
      <w:pPr>
        <w:pStyle w:val="22"/>
        <w:tabs>
          <w:tab w:val="left" w:pos="2940"/>
        </w:tabs>
        <w:ind w:firstLine="643"/>
        <w:rPr>
          <w:b/>
          <w:bCs w:val="0"/>
        </w:rPr>
      </w:pPr>
      <w:r>
        <w:rPr>
          <w:rFonts w:hint="eastAsia"/>
          <w:b/>
          <w:bCs w:val="0"/>
        </w:rPr>
        <w:t>2.</w:t>
      </w:r>
      <w:r>
        <w:rPr>
          <w:b/>
          <w:bCs w:val="0"/>
        </w:rPr>
        <w:t>工程变更</w:t>
      </w:r>
      <w:r>
        <w:rPr>
          <w:rFonts w:hint="eastAsia"/>
          <w:b/>
          <w:bCs w:val="0"/>
        </w:rPr>
        <w:t>及费用支出</w:t>
      </w:r>
      <w:r>
        <w:rPr>
          <w:b/>
          <w:bCs w:val="0"/>
        </w:rPr>
        <w:t>不</w:t>
      </w:r>
      <w:r>
        <w:rPr>
          <w:rFonts w:hint="eastAsia"/>
          <w:b/>
          <w:bCs w:val="0"/>
        </w:rPr>
        <w:t>严谨</w:t>
      </w:r>
      <w:r>
        <w:rPr>
          <w:b/>
          <w:bCs w:val="0"/>
        </w:rPr>
        <w:t>，</w:t>
      </w:r>
      <w:r>
        <w:rPr>
          <w:rFonts w:hint="eastAsia"/>
          <w:b/>
          <w:bCs w:val="0"/>
        </w:rPr>
        <w:t>过程管理有待规范</w:t>
      </w:r>
    </w:p>
    <w:p>
      <w:pPr>
        <w:pStyle w:val="22"/>
        <w:ind w:firstLine="643"/>
      </w:pPr>
      <w:r>
        <w:rPr>
          <w:rFonts w:hint="eastAsia"/>
          <w:b/>
          <w:bCs w:val="0"/>
        </w:rPr>
        <w:t>一是工程</w:t>
      </w:r>
      <w:r>
        <w:rPr>
          <w:b/>
          <w:bCs w:val="0"/>
        </w:rPr>
        <w:t>变更</w:t>
      </w:r>
      <w:r>
        <w:rPr>
          <w:rFonts w:hint="eastAsia"/>
          <w:b/>
          <w:bCs w:val="0"/>
        </w:rPr>
        <w:t>报批流程有待规范。</w:t>
      </w:r>
      <w:r>
        <w:rPr>
          <w:rFonts w:hint="eastAsia"/>
        </w:rPr>
        <w:t>根据审价审计报告及过程材料，堡镇和新河镇的建设工程量较合同约定均存在不同程度变更，其中：堡镇项目建安工程费的审定价为1542.87万元，较中标价减少1.34%；新河镇项目建安工程费的审价金额为4085.12万元，较中标价增加0.65%，均未超出5%。《上海市崇明区政府投资项目管理办法》（沪崇发改〔2020〕478</w:t>
      </w:r>
      <w:r>
        <w:t>号</w:t>
      </w:r>
      <w:r>
        <w:rPr>
          <w:rFonts w:hint="eastAsia"/>
        </w:rPr>
        <w:t>）中提出“项目建安费调增比例小于中标价5%或调增资金500万元以下，且未超出经批准的概算建安费（或估算建安费）的，区级行业管理部门会同项目（法人）单位应当及时向区发展改革委、区财政局报备”，施工过程中两镇主要是通过组织相关单位讨论后进行了设计变更，堡镇施工单位形成了</w:t>
      </w:r>
      <w:r>
        <w:t>5份签证单和2份设计变更通知单</w:t>
      </w:r>
      <w:r>
        <w:rPr>
          <w:rFonts w:hint="eastAsia"/>
        </w:rPr>
        <w:t>，</w:t>
      </w:r>
      <w:r>
        <w:t>新河镇</w:t>
      </w:r>
      <w:r>
        <w:rPr>
          <w:rFonts w:hint="eastAsia"/>
        </w:rPr>
        <w:t>施工单位</w:t>
      </w:r>
      <w:r>
        <w:t>填写了4份业务联系单</w:t>
      </w:r>
      <w:r>
        <w:rPr>
          <w:rFonts w:hint="eastAsia"/>
        </w:rPr>
        <w:t>。项目单位反馈</w:t>
      </w:r>
      <w:r>
        <w:rPr>
          <w:rFonts w:hint="eastAsia"/>
          <w:bCs w:val="0"/>
        </w:rPr>
        <w:t>对于变更情况与区发改委进行了口头沟通，未形成相关的报备审批材料。</w:t>
      </w:r>
    </w:p>
    <w:p>
      <w:pPr>
        <w:pStyle w:val="22"/>
        <w:ind w:firstLine="643"/>
      </w:pPr>
      <w:r>
        <w:rPr>
          <w:rFonts w:hint="eastAsia"/>
          <w:b/>
          <w:bCs w:val="0"/>
        </w:rPr>
        <w:t>二是两镇支出了批复范围以外的资金。</w:t>
      </w:r>
      <w:r>
        <w:rPr>
          <w:rFonts w:hint="eastAsia"/>
        </w:rPr>
        <w:t>经梳理，堡镇已签订合同中的选线规划费、涉河论证费、竣工档案编制费、审计费不在批复的投资估算及概算明细内，涉及费用共计23.02万元；新河镇已签订合同中的选线规划费、涉河论证费、跟测费、绿化补植、临时使用公益林地可行性研究咨询费均不在批复内容中，涉及费用共计41.21万元。其中堡镇的选线规划费、新河镇的涉河论证费在上报至区发改委审核时进行了全额核减，但实际仍将相关费用列支在项目中支出。经与镇级部门项目负责人沟通了解，批复外所涉费用均为项目开展实际所需，最终结算时的总费用不会超出批复金额。</w:t>
      </w:r>
    </w:p>
    <w:p>
      <w:pPr>
        <w:pStyle w:val="22"/>
        <w:ind w:firstLine="643"/>
      </w:pPr>
      <w:r>
        <w:rPr>
          <w:rFonts w:hint="eastAsia"/>
          <w:b/>
          <w:bCs w:val="0"/>
        </w:rPr>
        <w:t>3.</w:t>
      </w:r>
      <w:r>
        <w:rPr>
          <w:b/>
          <w:bCs w:val="0"/>
        </w:rPr>
        <w:t>资产归属及管养主体不明确，</w:t>
      </w:r>
      <w:r>
        <w:rPr>
          <w:rFonts w:hint="eastAsia"/>
          <w:b/>
          <w:bCs w:val="0"/>
        </w:rPr>
        <w:t>长效机制</w:t>
      </w:r>
      <w:r>
        <w:rPr>
          <w:b/>
          <w:bCs w:val="0"/>
        </w:rPr>
        <w:t>有待</w:t>
      </w:r>
      <w:r>
        <w:rPr>
          <w:rFonts w:hint="eastAsia"/>
          <w:b/>
          <w:bCs w:val="0"/>
        </w:rPr>
        <w:t>完善</w:t>
      </w:r>
    </w:p>
    <w:p>
      <w:pPr>
        <w:pStyle w:val="22"/>
      </w:pPr>
      <w:r>
        <w:t>堡镇、新河镇以前年度建成的市政管网按照</w:t>
      </w:r>
      <w:r>
        <w:rPr>
          <w:rFonts w:hint="eastAsia"/>
        </w:rPr>
        <w:t>《推进崇明区污水管网完善工程的实施意见》（</w:t>
      </w:r>
      <w:r>
        <w:t>沪崇水务〔2019〕237号</w:t>
      </w:r>
      <w:r>
        <w:rPr>
          <w:rFonts w:hint="eastAsia"/>
        </w:rPr>
        <w:t>）</w:t>
      </w:r>
      <w:r>
        <w:t>中“工程实施完成后，五大污水处理厂覆盖区域所在镇（长兴镇、陈家镇、堡镇、新河镇、城桥镇）在工程通过竣工验收，质量保修期结束后移交区水务局统一运行维护，维护费用由区财政承担”的规定，由区水务局统一运行维护并承担养护费用，目前农村污水管网的资产、管理权限等归属于镇级，但区级对于养护费用按照老设施（2016年及以前）50%、新设施80%进行补贴。撤制镇污水管网的性质介于城镇、农村之间，区级对于城镇和农村污水管网的建设和养护机制均已比较成熟，但目前未制定针对撤制镇污水管网的政策文件及长效管理机制。实际操作中业务管理参照城镇污水管网执行，但养护费用区级不承担，现资产归属及管理权限均为镇级部门，养护费用也由镇级自行承担。因此，针对已建成撤制镇区污水管网后续的资产归属、管养主体、养护费用来源等不够明确，政策依据有待形成和进一步完善。</w:t>
      </w:r>
    </w:p>
    <w:p>
      <w:pPr>
        <w:pStyle w:val="26"/>
        <w:ind w:firstLine="640"/>
      </w:pPr>
      <w:bookmarkStart w:id="172" w:name="_Toc171093953"/>
      <w:r>
        <w:rPr>
          <w:rFonts w:hint="eastAsia"/>
        </w:rPr>
        <w:t>（三）建议和改进举措</w:t>
      </w:r>
      <w:bookmarkEnd w:id="172"/>
    </w:p>
    <w:p>
      <w:pPr>
        <w:pStyle w:val="22"/>
        <w:ind w:firstLine="643"/>
        <w:rPr>
          <w:b/>
          <w:bCs w:val="0"/>
        </w:rPr>
      </w:pPr>
      <w:r>
        <w:rPr>
          <w:rFonts w:hint="eastAsia"/>
          <w:b/>
          <w:bCs w:val="0"/>
        </w:rPr>
        <w:t>1.强化合同全生命周期管理，推动合同条款有效履行</w:t>
      </w:r>
    </w:p>
    <w:p>
      <w:pPr>
        <w:pStyle w:val="22"/>
      </w:pPr>
      <w:r>
        <w:rPr>
          <w:rFonts w:hint="eastAsia"/>
        </w:rPr>
        <w:t>建议项目单位在今后年度实施同类项目或其他大型项目时，在依据各项目计划实施内容及计划开展时间等制定较为完备的工作方案后，</w:t>
      </w:r>
      <w:r>
        <w:rPr>
          <w:rFonts w:hint="eastAsia"/>
          <w:b/>
          <w:bCs w:val="0"/>
        </w:rPr>
        <w:t>一是规范合同签订流程。</w:t>
      </w:r>
      <w:r>
        <w:rPr>
          <w:rFonts w:hint="eastAsia"/>
        </w:rPr>
        <w:t>项目批复立项后即开展采购工作，待确定中标单位后按照中标事项及时签订合同，明确合同内容、服务期限等。</w:t>
      </w:r>
      <w:r>
        <w:rPr>
          <w:rFonts w:hint="eastAsia"/>
          <w:b/>
          <w:bCs w:val="0"/>
        </w:rPr>
        <w:t>二是加强项目合同要素管理及审核。</w:t>
      </w:r>
      <w:r>
        <w:rPr>
          <w:rFonts w:hint="eastAsia"/>
        </w:rPr>
        <w:t>与第三方单位签订各类合同时，按照《中华人民共和国民法典》（2021年）的规定，明确合同标的、数量、质量、价款、履行期限、地点和方式、违约责任等要素，同时做好合同审核，及时核实并补充遗漏事项，确保其法律效力。若存在客观影响因素导致项目延期的情况，建议在延期申请审批通过后以补充协议的方式同步调整合同履行期限，加强合同管理的规范性。</w:t>
      </w:r>
      <w:r>
        <w:rPr>
          <w:rFonts w:hint="eastAsia"/>
          <w:b/>
          <w:bCs w:val="0"/>
        </w:rPr>
        <w:t>三是按照项目建设进度及合同约定及时核付相关费用。</w:t>
      </w:r>
      <w:r>
        <w:rPr>
          <w:rFonts w:hint="eastAsia"/>
        </w:rPr>
        <w:t>目前堡镇污水管网完善工程项目已基本结项，新河镇项目正在审计中，对于尚未支付资金，建议按照财政相关要求加快请款并在资金到位后及时核付，提高资金使用效益和执行进度。今后同类项目实施过程中若因中标单位原因导致项目延期，建议按照违约条款“按合同工期，每逾期竣工一天罚不少于合同价的万分之二”等相关规定执行。</w:t>
      </w:r>
    </w:p>
    <w:p>
      <w:pPr>
        <w:pStyle w:val="22"/>
        <w:ind w:firstLine="643"/>
        <w:rPr>
          <w:b/>
        </w:rPr>
      </w:pPr>
      <w:r>
        <w:rPr>
          <w:rFonts w:hint="eastAsia"/>
          <w:b/>
        </w:rPr>
        <w:t>2.完善工程变更报批流程，规范使用项目资金</w:t>
      </w:r>
    </w:p>
    <w:p>
      <w:pPr>
        <w:pStyle w:val="22"/>
        <w:rPr>
          <w:b/>
        </w:rPr>
      </w:pPr>
      <w:r>
        <w:rPr>
          <w:rFonts w:hint="eastAsia"/>
        </w:rPr>
        <w:t>第一，针对污水管网完善工程项目，对于堡镇、新河镇人民政府，建议结合区级要求，依据审计金额或审价金额补充提交变更材料，明确变更内容及对应费用的变更情况；对于区财政局，建议在进行资金清算前，要求两镇提交工程建设费用变更情况的相关材料。对于区发改委，若今后年度相关单位实施同类项目或其他大型项目时，督促项目（法人）单位在建设内容发生变更时及时提交报批材料并做好变更内容的审核工作，规范项目实施。</w:t>
      </w:r>
    </w:p>
    <w:p>
      <w:pPr>
        <w:pStyle w:val="22"/>
        <w:rPr>
          <w:b/>
          <w:bCs w:val="0"/>
        </w:rPr>
      </w:pPr>
      <w:r>
        <w:rPr>
          <w:rFonts w:hint="eastAsia"/>
          <w:bCs w:val="0"/>
        </w:rPr>
        <w:t>第二，</w:t>
      </w:r>
      <w:r>
        <w:rPr>
          <w:rFonts w:hint="eastAsia"/>
        </w:rPr>
        <w:t>建议堡镇、新河镇人民政府加紧与区财政局、区水务局、区发改委、区建管委等相关部门沟通协调，商榷批复投资估算及概算明细外的工程建设其他费用是否可以使用本项目资金支付，确定后续资金列支方式及承担主体。若不可使用本项目资金支付，建议做好相关资金及财务处理。</w:t>
      </w:r>
    </w:p>
    <w:p>
      <w:pPr>
        <w:pStyle w:val="22"/>
        <w:ind w:firstLine="643"/>
        <w:rPr>
          <w:b/>
        </w:rPr>
      </w:pPr>
      <w:r>
        <w:rPr>
          <w:rFonts w:hint="eastAsia"/>
          <w:b/>
        </w:rPr>
        <w:t>3.明确责任和资产归属，健全撤制镇污水管网养护长效机制</w:t>
      </w:r>
    </w:p>
    <w:p>
      <w:pPr>
        <w:pStyle w:val="22"/>
        <w:ind w:firstLine="643"/>
      </w:pPr>
      <w:r>
        <w:rPr>
          <w:rFonts w:hint="eastAsia"/>
          <w:b/>
        </w:rPr>
        <w:t>区级层面，</w:t>
      </w:r>
      <w:r>
        <w:rPr>
          <w:rFonts w:hint="eastAsia"/>
          <w:bCs w:val="0"/>
        </w:rPr>
        <w:t>一是建议相关单位结合行业规范文件及崇明区实际，明确责任部门及各部门职能职责、项目实施环节及流程、重大变更及一般变更划分、变更审批与监管等相关内容，规范项目开展。</w:t>
      </w:r>
    </w:p>
    <w:p>
      <w:pPr>
        <w:pStyle w:val="22"/>
        <w:ind w:firstLine="643"/>
      </w:pPr>
      <w:r>
        <w:rPr>
          <w:rFonts w:hint="eastAsia"/>
          <w:b/>
        </w:rPr>
        <w:t>镇级层面，</w:t>
      </w:r>
      <w:r>
        <w:rPr>
          <w:rFonts w:hint="eastAsia"/>
          <w:bCs w:val="0"/>
        </w:rPr>
        <w:t>建议结合上位法文件明确镇级条线的组织机构及职责和项目立项、招投标、施工、审价、审计、验收、资金结算、材料归档、项目考核等方面的管理要求；针对工程量变更的情况，结合</w:t>
      </w:r>
      <w:r>
        <w:rPr>
          <w:rFonts w:hint="eastAsia"/>
        </w:rPr>
        <w:t>《水利部关于印发〈水利工程设计变更管理暂行办法〉的通知》（水规计〔2020〕283号）中“涉及工程开发任务变化和工程规模、设计标准、总体布局等方面的重大设计变更，应征得可行性研究报告批复部门的同意”“重大设计变更文件，由项目法人按原报审程序报原初步设计审批部门审批”“一般设计变更文件由项目法人组织有关参建方研究确认后实施变更，并报项目主管部门核备，项目主管部门认为必要时可组织审批。设计变更文件审查批准后，由项目法人负责组织实施”等规定、</w:t>
      </w:r>
      <w:r>
        <w:rPr>
          <w:rFonts w:hint="eastAsia"/>
          <w:bCs w:val="0"/>
        </w:rPr>
        <w:t>行业要求及目前两镇实际模式，建议届时由施工单位形成</w:t>
      </w:r>
      <w:r>
        <w:rPr>
          <w:rFonts w:hint="eastAsia"/>
        </w:rPr>
        <w:t>工程变更签证单等书面材料，经代建单位、监理单位、设计单位和项目法人单位分别确认并核实其变更率，当变更率超出规定比例时需按照沪崇发改〔2020〕478</w:t>
      </w:r>
      <w:r>
        <w:t>号</w:t>
      </w:r>
      <w:r>
        <w:rPr>
          <w:rFonts w:hint="eastAsia"/>
        </w:rPr>
        <w:t>文的规定由区发改委、区建委进行审批，规范项目变更手续。</w:t>
      </w:r>
    </w:p>
    <w:p>
      <w:pPr>
        <w:pStyle w:val="22"/>
        <w:ind w:firstLine="643"/>
      </w:pPr>
      <w:r>
        <w:rPr>
          <w:rFonts w:hint="eastAsia"/>
          <w:b/>
        </w:rPr>
        <w:t>区镇联动层面，</w:t>
      </w:r>
      <w:r>
        <w:rPr>
          <w:rFonts w:hint="eastAsia"/>
          <w:bCs w:val="0"/>
        </w:rPr>
        <w:t>建议区水务局与堡镇人民政府、新河镇人民政府加强沟通，商讨确定撤制镇区污水管网及配套设施的管养体系，明确资产管理部门、管养主体及维护费用承担主体等，为项目后续管理提供</w:t>
      </w:r>
      <w:r>
        <w:t>政策依据。</w:t>
      </w:r>
      <w:bookmarkEnd w:id="170"/>
      <w:bookmarkStart w:id="173" w:name="_GoBack"/>
      <w:bookmarkEnd w:id="173"/>
    </w:p>
    <w:sectPr>
      <w:pgSz w:w="11906" w:h="16838"/>
      <w:pgMar w:top="2098" w:right="1474" w:bottom="1984"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Cambria Math">
    <w:altName w:val="DejaVu Math TeX Gyre"/>
    <w:panose1 w:val="02040503050406030204"/>
    <w:charset w:val="00"/>
    <w:family w:val="roman"/>
    <w:pitch w:val="default"/>
    <w:sig w:usb0="00000000" w:usb1="00000000" w:usb2="02000000"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99044307"/>
      <w:docPartObj>
        <w:docPartGallery w:val="autotext"/>
      </w:docPartObj>
    </w:sdtPr>
    <w:sdtContent>
      <w:p>
        <w:pPr>
          <w:pStyle w:val="6"/>
          <w:jc w:val="cente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2</w:t>
        </w:r>
        <w:r>
          <w:rPr>
            <w:rFonts w:ascii="Times New Roman" w:hAnsi="Times New Roman" w:cs="Times New Roman"/>
            <w:sz w:val="24"/>
            <w:szCs w:val="24"/>
          </w:rPr>
          <w:fldChar w:fldCharType="end"/>
        </w:r>
      </w:p>
    </w:sdtContent>
  </w:sdt>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2">
    <w:p>
      <w:r>
        <w:separator/>
      </w:r>
    </w:p>
  </w:footnote>
  <w:footnote w:type="continuationSeparator" w:id="13">
    <w:p>
      <w:r>
        <w:continuationSeparator/>
      </w:r>
    </w:p>
  </w:footnote>
  <w:footnote w:id="0">
    <w:p>
      <w:pPr>
        <w:pStyle w:val="9"/>
        <w:spacing w:beforeLines="0" w:afterLines="0" w:line="240" w:lineRule="auto"/>
      </w:pPr>
      <w:r>
        <w:rPr>
          <w:rStyle w:val="17"/>
          <w:sz w:val="24"/>
          <w:szCs w:val="24"/>
        </w:rPr>
        <w:footnoteRef/>
      </w:r>
      <w:r>
        <w:rPr>
          <w:sz w:val="24"/>
          <w:szCs w:val="24"/>
        </w:rPr>
        <w:t xml:space="preserve"> </w:t>
      </w:r>
      <w:r>
        <w:rPr>
          <w:rFonts w:hint="eastAsia"/>
          <w:sz w:val="24"/>
          <w:szCs w:val="24"/>
        </w:rPr>
        <w:t>该项目名称与《绩效评价通知》中一致，根据两镇的可研批复及初设批复，项目位于五效镇区、新民镇区，对应的项目为堡镇污水管网完善工程、新河镇污水管网完善工程。</w:t>
      </w:r>
    </w:p>
  </w:footnote>
  <w:footnote w:id="1">
    <w:p>
      <w:pPr>
        <w:pStyle w:val="9"/>
        <w:spacing w:beforeLines="0" w:afterLines="0" w:line="240" w:lineRule="auto"/>
        <w:rPr>
          <w:sz w:val="24"/>
          <w:szCs w:val="24"/>
        </w:rPr>
      </w:pPr>
      <w:r>
        <w:rPr>
          <w:rStyle w:val="17"/>
          <w:b/>
          <w:bCs/>
          <w:sz w:val="24"/>
          <w:szCs w:val="24"/>
        </w:rPr>
        <w:footnoteRef/>
      </w:r>
      <w:r>
        <w:rPr>
          <w:b/>
          <w:bCs/>
          <w:sz w:val="24"/>
          <w:szCs w:val="24"/>
        </w:rPr>
        <w:t xml:space="preserve"> </w:t>
      </w:r>
      <w:r>
        <w:rPr>
          <w:rFonts w:hint="eastAsia"/>
          <w:b/>
          <w:bCs/>
          <w:sz w:val="24"/>
          <w:szCs w:val="24"/>
        </w:rPr>
        <w:t>撤制镇：</w:t>
      </w:r>
      <w:r>
        <w:rPr>
          <w:rFonts w:hint="eastAsia"/>
          <w:sz w:val="24"/>
          <w:szCs w:val="24"/>
        </w:rPr>
        <w:t>又称非建制镇，现为镇管社区区域，涉及陈家镇（含撤制裕安镇）、港沿镇（含撤制合兴）、堡镇（含撤制五</w:t>
      </w:r>
      <w:r>
        <w:rPr>
          <w:rFonts w:hint="eastAsia" w:ascii="仿宋_GB2312" w:hAnsi="仿宋_GB2312" w:cs="仿宋_GB2312"/>
          <w:sz w:val="24"/>
          <w:szCs w:val="24"/>
        </w:rPr>
        <w:t>效）、竖新镇（</w:t>
      </w:r>
      <w:r>
        <w:rPr>
          <w:rFonts w:hint="eastAsia"/>
          <w:sz w:val="24"/>
          <w:szCs w:val="24"/>
        </w:rPr>
        <w:t>含撤制</w:t>
      </w:r>
      <w:r>
        <w:rPr>
          <w:rFonts w:hint="eastAsia" w:ascii="仿宋_GB2312" w:hAnsi="仿宋_GB2312" w:cs="仿宋_GB2312"/>
          <w:sz w:val="24"/>
          <w:szCs w:val="24"/>
        </w:rPr>
        <w:t>竖河）、新河镇（</w:t>
      </w:r>
      <w:r>
        <w:rPr>
          <w:rFonts w:hint="eastAsia"/>
          <w:sz w:val="24"/>
          <w:szCs w:val="24"/>
        </w:rPr>
        <w:t>含撤制</w:t>
      </w:r>
      <w:r>
        <w:rPr>
          <w:rFonts w:hint="eastAsia" w:ascii="仿宋_GB2312" w:hAnsi="仿宋_GB2312" w:cs="仿宋_GB2312"/>
          <w:sz w:val="24"/>
          <w:szCs w:val="24"/>
        </w:rPr>
        <w:t>新民）、建设镇（</w:t>
      </w:r>
      <w:r>
        <w:rPr>
          <w:rFonts w:hint="eastAsia"/>
          <w:sz w:val="24"/>
          <w:szCs w:val="24"/>
        </w:rPr>
        <w:t>含撤制</w:t>
      </w:r>
      <w:r>
        <w:rPr>
          <w:rFonts w:hint="eastAsia" w:ascii="仿宋_GB2312" w:hAnsi="仿宋_GB2312" w:cs="仿宋_GB2312"/>
          <w:sz w:val="24"/>
          <w:szCs w:val="24"/>
        </w:rPr>
        <w:t>大同）、城桥镇（</w:t>
      </w:r>
      <w:r>
        <w:rPr>
          <w:rFonts w:hint="eastAsia"/>
          <w:sz w:val="24"/>
          <w:szCs w:val="24"/>
        </w:rPr>
        <w:t>含撤制</w:t>
      </w:r>
      <w:r>
        <w:rPr>
          <w:rFonts w:hint="eastAsia" w:ascii="仿宋_GB2312" w:hAnsi="仿宋_GB2312" w:cs="仿宋_GB2312"/>
          <w:sz w:val="24"/>
          <w:szCs w:val="24"/>
        </w:rPr>
        <w:t>侯家镇）、港西镇（</w:t>
      </w:r>
      <w:r>
        <w:rPr>
          <w:rFonts w:hint="eastAsia"/>
          <w:sz w:val="24"/>
          <w:szCs w:val="24"/>
        </w:rPr>
        <w:t>含撤制</w:t>
      </w:r>
      <w:r>
        <w:rPr>
          <w:rFonts w:hint="eastAsia" w:ascii="仿宋_GB2312" w:hAnsi="仿宋_GB2312" w:cs="仿宋_GB2312"/>
          <w:sz w:val="24"/>
          <w:szCs w:val="24"/>
        </w:rPr>
        <w:t>港东）、庙镇（</w:t>
      </w:r>
      <w:r>
        <w:rPr>
          <w:rFonts w:hint="eastAsia"/>
          <w:sz w:val="24"/>
          <w:szCs w:val="24"/>
        </w:rPr>
        <w:t>含撤制</w:t>
      </w:r>
      <w:r>
        <w:rPr>
          <w:rFonts w:hint="eastAsia" w:ascii="仿宋_GB2312" w:hAnsi="仿宋_GB2312" w:cs="仿宋_GB2312"/>
          <w:sz w:val="24"/>
          <w:szCs w:val="24"/>
        </w:rPr>
        <w:t>合作或江口）、三星镇（</w:t>
      </w:r>
      <w:r>
        <w:rPr>
          <w:rFonts w:hint="eastAsia"/>
          <w:sz w:val="24"/>
          <w:szCs w:val="24"/>
        </w:rPr>
        <w:t>含撤制</w:t>
      </w:r>
      <w:r>
        <w:rPr>
          <w:rFonts w:hint="eastAsia" w:ascii="仿宋_GB2312" w:hAnsi="仿宋_GB2312" w:cs="仿宋_GB2312"/>
          <w:sz w:val="24"/>
          <w:szCs w:val="24"/>
        </w:rPr>
        <w:t>海桥）</w:t>
      </w:r>
      <w:r>
        <w:rPr>
          <w:rFonts w:hint="eastAsia"/>
          <w:sz w:val="24"/>
          <w:szCs w:val="24"/>
        </w:rPr>
        <w:t>10个镇。</w:t>
      </w:r>
    </w:p>
  </w:footnote>
  <w:footnote w:id="2">
    <w:p>
      <w:pPr>
        <w:pStyle w:val="9"/>
        <w:spacing w:beforeLines="0" w:afterLines="0" w:line="240" w:lineRule="auto"/>
        <w:rPr>
          <w:sz w:val="24"/>
          <w:szCs w:val="24"/>
        </w:rPr>
      </w:pPr>
      <w:r>
        <w:rPr>
          <w:sz w:val="24"/>
          <w:szCs w:val="24"/>
        </w:rPr>
        <w:footnoteRef/>
      </w:r>
      <w:r>
        <w:rPr>
          <w:sz w:val="24"/>
          <w:szCs w:val="24"/>
        </w:rPr>
        <w:t xml:space="preserve"> </w:t>
      </w:r>
      <w:r>
        <w:rPr>
          <w:rFonts w:hint="eastAsia"/>
          <w:sz w:val="24"/>
          <w:szCs w:val="24"/>
        </w:rPr>
        <w:t>根据前期了解及公开信息检索，污水管网主要按照农村和城镇进行划分，目前2个撤制镇的污水管网按照城镇污水管网的模式进行操作，因此方案中主要按照城镇污水的要求进行梳理。</w:t>
      </w:r>
    </w:p>
  </w:footnote>
  <w:footnote w:id="3">
    <w:p>
      <w:pPr>
        <w:pStyle w:val="9"/>
        <w:spacing w:beforeLines="0" w:afterLines="0" w:line="240" w:lineRule="auto"/>
        <w:rPr>
          <w:sz w:val="24"/>
          <w:szCs w:val="24"/>
        </w:rPr>
      </w:pPr>
      <w:r>
        <w:rPr>
          <w:rStyle w:val="17"/>
          <w:b/>
          <w:bCs/>
          <w:sz w:val="24"/>
          <w:szCs w:val="24"/>
        </w:rPr>
        <w:footnoteRef/>
      </w:r>
      <w:r>
        <w:rPr>
          <w:b/>
          <w:bCs/>
          <w:sz w:val="24"/>
          <w:szCs w:val="24"/>
        </w:rPr>
        <w:t xml:space="preserve"> </w:t>
      </w:r>
      <w:r>
        <w:rPr>
          <w:rFonts w:hint="eastAsia"/>
          <w:b/>
          <w:bCs/>
          <w:sz w:val="24"/>
          <w:szCs w:val="24"/>
        </w:rPr>
        <w:t>六片九厂X站：</w:t>
      </w:r>
      <w:r>
        <w:rPr>
          <w:rFonts w:hint="eastAsia"/>
          <w:sz w:val="24"/>
          <w:szCs w:val="24"/>
        </w:rPr>
        <w:t>六片指崇东片、崇北片、崇南片、崇西片、长兴片和横沙片；九厂指城桥污水厂、新河污水厂、堡镇污水厂、陈家镇污水厂、明珠湖污水厂、新海污水厂、东平污水厂、长兴污水厂和横沙污水厂；X站指零星分布于乡镇和村庄的污水处理站。</w:t>
      </w:r>
    </w:p>
  </w:footnote>
  <w:footnote w:id="4">
    <w:p>
      <w:pPr>
        <w:pStyle w:val="9"/>
        <w:spacing w:beforeLines="0" w:afterLines="0" w:line="240" w:lineRule="auto"/>
        <w:rPr>
          <w:sz w:val="24"/>
          <w:szCs w:val="24"/>
        </w:rPr>
      </w:pPr>
      <w:r>
        <w:rPr>
          <w:rStyle w:val="17"/>
          <w:sz w:val="24"/>
          <w:szCs w:val="24"/>
        </w:rPr>
        <w:footnoteRef/>
      </w:r>
      <w:r>
        <w:rPr>
          <w:sz w:val="24"/>
          <w:szCs w:val="24"/>
        </w:rPr>
        <w:t xml:space="preserve"> </w:t>
      </w:r>
      <w:r>
        <w:rPr>
          <w:rFonts w:hint="eastAsia"/>
          <w:sz w:val="24"/>
          <w:szCs w:val="24"/>
        </w:rPr>
        <w:t>此处合同价为审计报告中的分部分项工程费，剔除措施项目费、其他项目费、税费。</w:t>
      </w:r>
    </w:p>
  </w:footnote>
  <w:footnote w:id="5">
    <w:p>
      <w:pPr>
        <w:pStyle w:val="9"/>
        <w:spacing w:before="156" w:after="156" w:line="240" w:lineRule="auto"/>
        <w:rPr>
          <w:sz w:val="24"/>
          <w:szCs w:val="24"/>
        </w:rPr>
      </w:pPr>
      <w:r>
        <w:rPr>
          <w:rStyle w:val="17"/>
          <w:sz w:val="24"/>
          <w:szCs w:val="24"/>
        </w:rPr>
        <w:footnoteRef/>
      </w:r>
      <w:r>
        <w:rPr>
          <w:sz w:val="24"/>
          <w:szCs w:val="24"/>
        </w:rPr>
        <w:t xml:space="preserve"> </w:t>
      </w:r>
      <w:r>
        <w:rPr>
          <w:rFonts w:hint="eastAsia"/>
          <w:sz w:val="24"/>
          <w:szCs w:val="24"/>
        </w:rPr>
        <w:t>此处审定费用为审价报告中的分部分项费用，剔除规费、增值税、工程造价。</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AF00B7"/>
    <w:multiLevelType w:val="multilevel"/>
    <w:tmpl w:val="72AF00B7"/>
    <w:lvl w:ilvl="0" w:tentative="0">
      <w:start w:val="1"/>
      <w:numFmt w:val="decimalEnclosedCircle"/>
      <w:lvlText w:val="%1"/>
      <w:lvlJc w:val="left"/>
      <w:pPr>
        <w:ind w:left="1000" w:hanging="360"/>
      </w:pPr>
      <w:rPr>
        <w:rFonts w:hint="default"/>
      </w:r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12"/>
    <w:footnote w:id="13"/>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1MWIwNjZlNGQ3YTFiNTQ5OTU2MmJmZTkwMDUwNDQifQ=="/>
  </w:docVars>
  <w:rsids>
    <w:rsidRoot w:val="00215D9C"/>
    <w:rsid w:val="00014354"/>
    <w:rsid w:val="00017615"/>
    <w:rsid w:val="00021605"/>
    <w:rsid w:val="00023952"/>
    <w:rsid w:val="00023E84"/>
    <w:rsid w:val="0003365E"/>
    <w:rsid w:val="00040420"/>
    <w:rsid w:val="00040FF6"/>
    <w:rsid w:val="000517C9"/>
    <w:rsid w:val="00055931"/>
    <w:rsid w:val="00070C33"/>
    <w:rsid w:val="00080355"/>
    <w:rsid w:val="00081766"/>
    <w:rsid w:val="00085143"/>
    <w:rsid w:val="00085CF6"/>
    <w:rsid w:val="0008791E"/>
    <w:rsid w:val="0009363A"/>
    <w:rsid w:val="00095EF6"/>
    <w:rsid w:val="000A106F"/>
    <w:rsid w:val="000A14D4"/>
    <w:rsid w:val="000A5ADD"/>
    <w:rsid w:val="000B1547"/>
    <w:rsid w:val="000B5EB8"/>
    <w:rsid w:val="000C7821"/>
    <w:rsid w:val="000C7BB5"/>
    <w:rsid w:val="000D5E01"/>
    <w:rsid w:val="000E085C"/>
    <w:rsid w:val="000E163B"/>
    <w:rsid w:val="000F31C2"/>
    <w:rsid w:val="000F5580"/>
    <w:rsid w:val="000F6587"/>
    <w:rsid w:val="00102074"/>
    <w:rsid w:val="001057A1"/>
    <w:rsid w:val="00107216"/>
    <w:rsid w:val="001108D4"/>
    <w:rsid w:val="0011330F"/>
    <w:rsid w:val="00115C3C"/>
    <w:rsid w:val="00121AF3"/>
    <w:rsid w:val="001229FB"/>
    <w:rsid w:val="00125255"/>
    <w:rsid w:val="001303B9"/>
    <w:rsid w:val="00132F82"/>
    <w:rsid w:val="00151399"/>
    <w:rsid w:val="00157ED2"/>
    <w:rsid w:val="00161BC6"/>
    <w:rsid w:val="001625D0"/>
    <w:rsid w:val="00165129"/>
    <w:rsid w:val="00167C0B"/>
    <w:rsid w:val="00171034"/>
    <w:rsid w:val="001820BB"/>
    <w:rsid w:val="001822EF"/>
    <w:rsid w:val="00183549"/>
    <w:rsid w:val="00184FE3"/>
    <w:rsid w:val="001A6E98"/>
    <w:rsid w:val="001A7369"/>
    <w:rsid w:val="001A7836"/>
    <w:rsid w:val="001B4CB3"/>
    <w:rsid w:val="001B4F39"/>
    <w:rsid w:val="001B5657"/>
    <w:rsid w:val="001B6B17"/>
    <w:rsid w:val="001B7E7A"/>
    <w:rsid w:val="001C129A"/>
    <w:rsid w:val="001C1DC9"/>
    <w:rsid w:val="001D0AA1"/>
    <w:rsid w:val="001D1C34"/>
    <w:rsid w:val="001E12A3"/>
    <w:rsid w:val="001F34E0"/>
    <w:rsid w:val="001F39FF"/>
    <w:rsid w:val="001F6A68"/>
    <w:rsid w:val="00204788"/>
    <w:rsid w:val="00215D9C"/>
    <w:rsid w:val="002236B2"/>
    <w:rsid w:val="00237BFC"/>
    <w:rsid w:val="002734F0"/>
    <w:rsid w:val="002754B0"/>
    <w:rsid w:val="00290471"/>
    <w:rsid w:val="00295955"/>
    <w:rsid w:val="002971D6"/>
    <w:rsid w:val="002A061D"/>
    <w:rsid w:val="002B4F95"/>
    <w:rsid w:val="002C01DD"/>
    <w:rsid w:val="002C1686"/>
    <w:rsid w:val="002C3E56"/>
    <w:rsid w:val="002C6446"/>
    <w:rsid w:val="002E294B"/>
    <w:rsid w:val="002F3FE8"/>
    <w:rsid w:val="002F46D6"/>
    <w:rsid w:val="002F6DFD"/>
    <w:rsid w:val="002F6F91"/>
    <w:rsid w:val="002F7A4D"/>
    <w:rsid w:val="003023FD"/>
    <w:rsid w:val="00306675"/>
    <w:rsid w:val="003150B7"/>
    <w:rsid w:val="00316BAF"/>
    <w:rsid w:val="00320C84"/>
    <w:rsid w:val="0032622F"/>
    <w:rsid w:val="003277A5"/>
    <w:rsid w:val="00334F6E"/>
    <w:rsid w:val="003455D7"/>
    <w:rsid w:val="00362025"/>
    <w:rsid w:val="0036209A"/>
    <w:rsid w:val="00363A03"/>
    <w:rsid w:val="00372ACE"/>
    <w:rsid w:val="00377A26"/>
    <w:rsid w:val="00384B5C"/>
    <w:rsid w:val="00390FE8"/>
    <w:rsid w:val="003B1011"/>
    <w:rsid w:val="003B55E4"/>
    <w:rsid w:val="003B5C58"/>
    <w:rsid w:val="003C03DC"/>
    <w:rsid w:val="003C0D1D"/>
    <w:rsid w:val="003C3A15"/>
    <w:rsid w:val="003C6083"/>
    <w:rsid w:val="003D6141"/>
    <w:rsid w:val="003E1930"/>
    <w:rsid w:val="003E2436"/>
    <w:rsid w:val="003E706D"/>
    <w:rsid w:val="003F02D8"/>
    <w:rsid w:val="003F2AC5"/>
    <w:rsid w:val="003F52AB"/>
    <w:rsid w:val="003F5F40"/>
    <w:rsid w:val="00401EBA"/>
    <w:rsid w:val="00413644"/>
    <w:rsid w:val="00421099"/>
    <w:rsid w:val="00421A04"/>
    <w:rsid w:val="00436DF6"/>
    <w:rsid w:val="00441B78"/>
    <w:rsid w:val="004533FF"/>
    <w:rsid w:val="00455F18"/>
    <w:rsid w:val="004616DB"/>
    <w:rsid w:val="00475182"/>
    <w:rsid w:val="00480313"/>
    <w:rsid w:val="004832A2"/>
    <w:rsid w:val="00487592"/>
    <w:rsid w:val="004923A6"/>
    <w:rsid w:val="00494890"/>
    <w:rsid w:val="00494E95"/>
    <w:rsid w:val="004A2C8C"/>
    <w:rsid w:val="004B3B4D"/>
    <w:rsid w:val="004D0239"/>
    <w:rsid w:val="004E0789"/>
    <w:rsid w:val="004E316E"/>
    <w:rsid w:val="004F0495"/>
    <w:rsid w:val="0050398C"/>
    <w:rsid w:val="005109F5"/>
    <w:rsid w:val="005247AF"/>
    <w:rsid w:val="00526EC7"/>
    <w:rsid w:val="00527B9A"/>
    <w:rsid w:val="00537CA6"/>
    <w:rsid w:val="00547256"/>
    <w:rsid w:val="005669C1"/>
    <w:rsid w:val="00572097"/>
    <w:rsid w:val="005836C4"/>
    <w:rsid w:val="0058504B"/>
    <w:rsid w:val="00597E28"/>
    <w:rsid w:val="005A3203"/>
    <w:rsid w:val="005A474A"/>
    <w:rsid w:val="005A5D4A"/>
    <w:rsid w:val="005E1161"/>
    <w:rsid w:val="005E1A29"/>
    <w:rsid w:val="005E5D35"/>
    <w:rsid w:val="005F21EE"/>
    <w:rsid w:val="005F5E39"/>
    <w:rsid w:val="00601870"/>
    <w:rsid w:val="006026AA"/>
    <w:rsid w:val="006039BA"/>
    <w:rsid w:val="00614D03"/>
    <w:rsid w:val="006200C5"/>
    <w:rsid w:val="0062185F"/>
    <w:rsid w:val="00622F02"/>
    <w:rsid w:val="00624C84"/>
    <w:rsid w:val="006426C7"/>
    <w:rsid w:val="00650E82"/>
    <w:rsid w:val="006609CC"/>
    <w:rsid w:val="00661235"/>
    <w:rsid w:val="006618F1"/>
    <w:rsid w:val="006653AB"/>
    <w:rsid w:val="00670842"/>
    <w:rsid w:val="00673313"/>
    <w:rsid w:val="00681218"/>
    <w:rsid w:val="00687CB7"/>
    <w:rsid w:val="00687D6A"/>
    <w:rsid w:val="006910A7"/>
    <w:rsid w:val="0069276D"/>
    <w:rsid w:val="00696B16"/>
    <w:rsid w:val="006A074C"/>
    <w:rsid w:val="006A2977"/>
    <w:rsid w:val="006B0935"/>
    <w:rsid w:val="006B12A6"/>
    <w:rsid w:val="006B32DE"/>
    <w:rsid w:val="006B3349"/>
    <w:rsid w:val="006C6483"/>
    <w:rsid w:val="006D5679"/>
    <w:rsid w:val="006D7A7B"/>
    <w:rsid w:val="006F468B"/>
    <w:rsid w:val="00700054"/>
    <w:rsid w:val="00714B4B"/>
    <w:rsid w:val="00715527"/>
    <w:rsid w:val="00720AA3"/>
    <w:rsid w:val="007333BB"/>
    <w:rsid w:val="00744BAA"/>
    <w:rsid w:val="00753498"/>
    <w:rsid w:val="00754DF1"/>
    <w:rsid w:val="00780F10"/>
    <w:rsid w:val="00782477"/>
    <w:rsid w:val="00782ADF"/>
    <w:rsid w:val="00783FFC"/>
    <w:rsid w:val="00786F83"/>
    <w:rsid w:val="00793DBC"/>
    <w:rsid w:val="007A0880"/>
    <w:rsid w:val="007A67B2"/>
    <w:rsid w:val="007B6AB7"/>
    <w:rsid w:val="007D02F5"/>
    <w:rsid w:val="007D2C5D"/>
    <w:rsid w:val="007E1298"/>
    <w:rsid w:val="007E1C52"/>
    <w:rsid w:val="007F295B"/>
    <w:rsid w:val="00803145"/>
    <w:rsid w:val="0080495A"/>
    <w:rsid w:val="00817CC8"/>
    <w:rsid w:val="008410F6"/>
    <w:rsid w:val="00860C54"/>
    <w:rsid w:val="00861335"/>
    <w:rsid w:val="0086591F"/>
    <w:rsid w:val="00874263"/>
    <w:rsid w:val="0087655E"/>
    <w:rsid w:val="00887A5A"/>
    <w:rsid w:val="008A090E"/>
    <w:rsid w:val="008A46E7"/>
    <w:rsid w:val="008B7872"/>
    <w:rsid w:val="008C02AE"/>
    <w:rsid w:val="008D1332"/>
    <w:rsid w:val="008D3A7E"/>
    <w:rsid w:val="008D429A"/>
    <w:rsid w:val="008D536F"/>
    <w:rsid w:val="008F27C0"/>
    <w:rsid w:val="008F61EC"/>
    <w:rsid w:val="00921834"/>
    <w:rsid w:val="00933CE8"/>
    <w:rsid w:val="0093767C"/>
    <w:rsid w:val="0094090C"/>
    <w:rsid w:val="00944B2F"/>
    <w:rsid w:val="00951D15"/>
    <w:rsid w:val="00956709"/>
    <w:rsid w:val="00956A9C"/>
    <w:rsid w:val="009670A3"/>
    <w:rsid w:val="00984D96"/>
    <w:rsid w:val="00987C52"/>
    <w:rsid w:val="009A26CF"/>
    <w:rsid w:val="009A4C52"/>
    <w:rsid w:val="009A7335"/>
    <w:rsid w:val="009A7B25"/>
    <w:rsid w:val="009B1228"/>
    <w:rsid w:val="009B6462"/>
    <w:rsid w:val="009B7656"/>
    <w:rsid w:val="009B7E20"/>
    <w:rsid w:val="009C00BC"/>
    <w:rsid w:val="009C58DC"/>
    <w:rsid w:val="009D2AFF"/>
    <w:rsid w:val="009D515F"/>
    <w:rsid w:val="009E0555"/>
    <w:rsid w:val="009E1757"/>
    <w:rsid w:val="009E6187"/>
    <w:rsid w:val="009E77EA"/>
    <w:rsid w:val="009F0C45"/>
    <w:rsid w:val="00A01264"/>
    <w:rsid w:val="00A020CC"/>
    <w:rsid w:val="00A03B6C"/>
    <w:rsid w:val="00A0502F"/>
    <w:rsid w:val="00A06300"/>
    <w:rsid w:val="00A07B19"/>
    <w:rsid w:val="00A23B8C"/>
    <w:rsid w:val="00A25762"/>
    <w:rsid w:val="00A25EE2"/>
    <w:rsid w:val="00A33ECB"/>
    <w:rsid w:val="00A34F8F"/>
    <w:rsid w:val="00A36F4F"/>
    <w:rsid w:val="00A52FE3"/>
    <w:rsid w:val="00A649D5"/>
    <w:rsid w:val="00A7264B"/>
    <w:rsid w:val="00AC05E8"/>
    <w:rsid w:val="00AC1B66"/>
    <w:rsid w:val="00AC6042"/>
    <w:rsid w:val="00AC6A4B"/>
    <w:rsid w:val="00AC70B6"/>
    <w:rsid w:val="00AD2025"/>
    <w:rsid w:val="00AD43A1"/>
    <w:rsid w:val="00AE1834"/>
    <w:rsid w:val="00AE35D7"/>
    <w:rsid w:val="00AF23D7"/>
    <w:rsid w:val="00AF2841"/>
    <w:rsid w:val="00AF7F79"/>
    <w:rsid w:val="00B11E1A"/>
    <w:rsid w:val="00B15EBD"/>
    <w:rsid w:val="00B20EB8"/>
    <w:rsid w:val="00B35267"/>
    <w:rsid w:val="00B413DF"/>
    <w:rsid w:val="00B45756"/>
    <w:rsid w:val="00B5183E"/>
    <w:rsid w:val="00B53186"/>
    <w:rsid w:val="00B568C6"/>
    <w:rsid w:val="00B67D34"/>
    <w:rsid w:val="00B71B40"/>
    <w:rsid w:val="00B7218A"/>
    <w:rsid w:val="00B75093"/>
    <w:rsid w:val="00B842CF"/>
    <w:rsid w:val="00B85071"/>
    <w:rsid w:val="00B86728"/>
    <w:rsid w:val="00B905BF"/>
    <w:rsid w:val="00B93240"/>
    <w:rsid w:val="00B93BEE"/>
    <w:rsid w:val="00B97325"/>
    <w:rsid w:val="00B97F86"/>
    <w:rsid w:val="00BA72CF"/>
    <w:rsid w:val="00BC1243"/>
    <w:rsid w:val="00BD24AD"/>
    <w:rsid w:val="00BD6C23"/>
    <w:rsid w:val="00BE0132"/>
    <w:rsid w:val="00BF1BD2"/>
    <w:rsid w:val="00BF57D3"/>
    <w:rsid w:val="00C004B4"/>
    <w:rsid w:val="00C12A2C"/>
    <w:rsid w:val="00C178A4"/>
    <w:rsid w:val="00C21D0A"/>
    <w:rsid w:val="00C220D1"/>
    <w:rsid w:val="00C239DA"/>
    <w:rsid w:val="00C2557C"/>
    <w:rsid w:val="00C3201D"/>
    <w:rsid w:val="00C54435"/>
    <w:rsid w:val="00C661BA"/>
    <w:rsid w:val="00C74643"/>
    <w:rsid w:val="00C921DA"/>
    <w:rsid w:val="00C95CD9"/>
    <w:rsid w:val="00C97C37"/>
    <w:rsid w:val="00CA1709"/>
    <w:rsid w:val="00CA2067"/>
    <w:rsid w:val="00CA341E"/>
    <w:rsid w:val="00CC0209"/>
    <w:rsid w:val="00CC754D"/>
    <w:rsid w:val="00CD3D1C"/>
    <w:rsid w:val="00CE04D7"/>
    <w:rsid w:val="00CE0612"/>
    <w:rsid w:val="00CE603D"/>
    <w:rsid w:val="00CF6868"/>
    <w:rsid w:val="00CF6D9E"/>
    <w:rsid w:val="00D13F84"/>
    <w:rsid w:val="00D2328C"/>
    <w:rsid w:val="00D27DA1"/>
    <w:rsid w:val="00D41929"/>
    <w:rsid w:val="00D433B3"/>
    <w:rsid w:val="00D4409E"/>
    <w:rsid w:val="00D47E38"/>
    <w:rsid w:val="00D56549"/>
    <w:rsid w:val="00D637CD"/>
    <w:rsid w:val="00D76B95"/>
    <w:rsid w:val="00D83374"/>
    <w:rsid w:val="00D8737E"/>
    <w:rsid w:val="00D90948"/>
    <w:rsid w:val="00D92B5D"/>
    <w:rsid w:val="00DA22EA"/>
    <w:rsid w:val="00DA2EFE"/>
    <w:rsid w:val="00DA30A3"/>
    <w:rsid w:val="00DA4DAE"/>
    <w:rsid w:val="00DB66AA"/>
    <w:rsid w:val="00DD0254"/>
    <w:rsid w:val="00DD5484"/>
    <w:rsid w:val="00DE620B"/>
    <w:rsid w:val="00DF721D"/>
    <w:rsid w:val="00E068D6"/>
    <w:rsid w:val="00E116AA"/>
    <w:rsid w:val="00E16C1B"/>
    <w:rsid w:val="00E20653"/>
    <w:rsid w:val="00E20743"/>
    <w:rsid w:val="00E5128C"/>
    <w:rsid w:val="00E5555F"/>
    <w:rsid w:val="00E56381"/>
    <w:rsid w:val="00E5775E"/>
    <w:rsid w:val="00E94DB6"/>
    <w:rsid w:val="00E95548"/>
    <w:rsid w:val="00E96182"/>
    <w:rsid w:val="00EA42BE"/>
    <w:rsid w:val="00EA5EB1"/>
    <w:rsid w:val="00EB222A"/>
    <w:rsid w:val="00EB613E"/>
    <w:rsid w:val="00EC18A1"/>
    <w:rsid w:val="00ED0E4E"/>
    <w:rsid w:val="00ED22BC"/>
    <w:rsid w:val="00ED387E"/>
    <w:rsid w:val="00EE6278"/>
    <w:rsid w:val="00EF0D6A"/>
    <w:rsid w:val="00EF3FF5"/>
    <w:rsid w:val="00EF5D8F"/>
    <w:rsid w:val="00F1534C"/>
    <w:rsid w:val="00F20798"/>
    <w:rsid w:val="00F25D6A"/>
    <w:rsid w:val="00F27E5D"/>
    <w:rsid w:val="00F30A06"/>
    <w:rsid w:val="00F33100"/>
    <w:rsid w:val="00F451C9"/>
    <w:rsid w:val="00F57BD8"/>
    <w:rsid w:val="00F618E6"/>
    <w:rsid w:val="00F81D68"/>
    <w:rsid w:val="00F84D23"/>
    <w:rsid w:val="00F90537"/>
    <w:rsid w:val="00F91498"/>
    <w:rsid w:val="00F941A3"/>
    <w:rsid w:val="00F94E68"/>
    <w:rsid w:val="00FA4A62"/>
    <w:rsid w:val="00FA52D6"/>
    <w:rsid w:val="00FB54E9"/>
    <w:rsid w:val="00FB5B46"/>
    <w:rsid w:val="00FB75A5"/>
    <w:rsid w:val="00FB7AA1"/>
    <w:rsid w:val="00FC268D"/>
    <w:rsid w:val="00FC4A9B"/>
    <w:rsid w:val="00FE1FB1"/>
    <w:rsid w:val="00FE77F1"/>
    <w:rsid w:val="00FF470C"/>
    <w:rsid w:val="0CBF0B1F"/>
    <w:rsid w:val="15D92253"/>
    <w:rsid w:val="607930F3"/>
    <w:rsid w:val="66157BB6"/>
    <w:rsid w:val="699F335A"/>
    <w:rsid w:val="6EA65D2C"/>
    <w:rsid w:val="733777E5"/>
    <w:rsid w:val="EF9F94E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480"/>
      <w:contextualSpacing/>
      <w:outlineLvl w:val="0"/>
    </w:pPr>
    <w:rPr>
      <w:rFonts w:ascii="Cambria" w:hAnsi="Cambria"/>
      <w:b/>
      <w:bCs/>
      <w:sz w:val="28"/>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30"/>
    <w:unhideWhenUsed/>
    <w:qFormat/>
    <w:uiPriority w:val="99"/>
    <w:pPr>
      <w:jc w:val="left"/>
    </w:pPr>
  </w:style>
  <w:style w:type="paragraph" w:styleId="4">
    <w:name w:val="toc 3"/>
    <w:basedOn w:val="1"/>
    <w:next w:val="1"/>
    <w:unhideWhenUsed/>
    <w:qFormat/>
    <w:uiPriority w:val="39"/>
    <w:pPr>
      <w:ind w:left="840" w:leftChars="400"/>
    </w:pPr>
  </w:style>
  <w:style w:type="paragraph" w:styleId="5">
    <w:name w:val="Balloon Text"/>
    <w:basedOn w:val="1"/>
    <w:link w:val="21"/>
    <w:semiHidden/>
    <w:unhideWhenUsed/>
    <w:qFormat/>
    <w:uiPriority w:val="99"/>
    <w:rPr>
      <w:sz w:val="18"/>
      <w:szCs w:val="18"/>
    </w:rPr>
  </w:style>
  <w:style w:type="paragraph" w:styleId="6">
    <w:name w:val="footer"/>
    <w:basedOn w:val="1"/>
    <w:link w:val="19"/>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tabs>
        <w:tab w:val="right" w:leader="dot" w:pos="8835"/>
      </w:tabs>
      <w:spacing w:line="560" w:lineRule="exact"/>
    </w:pPr>
    <w:rPr>
      <w:rFonts w:ascii="Times New Roman" w:hAnsi="Times New Roman" w:eastAsia="仿宋_GB2312" w:cs="Times New Roman"/>
      <w:b/>
      <w:bCs/>
      <w:sz w:val="32"/>
      <w:szCs w:val="32"/>
    </w:rPr>
  </w:style>
  <w:style w:type="paragraph" w:styleId="9">
    <w:name w:val="footnote text"/>
    <w:basedOn w:val="1"/>
    <w:link w:val="20"/>
    <w:unhideWhenUsed/>
    <w:qFormat/>
    <w:uiPriority w:val="99"/>
    <w:pPr>
      <w:snapToGrid w:val="0"/>
      <w:spacing w:beforeLines="50" w:afterLines="50" w:line="360" w:lineRule="auto"/>
      <w:jc w:val="left"/>
    </w:pPr>
    <w:rPr>
      <w:rFonts w:ascii="Times New Roman" w:hAnsi="Times New Roman" w:eastAsia="仿宋_GB2312" w:cs="Times New Roman"/>
      <w:sz w:val="18"/>
      <w:szCs w:val="18"/>
    </w:rPr>
  </w:style>
  <w:style w:type="paragraph" w:styleId="10">
    <w:name w:val="toc 2"/>
    <w:basedOn w:val="1"/>
    <w:next w:val="1"/>
    <w:unhideWhenUsed/>
    <w:qFormat/>
    <w:uiPriority w:val="39"/>
    <w:pPr>
      <w:ind w:left="420" w:leftChars="200"/>
    </w:pPr>
  </w:style>
  <w:style w:type="paragraph" w:styleId="11">
    <w:name w:val="annotation subject"/>
    <w:basedOn w:val="3"/>
    <w:next w:val="3"/>
    <w:link w:val="31"/>
    <w:semiHidden/>
    <w:unhideWhenUsed/>
    <w:qFormat/>
    <w:uiPriority w:val="99"/>
    <w:rPr>
      <w:b/>
      <w:bCs/>
    </w:rPr>
  </w:style>
  <w:style w:type="table" w:styleId="13">
    <w:name w:val="Table Grid"/>
    <w:basedOn w:val="12"/>
    <w:qFormat/>
    <w:uiPriority w:val="3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unhideWhenUsed/>
    <w:qFormat/>
    <w:uiPriority w:val="99"/>
    <w:rPr>
      <w:color w:val="0000FF" w:themeColor="hyperlink"/>
      <w:u w:val="single"/>
      <w14:textFill>
        <w14:solidFill>
          <w14:schemeClr w14:val="hlink"/>
        </w14:solidFill>
      </w14:textFill>
    </w:rPr>
  </w:style>
  <w:style w:type="character" w:styleId="16">
    <w:name w:val="annotation reference"/>
    <w:basedOn w:val="14"/>
    <w:semiHidden/>
    <w:unhideWhenUsed/>
    <w:qFormat/>
    <w:uiPriority w:val="99"/>
    <w:rPr>
      <w:sz w:val="21"/>
      <w:szCs w:val="21"/>
    </w:rPr>
  </w:style>
  <w:style w:type="character" w:styleId="17">
    <w:name w:val="footnote reference"/>
    <w:basedOn w:val="14"/>
    <w:semiHidden/>
    <w:unhideWhenUsed/>
    <w:qFormat/>
    <w:uiPriority w:val="99"/>
    <w:rPr>
      <w:vertAlign w:val="superscript"/>
    </w:rPr>
  </w:style>
  <w:style w:type="character" w:customStyle="1" w:styleId="18">
    <w:name w:val="页眉 字符"/>
    <w:basedOn w:val="14"/>
    <w:link w:val="7"/>
    <w:qFormat/>
    <w:uiPriority w:val="99"/>
    <w:rPr>
      <w:sz w:val="18"/>
      <w:szCs w:val="18"/>
    </w:rPr>
  </w:style>
  <w:style w:type="character" w:customStyle="1" w:styleId="19">
    <w:name w:val="页脚 字符"/>
    <w:basedOn w:val="14"/>
    <w:link w:val="6"/>
    <w:qFormat/>
    <w:uiPriority w:val="99"/>
    <w:rPr>
      <w:sz w:val="18"/>
      <w:szCs w:val="18"/>
    </w:rPr>
  </w:style>
  <w:style w:type="character" w:customStyle="1" w:styleId="20">
    <w:name w:val="脚注文本 字符"/>
    <w:basedOn w:val="14"/>
    <w:link w:val="9"/>
    <w:qFormat/>
    <w:uiPriority w:val="99"/>
    <w:rPr>
      <w:rFonts w:ascii="Times New Roman" w:hAnsi="Times New Roman" w:eastAsia="仿宋_GB2312" w:cs="Times New Roman"/>
      <w:sz w:val="18"/>
      <w:szCs w:val="18"/>
    </w:rPr>
  </w:style>
  <w:style w:type="character" w:customStyle="1" w:styleId="21">
    <w:name w:val="批注框文本 字符"/>
    <w:basedOn w:val="14"/>
    <w:link w:val="5"/>
    <w:semiHidden/>
    <w:qFormat/>
    <w:uiPriority w:val="99"/>
    <w:rPr>
      <w:sz w:val="18"/>
      <w:szCs w:val="18"/>
    </w:rPr>
  </w:style>
  <w:style w:type="paragraph" w:customStyle="1" w:styleId="22">
    <w:name w:val="崇明-正文"/>
    <w:basedOn w:val="1"/>
    <w:link w:val="23"/>
    <w:qFormat/>
    <w:uiPriority w:val="0"/>
    <w:pPr>
      <w:spacing w:line="560" w:lineRule="exact"/>
      <w:ind w:firstLine="640" w:firstLineChars="200"/>
    </w:pPr>
    <w:rPr>
      <w:rFonts w:ascii="Times New Roman" w:hAnsi="Times New Roman" w:eastAsia="仿宋" w:cs="Times New Roman"/>
      <w:bCs/>
      <w:sz w:val="32"/>
      <w:szCs w:val="28"/>
    </w:rPr>
  </w:style>
  <w:style w:type="character" w:customStyle="1" w:styleId="23">
    <w:name w:val="崇明-正文 字符"/>
    <w:basedOn w:val="14"/>
    <w:link w:val="22"/>
    <w:qFormat/>
    <w:uiPriority w:val="0"/>
    <w:rPr>
      <w:rFonts w:ascii="Times New Roman" w:hAnsi="Times New Roman" w:eastAsia="仿宋" w:cs="Times New Roman"/>
      <w:bCs/>
      <w:kern w:val="2"/>
      <w:sz w:val="32"/>
      <w:szCs w:val="28"/>
    </w:rPr>
  </w:style>
  <w:style w:type="paragraph" w:customStyle="1" w:styleId="24">
    <w:name w:val="崇明-三级"/>
    <w:basedOn w:val="22"/>
    <w:qFormat/>
    <w:uiPriority w:val="0"/>
    <w:pPr>
      <w:outlineLvl w:val="2"/>
    </w:pPr>
    <w:rPr>
      <w:b/>
      <w:bCs w:val="0"/>
    </w:rPr>
  </w:style>
  <w:style w:type="paragraph" w:customStyle="1" w:styleId="25">
    <w:name w:val="青浦-正文"/>
    <w:basedOn w:val="1"/>
    <w:link w:val="32"/>
    <w:qFormat/>
    <w:uiPriority w:val="0"/>
    <w:pPr>
      <w:spacing w:line="560" w:lineRule="exact"/>
      <w:ind w:firstLine="200" w:firstLineChars="200"/>
    </w:pPr>
    <w:rPr>
      <w:rFonts w:ascii="Times New Roman" w:hAnsi="Times New Roman" w:eastAsia="仿宋_GB2312" w:cs="Times New Roman"/>
      <w:sz w:val="32"/>
      <w:szCs w:val="32"/>
    </w:rPr>
  </w:style>
  <w:style w:type="paragraph" w:customStyle="1" w:styleId="26">
    <w:name w:val="崇明-二级"/>
    <w:basedOn w:val="1"/>
    <w:link w:val="29"/>
    <w:qFormat/>
    <w:uiPriority w:val="0"/>
    <w:pPr>
      <w:spacing w:line="560" w:lineRule="exact"/>
      <w:ind w:firstLine="200" w:firstLineChars="200"/>
      <w:outlineLvl w:val="1"/>
    </w:pPr>
    <w:rPr>
      <w:rFonts w:ascii="Times New Roman" w:hAnsi="Times New Roman" w:eastAsia="楷体_GB2312" w:cs="楷体_GB2312"/>
      <w:sz w:val="32"/>
      <w:szCs w:val="32"/>
    </w:rPr>
  </w:style>
  <w:style w:type="paragraph" w:customStyle="1" w:styleId="27">
    <w:name w:val="无间隔2"/>
    <w:qFormat/>
    <w:uiPriority w:val="0"/>
    <w:rPr>
      <w:rFonts w:ascii="Calibri" w:hAnsi="Calibri" w:eastAsia="宋体" w:cs="Calibri"/>
      <w:sz w:val="22"/>
      <w:szCs w:val="22"/>
      <w:lang w:val="en-US" w:eastAsia="zh-CN" w:bidi="ar-SA"/>
    </w:rPr>
  </w:style>
  <w:style w:type="paragraph" w:customStyle="1" w:styleId="28">
    <w:name w:val="TOC 标题1"/>
    <w:basedOn w:val="2"/>
    <w:next w:val="1"/>
    <w:unhideWhenUsed/>
    <w:qFormat/>
    <w:uiPriority w:val="39"/>
    <w:pPr>
      <w:keepNext/>
      <w:keepLines/>
      <w:widowControl/>
      <w:spacing w:before="240" w:line="259" w:lineRule="auto"/>
      <w:contextualSpacing w:val="0"/>
      <w:jc w:val="left"/>
      <w:outlineLvl w:val="9"/>
    </w:pPr>
    <w:rPr>
      <w:rFonts w:asciiTheme="majorHAnsi" w:hAnsiTheme="majorHAnsi" w:eastAsiaTheme="majorEastAsia" w:cstheme="majorBidi"/>
      <w:b w:val="0"/>
      <w:bCs w:val="0"/>
      <w:color w:val="376092" w:themeColor="accent1" w:themeShade="BF"/>
      <w:kern w:val="0"/>
      <w:sz w:val="32"/>
      <w:szCs w:val="32"/>
    </w:rPr>
  </w:style>
  <w:style w:type="character" w:customStyle="1" w:styleId="29">
    <w:name w:val="崇明-二级 字符"/>
    <w:basedOn w:val="14"/>
    <w:link w:val="26"/>
    <w:qFormat/>
    <w:uiPriority w:val="0"/>
    <w:rPr>
      <w:rFonts w:ascii="Times New Roman" w:hAnsi="Times New Roman" w:eastAsia="楷体_GB2312" w:cs="楷体_GB2312"/>
      <w:kern w:val="2"/>
      <w:sz w:val="32"/>
      <w:szCs w:val="32"/>
    </w:rPr>
  </w:style>
  <w:style w:type="character" w:customStyle="1" w:styleId="30">
    <w:name w:val="批注文字 字符"/>
    <w:basedOn w:val="14"/>
    <w:link w:val="3"/>
    <w:qFormat/>
    <w:uiPriority w:val="99"/>
    <w:rPr>
      <w:kern w:val="2"/>
      <w:sz w:val="21"/>
      <w:szCs w:val="22"/>
    </w:rPr>
  </w:style>
  <w:style w:type="character" w:customStyle="1" w:styleId="31">
    <w:name w:val="批注主题 字符"/>
    <w:basedOn w:val="30"/>
    <w:link w:val="11"/>
    <w:semiHidden/>
    <w:qFormat/>
    <w:uiPriority w:val="99"/>
    <w:rPr>
      <w:b/>
      <w:bCs/>
      <w:kern w:val="2"/>
      <w:sz w:val="21"/>
      <w:szCs w:val="22"/>
    </w:rPr>
  </w:style>
  <w:style w:type="character" w:customStyle="1" w:styleId="32">
    <w:name w:val="青浦-正文 字符"/>
    <w:basedOn w:val="14"/>
    <w:link w:val="25"/>
    <w:qFormat/>
    <w:uiPriority w:val="0"/>
    <w:rPr>
      <w:rFonts w:ascii="Times New Roman" w:hAnsi="Times New Roman" w:eastAsia="仿宋_GB2312" w:cs="Times New Roman"/>
      <w:kern w:val="2"/>
      <w:sz w:val="32"/>
      <w:szCs w:val="32"/>
    </w:rPr>
  </w:style>
  <w:style w:type="paragraph" w:customStyle="1" w:styleId="33">
    <w:name w:val="崇明-一级"/>
    <w:basedOn w:val="1"/>
    <w:link w:val="34"/>
    <w:qFormat/>
    <w:uiPriority w:val="0"/>
    <w:pPr>
      <w:spacing w:line="560" w:lineRule="exact"/>
      <w:ind w:firstLine="640" w:firstLineChars="200"/>
      <w:outlineLvl w:val="0"/>
    </w:pPr>
    <w:rPr>
      <w:rFonts w:ascii="Times New Roman" w:hAnsi="Times New Roman" w:eastAsia="黑体" w:cs="Times New Roman"/>
      <w:sz w:val="32"/>
      <w:szCs w:val="32"/>
    </w:rPr>
  </w:style>
  <w:style w:type="character" w:customStyle="1" w:styleId="34">
    <w:name w:val="崇明-一级 字符"/>
    <w:basedOn w:val="14"/>
    <w:link w:val="33"/>
    <w:qFormat/>
    <w:uiPriority w:val="0"/>
    <w:rPr>
      <w:rFonts w:ascii="Times New Roman" w:hAnsi="Times New Roman" w:eastAsia="黑体" w:cs="Times New Roman"/>
      <w:kern w:val="2"/>
      <w:sz w:val="32"/>
      <w:szCs w:val="32"/>
    </w:rPr>
  </w:style>
  <w:style w:type="character" w:customStyle="1" w:styleId="35">
    <w:name w:val="font31"/>
    <w:basedOn w:val="14"/>
    <w:qFormat/>
    <w:uiPriority w:val="0"/>
    <w:rPr>
      <w:rFonts w:hint="default" w:ascii="Times New Roman" w:hAnsi="Times New Roman" w:cs="Times New Roman"/>
      <w:color w:val="000000"/>
      <w:sz w:val="24"/>
      <w:szCs w:val="24"/>
      <w:u w:val="none"/>
    </w:rPr>
  </w:style>
  <w:style w:type="character" w:customStyle="1" w:styleId="36">
    <w:name w:val="font41"/>
    <w:basedOn w:val="14"/>
    <w:qFormat/>
    <w:uiPriority w:val="0"/>
    <w:rPr>
      <w:rFonts w:hint="eastAsia" w:ascii="仿宋_GB2312" w:eastAsia="仿宋_GB2312"/>
      <w:color w:val="000000"/>
      <w:sz w:val="24"/>
      <w:szCs w:val="24"/>
      <w:u w:val="none"/>
    </w:rPr>
  </w:style>
  <w:style w:type="character" w:customStyle="1" w:styleId="37">
    <w:name w:val="font51"/>
    <w:basedOn w:val="14"/>
    <w:qFormat/>
    <w:uiPriority w:val="0"/>
    <w:rPr>
      <w:rFonts w:hint="eastAsia" w:ascii="仿宋_GB2312" w:eastAsia="仿宋_GB2312"/>
      <w:color w:val="000000"/>
      <w:sz w:val="20"/>
      <w:szCs w:val="20"/>
      <w:u w:val="none"/>
    </w:rPr>
  </w:style>
  <w:style w:type="character" w:customStyle="1" w:styleId="38">
    <w:name w:val="font101"/>
    <w:basedOn w:val="14"/>
    <w:qFormat/>
    <w:uiPriority w:val="0"/>
    <w:rPr>
      <w:rFonts w:hint="eastAsia" w:ascii="宋体" w:hAnsi="宋体" w:eastAsia="宋体"/>
      <w:color w:val="000000"/>
      <w:sz w:val="24"/>
      <w:szCs w:val="24"/>
      <w:u w:val="none"/>
    </w:rPr>
  </w:style>
  <w:style w:type="character" w:customStyle="1" w:styleId="39">
    <w:name w:val="font111"/>
    <w:basedOn w:val="14"/>
    <w:qFormat/>
    <w:uiPriority w:val="0"/>
    <w:rPr>
      <w:rFonts w:hint="default" w:ascii="Times New Roman" w:hAnsi="Times New Roman" w:cs="Times New Roman"/>
      <w:color w:val="000000"/>
      <w:sz w:val="24"/>
      <w:szCs w:val="24"/>
      <w:u w:val="none"/>
      <w:vertAlign w:val="superscript"/>
    </w:rPr>
  </w:style>
  <w:style w:type="character" w:customStyle="1" w:styleId="40">
    <w:name w:val="font21"/>
    <w:basedOn w:val="14"/>
    <w:qFormat/>
    <w:uiPriority w:val="0"/>
    <w:rPr>
      <w:rFonts w:hint="eastAsia" w:ascii="仿宋_GB2312" w:eastAsia="仿宋_GB2312"/>
      <w:b/>
      <w:bCs/>
      <w:color w:val="000000"/>
      <w:sz w:val="24"/>
      <w:szCs w:val="24"/>
      <w:u w:val="none"/>
    </w:rPr>
  </w:style>
  <w:style w:type="character" w:customStyle="1" w:styleId="41">
    <w:name w:val="font71"/>
    <w:basedOn w:val="14"/>
    <w:qFormat/>
    <w:uiPriority w:val="0"/>
    <w:rPr>
      <w:rFonts w:hint="default" w:ascii="Times New Roman" w:hAnsi="Times New Roman" w:cs="Times New Roman"/>
      <w:color w:val="000000"/>
      <w:sz w:val="24"/>
      <w:szCs w:val="24"/>
      <w:u w:val="none"/>
      <w:vertAlign w:val="superscript"/>
    </w:rPr>
  </w:style>
  <w:style w:type="paragraph" w:styleId="42">
    <w:name w:val="List Paragraph"/>
    <w:basedOn w:val="1"/>
    <w:unhideWhenUsed/>
    <w:qFormat/>
    <w:uiPriority w:val="99"/>
    <w:pPr>
      <w:ind w:firstLine="420" w:firstLineChars="200"/>
    </w:pPr>
  </w:style>
  <w:style w:type="character" w:customStyle="1" w:styleId="43">
    <w:name w:val="font61"/>
    <w:basedOn w:val="14"/>
    <w:qFormat/>
    <w:uiPriority w:val="0"/>
    <w:rPr>
      <w:rFonts w:hint="default" w:ascii="Times New Roman" w:hAnsi="Times New Roman" w:cs="Times New Roman"/>
      <w:color w:val="000000"/>
      <w:sz w:val="24"/>
      <w:szCs w:val="24"/>
      <w:u w:val="none"/>
    </w:rPr>
  </w:style>
  <w:style w:type="character" w:customStyle="1" w:styleId="44">
    <w:name w:val="font81"/>
    <w:basedOn w:val="14"/>
    <w:qFormat/>
    <w:uiPriority w:val="0"/>
    <w:rPr>
      <w:rFonts w:hint="default" w:ascii="Times New Roman" w:hAnsi="Times New Roman" w:cs="Times New Roman"/>
      <w:color w:val="000000"/>
      <w:sz w:val="24"/>
      <w:szCs w:val="24"/>
      <w:u w:val="none"/>
      <w:vertAlign w:val="superscript"/>
    </w:rPr>
  </w:style>
  <w:style w:type="paragraph" w:customStyle="1" w:styleId="45">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46">
    <w:name w:val="font0"/>
    <w:basedOn w:val="1"/>
    <w:qFormat/>
    <w:uiPriority w:val="0"/>
    <w:pPr>
      <w:widowControl/>
      <w:spacing w:before="100" w:beforeAutospacing="1" w:after="100" w:afterAutospacing="1"/>
      <w:jc w:val="left"/>
    </w:pPr>
    <w:rPr>
      <w:rFonts w:ascii="宋体" w:hAnsi="宋体" w:eastAsia="宋体" w:cs="宋体"/>
      <w:color w:val="000000"/>
      <w:kern w:val="0"/>
      <w:sz w:val="22"/>
    </w:rPr>
  </w:style>
  <w:style w:type="paragraph" w:customStyle="1" w:styleId="47">
    <w:name w:val="font1"/>
    <w:basedOn w:val="1"/>
    <w:qFormat/>
    <w:uiPriority w:val="0"/>
    <w:pPr>
      <w:widowControl/>
      <w:spacing w:before="100" w:beforeAutospacing="1" w:after="100" w:afterAutospacing="1"/>
      <w:jc w:val="left"/>
    </w:pPr>
    <w:rPr>
      <w:rFonts w:ascii="Times New Roman" w:hAnsi="Times New Roman" w:eastAsia="宋体" w:cs="Times New Roman"/>
      <w:color w:val="000000"/>
      <w:kern w:val="0"/>
      <w:sz w:val="20"/>
      <w:szCs w:val="20"/>
    </w:rPr>
  </w:style>
  <w:style w:type="paragraph" w:customStyle="1" w:styleId="48">
    <w:name w:val="font2"/>
    <w:basedOn w:val="1"/>
    <w:qFormat/>
    <w:uiPriority w:val="0"/>
    <w:pPr>
      <w:widowControl/>
      <w:spacing w:before="100" w:beforeAutospacing="1" w:after="100" w:afterAutospacing="1"/>
      <w:jc w:val="left"/>
    </w:pPr>
    <w:rPr>
      <w:rFonts w:ascii="Times New Roman" w:hAnsi="Times New Roman" w:eastAsia="宋体" w:cs="Times New Roman"/>
      <w:b/>
      <w:bCs/>
      <w:color w:val="000000"/>
      <w:kern w:val="0"/>
      <w:sz w:val="20"/>
      <w:szCs w:val="20"/>
    </w:rPr>
  </w:style>
  <w:style w:type="paragraph" w:customStyle="1" w:styleId="49">
    <w:name w:val="font3"/>
    <w:basedOn w:val="1"/>
    <w:qFormat/>
    <w:uiPriority w:val="0"/>
    <w:pPr>
      <w:widowControl/>
      <w:spacing w:before="100" w:beforeAutospacing="1" w:after="100" w:afterAutospacing="1"/>
      <w:jc w:val="left"/>
    </w:pPr>
    <w:rPr>
      <w:rFonts w:ascii="仿宋_GB2312" w:hAnsi="宋体" w:eastAsia="仿宋_GB2312" w:cs="宋体"/>
      <w:b/>
      <w:bCs/>
      <w:color w:val="000000"/>
      <w:kern w:val="0"/>
      <w:sz w:val="20"/>
      <w:szCs w:val="20"/>
    </w:rPr>
  </w:style>
  <w:style w:type="paragraph" w:customStyle="1" w:styleId="50">
    <w:name w:val="font4"/>
    <w:basedOn w:val="1"/>
    <w:qFormat/>
    <w:uiPriority w:val="0"/>
    <w:pPr>
      <w:widowControl/>
      <w:spacing w:before="100" w:beforeAutospacing="1" w:after="100" w:afterAutospacing="1"/>
      <w:jc w:val="left"/>
    </w:pPr>
    <w:rPr>
      <w:rFonts w:ascii="宋体" w:hAnsi="宋体" w:eastAsia="宋体" w:cs="宋体"/>
      <w:b/>
      <w:bCs/>
      <w:color w:val="000000"/>
      <w:kern w:val="0"/>
      <w:sz w:val="20"/>
      <w:szCs w:val="20"/>
    </w:rPr>
  </w:style>
  <w:style w:type="paragraph" w:customStyle="1" w:styleId="51">
    <w:name w:val="font5"/>
    <w:basedOn w:val="1"/>
    <w:qFormat/>
    <w:uiPriority w:val="0"/>
    <w:pPr>
      <w:widowControl/>
      <w:spacing w:before="100" w:beforeAutospacing="1" w:after="100" w:afterAutospacing="1"/>
      <w:jc w:val="left"/>
    </w:pPr>
    <w:rPr>
      <w:rFonts w:ascii="仿宋_GB2312" w:hAnsi="宋体" w:eastAsia="仿宋_GB2312" w:cs="宋体"/>
      <w:color w:val="000000"/>
      <w:kern w:val="0"/>
      <w:sz w:val="20"/>
      <w:szCs w:val="20"/>
    </w:rPr>
  </w:style>
  <w:style w:type="paragraph" w:customStyle="1" w:styleId="52">
    <w:name w:val="font6"/>
    <w:basedOn w:val="1"/>
    <w:qFormat/>
    <w:uiPriority w:val="0"/>
    <w:pPr>
      <w:widowControl/>
      <w:spacing w:before="100" w:beforeAutospacing="1" w:after="100" w:afterAutospacing="1"/>
      <w:jc w:val="left"/>
    </w:pPr>
    <w:rPr>
      <w:rFonts w:ascii="宋体" w:hAnsi="宋体" w:eastAsia="宋体" w:cs="宋体"/>
      <w:color w:val="000000"/>
      <w:kern w:val="0"/>
      <w:sz w:val="20"/>
      <w:szCs w:val="20"/>
    </w:rPr>
  </w:style>
  <w:style w:type="paragraph" w:customStyle="1" w:styleId="53">
    <w:name w:val="font7"/>
    <w:basedOn w:val="1"/>
    <w:qFormat/>
    <w:uiPriority w:val="0"/>
    <w:pPr>
      <w:widowControl/>
      <w:spacing w:before="100" w:beforeAutospacing="1" w:after="100" w:afterAutospacing="1"/>
      <w:jc w:val="left"/>
    </w:pPr>
    <w:rPr>
      <w:rFonts w:ascii="Times New Roman" w:hAnsi="Times New Roman" w:eastAsia="宋体" w:cs="Times New Roman"/>
      <w:color w:val="FF0000"/>
      <w:kern w:val="0"/>
      <w:sz w:val="20"/>
      <w:szCs w:val="20"/>
    </w:rPr>
  </w:style>
  <w:style w:type="paragraph" w:customStyle="1" w:styleId="54">
    <w:name w:val="et2"/>
    <w:basedOn w:val="1"/>
    <w:qFormat/>
    <w:uiPriority w:val="0"/>
    <w:pPr>
      <w:widowControl/>
      <w:spacing w:before="100" w:beforeAutospacing="1" w:after="100" w:afterAutospacing="1"/>
      <w:jc w:val="left"/>
    </w:pPr>
    <w:rPr>
      <w:rFonts w:ascii="Times New Roman" w:hAnsi="Times New Roman" w:eastAsia="宋体" w:cs="Times New Roman"/>
      <w:color w:val="000000"/>
      <w:kern w:val="0"/>
      <w:sz w:val="20"/>
      <w:szCs w:val="20"/>
    </w:rPr>
  </w:style>
  <w:style w:type="paragraph" w:customStyle="1" w:styleId="55">
    <w:name w:val="et4"/>
    <w:basedOn w:val="1"/>
    <w:qFormat/>
    <w:uiPriority w:val="0"/>
    <w:pPr>
      <w:widowControl/>
      <w:spacing w:before="100" w:beforeAutospacing="1" w:after="100" w:afterAutospacing="1"/>
      <w:jc w:val="center"/>
    </w:pPr>
    <w:rPr>
      <w:rFonts w:ascii="Times New Roman" w:hAnsi="Times New Roman" w:eastAsia="宋体" w:cs="Times New Roman"/>
      <w:color w:val="000000"/>
      <w:kern w:val="0"/>
      <w:sz w:val="20"/>
      <w:szCs w:val="20"/>
    </w:rPr>
  </w:style>
  <w:style w:type="paragraph" w:customStyle="1" w:styleId="56">
    <w:name w:val="et5"/>
    <w:basedOn w:val="1"/>
    <w:qFormat/>
    <w:uiPriority w:val="0"/>
    <w:pPr>
      <w:widowControl/>
      <w:spacing w:before="100" w:beforeAutospacing="1" w:after="100" w:afterAutospacing="1"/>
      <w:jc w:val="left"/>
    </w:pPr>
    <w:rPr>
      <w:rFonts w:ascii="Times New Roman" w:hAnsi="Times New Roman" w:eastAsia="宋体" w:cs="Times New Roman"/>
      <w:color w:val="000000"/>
      <w:kern w:val="0"/>
      <w:sz w:val="20"/>
      <w:szCs w:val="20"/>
    </w:rPr>
  </w:style>
  <w:style w:type="paragraph" w:customStyle="1" w:styleId="57">
    <w:name w:val="et6"/>
    <w:basedOn w:val="1"/>
    <w:qFormat/>
    <w:uiPriority w:val="0"/>
    <w:pPr>
      <w:widowControl/>
      <w:spacing w:before="100" w:beforeAutospacing="1" w:after="100" w:afterAutospacing="1"/>
      <w:jc w:val="center"/>
    </w:pPr>
    <w:rPr>
      <w:rFonts w:ascii="Times New Roman" w:hAnsi="Times New Roman" w:eastAsia="宋体" w:cs="Times New Roman"/>
      <w:color w:val="000000"/>
      <w:kern w:val="0"/>
      <w:sz w:val="20"/>
      <w:szCs w:val="20"/>
    </w:rPr>
  </w:style>
  <w:style w:type="paragraph" w:customStyle="1" w:styleId="58">
    <w:name w:val="et7"/>
    <w:basedOn w:val="1"/>
    <w:qFormat/>
    <w:uiPriority w:val="0"/>
    <w:pPr>
      <w:widowControl/>
      <w:spacing w:before="100" w:beforeAutospacing="1" w:after="100" w:afterAutospacing="1"/>
      <w:jc w:val="center"/>
    </w:pPr>
    <w:rPr>
      <w:rFonts w:ascii="Times New Roman" w:hAnsi="Times New Roman" w:eastAsia="宋体" w:cs="Times New Roman"/>
      <w:color w:val="000000"/>
      <w:kern w:val="0"/>
      <w:sz w:val="20"/>
      <w:szCs w:val="20"/>
    </w:rPr>
  </w:style>
  <w:style w:type="paragraph" w:customStyle="1" w:styleId="59">
    <w:name w:val="et8"/>
    <w:basedOn w:val="1"/>
    <w:qFormat/>
    <w:uiPriority w:val="0"/>
    <w:pPr>
      <w:widowControl/>
      <w:spacing w:before="100" w:beforeAutospacing="1" w:after="100" w:afterAutospacing="1"/>
      <w:jc w:val="center"/>
    </w:pPr>
    <w:rPr>
      <w:rFonts w:ascii="Times New Roman" w:hAnsi="Times New Roman" w:eastAsia="宋体" w:cs="Times New Roman"/>
      <w:color w:val="000000"/>
      <w:kern w:val="0"/>
      <w:sz w:val="20"/>
      <w:szCs w:val="20"/>
    </w:rPr>
  </w:style>
  <w:style w:type="paragraph" w:customStyle="1" w:styleId="60">
    <w:name w:val="et9"/>
    <w:basedOn w:val="1"/>
    <w:qFormat/>
    <w:uiPriority w:val="0"/>
    <w:pPr>
      <w:widowControl/>
      <w:spacing w:before="100" w:beforeAutospacing="1" w:after="100" w:afterAutospacing="1"/>
      <w:jc w:val="center"/>
    </w:pPr>
    <w:rPr>
      <w:rFonts w:ascii="Times New Roman" w:hAnsi="Times New Roman" w:eastAsia="宋体" w:cs="Times New Roman"/>
      <w:b/>
      <w:bCs/>
      <w:color w:val="000000"/>
      <w:kern w:val="0"/>
      <w:sz w:val="20"/>
      <w:szCs w:val="20"/>
    </w:rPr>
  </w:style>
  <w:style w:type="paragraph" w:customStyle="1" w:styleId="61">
    <w:name w:val="et10"/>
    <w:basedOn w:val="1"/>
    <w:qFormat/>
    <w:uiPriority w:val="0"/>
    <w:pPr>
      <w:widowControl/>
      <w:spacing w:before="100" w:beforeAutospacing="1" w:after="100" w:afterAutospacing="1"/>
      <w:jc w:val="left"/>
    </w:pPr>
    <w:rPr>
      <w:rFonts w:ascii="Times New Roman" w:hAnsi="Times New Roman" w:eastAsia="宋体" w:cs="Times New Roman"/>
      <w:b/>
      <w:bCs/>
      <w:color w:val="000000"/>
      <w:kern w:val="0"/>
      <w:sz w:val="20"/>
      <w:szCs w:val="20"/>
    </w:rPr>
  </w:style>
  <w:style w:type="paragraph" w:customStyle="1" w:styleId="62">
    <w:name w:val="et1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b/>
      <w:bCs/>
      <w:color w:val="000000"/>
      <w:kern w:val="0"/>
      <w:sz w:val="20"/>
      <w:szCs w:val="20"/>
    </w:rPr>
  </w:style>
  <w:style w:type="paragraph" w:customStyle="1" w:styleId="63">
    <w:name w:val="et1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b/>
      <w:bCs/>
      <w:color w:val="000000"/>
      <w:kern w:val="0"/>
      <w:sz w:val="20"/>
      <w:szCs w:val="20"/>
    </w:rPr>
  </w:style>
  <w:style w:type="paragraph" w:customStyle="1" w:styleId="64">
    <w:name w:val="et1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b/>
      <w:bCs/>
      <w:color w:val="000000"/>
      <w:kern w:val="0"/>
      <w:sz w:val="20"/>
      <w:szCs w:val="20"/>
    </w:rPr>
  </w:style>
  <w:style w:type="paragraph" w:customStyle="1" w:styleId="65">
    <w:name w:val="et15"/>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宋体" w:hAnsi="宋体" w:eastAsia="宋体" w:cs="宋体"/>
      <w:b/>
      <w:bCs/>
      <w:color w:val="000000"/>
      <w:kern w:val="0"/>
      <w:sz w:val="20"/>
      <w:szCs w:val="20"/>
    </w:rPr>
  </w:style>
  <w:style w:type="paragraph" w:customStyle="1" w:styleId="66">
    <w:name w:val="et1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_GB2312" w:hAnsi="宋体" w:eastAsia="仿宋_GB2312" w:cs="宋体"/>
      <w:b/>
      <w:bCs/>
      <w:color w:val="000000"/>
      <w:kern w:val="0"/>
      <w:sz w:val="20"/>
      <w:szCs w:val="20"/>
    </w:rPr>
  </w:style>
  <w:style w:type="paragraph" w:customStyle="1" w:styleId="67">
    <w:name w:val="et1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b/>
      <w:bCs/>
      <w:color w:val="000000"/>
      <w:kern w:val="0"/>
      <w:sz w:val="20"/>
      <w:szCs w:val="20"/>
    </w:rPr>
  </w:style>
  <w:style w:type="paragraph" w:customStyle="1" w:styleId="68">
    <w:name w:val="et1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b/>
      <w:bCs/>
      <w:color w:val="000000"/>
      <w:kern w:val="0"/>
      <w:sz w:val="20"/>
      <w:szCs w:val="20"/>
    </w:rPr>
  </w:style>
  <w:style w:type="paragraph" w:customStyle="1" w:styleId="69">
    <w:name w:val="et20"/>
    <w:basedOn w:val="1"/>
    <w:qFormat/>
    <w:uiPriority w:val="0"/>
    <w:pPr>
      <w:widowControl/>
      <w:pBdr>
        <w:left w:val="single" w:color="000000" w:sz="4" w:space="0"/>
        <w:right w:val="single" w:color="000000" w:sz="4" w:space="0"/>
      </w:pBdr>
      <w:spacing w:before="100" w:beforeAutospacing="1" w:after="100" w:afterAutospacing="1"/>
      <w:jc w:val="center"/>
    </w:pPr>
    <w:rPr>
      <w:rFonts w:ascii="宋体" w:hAnsi="宋体" w:eastAsia="宋体" w:cs="宋体"/>
      <w:b/>
      <w:bCs/>
      <w:color w:val="000000"/>
      <w:kern w:val="0"/>
      <w:sz w:val="20"/>
      <w:szCs w:val="20"/>
    </w:rPr>
  </w:style>
  <w:style w:type="paragraph" w:customStyle="1" w:styleId="70">
    <w:name w:val="et2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0000"/>
      <w:kern w:val="0"/>
      <w:sz w:val="20"/>
      <w:szCs w:val="20"/>
    </w:rPr>
  </w:style>
  <w:style w:type="paragraph" w:customStyle="1" w:styleId="71">
    <w:name w:val="et2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仿宋_GB2312" w:hAnsi="宋体" w:eastAsia="仿宋_GB2312" w:cs="宋体"/>
      <w:color w:val="000000"/>
      <w:kern w:val="0"/>
      <w:sz w:val="20"/>
      <w:szCs w:val="20"/>
    </w:rPr>
  </w:style>
  <w:style w:type="paragraph" w:customStyle="1" w:styleId="72">
    <w:name w:val="et2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0000"/>
      <w:kern w:val="0"/>
      <w:sz w:val="20"/>
      <w:szCs w:val="20"/>
    </w:rPr>
  </w:style>
  <w:style w:type="paragraph" w:customStyle="1" w:styleId="73">
    <w:name w:val="et2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20"/>
      <w:szCs w:val="20"/>
    </w:rPr>
  </w:style>
  <w:style w:type="paragraph" w:customStyle="1" w:styleId="74">
    <w:name w:val="et2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0000"/>
      <w:kern w:val="0"/>
      <w:sz w:val="20"/>
      <w:szCs w:val="20"/>
    </w:rPr>
  </w:style>
  <w:style w:type="paragraph" w:customStyle="1" w:styleId="75">
    <w:name w:val="et2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Times New Roman" w:hAnsi="Times New Roman" w:eastAsia="宋体" w:cs="Times New Roman"/>
      <w:color w:val="000000"/>
      <w:kern w:val="0"/>
      <w:sz w:val="20"/>
      <w:szCs w:val="20"/>
    </w:rPr>
  </w:style>
  <w:style w:type="paragraph" w:customStyle="1" w:styleId="76">
    <w:name w:val="et27"/>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0000"/>
      <w:kern w:val="0"/>
      <w:sz w:val="20"/>
      <w:szCs w:val="20"/>
    </w:rPr>
  </w:style>
  <w:style w:type="paragraph" w:customStyle="1" w:styleId="77">
    <w:name w:val="et2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0000"/>
      <w:kern w:val="0"/>
      <w:sz w:val="20"/>
      <w:szCs w:val="20"/>
    </w:rPr>
  </w:style>
  <w:style w:type="paragraph" w:customStyle="1" w:styleId="78">
    <w:name w:val="et2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b/>
      <w:bCs/>
      <w:color w:val="000000"/>
      <w:kern w:val="0"/>
      <w:sz w:val="20"/>
      <w:szCs w:val="20"/>
    </w:rPr>
  </w:style>
  <w:style w:type="paragraph" w:customStyle="1" w:styleId="79">
    <w:name w:val="et3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20"/>
      <w:szCs w:val="20"/>
    </w:rPr>
  </w:style>
  <w:style w:type="paragraph" w:customStyle="1" w:styleId="80">
    <w:name w:val="et3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0000"/>
      <w:kern w:val="0"/>
      <w:sz w:val="20"/>
      <w:szCs w:val="20"/>
    </w:rPr>
  </w:style>
  <w:style w:type="paragraph" w:customStyle="1" w:styleId="81">
    <w:name w:val="et3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Times New Roman" w:hAnsi="Times New Roman" w:eastAsia="宋体" w:cs="Times New Roman"/>
      <w:color w:val="000000"/>
      <w:kern w:val="0"/>
      <w:sz w:val="20"/>
      <w:szCs w:val="20"/>
    </w:rPr>
  </w:style>
  <w:style w:type="paragraph" w:customStyle="1" w:styleId="82">
    <w:name w:val="et3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0000"/>
      <w:kern w:val="0"/>
      <w:sz w:val="20"/>
      <w:szCs w:val="20"/>
    </w:rPr>
  </w:style>
  <w:style w:type="paragraph" w:customStyle="1" w:styleId="83">
    <w:name w:val="et3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0000"/>
      <w:kern w:val="0"/>
      <w:sz w:val="20"/>
      <w:szCs w:val="20"/>
    </w:rPr>
  </w:style>
  <w:style w:type="paragraph" w:customStyle="1" w:styleId="84">
    <w:name w:val="et3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20"/>
      <w:szCs w:val="20"/>
    </w:rPr>
  </w:style>
  <w:style w:type="paragraph" w:customStyle="1" w:styleId="85">
    <w:name w:val="et3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0000"/>
      <w:kern w:val="0"/>
      <w:sz w:val="20"/>
      <w:szCs w:val="20"/>
    </w:rPr>
  </w:style>
  <w:style w:type="paragraph" w:customStyle="1" w:styleId="86">
    <w:name w:val="et4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b/>
      <w:bCs/>
      <w:color w:val="000000"/>
      <w:kern w:val="0"/>
      <w:sz w:val="20"/>
      <w:szCs w:val="20"/>
    </w:rPr>
  </w:style>
  <w:style w:type="paragraph" w:customStyle="1" w:styleId="87">
    <w:name w:val="et4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b/>
      <w:bCs/>
      <w:color w:val="000000"/>
      <w:kern w:val="0"/>
      <w:sz w:val="20"/>
      <w:szCs w:val="20"/>
    </w:rPr>
  </w:style>
  <w:style w:type="paragraph" w:customStyle="1" w:styleId="88">
    <w:name w:val="et4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b/>
      <w:bCs/>
      <w:color w:val="000000"/>
      <w:kern w:val="0"/>
      <w:sz w:val="20"/>
      <w:szCs w:val="20"/>
    </w:rPr>
  </w:style>
  <w:style w:type="paragraph" w:customStyle="1" w:styleId="89">
    <w:name w:val="et4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0000"/>
      <w:kern w:val="0"/>
      <w:sz w:val="20"/>
      <w:szCs w:val="20"/>
    </w:rPr>
  </w:style>
  <w:style w:type="paragraph" w:customStyle="1" w:styleId="90">
    <w:name w:val="et4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Times New Roman" w:hAnsi="Times New Roman" w:eastAsia="宋体" w:cs="Times New Roman"/>
      <w:b/>
      <w:bCs/>
      <w:color w:val="000000"/>
      <w:kern w:val="0"/>
      <w:sz w:val="20"/>
      <w:szCs w:val="20"/>
    </w:rPr>
  </w:style>
  <w:style w:type="paragraph" w:customStyle="1" w:styleId="91">
    <w:name w:val="et4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0000"/>
      <w:kern w:val="0"/>
      <w:sz w:val="20"/>
      <w:szCs w:val="20"/>
    </w:rPr>
  </w:style>
  <w:style w:type="paragraph" w:customStyle="1" w:styleId="92">
    <w:name w:val="et4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Times New Roman" w:hAnsi="Times New Roman" w:eastAsia="宋体" w:cs="Times New Roman"/>
      <w:color w:val="000000"/>
      <w:kern w:val="0"/>
      <w:sz w:val="20"/>
      <w:szCs w:val="20"/>
    </w:rPr>
  </w:style>
  <w:style w:type="paragraph" w:customStyle="1" w:styleId="93">
    <w:name w:val="et4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FF0000"/>
      <w:kern w:val="0"/>
      <w:sz w:val="20"/>
      <w:szCs w:val="20"/>
    </w:rPr>
  </w:style>
  <w:style w:type="paragraph" w:customStyle="1" w:styleId="94">
    <w:name w:val="et4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仿宋_GB2312" w:hAnsi="宋体" w:eastAsia="仿宋_GB2312" w:cs="宋体"/>
      <w:color w:val="000000"/>
      <w:kern w:val="0"/>
      <w:sz w:val="20"/>
      <w:szCs w:val="20"/>
    </w:rPr>
  </w:style>
  <w:style w:type="paragraph" w:customStyle="1" w:styleId="95">
    <w:name w:val="et4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b/>
      <w:bCs/>
      <w:color w:val="000000"/>
      <w:kern w:val="0"/>
      <w:sz w:val="20"/>
      <w:szCs w:val="20"/>
    </w:rPr>
  </w:style>
  <w:style w:type="paragraph" w:customStyle="1" w:styleId="96">
    <w:name w:val="et5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20"/>
      <w:szCs w:val="20"/>
    </w:rPr>
  </w:style>
  <w:style w:type="paragraph" w:customStyle="1" w:styleId="97">
    <w:name w:val="et5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color w:val="000000"/>
      <w:kern w:val="0"/>
      <w:sz w:val="20"/>
      <w:szCs w:val="20"/>
    </w:rPr>
  </w:style>
  <w:style w:type="character" w:customStyle="1" w:styleId="98">
    <w:name w:val="font11"/>
    <w:basedOn w:val="14"/>
    <w:qFormat/>
    <w:uiPriority w:val="0"/>
    <w:rPr>
      <w:rFonts w:hint="default" w:ascii="Times New Roman" w:hAnsi="Times New Roman" w:cs="Times New Roman"/>
      <w:color w:val="000000"/>
      <w:sz w:val="20"/>
      <w:szCs w:val="20"/>
      <w:u w:val="none"/>
    </w:rPr>
  </w:style>
  <w:style w:type="paragraph" w:customStyle="1" w:styleId="99">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225</Pages>
  <Words>18868</Words>
  <Characters>107550</Characters>
  <Lines>896</Lines>
  <Paragraphs>252</Paragraphs>
  <TotalTime>762</TotalTime>
  <ScaleCrop>false</ScaleCrop>
  <LinksUpToDate>false</LinksUpToDate>
  <CharactersWithSpaces>126166</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2023-03-13T09:38:00Z</dcterms:created>
  <dc:creator>丁爱云</dc:creator>
  <cp:lastModifiedBy>cmcz</cp:lastModifiedBy>
  <cp:lastPrinted>2024-06-20T21:50:00Z</cp:lastPrinted>
  <dcterms:modified xsi:type="dcterms:W3CDTF">2024-08-05T09:22:55Z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F00A894B7696457599116B203DBC3F69_12</vt:lpwstr>
  </property>
</Properties>
</file>