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sz w:val="32"/>
          <w:szCs w:val="32"/>
        </w:rPr>
      </w:pPr>
    </w:p>
    <w:p>
      <w:pPr>
        <w:spacing w:line="540" w:lineRule="exact"/>
        <w:rPr>
          <w:sz w:val="32"/>
          <w:szCs w:val="32"/>
        </w:rPr>
      </w:pPr>
    </w:p>
    <w:p>
      <w:pPr>
        <w:spacing w:line="540" w:lineRule="exact"/>
        <w:rPr>
          <w:sz w:val="32"/>
          <w:szCs w:val="32"/>
        </w:rPr>
      </w:pPr>
    </w:p>
    <w:tbl>
      <w:tblPr>
        <w:tblStyle w:val="6"/>
        <w:tblW w:w="73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338" w:type="dxa"/>
            <w:tcBorders>
              <w:tl2br w:val="nil"/>
              <w:tr2bl w:val="nil"/>
            </w:tcBorders>
          </w:tcPr>
          <w:p>
            <w:pPr>
              <w:jc w:val="distribute"/>
              <w:rPr>
                <w:rFonts w:hint="eastAsia" w:ascii="方正小标宋简体" w:eastAsia="方正小标宋简体"/>
                <w:color w:val="FF0000"/>
                <w:spacing w:val="-20"/>
                <w:sz w:val="80"/>
                <w:szCs w:val="80"/>
              </w:rPr>
            </w:pPr>
            <w:r>
              <w:rPr>
                <w:rFonts w:hint="eastAsia" w:ascii="方正小标宋简体" w:eastAsia="方正小标宋简体"/>
                <w:color w:val="FF0000"/>
                <w:w w:val="66"/>
                <w:sz w:val="80"/>
                <w:szCs w:val="80"/>
              </w:rPr>
              <w:t>上海市崇明区</w:t>
            </w:r>
            <w:r>
              <w:rPr>
                <w:rFonts w:hint="eastAsia" w:ascii="方正小标宋简体" w:eastAsia="方正小标宋简体"/>
                <w:color w:val="FF0000"/>
                <w:w w:val="66"/>
                <w:sz w:val="80"/>
                <w:szCs w:val="80"/>
                <w:lang w:eastAsia="zh-CN"/>
              </w:rPr>
              <w:t>农业农村</w:t>
            </w:r>
            <w:r>
              <w:rPr>
                <w:rFonts w:hint="eastAsia" w:ascii="方正小标宋简体" w:eastAsia="方正小标宋简体"/>
                <w:color w:val="FF0000"/>
                <w:w w:val="66"/>
                <w:sz w:val="80"/>
                <w:szCs w:val="80"/>
              </w:rPr>
              <w:t>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338" w:type="dxa"/>
            <w:tcBorders>
              <w:tl2br w:val="nil"/>
              <w:tr2bl w:val="nil"/>
            </w:tcBorders>
          </w:tcPr>
          <w:p>
            <w:pPr>
              <w:jc w:val="distribute"/>
              <w:rPr>
                <w:rFonts w:hint="eastAsia" w:ascii="方正小标宋简体" w:eastAsia="方正小标宋简体"/>
                <w:color w:val="FF0000"/>
                <w:spacing w:val="-20"/>
                <w:sz w:val="80"/>
                <w:szCs w:val="80"/>
                <w:lang w:eastAsia="zh-CN"/>
              </w:rPr>
            </w:pPr>
            <w:r>
              <w:rPr>
                <w:rFonts w:hint="eastAsia" w:ascii="方正小标宋简体" w:hAnsi="Times New Roman" w:eastAsia="方正小标宋简体" w:cs="Times New Roman"/>
                <w:color w:val="FF0000"/>
                <w:w w:val="63"/>
                <w:sz w:val="80"/>
                <w:szCs w:val="80"/>
              </w:rPr>
              <mc:AlternateContent>
                <mc:Choice Requires="wps">
                  <w:drawing>
                    <wp:anchor distT="0" distB="0" distL="114300" distR="114300" simplePos="0" relativeHeight="251660288" behindDoc="0" locked="0" layoutInCell="1" allowOverlap="1">
                      <wp:simplePos x="0" y="0"/>
                      <wp:positionH relativeFrom="column">
                        <wp:posOffset>4552950</wp:posOffset>
                      </wp:positionH>
                      <wp:positionV relativeFrom="paragraph">
                        <wp:posOffset>372745</wp:posOffset>
                      </wp:positionV>
                      <wp:extent cx="1333500" cy="990600"/>
                      <wp:effectExtent l="0" t="0" r="0" b="0"/>
                      <wp:wrapNone/>
                      <wp:docPr id="1" name="矩形 5"/>
                      <wp:cNvGraphicFramePr/>
                      <a:graphic xmlns:a="http://schemas.openxmlformats.org/drawingml/2006/main">
                        <a:graphicData uri="http://schemas.microsoft.com/office/word/2010/wordprocessingShape">
                          <wps:wsp>
                            <wps:cNvSpPr/>
                            <wps:spPr>
                              <a:xfrm>
                                <a:off x="0" y="0"/>
                                <a:ext cx="1333500" cy="990600"/>
                              </a:xfrm>
                              <a:prstGeom prst="rect">
                                <a:avLst/>
                              </a:prstGeom>
                              <a:noFill/>
                              <a:ln w="9525">
                                <a:noFill/>
                              </a:ln>
                            </wps:spPr>
                            <wps:txbx>
                              <w:txbxContent>
                                <w:p>
                                  <w:pPr>
                                    <w:rPr>
                                      <w:rFonts w:ascii="方正小标宋简体" w:eastAsia="方正小标宋简体"/>
                                      <w:color w:val="FF0000"/>
                                      <w:sz w:val="84"/>
                                      <w:szCs w:val="84"/>
                                    </w:rPr>
                                  </w:pPr>
                                  <w:r>
                                    <w:rPr>
                                      <w:rFonts w:hint="eastAsia" w:ascii="方正小标宋简体" w:eastAsia="方正小标宋简体"/>
                                      <w:color w:val="FF0000"/>
                                      <w:sz w:val="84"/>
                                      <w:szCs w:val="84"/>
                                    </w:rPr>
                                    <w:t>文件</w:t>
                                  </w:r>
                                </w:p>
                              </w:txbxContent>
                            </wps:txbx>
                            <wps:bodyPr upright="1"/>
                          </wps:wsp>
                        </a:graphicData>
                      </a:graphic>
                    </wp:anchor>
                  </w:drawing>
                </mc:Choice>
                <mc:Fallback>
                  <w:pict>
                    <v:rect id="矩形 5" o:spid="_x0000_s1026" o:spt="1" style="position:absolute;left:0pt;margin-left:358.5pt;margin-top:29.35pt;height:78pt;width:105pt;z-index:251660288;mso-width-relative:page;mso-height-relative:page;" filled="f" stroked="f" coordsize="21600,21600" o:gfxdata="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nwxZg2wAAAAoBAAAPAAAAAAAAAAEAIAAAACIAAABkcnMvZG93&#10;bnJldi54bWxQSwECFAAUAAAACACHTuJAQTLWEYsBAAD8AgAADgAAAAAAAAABACAAAAAqAQAAZHJz&#10;L2Uyb0RvYy54bWxQSwUGAAAAAAYABgBZAQAAJwUAAAAA&#10;">
                      <v:fill on="f" focussize="0,0"/>
                      <v:stroke on="f"/>
                      <v:imagedata o:title=""/>
                      <o:lock v:ext="edit" aspectratio="f"/>
                      <v:textbox>
                        <w:txbxContent>
                          <w:p>
                            <w:pPr>
                              <w:rPr>
                                <w:rFonts w:ascii="方正小标宋简体" w:eastAsia="方正小标宋简体"/>
                                <w:color w:val="FF0000"/>
                                <w:sz w:val="84"/>
                                <w:szCs w:val="84"/>
                              </w:rPr>
                            </w:pPr>
                            <w:r>
                              <w:rPr>
                                <w:rFonts w:hint="eastAsia" w:ascii="方正小标宋简体" w:eastAsia="方正小标宋简体"/>
                                <w:color w:val="FF0000"/>
                                <w:sz w:val="84"/>
                                <w:szCs w:val="84"/>
                              </w:rPr>
                              <w:t>文件</w:t>
                            </w:r>
                          </w:p>
                        </w:txbxContent>
                      </v:textbox>
                    </v:rect>
                  </w:pict>
                </mc:Fallback>
              </mc:AlternateContent>
            </w:r>
            <w:r>
              <w:rPr>
                <w:rFonts w:hint="eastAsia" w:ascii="方正小标宋简体" w:hAnsi="Times New Roman" w:eastAsia="方正小标宋简体" w:cs="Times New Roman"/>
                <w:color w:val="FF0000"/>
                <w:w w:val="63"/>
                <w:sz w:val="80"/>
                <w:szCs w:val="80"/>
                <w:lang w:eastAsia="zh-CN"/>
              </w:rPr>
              <w:t>上海市崇明区规划和自然资源局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338" w:type="dxa"/>
            <w:tcBorders>
              <w:tl2br w:val="nil"/>
              <w:tr2bl w:val="nil"/>
            </w:tcBorders>
          </w:tcPr>
          <w:p>
            <w:pPr>
              <w:jc w:val="distribute"/>
              <w:rPr>
                <w:rFonts w:hint="eastAsia" w:ascii="方正小标宋简体" w:hAnsi="方正小标宋简体" w:eastAsia="方正小标宋简体" w:cs="方正小标宋简体"/>
                <w:color w:val="FF0000"/>
                <w:spacing w:val="-20"/>
                <w:w w:val="66"/>
                <w:sz w:val="80"/>
                <w:szCs w:val="80"/>
                <w:lang w:eastAsia="zh-CN"/>
              </w:rPr>
            </w:pPr>
            <w:r>
              <w:rPr>
                <w:rFonts w:hint="eastAsia" w:ascii="方正小标宋简体" w:hAnsi="Times New Roman" w:eastAsia="方正小标宋简体" w:cs="Times New Roman"/>
                <w:color w:val="FF0000"/>
                <w:w w:val="63"/>
                <w:sz w:val="80"/>
                <w:szCs w:val="80"/>
                <w:lang w:eastAsia="zh-CN"/>
              </w:rPr>
              <w:t>上海市崇明区建设和管理委员会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338" w:type="dxa"/>
            <w:tcBorders>
              <w:tl2br w:val="nil"/>
              <w:tr2bl w:val="nil"/>
            </w:tcBorders>
          </w:tcPr>
          <w:p>
            <w:pPr>
              <w:jc w:val="distribute"/>
              <w:rPr>
                <w:rFonts w:hint="eastAsia" w:ascii="方正小标宋简体" w:hAnsi="方正小标宋简体" w:eastAsia="方正小标宋简体" w:cs="方正小标宋简体"/>
                <w:color w:val="FF0000"/>
                <w:spacing w:val="-20"/>
                <w:sz w:val="80"/>
                <w:szCs w:val="80"/>
              </w:rPr>
            </w:pPr>
            <w:r>
              <w:rPr>
                <w:rFonts w:hint="eastAsia" w:ascii="方正小标宋简体" w:hAnsi="Times New Roman" w:eastAsia="方正小标宋简体" w:cs="Times New Roman"/>
                <w:color w:val="FF0000"/>
                <w:w w:val="57"/>
                <w:sz w:val="80"/>
                <w:szCs w:val="80"/>
                <w:lang w:eastAsia="zh-CN"/>
              </w:rPr>
              <w:t>上海市崇明区城市管理行政执法局</w:t>
            </w:r>
          </w:p>
        </w:tc>
      </w:tr>
    </w:tbl>
    <w:p>
      <w:pPr>
        <w:spacing w:line="560" w:lineRule="exact"/>
        <w:rPr>
          <w:szCs w:val="21"/>
        </w:rPr>
      </w:pPr>
    </w:p>
    <w:p>
      <w:pPr>
        <w:spacing w:line="560" w:lineRule="exact"/>
        <w:rPr>
          <w:szCs w:val="21"/>
        </w:rPr>
      </w:pPr>
    </w:p>
    <w:p>
      <w:pPr>
        <w:spacing w:line="560" w:lineRule="exact"/>
        <w:jc w:val="center"/>
        <w:rPr>
          <w:rFonts w:ascii="楷体_GB2312" w:eastAsia="楷体_GB2312"/>
          <w:sz w:val="32"/>
        </w:rPr>
      </w:pPr>
      <w:r>
        <w:rPr>
          <w:rFonts w:hint="eastAsia" w:ascii="仿宋_GB2312" w:eastAsia="仿宋_GB2312"/>
          <w:sz w:val="32"/>
        </w:rPr>
        <w:t>沪崇农发〔20</w:t>
      </w:r>
      <w:r>
        <w:rPr>
          <w:rFonts w:hint="eastAsia" w:ascii="仿宋_GB2312" w:eastAsia="仿宋_GB2312"/>
          <w:sz w:val="32"/>
          <w:lang w:val="en-US" w:eastAsia="zh-CN"/>
        </w:rPr>
        <w:t>23</w:t>
      </w:r>
      <w:r>
        <w:rPr>
          <w:rFonts w:hint="eastAsia" w:ascii="仿宋_GB2312" w:eastAsia="仿宋_GB2312"/>
          <w:sz w:val="32"/>
        </w:rPr>
        <w:t>〕</w:t>
      </w:r>
      <w:r>
        <w:rPr>
          <w:rFonts w:hint="eastAsia" w:ascii="仿宋_GB2312" w:eastAsia="仿宋_GB2312"/>
          <w:sz w:val="32"/>
          <w:lang w:val="en-US" w:eastAsia="zh-CN"/>
        </w:rPr>
        <w:t>22</w:t>
      </w:r>
      <w:r>
        <w:rPr>
          <w:rFonts w:hint="eastAsia" w:ascii="仿宋_GB2312" w:eastAsia="仿宋_GB2312"/>
          <w:sz w:val="32"/>
        </w:rPr>
        <w:t>号</w:t>
      </w:r>
    </w:p>
    <w:p>
      <w:pPr>
        <w:spacing w:line="160" w:lineRule="exact"/>
        <w:rPr>
          <w:color w:val="FF0000"/>
          <w:szCs w:val="21"/>
          <w:u w:val="thick"/>
        </w:rPr>
      </w:pPr>
      <w:r>
        <w:rPr>
          <w:rFonts w:hint="eastAsia"/>
          <w:color w:val="FF0000"/>
          <w:szCs w:val="21"/>
          <w:u w:val="thick"/>
        </w:rPr>
        <w:t xml:space="preserve">                                                                                       </w:t>
      </w:r>
    </w:p>
    <w:p>
      <w:pPr>
        <w:spacing w:line="560" w:lineRule="exact"/>
        <w:rPr>
          <w:color w:val="FF0000"/>
          <w:sz w:val="32"/>
          <w:szCs w:val="32"/>
        </w:rPr>
      </w:pPr>
    </w:p>
    <w:p>
      <w:pPr>
        <w:spacing w:line="560" w:lineRule="exact"/>
        <w:rPr>
          <w:color w:val="FF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i w:val="0"/>
          <w:caps w:val="0"/>
          <w:color w:val="auto"/>
          <w:spacing w:val="0"/>
          <w:sz w:val="44"/>
          <w:szCs w:val="44"/>
          <w:highlight w:val="none"/>
          <w:shd w:val="clear" w:fill="FFFFFF"/>
          <w:lang w:eastAsia="zh-CN"/>
        </w:rPr>
      </w:pPr>
      <w:r>
        <w:rPr>
          <w:rFonts w:hint="eastAsia" w:ascii="方正小标宋简体" w:hAnsi="方正小标宋简体" w:eastAsia="方正小标宋简体" w:cs="方正小标宋简体"/>
          <w:i w:val="0"/>
          <w:caps w:val="0"/>
          <w:color w:val="auto"/>
          <w:spacing w:val="0"/>
          <w:sz w:val="44"/>
          <w:szCs w:val="44"/>
          <w:highlight w:val="none"/>
          <w:shd w:val="clear" w:fill="FFFFFF"/>
        </w:rPr>
        <w:t>关于进一步加强</w:t>
      </w:r>
      <w:r>
        <w:rPr>
          <w:rFonts w:hint="eastAsia" w:ascii="方正小标宋简体" w:hAnsi="方正小标宋简体" w:eastAsia="方正小标宋简体" w:cs="方正小标宋简体"/>
          <w:i w:val="0"/>
          <w:caps w:val="0"/>
          <w:color w:val="auto"/>
          <w:spacing w:val="0"/>
          <w:sz w:val="44"/>
          <w:szCs w:val="44"/>
          <w:highlight w:val="none"/>
          <w:shd w:val="clear" w:fill="FFFFFF"/>
          <w:lang w:eastAsia="zh-CN"/>
        </w:rPr>
        <w:t>设施农业用地用途以及农村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i w:val="0"/>
          <w:caps w:val="0"/>
          <w:color w:val="auto"/>
          <w:spacing w:val="0"/>
          <w:sz w:val="44"/>
          <w:szCs w:val="44"/>
          <w:highlight w:val="none"/>
          <w:shd w:val="clear" w:fill="FFFFFF"/>
        </w:rPr>
      </w:pPr>
      <w:r>
        <w:rPr>
          <w:rFonts w:hint="eastAsia" w:ascii="方正小标宋简体" w:hAnsi="方正小标宋简体" w:eastAsia="方正小标宋简体" w:cs="方正小标宋简体"/>
          <w:i w:val="0"/>
          <w:caps w:val="0"/>
          <w:color w:val="auto"/>
          <w:spacing w:val="0"/>
          <w:sz w:val="44"/>
          <w:szCs w:val="44"/>
          <w:highlight w:val="none"/>
          <w:shd w:val="clear" w:fill="FFFFFF"/>
          <w:lang w:eastAsia="zh-CN"/>
        </w:rPr>
        <w:t>村民住房建设常态化监管</w:t>
      </w:r>
      <w:r>
        <w:rPr>
          <w:rFonts w:hint="eastAsia" w:ascii="方正小标宋简体" w:hAnsi="方正小标宋简体" w:eastAsia="方正小标宋简体" w:cs="方正小标宋简体"/>
          <w:i w:val="0"/>
          <w:caps w:val="0"/>
          <w:color w:val="auto"/>
          <w:spacing w:val="0"/>
          <w:sz w:val="44"/>
          <w:szCs w:val="44"/>
          <w:highlight w:val="none"/>
          <w:shd w:val="clear" w:fill="FFFFFF"/>
        </w:rPr>
        <w:t>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i w:val="0"/>
          <w:caps w:val="0"/>
          <w:color w:val="auto"/>
          <w:spacing w:val="0"/>
          <w:sz w:val="32"/>
          <w:szCs w:val="32"/>
          <w:highlight w:val="none"/>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各乡镇人民政府：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进一步加强设施农业用地用途管理，建立健全宅基地违法用地查处机制，形成常态长效监督合力，严防“大棚房”等农地非农化现象，坚决遏制新增农村乱占耕地建房（住宅类）行为发生，我委会同区规划资源局、区建设管理委、区城管执法局研究制定了《崇明区设施农业用地用途以及农村村民住房建设常态化监管工作实施方案》，现印发给你们，请认真按照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02" w:leftChars="304" w:hanging="864" w:hangingChars="27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附件：崇明区设施农业用地用途以及农村村民住房建设常态化监管工作实施方案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6" w:firstLineChars="100"/>
        <w:jc w:val="both"/>
        <w:textAlignment w:val="auto"/>
        <w:outlineLvl w:val="9"/>
        <w:rPr>
          <w:rFonts w:hint="eastAsia" w:ascii="仿宋_GB2312" w:hAnsi="仿宋_GB2312" w:eastAsia="仿宋_GB2312" w:cs="仿宋_GB2312"/>
          <w:color w:val="auto"/>
          <w:spacing w:val="-17"/>
          <w:sz w:val="32"/>
          <w:szCs w:val="32"/>
          <w:highlight w:val="none"/>
          <w:lang w:val="en-US" w:eastAsia="zh-CN"/>
        </w:rPr>
      </w:pPr>
      <w:r>
        <w:rPr>
          <w:rFonts w:hint="eastAsia" w:ascii="仿宋_GB2312" w:hAnsi="仿宋_GB2312" w:eastAsia="仿宋_GB2312" w:cs="仿宋_GB2312"/>
          <w:color w:val="auto"/>
          <w:spacing w:val="-17"/>
          <w:sz w:val="32"/>
          <w:szCs w:val="32"/>
          <w:highlight w:val="none"/>
          <w:lang w:val="en-US" w:eastAsia="zh-CN"/>
        </w:rPr>
        <w:t>上海市崇明区农业农村委员会     上海市崇明区规划和自然资源局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6" w:firstLineChars="100"/>
        <w:jc w:val="both"/>
        <w:textAlignment w:val="auto"/>
        <w:outlineLvl w:val="9"/>
        <w:rPr>
          <w:rFonts w:hint="eastAsia" w:ascii="仿宋_GB2312" w:hAnsi="仿宋_GB2312" w:eastAsia="仿宋_GB2312" w:cs="仿宋_GB2312"/>
          <w:color w:val="auto"/>
          <w:spacing w:val="-17"/>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6" w:firstLineChars="100"/>
        <w:jc w:val="both"/>
        <w:textAlignment w:val="auto"/>
        <w:outlineLvl w:val="9"/>
        <w:rPr>
          <w:rFonts w:hint="eastAsia" w:ascii="仿宋_GB2312" w:hAnsi="仿宋_GB2312" w:eastAsia="仿宋_GB2312" w:cs="仿宋_GB2312"/>
          <w:color w:val="auto"/>
          <w:spacing w:val="-17"/>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6" w:firstLineChars="100"/>
        <w:jc w:val="both"/>
        <w:textAlignment w:val="auto"/>
        <w:outlineLvl w:val="9"/>
        <w:rPr>
          <w:rFonts w:hint="eastAsia" w:ascii="仿宋_GB2312" w:hAnsi="仿宋_GB2312" w:eastAsia="仿宋_GB2312" w:cs="仿宋_GB2312"/>
          <w:color w:val="auto"/>
          <w:spacing w:val="-17"/>
          <w:sz w:val="32"/>
          <w:szCs w:val="32"/>
          <w:highlight w:val="none"/>
          <w:lang w:val="en-US" w:eastAsia="zh-CN"/>
        </w:rPr>
      </w:pPr>
      <w:r>
        <w:rPr>
          <w:rFonts w:hint="eastAsia" w:ascii="仿宋_GB2312" w:hAnsi="仿宋_GB2312" w:eastAsia="仿宋_GB2312" w:cs="仿宋_GB2312"/>
          <w:color w:val="auto"/>
          <w:spacing w:val="-17"/>
          <w:sz w:val="32"/>
          <w:szCs w:val="32"/>
          <w:highlight w:val="none"/>
          <w:lang w:val="en-US" w:eastAsia="zh-CN"/>
        </w:rPr>
        <w:t>上海市崇明区建设和管理委员会  上海市崇明区城市管理行政执法局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6" w:firstLineChars="100"/>
        <w:jc w:val="both"/>
        <w:textAlignment w:val="auto"/>
        <w:outlineLvl w:val="9"/>
        <w:rPr>
          <w:rFonts w:hint="default" w:ascii="仿宋_GB2312" w:hAnsi="仿宋_GB2312" w:eastAsia="仿宋_GB2312" w:cs="仿宋_GB2312"/>
          <w:color w:val="auto"/>
          <w:spacing w:val="-17"/>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2023年4月10日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i w:val="0"/>
          <w:caps w:val="0"/>
          <w:color w:val="auto"/>
          <w:spacing w:val="0"/>
          <w:sz w:val="32"/>
          <w:szCs w:val="32"/>
          <w:highlight w:val="none"/>
          <w:shd w:val="clear" w:fill="FFFFFF"/>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崇明区设施农业用地用途以及农村村民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住房建设常态化监管工作实施方案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深入贯彻党中央、国务院关于加强耕地保护、实施乡村振兴战略的决策部署，进一步落实市委、市政府相关工作要求，切实加强我区设施农业用地用途和农村村民住房建设管理，推动建立健全长效监管机制，严防“大棚房”问题反弹和制止设施农用地“非农化”行为，严格遏制新增农村乱占耕地建房（住宅类）问题，结合我区实际，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一、总体目标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进一步凝聚区级部门合力，健全区、镇两级工作机制，加强工作联动，常态化开展抽巡查工作，持续巩固“大棚房”问题整治和相关设施农业用地监管成效，规范农村村民建房行为，促进农村、农业健康发展，保护农民合法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二、实施范围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（一）“大棚房”问题和设施农业用地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监管工作覆盖113个“大棚房”问题项目、164个“大棚房”另案处理项目以及全区（含光明、上实等属地化管理项目）其他现状设施农业用地。重点聚焦三类问题：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1.以设施农业为名占用耕地，违法违规建设与农业</w:t>
      </w:r>
      <w:r>
        <w:rPr>
          <w:rFonts w:hint="eastAsia" w:ascii="仿宋_GB2312" w:hAnsi="仿宋_GB2312" w:eastAsia="仿宋_GB2312" w:cs="仿宋_GB2312"/>
          <w:strike w:val="0"/>
          <w:dstrike w:val="0"/>
          <w:color w:val="auto"/>
          <w:sz w:val="32"/>
          <w:szCs w:val="32"/>
          <w:highlight w:val="none"/>
          <w:lang w:val="en-US" w:eastAsia="zh-CN"/>
        </w:rPr>
        <w:t>发展</w:t>
      </w:r>
      <w:r>
        <w:rPr>
          <w:rFonts w:hint="eastAsia" w:ascii="仿宋_GB2312" w:hAnsi="仿宋_GB2312" w:eastAsia="仿宋_GB2312" w:cs="仿宋_GB2312"/>
          <w:color w:val="auto"/>
          <w:sz w:val="32"/>
          <w:szCs w:val="32"/>
          <w:highlight w:val="none"/>
          <w:lang w:val="en-US" w:eastAsia="zh-CN"/>
        </w:rPr>
        <w:t>无关的设施；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2.在农业大棚内违法违规占用耕地建设住宅、餐饮、娱乐等非农设施；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3.农业大棚看护房建设面积严重超标准（超标准15㎡以上）。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（二）农村村民建房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监管工作覆盖本区行政区域范围内农民集体所有土地上农村村民新建、改建、扩建、翻建住宅的行为，以及乡镇层面备案实施的农房修缮。依法有序推进2013年以来农村乱占耕地建房存量问题处置；对2020年7月3日后的乱占耕地建房行为“零容忍”，发现一宗、拆除复垦一宗，坚决遏制新增问题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三、工作任务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（一）以“大棚房”问题为重点，健全设施农业用地抽巡查制度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1.乡镇日常巡查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乡镇人民政府每年度对113个“大棚房”问题项目和164个“大棚房”另案处理项目至少进行2轮全覆盖检查，检查间隔至少3个月；对已备案的设施农业用地项目进行1轮全覆盖检查；对区域内用于农业生产的农业大棚、温室、看护房等开展抽检，比例不少于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光明、上实等单位严格落实主体责任，在崇设施农业用地由相关属地乡镇履行日常监管职责。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2.区级定期抽查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sz w:val="32"/>
          <w:szCs w:val="32"/>
          <w:highlight w:val="yellow"/>
          <w:lang w:val="en-US" w:eastAsia="zh-CN"/>
        </w:rPr>
      </w:pPr>
      <w:r>
        <w:rPr>
          <w:rFonts w:hint="default" w:ascii="仿宋_GB2312" w:hAnsi="仿宋_GB2312" w:eastAsia="仿宋_GB2312" w:cs="仿宋_GB2312"/>
          <w:color w:val="auto"/>
          <w:sz w:val="32"/>
          <w:szCs w:val="32"/>
          <w:highlight w:val="none"/>
          <w:lang w:val="en-US" w:eastAsia="zh-CN"/>
        </w:rPr>
        <w:t>区农业农村委会同区规划资源局定期组织联合督查。每年度对113个“大棚房”问题项目和164个“大棚房”另案处理项目进行1轮全覆盖检查；抽检</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0%的已</w:t>
      </w:r>
      <w:r>
        <w:rPr>
          <w:rFonts w:hint="eastAsia" w:ascii="仿宋_GB2312" w:hAnsi="仿宋_GB2312" w:eastAsia="仿宋_GB2312" w:cs="仿宋_GB2312"/>
          <w:color w:val="auto"/>
          <w:sz w:val="32"/>
          <w:szCs w:val="32"/>
          <w:highlight w:val="none"/>
          <w:lang w:val="en-US" w:eastAsia="zh-CN"/>
        </w:rPr>
        <w:t>备案</w:t>
      </w:r>
      <w:r>
        <w:rPr>
          <w:rFonts w:hint="default" w:ascii="仿宋_GB2312" w:hAnsi="仿宋_GB2312" w:eastAsia="仿宋_GB2312" w:cs="仿宋_GB2312"/>
          <w:color w:val="auto"/>
          <w:sz w:val="32"/>
          <w:szCs w:val="32"/>
          <w:highlight w:val="none"/>
          <w:lang w:val="en-US" w:eastAsia="zh-CN"/>
        </w:rPr>
        <w:t>设施农业用地项目和</w:t>
      </w:r>
      <w:r>
        <w:rPr>
          <w:rFonts w:hint="eastAsia" w:ascii="仿宋_GB2312" w:hAnsi="仿宋_GB2312" w:eastAsia="仿宋_GB2312" w:cs="仿宋_GB2312"/>
          <w:color w:val="auto"/>
          <w:sz w:val="32"/>
          <w:szCs w:val="32"/>
          <w:highlight w:val="none"/>
          <w:lang w:val="en-US" w:eastAsia="zh-CN"/>
        </w:rPr>
        <w:t>10</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用于农业生产的农业大棚、温室、看护房等；每季度随机抽查4-5个乡镇设施农业用地项目备案台账</w:t>
      </w:r>
      <w:r>
        <w:rPr>
          <w:rFonts w:hint="default"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（二）以“农村乱占耕地建房（住宅类）”问题为重点，强化农民建房行为常态化监管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1.镇村网格化巡查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镇村两级要落实常态化巡查</w:t>
      </w:r>
      <w:r>
        <w:rPr>
          <w:rFonts w:hint="eastAsia" w:ascii="仿宋_GB2312" w:hAnsi="仿宋_GB2312" w:eastAsia="仿宋_GB2312" w:cs="仿宋_GB2312"/>
          <w:color w:val="auto"/>
          <w:sz w:val="32"/>
          <w:szCs w:val="32"/>
          <w:highlight w:val="none"/>
          <w:lang w:val="en-US" w:eastAsia="zh-CN"/>
        </w:rPr>
        <w:t>机制</w:t>
      </w:r>
      <w:r>
        <w:rPr>
          <w:rFonts w:hint="default" w:ascii="仿宋_GB2312" w:hAnsi="仿宋_GB2312" w:eastAsia="仿宋_GB2312" w:cs="仿宋_GB2312"/>
          <w:color w:val="auto"/>
          <w:sz w:val="32"/>
          <w:szCs w:val="32"/>
          <w:highlight w:val="none"/>
          <w:lang w:val="en-US" w:eastAsia="zh-CN"/>
        </w:rPr>
        <w:t>，健全各级台账资料。村级层面，要依托网格化巡查，每月自查，及时</w:t>
      </w:r>
      <w:r>
        <w:rPr>
          <w:rFonts w:hint="eastAsia" w:ascii="仿宋_GB2312" w:hAnsi="仿宋_GB2312" w:eastAsia="仿宋_GB2312" w:cs="仿宋_GB2312"/>
          <w:color w:val="auto"/>
          <w:sz w:val="32"/>
          <w:szCs w:val="32"/>
          <w:highlight w:val="none"/>
          <w:lang w:val="en-US" w:eastAsia="zh-CN"/>
        </w:rPr>
        <w:t>发现并制止</w:t>
      </w:r>
      <w:r>
        <w:rPr>
          <w:rFonts w:hint="default" w:ascii="仿宋_GB2312" w:hAnsi="仿宋_GB2312" w:eastAsia="仿宋_GB2312" w:cs="仿宋_GB2312"/>
          <w:color w:val="auto"/>
          <w:sz w:val="32"/>
          <w:szCs w:val="32"/>
          <w:highlight w:val="none"/>
          <w:lang w:val="en-US" w:eastAsia="zh-CN"/>
        </w:rPr>
        <w:t>乱占耕地建房（住宅类）行为，相关问题情况及时通报乡镇有关部门。镇级层面，要定期开展镇级巡查，确保全年对辖区内行政村开展一次全覆盖巡查，及时核查处置村级上报和群众反映的问题，确保辖区内不发生新增</w:t>
      </w:r>
      <w:r>
        <w:rPr>
          <w:rFonts w:hint="eastAsia" w:ascii="仿宋_GB2312" w:hAnsi="仿宋_GB2312" w:eastAsia="仿宋_GB2312" w:cs="仿宋_GB2312"/>
          <w:color w:val="auto"/>
          <w:sz w:val="32"/>
          <w:szCs w:val="32"/>
          <w:highlight w:val="none"/>
          <w:lang w:val="en-US" w:eastAsia="zh-CN"/>
        </w:rPr>
        <w:t>农村</w:t>
      </w:r>
      <w:r>
        <w:rPr>
          <w:rFonts w:hint="default" w:ascii="仿宋_GB2312" w:hAnsi="仿宋_GB2312" w:eastAsia="仿宋_GB2312" w:cs="仿宋_GB2312"/>
          <w:color w:val="auto"/>
          <w:sz w:val="32"/>
          <w:szCs w:val="32"/>
          <w:highlight w:val="none"/>
          <w:lang w:val="en-US" w:eastAsia="zh-CN"/>
        </w:rPr>
        <w:t>乱占耕地建房（住宅类）行为。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乡镇人民政府对疑似新增农村乱占耕地建房（住宅类）案件，要做到“即知即改”，及时开展相关核查处置工作，核查情况及处置意见需报区农业农村委和区规划资源局备案。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2.区级督查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区级层面，</w:t>
      </w:r>
      <w:r>
        <w:rPr>
          <w:rFonts w:hint="eastAsia" w:ascii="仿宋_GB2312" w:hAnsi="仿宋_GB2312" w:eastAsia="仿宋_GB2312" w:cs="仿宋_GB2312"/>
          <w:color w:val="auto"/>
          <w:sz w:val="32"/>
          <w:szCs w:val="32"/>
          <w:highlight w:val="none"/>
          <w:lang w:val="en-US" w:eastAsia="zh-CN"/>
        </w:rPr>
        <w:t>定期组织联合督查组，实地督查各乡镇农民建房审批规范性、新增乱占耕地建房（住宅类）问题整改情况等。</w:t>
      </w:r>
      <w:r>
        <w:rPr>
          <w:rFonts w:hint="default" w:ascii="仿宋_GB2312" w:hAnsi="仿宋_GB2312" w:eastAsia="仿宋_GB2312" w:cs="仿宋_GB2312"/>
          <w:color w:val="auto"/>
          <w:sz w:val="32"/>
          <w:szCs w:val="32"/>
          <w:highlight w:val="none"/>
          <w:lang w:val="en-US" w:eastAsia="zh-CN"/>
        </w:rPr>
        <w:t>结合卫片执法</w:t>
      </w:r>
      <w:r>
        <w:rPr>
          <w:rFonts w:hint="eastAsia" w:ascii="仿宋_GB2312" w:hAnsi="仿宋_GB2312" w:eastAsia="仿宋_GB2312" w:cs="仿宋_GB2312"/>
          <w:color w:val="auto"/>
          <w:sz w:val="32"/>
          <w:szCs w:val="32"/>
          <w:highlight w:val="none"/>
          <w:lang w:val="en-US" w:eastAsia="zh-CN"/>
        </w:rPr>
        <w:t>结果</w:t>
      </w:r>
      <w:r>
        <w:rPr>
          <w:rFonts w:hint="default" w:ascii="仿宋_GB2312" w:hAnsi="仿宋_GB2312" w:eastAsia="仿宋_GB2312" w:cs="仿宋_GB2312"/>
          <w:color w:val="auto"/>
          <w:sz w:val="32"/>
          <w:szCs w:val="32"/>
          <w:highlight w:val="none"/>
          <w:lang w:val="en-US" w:eastAsia="zh-CN"/>
        </w:rPr>
        <w:t>和群众举报情况，定期将疑似农村乱占耕地建房（住宅类）</w:t>
      </w:r>
      <w:r>
        <w:rPr>
          <w:rFonts w:hint="eastAsia" w:ascii="仿宋_GB2312" w:hAnsi="仿宋_GB2312" w:eastAsia="仿宋_GB2312" w:cs="仿宋_GB2312"/>
          <w:color w:val="auto"/>
          <w:sz w:val="32"/>
          <w:szCs w:val="32"/>
          <w:highlight w:val="none"/>
          <w:lang w:val="en-US" w:eastAsia="zh-CN"/>
        </w:rPr>
        <w:t>问题线索</w:t>
      </w:r>
      <w:r>
        <w:rPr>
          <w:rFonts w:hint="default" w:ascii="仿宋_GB2312" w:hAnsi="仿宋_GB2312" w:eastAsia="仿宋_GB2312" w:cs="仿宋_GB2312"/>
          <w:color w:val="auto"/>
          <w:sz w:val="32"/>
          <w:szCs w:val="32"/>
          <w:highlight w:val="none"/>
          <w:lang w:val="en-US" w:eastAsia="zh-CN"/>
        </w:rPr>
        <w:t>及其它疑似宅基地上违法违规线索移交乡镇人民政府，并跟踪核查处置情况。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四、责任分工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（一）部门统筹协同推进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区各相关部门凝聚工作合力，加强对乡镇督促指导，落实常态化监管各项措施。区农业农村委落实行业监管责任，区规划资源局、区建设管理委、区城管执法局等单位依据职能共同做好监管工作。具体分工如下：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1.区农业农村委：</w:t>
      </w:r>
      <w:r>
        <w:rPr>
          <w:rFonts w:hint="eastAsia" w:ascii="仿宋_GB2312" w:hAnsi="仿宋_GB2312" w:eastAsia="仿宋_GB2312" w:cs="仿宋_GB2312"/>
          <w:color w:val="auto"/>
          <w:sz w:val="32"/>
          <w:szCs w:val="32"/>
          <w:highlight w:val="none"/>
          <w:lang w:val="en-US" w:eastAsia="zh-CN"/>
        </w:rPr>
        <w:t>负责牵头开展113个“大棚房”问题项目日常监管；开展对设施农业用地的行业审查、政策指导和用途监管；牵头指导乡镇开展农民建房常态化监管。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2.区规划资源局：</w:t>
      </w:r>
      <w:r>
        <w:rPr>
          <w:rFonts w:hint="eastAsia" w:ascii="仿宋_GB2312" w:hAnsi="仿宋_GB2312" w:eastAsia="仿宋_GB2312" w:cs="仿宋_GB2312"/>
          <w:color w:val="auto"/>
          <w:sz w:val="32"/>
          <w:szCs w:val="32"/>
          <w:highlight w:val="none"/>
          <w:lang w:val="en-US" w:eastAsia="zh-CN"/>
        </w:rPr>
        <w:t>负责牵头开展164个“大棚房”问题另案处理项目日常监管；</w:t>
      </w:r>
      <w:r>
        <w:rPr>
          <w:rFonts w:hint="eastAsia" w:ascii="仿宋_GB2312" w:hAnsi="仿宋_GB2312" w:eastAsia="仿宋_GB2312" w:cs="仿宋_GB2312"/>
          <w:color w:val="auto"/>
          <w:sz w:val="32"/>
          <w:szCs w:val="32"/>
          <w:highlight w:val="none"/>
          <w:u w:val="none"/>
          <w:lang w:val="en-US" w:eastAsia="zh-CN"/>
        </w:rPr>
        <w:t>联合区农业农村委</w:t>
      </w:r>
      <w:r>
        <w:rPr>
          <w:rFonts w:hint="eastAsia" w:ascii="仿宋_GB2312" w:hAnsi="仿宋_GB2312" w:eastAsia="仿宋_GB2312" w:cs="仿宋_GB2312"/>
          <w:color w:val="auto"/>
          <w:sz w:val="32"/>
          <w:szCs w:val="32"/>
          <w:highlight w:val="none"/>
          <w:lang w:val="en-US" w:eastAsia="zh-CN"/>
        </w:rPr>
        <w:t>指导乡镇开展设施农业用地日常巡查工作；监督指导各乡镇在国土空间中合理布局宅基地，依法办理农转用和集体建设用地使用审批、规划许可等相关手续。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3.区建设管理委：</w:t>
      </w:r>
      <w:r>
        <w:rPr>
          <w:rFonts w:hint="eastAsia" w:ascii="仿宋_GB2312" w:hAnsi="仿宋_GB2312" w:eastAsia="仿宋_GB2312" w:cs="仿宋_GB2312"/>
          <w:b w:val="0"/>
          <w:bCs w:val="0"/>
          <w:color w:val="auto"/>
          <w:sz w:val="32"/>
          <w:szCs w:val="32"/>
          <w:highlight w:val="none"/>
          <w:lang w:val="en-US" w:eastAsia="zh-CN"/>
        </w:rPr>
        <w:t>负责</w:t>
      </w:r>
      <w:r>
        <w:rPr>
          <w:rFonts w:hint="eastAsia" w:ascii="仿宋_GB2312" w:hAnsi="仿宋_GB2312" w:eastAsia="仿宋_GB2312" w:cs="仿宋_GB2312"/>
          <w:color w:val="auto"/>
          <w:sz w:val="32"/>
          <w:szCs w:val="32"/>
          <w:highlight w:val="none"/>
          <w:lang w:val="en-US" w:eastAsia="zh-CN"/>
        </w:rPr>
        <w:t>指导并监督各乡镇规范开展农房修缮工作；指导并监督各乡镇做好农民建房风貌引导、农房建筑安全监管等。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4.区城管执法局：</w:t>
      </w:r>
      <w:r>
        <w:rPr>
          <w:rFonts w:hint="eastAsia" w:ascii="仿宋_GB2312" w:hAnsi="仿宋_GB2312" w:eastAsia="仿宋_GB2312" w:cs="仿宋_GB2312"/>
          <w:color w:val="auto"/>
          <w:sz w:val="32"/>
          <w:szCs w:val="32"/>
          <w:highlight w:val="none"/>
          <w:lang w:val="en-US" w:eastAsia="zh-CN"/>
        </w:rPr>
        <w:t>负责指导乡镇综合行政执法队开展相关执法工作。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（二）乡镇落实属地主体责任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乡镇人民政府要建立领导小组，组建专门队伍，负责具体组织开展设施农业用地用途、农村村民住房建设的日常巡查、处置工作，及时发现问题、依法依规开展处置和整改，切实落实属地主体责任；规范办理相关设施农业用地备案，并形成月报制度，将每月完成备案的项目以月报形式报区农业农村委及区规划资源局，严格审查设施用地规模同流转经营面积匹配度，对于经营主体退出的设施农业用地由乡镇依法依规处置；规范开展农民建房及农房修缮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五、相关工作要求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（一）加强组织领导，健全工作机制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乡镇人民政府要切实强化属地管理责任意识，依托镇级“大棚房”问题相关领导小组、工作专班以及宅基地联审联办机制等，进一步加强组织领导，畅通问题巡查、查处机制，公开设立举报电话。要充分整合各条线力量，明确牵头科室和配合部门，确保监管力量配足、配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（二）规范建立台账，强化任务落实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乡镇要按照本方案，结合实际情况，制定年度工作计划，合理分配月度或季度实施目标，规范建立工作台账。区农业农村委按月调度各乡镇任务实施情况及抽巡查进展。相关督查检查情况，纳入区对乡镇、行政村考核（详见附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（三）严格惩治惩处，严肃执纪问责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抽巡查过程中发现有相关违法违规情况的，要依照《中华人民共和国土地管理法》《中华人民共和国城乡规划法》《基本农田保护条例》《国务院办公厅关于坚决制止耕地“非农化”行为的通知》《关于完善设施农业用地管理 促进设施农业健康发展的通知》（沪规划资源施〔2020〕591号）等，依法依规从严查处。在区级抽巡查、督查过程中，发现存在不作为、乱作为、失职渎职的公职人员，移交纪检监察部门处置。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02" w:leftChars="304" w:hanging="864" w:hangingChars="27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附表：设施农业用地用途以及农村村民住房建设常态化监管工作考核明细表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tbl>
      <w:tblPr>
        <w:tblStyle w:val="5"/>
        <w:tblW w:w="10009" w:type="dxa"/>
        <w:jc w:val="center"/>
        <w:tblInd w:w="-570" w:type="dxa"/>
        <w:shd w:val="clear" w:color="auto" w:fill="auto"/>
        <w:tblLayout w:type="fixed"/>
        <w:tblCellMar>
          <w:top w:w="0" w:type="dxa"/>
          <w:left w:w="0" w:type="dxa"/>
          <w:bottom w:w="0" w:type="dxa"/>
          <w:right w:w="0" w:type="dxa"/>
        </w:tblCellMar>
      </w:tblPr>
      <w:tblGrid>
        <w:gridCol w:w="1458"/>
        <w:gridCol w:w="2592"/>
        <w:gridCol w:w="4995"/>
        <w:gridCol w:w="964"/>
      </w:tblGrid>
      <w:tr>
        <w:tblPrEx>
          <w:shd w:val="clear" w:color="auto" w:fill="auto"/>
          <w:tblLayout w:type="fixed"/>
          <w:tblCellMar>
            <w:top w:w="0" w:type="dxa"/>
            <w:left w:w="0" w:type="dxa"/>
            <w:bottom w:w="0" w:type="dxa"/>
            <w:right w:w="0" w:type="dxa"/>
          </w:tblCellMar>
        </w:tblPrEx>
        <w:trPr>
          <w:trHeight w:val="408" w:hRule="atLeast"/>
          <w:jc w:val="center"/>
        </w:trPr>
        <w:tc>
          <w:tcPr>
            <w:tcW w:w="145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附表</w:t>
            </w:r>
          </w:p>
        </w:tc>
        <w:tc>
          <w:tcPr>
            <w:tcW w:w="2592"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995"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64"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jc w:val="center"/>
        </w:trPr>
        <w:tc>
          <w:tcPr>
            <w:tcW w:w="10009" w:type="dxa"/>
            <w:gridSpan w:val="4"/>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设施农业用地用途以及农村村民住房建设常态化监管工作考核明细表</w:t>
            </w:r>
          </w:p>
        </w:tc>
      </w:tr>
      <w:tr>
        <w:tblPrEx>
          <w:tblLayout w:type="fixed"/>
          <w:tblCellMar>
            <w:top w:w="0" w:type="dxa"/>
            <w:left w:w="0" w:type="dxa"/>
            <w:bottom w:w="0" w:type="dxa"/>
            <w:right w:w="0" w:type="dxa"/>
          </w:tblCellMar>
        </w:tblPrEx>
        <w:trPr>
          <w:trHeight w:val="680" w:hRule="atLeast"/>
          <w:jc w:val="center"/>
        </w:trPr>
        <w:tc>
          <w:tcPr>
            <w:tcW w:w="14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考核指标</w:t>
            </w:r>
          </w:p>
        </w:tc>
        <w:tc>
          <w:tcPr>
            <w:tcW w:w="2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考核内容</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评分标准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分值</w:t>
            </w:r>
          </w:p>
        </w:tc>
      </w:tr>
      <w:tr>
        <w:tblPrEx>
          <w:tblLayout w:type="fixed"/>
          <w:tblCellMar>
            <w:top w:w="0" w:type="dxa"/>
            <w:left w:w="0" w:type="dxa"/>
            <w:bottom w:w="0" w:type="dxa"/>
            <w:right w:w="0" w:type="dxa"/>
          </w:tblCellMar>
        </w:tblPrEx>
        <w:trPr>
          <w:trHeight w:val="734" w:hRule="atLeast"/>
          <w:jc w:val="center"/>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建立健全工作机制   （15分）</w:t>
            </w:r>
          </w:p>
        </w:tc>
        <w:tc>
          <w:tcPr>
            <w:tcW w:w="2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1.成立乡镇专项工作领导小组</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成立由乡镇主要领导任组长、分管领导为副组长、各业务科室负责人为成员的领导小组，得5分。未通过正式制度文件成立的不得分。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r>
      <w:tr>
        <w:tblPrEx>
          <w:tblLayout w:type="fixed"/>
          <w:tblCellMar>
            <w:top w:w="0" w:type="dxa"/>
            <w:left w:w="0" w:type="dxa"/>
            <w:bottom w:w="0" w:type="dxa"/>
            <w:right w:w="0" w:type="dxa"/>
          </w:tblCellMar>
        </w:tblPrEx>
        <w:trPr>
          <w:trHeight w:val="590" w:hRule="atLeast"/>
          <w:jc w:val="center"/>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b/>
                <w:i w:val="0"/>
                <w:color w:val="000000"/>
                <w:sz w:val="20"/>
                <w:szCs w:val="20"/>
                <w:u w:val="none"/>
              </w:rPr>
            </w:pPr>
          </w:p>
        </w:tc>
        <w:tc>
          <w:tcPr>
            <w:tcW w:w="2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2.建立乡镇专项巡查队伍</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建立人员力量充沛、任务分工明确、月度计划清晰的常态化专项巡查队伍，得5分。未通过正式制度文件建立不得分。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r>
      <w:tr>
        <w:tblPrEx>
          <w:tblLayout w:type="fixed"/>
          <w:tblCellMar>
            <w:top w:w="0" w:type="dxa"/>
            <w:left w:w="0" w:type="dxa"/>
            <w:bottom w:w="0" w:type="dxa"/>
            <w:right w:w="0" w:type="dxa"/>
          </w:tblCellMar>
        </w:tblPrEx>
        <w:trPr>
          <w:trHeight w:val="980" w:hRule="atLeast"/>
          <w:jc w:val="center"/>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b/>
                <w:i w:val="0"/>
                <w:color w:val="000000"/>
                <w:sz w:val="20"/>
                <w:szCs w:val="20"/>
                <w:u w:val="none"/>
              </w:rPr>
            </w:pPr>
          </w:p>
        </w:tc>
        <w:tc>
          <w:tcPr>
            <w:tcW w:w="2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3.落实工作任务响应时间和工作部署情况</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落实工作任务响应迅速，及时向相关责任部门、行政村等部署任务，按照规定时间完成，得5分。相关工作滞后的，发现1起扣1分，扣完为止。</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r>
      <w:tr>
        <w:tblPrEx>
          <w:tblLayout w:type="fixed"/>
          <w:tblCellMar>
            <w:top w:w="0" w:type="dxa"/>
            <w:left w:w="0" w:type="dxa"/>
            <w:bottom w:w="0" w:type="dxa"/>
            <w:right w:w="0" w:type="dxa"/>
          </w:tblCellMar>
        </w:tblPrEx>
        <w:trPr>
          <w:trHeight w:val="840" w:hRule="atLeast"/>
          <w:jc w:val="center"/>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镇级巡查开展情况  （35分）</w:t>
            </w:r>
          </w:p>
        </w:tc>
        <w:tc>
          <w:tcPr>
            <w:tcW w:w="2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1.开展“大棚房”问题项目和“大棚房”另案处理项目巡查</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按照工作要求全年巡查不少于2轮，时间间隔3个月以上，得10分。存在巡查台账缺漏、信息错误的，发现1起扣2分，扣完为止。</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r>
      <w:tr>
        <w:tblPrEx>
          <w:tblLayout w:type="fixed"/>
          <w:tblCellMar>
            <w:top w:w="0" w:type="dxa"/>
            <w:left w:w="0" w:type="dxa"/>
            <w:bottom w:w="0" w:type="dxa"/>
            <w:right w:w="0" w:type="dxa"/>
          </w:tblCellMar>
        </w:tblPrEx>
        <w:trPr>
          <w:trHeight w:val="840" w:hRule="atLeast"/>
          <w:jc w:val="center"/>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b/>
                <w:i w:val="0"/>
                <w:color w:val="000000"/>
                <w:sz w:val="20"/>
                <w:szCs w:val="20"/>
                <w:u w:val="none"/>
              </w:rPr>
            </w:pPr>
          </w:p>
        </w:tc>
        <w:tc>
          <w:tcPr>
            <w:tcW w:w="2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2.开展已建成设施农业用地项目全覆盖检查</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按照工作要求全年巡查不少于1轮，得10分。存在巡查台账缺漏、信息错误的，发现1起扣2分，扣完为止。</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r>
      <w:tr>
        <w:tblPrEx>
          <w:tblLayout w:type="fixed"/>
          <w:tblCellMar>
            <w:top w:w="0" w:type="dxa"/>
            <w:left w:w="0" w:type="dxa"/>
            <w:bottom w:w="0" w:type="dxa"/>
            <w:right w:w="0" w:type="dxa"/>
          </w:tblCellMar>
        </w:tblPrEx>
        <w:trPr>
          <w:trHeight w:val="840" w:hRule="atLeast"/>
          <w:jc w:val="center"/>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b/>
                <w:i w:val="0"/>
                <w:color w:val="000000"/>
                <w:sz w:val="20"/>
                <w:szCs w:val="20"/>
                <w:u w:val="none"/>
              </w:rPr>
            </w:pPr>
          </w:p>
        </w:tc>
        <w:tc>
          <w:tcPr>
            <w:tcW w:w="2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3.开展农业大棚、温室抽查</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按照工作要求全年抽查全域内农业大棚、温室不少于总量的30%，得5分。存在巡查台账缺漏、信息错误的，发现1起扣2分，扣完为止。</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r>
      <w:tr>
        <w:tblPrEx>
          <w:tblLayout w:type="fixed"/>
          <w:tblCellMar>
            <w:top w:w="0" w:type="dxa"/>
            <w:left w:w="0" w:type="dxa"/>
            <w:bottom w:w="0" w:type="dxa"/>
            <w:right w:w="0" w:type="dxa"/>
          </w:tblCellMar>
        </w:tblPrEx>
        <w:trPr>
          <w:trHeight w:val="1560" w:hRule="atLeast"/>
          <w:jc w:val="center"/>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b/>
                <w:i w:val="0"/>
                <w:color w:val="000000"/>
                <w:sz w:val="20"/>
                <w:szCs w:val="20"/>
                <w:u w:val="none"/>
              </w:rPr>
            </w:pPr>
          </w:p>
        </w:tc>
        <w:tc>
          <w:tcPr>
            <w:tcW w:w="2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4.开展农民建房镇、村巡查</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按照工作要求开展巡查的，得10分。村级层面未按要求开展每月巡查、巡查工作不扎实、发现问题未及时制止或上报的，发现1个村扣2分，发现3个村以上的，乡镇本条不得分。镇级层面巡查覆盖不全、未规范建立台账的，发现1起扣2分；发现问题或收到村级、群众反映问题后未处置或消极处置的，发现1起扣2分，扣完为止。</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r>
      <w:tr>
        <w:tblPrEx>
          <w:tblLayout w:type="fixed"/>
          <w:tblCellMar>
            <w:top w:w="0" w:type="dxa"/>
            <w:left w:w="0" w:type="dxa"/>
            <w:bottom w:w="0" w:type="dxa"/>
            <w:right w:w="0" w:type="dxa"/>
          </w:tblCellMar>
        </w:tblPrEx>
        <w:trPr>
          <w:trHeight w:val="640" w:hRule="atLeast"/>
          <w:jc w:val="center"/>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区级督查结果（50分）</w:t>
            </w:r>
          </w:p>
        </w:tc>
        <w:tc>
          <w:tcPr>
            <w:tcW w:w="2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1.大棚房问题区级督查结果</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存在大棚房问题回潮反弹的，发现1起扣5分，反馈问题30日内未完成整改的，每起额外加扣5分，扣完为止。</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w:t>
            </w:r>
          </w:p>
        </w:tc>
      </w:tr>
      <w:tr>
        <w:tblPrEx>
          <w:tblLayout w:type="fixed"/>
          <w:tblCellMar>
            <w:top w:w="0" w:type="dxa"/>
            <w:left w:w="0" w:type="dxa"/>
            <w:bottom w:w="0" w:type="dxa"/>
            <w:right w:w="0" w:type="dxa"/>
          </w:tblCellMar>
        </w:tblPrEx>
        <w:trPr>
          <w:trHeight w:val="640" w:hRule="atLeast"/>
          <w:jc w:val="center"/>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b/>
                <w:i w:val="0"/>
                <w:color w:val="000000"/>
                <w:sz w:val="20"/>
                <w:szCs w:val="20"/>
                <w:u w:val="none"/>
              </w:rPr>
            </w:pPr>
          </w:p>
        </w:tc>
        <w:tc>
          <w:tcPr>
            <w:tcW w:w="2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2.设施农业用地区级督查结果</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存在设施农业用地用途违法违规等问题的，发现1起扣5分，反馈问题30日内未完成整改的，每起额外加扣5分。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w:t>
            </w:r>
          </w:p>
        </w:tc>
      </w:tr>
      <w:tr>
        <w:tblPrEx>
          <w:tblLayout w:type="fixed"/>
          <w:tblCellMar>
            <w:top w:w="0" w:type="dxa"/>
            <w:left w:w="0" w:type="dxa"/>
            <w:bottom w:w="0" w:type="dxa"/>
            <w:right w:w="0" w:type="dxa"/>
          </w:tblCellMar>
        </w:tblPrEx>
        <w:trPr>
          <w:trHeight w:val="1140" w:hRule="atLeast"/>
          <w:jc w:val="center"/>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b/>
                <w:i w:val="0"/>
                <w:color w:val="000000"/>
                <w:sz w:val="20"/>
                <w:szCs w:val="20"/>
                <w:u w:val="none"/>
              </w:rPr>
            </w:pPr>
          </w:p>
        </w:tc>
        <w:tc>
          <w:tcPr>
            <w:tcW w:w="2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3.农民建房区级督查结果</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农民建房审批或农房修缮备案不规范的，发现1起扣3分；存在新增宅基地违法违规情况的，发现1起扣3分；存在未销项的新增农村乱占耕地建房住宅类问题的（2020年7月以后新增的），存在1起扣3分，扣完为止。</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w:t>
            </w:r>
          </w:p>
        </w:tc>
      </w:tr>
      <w:tr>
        <w:tblPrEx>
          <w:tblLayout w:type="fixed"/>
          <w:tblCellMar>
            <w:top w:w="0" w:type="dxa"/>
            <w:left w:w="0" w:type="dxa"/>
            <w:bottom w:w="0" w:type="dxa"/>
            <w:right w:w="0" w:type="dxa"/>
          </w:tblCellMar>
        </w:tblPrEx>
        <w:trPr>
          <w:trHeight w:val="2000" w:hRule="atLeast"/>
          <w:jc w:val="center"/>
        </w:trPr>
        <w:tc>
          <w:tcPr>
            <w:tcW w:w="14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重要责任</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（扣分项）</w:t>
            </w:r>
          </w:p>
        </w:tc>
        <w:tc>
          <w:tcPr>
            <w:tcW w:w="758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1.市级及以上督查发现“大棚房”相关问题回潮反弹、设施农业用地违法违规问题、新增农村乱占耕地建房住宅类问题等的，发现1起扣10分。</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2.镇、村级巡查未发现问题，但在1个月内，区级部门督查发现同一对象存在问题的，发现1起扣10分。                                                                    3.镇、村级巡查台账存在虚假、欺骗行为，或发现问题隐瞒不报的，发现1起扣10分。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扣分项</w:t>
            </w:r>
          </w:p>
        </w:tc>
      </w:tr>
      <w:tr>
        <w:tblPrEx>
          <w:tblLayout w:type="fixed"/>
          <w:tblCellMar>
            <w:top w:w="0" w:type="dxa"/>
            <w:left w:w="0" w:type="dxa"/>
            <w:bottom w:w="0" w:type="dxa"/>
            <w:right w:w="0" w:type="dxa"/>
          </w:tblCellMar>
        </w:tblPrEx>
        <w:trPr>
          <w:trHeight w:val="1530" w:hRule="atLeast"/>
          <w:jc w:val="center"/>
        </w:trPr>
        <w:tc>
          <w:tcPr>
            <w:tcW w:w="10009" w:type="dxa"/>
            <w:gridSpan w:val="4"/>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*1.考核分数按年度进行汇算，并折合为区对乡镇领导班子年度考核分相关扣分项； 2.区级督查包括区级部门实地督查和区级部门受理群众信访和举报等； 3.市级及以上督查包括相关卫片执法、实地督查、受理的群众信访和举报等，市级及以上督查和区级督查共同发现问题的，就高扣分。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spacing w:line="560" w:lineRule="exact"/>
        <w:jc w:val="center"/>
        <w:rPr>
          <w:rFonts w:ascii="方正小标宋简体" w:eastAsia="方正小标宋简体"/>
          <w:sz w:val="44"/>
          <w:szCs w:val="44"/>
        </w:rPr>
      </w:pPr>
    </w:p>
    <w:p>
      <w:pPr>
        <w:spacing w:line="560" w:lineRule="exact"/>
        <w:ind w:right="26"/>
        <w:rPr>
          <w:rFonts w:ascii="仿宋_GB2312" w:eastAsia="仿宋_GB2312"/>
          <w:sz w:val="32"/>
          <w:szCs w:val="32"/>
          <w:u w:val="thick"/>
        </w:rPr>
      </w:pPr>
    </w:p>
    <w:p>
      <w:pPr>
        <w:spacing w:line="560" w:lineRule="exact"/>
        <w:ind w:right="26"/>
        <w:rPr>
          <w:rFonts w:ascii="仿宋_GB2312" w:eastAsia="仿宋_GB2312"/>
          <w:sz w:val="32"/>
          <w:szCs w:val="32"/>
          <w:u w:val="thick"/>
        </w:rPr>
      </w:pPr>
    </w:p>
    <w:p>
      <w:pPr>
        <w:spacing w:line="560" w:lineRule="exact"/>
        <w:ind w:right="26"/>
        <w:rPr>
          <w:rFonts w:ascii="仿宋_GB2312" w:eastAsia="仿宋_GB2312"/>
          <w:sz w:val="32"/>
          <w:szCs w:val="32"/>
          <w:u w:val="thick"/>
        </w:rPr>
      </w:pPr>
    </w:p>
    <w:p>
      <w:pPr>
        <w:spacing w:line="560" w:lineRule="exact"/>
        <w:ind w:right="26"/>
        <w:rPr>
          <w:rFonts w:ascii="仿宋_GB2312" w:eastAsia="仿宋_GB2312"/>
          <w:sz w:val="32"/>
          <w:szCs w:val="32"/>
          <w:u w:val="thick"/>
        </w:rPr>
      </w:pPr>
    </w:p>
    <w:p>
      <w:pPr>
        <w:spacing w:line="560" w:lineRule="exact"/>
        <w:ind w:right="26"/>
        <w:rPr>
          <w:rFonts w:ascii="仿宋_GB2312" w:eastAsia="仿宋_GB2312"/>
          <w:sz w:val="32"/>
          <w:szCs w:val="32"/>
          <w:u w:val="thick"/>
        </w:rPr>
      </w:pPr>
    </w:p>
    <w:p>
      <w:pPr>
        <w:spacing w:line="560" w:lineRule="exact"/>
        <w:ind w:right="26"/>
        <w:rPr>
          <w:rFonts w:ascii="仿宋_GB2312" w:eastAsia="仿宋_GB2312"/>
          <w:sz w:val="32"/>
          <w:szCs w:val="32"/>
          <w:u w:val="thick"/>
        </w:rPr>
      </w:pPr>
    </w:p>
    <w:p>
      <w:pPr>
        <w:spacing w:line="560" w:lineRule="exact"/>
        <w:ind w:right="26"/>
        <w:rPr>
          <w:rFonts w:ascii="仿宋_GB2312" w:eastAsia="仿宋_GB2312"/>
          <w:sz w:val="32"/>
          <w:szCs w:val="32"/>
          <w:u w:val="thick"/>
        </w:rPr>
      </w:pPr>
    </w:p>
    <w:p>
      <w:pPr>
        <w:spacing w:line="560" w:lineRule="exact"/>
        <w:ind w:right="26"/>
        <w:rPr>
          <w:rFonts w:ascii="仿宋_GB2312" w:eastAsia="仿宋_GB2312"/>
          <w:sz w:val="32"/>
          <w:szCs w:val="32"/>
          <w:u w:val="thick"/>
        </w:rPr>
      </w:pPr>
    </w:p>
    <w:p>
      <w:pPr>
        <w:spacing w:line="560" w:lineRule="exact"/>
        <w:ind w:right="26"/>
        <w:rPr>
          <w:rFonts w:ascii="仿宋_GB2312" w:eastAsia="仿宋_GB2312"/>
          <w:sz w:val="32"/>
          <w:szCs w:val="32"/>
          <w:u w:val="thick"/>
        </w:rPr>
      </w:pPr>
    </w:p>
    <w:p>
      <w:pPr>
        <w:spacing w:line="560" w:lineRule="exact"/>
        <w:ind w:right="26"/>
        <w:rPr>
          <w:rFonts w:ascii="仿宋_GB2312" w:eastAsia="仿宋_GB2312"/>
          <w:sz w:val="32"/>
          <w:szCs w:val="32"/>
          <w:u w:val="thick"/>
        </w:rPr>
      </w:pPr>
    </w:p>
    <w:p>
      <w:pPr>
        <w:keepNext w:val="0"/>
        <w:keepLines w:val="0"/>
        <w:pageBreakBefore w:val="0"/>
        <w:widowControl w:val="0"/>
        <w:kinsoku/>
        <w:wordWrap/>
        <w:overflowPunct/>
        <w:topLinePunct w:val="0"/>
        <w:autoSpaceDE/>
        <w:autoSpaceDN/>
        <w:bidi w:val="0"/>
        <w:adjustRightInd/>
        <w:snapToGrid/>
        <w:spacing w:line="1200" w:lineRule="exact"/>
        <w:ind w:right="28"/>
        <w:textAlignment w:val="auto"/>
        <w:outlineLvl w:val="9"/>
        <w:rPr>
          <w:rFonts w:ascii="仿宋_GB2312" w:eastAsia="仿宋_GB2312"/>
          <w:sz w:val="32"/>
          <w:szCs w:val="32"/>
          <w:u w:val="thick"/>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Borders>
              <w:top w:val="single" w:color="auto" w:sz="12" w:space="0"/>
              <w:left w:val="nil"/>
              <w:bottom w:val="single" w:color="auto" w:sz="2" w:space="0"/>
              <w:right w:val="nil"/>
            </w:tcBorders>
          </w:tcPr>
          <w:p>
            <w:pPr>
              <w:spacing w:line="560" w:lineRule="exact"/>
              <w:ind w:right="28"/>
              <w:rPr>
                <w:rFonts w:hint="default"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28"/>
                <w:szCs w:val="28"/>
              </w:rPr>
              <w:t>抄送</w:t>
            </w:r>
            <w:r>
              <w:rPr>
                <w:rFonts w:hint="eastAsia" w:ascii="仿宋_GB2312" w:eastAsia="仿宋_GB2312"/>
                <w:sz w:val="32"/>
                <w:szCs w:val="32"/>
              </w:rPr>
              <w:t>：</w:t>
            </w:r>
            <w:r>
              <w:rPr>
                <w:rFonts w:hint="eastAsia" w:ascii="仿宋_GB2312" w:eastAsia="仿宋_GB2312"/>
                <w:sz w:val="32"/>
                <w:szCs w:val="32"/>
                <w:lang w:eastAsia="zh-CN"/>
              </w:rPr>
              <w:t>上实、光明、地产等相关单位。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Borders>
              <w:top w:val="single" w:color="auto" w:sz="2" w:space="0"/>
              <w:left w:val="nil"/>
              <w:bottom w:val="single" w:color="auto" w:sz="12" w:space="0"/>
              <w:right w:val="nil"/>
            </w:tcBorders>
          </w:tcPr>
          <w:p>
            <w:pPr>
              <w:spacing w:line="560" w:lineRule="exact"/>
              <w:ind w:right="28"/>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28"/>
                <w:szCs w:val="28"/>
              </w:rPr>
              <w:t>上海市崇明区农业</w:t>
            </w:r>
            <w:r>
              <w:rPr>
                <w:rFonts w:hint="eastAsia" w:ascii="仿宋_GB2312" w:eastAsia="仿宋_GB2312"/>
                <w:sz w:val="28"/>
                <w:szCs w:val="28"/>
                <w:lang w:eastAsia="zh-CN"/>
              </w:rPr>
              <w:t>农村</w:t>
            </w:r>
            <w:r>
              <w:rPr>
                <w:rFonts w:hint="eastAsia" w:ascii="仿宋_GB2312" w:eastAsia="仿宋_GB2312"/>
                <w:sz w:val="28"/>
                <w:szCs w:val="28"/>
              </w:rPr>
              <w:t>委员会办公室        20</w:t>
            </w:r>
            <w:r>
              <w:rPr>
                <w:rFonts w:hint="eastAsia" w:ascii="仿宋_GB2312" w:eastAsia="仿宋_GB2312"/>
                <w:sz w:val="28"/>
                <w:szCs w:val="28"/>
                <w:lang w:val="en-US" w:eastAsia="zh-CN"/>
              </w:rPr>
              <w:t>23</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13</w:t>
            </w:r>
            <w:bookmarkStart w:id="0" w:name="_GoBack"/>
            <w:bookmarkEnd w:id="0"/>
            <w:r>
              <w:rPr>
                <w:rFonts w:hint="eastAsia" w:ascii="仿宋_GB2312" w:eastAsia="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rPr>
          <w:rFonts w:ascii="仿宋_GB2312"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247"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39633"/>
      <w:docPartObj>
        <w:docPartGallery w:val="autotext"/>
      </w:docPartObj>
    </w:sdtPr>
    <w:sdtContent>
      <w:p>
        <w:pPr>
          <w:pStyle w:val="2"/>
          <w:ind w:right="27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39632"/>
      <w:docPartObj>
        <w:docPartGallery w:val="autotext"/>
      </w:docPartObj>
    </w:sdtPr>
    <w:sdtContent>
      <w:p>
        <w:pPr>
          <w:pStyle w:val="2"/>
          <w:ind w:firstLine="180" w:firstLine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45"/>
    <w:rsid w:val="00002667"/>
    <w:rsid w:val="00052038"/>
    <w:rsid w:val="000A0B81"/>
    <w:rsid w:val="001562E9"/>
    <w:rsid w:val="00180A71"/>
    <w:rsid w:val="001F39D8"/>
    <w:rsid w:val="0022312E"/>
    <w:rsid w:val="0026506F"/>
    <w:rsid w:val="00270770"/>
    <w:rsid w:val="00364AFB"/>
    <w:rsid w:val="00395936"/>
    <w:rsid w:val="003E4CF0"/>
    <w:rsid w:val="00424216"/>
    <w:rsid w:val="00466422"/>
    <w:rsid w:val="00512A54"/>
    <w:rsid w:val="00545AC5"/>
    <w:rsid w:val="005463E7"/>
    <w:rsid w:val="005E13CB"/>
    <w:rsid w:val="005E2E11"/>
    <w:rsid w:val="005E566F"/>
    <w:rsid w:val="006A4FFB"/>
    <w:rsid w:val="006B7064"/>
    <w:rsid w:val="007039C5"/>
    <w:rsid w:val="00717904"/>
    <w:rsid w:val="00733FE4"/>
    <w:rsid w:val="00775EF0"/>
    <w:rsid w:val="00785641"/>
    <w:rsid w:val="007F599C"/>
    <w:rsid w:val="008B0CE9"/>
    <w:rsid w:val="008C5D06"/>
    <w:rsid w:val="009133B7"/>
    <w:rsid w:val="009421D7"/>
    <w:rsid w:val="00986EBD"/>
    <w:rsid w:val="009B0560"/>
    <w:rsid w:val="00B80DE5"/>
    <w:rsid w:val="00BA4B06"/>
    <w:rsid w:val="00BA5C14"/>
    <w:rsid w:val="00BD591D"/>
    <w:rsid w:val="00C11B56"/>
    <w:rsid w:val="00C219FD"/>
    <w:rsid w:val="00CB6736"/>
    <w:rsid w:val="00D57723"/>
    <w:rsid w:val="00D93834"/>
    <w:rsid w:val="00E13CAF"/>
    <w:rsid w:val="00E30AC2"/>
    <w:rsid w:val="00E748FD"/>
    <w:rsid w:val="00E76BAF"/>
    <w:rsid w:val="00ED5A2E"/>
    <w:rsid w:val="00FB10D2"/>
    <w:rsid w:val="00FC5045"/>
    <w:rsid w:val="2E7E656D"/>
    <w:rsid w:val="358355A2"/>
    <w:rsid w:val="3C934976"/>
    <w:rsid w:val="44F05851"/>
    <w:rsid w:val="4B2E1121"/>
    <w:rsid w:val="4C7D636E"/>
    <w:rsid w:val="4C842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line="240" w:lineRule="auto"/>
      <w:ind w:firstLine="0" w:firstLineChars="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6">
    <w:name w:val="Table Grid"/>
    <w:basedOn w:val="5"/>
    <w:qFormat/>
    <w:uiPriority w:val="59"/>
    <w:pPr>
      <w:spacing w:before="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99"/>
    <w:rPr>
      <w:kern w:val="2"/>
      <w:sz w:val="18"/>
      <w:szCs w:val="18"/>
    </w:rPr>
  </w:style>
  <w:style w:type="character" w:customStyle="1" w:styleId="8">
    <w:name w:val="页脚 Char"/>
    <w:basedOn w:val="4"/>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C.Y.H(201411)</Company>
  <Pages>2</Pages>
  <Words>43</Words>
  <Characters>246</Characters>
  <Lines>2</Lines>
  <Paragraphs>1</Paragraphs>
  <TotalTime>21</TotalTime>
  <ScaleCrop>false</ScaleCrop>
  <LinksUpToDate>false</LinksUpToDate>
  <CharactersWithSpaces>288</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2017-10-23T02:12:00Z</dcterms:created>
  <dc:creator>cm</dc:creator>
  <cp:lastModifiedBy>THE NEXT</cp:lastModifiedBy>
  <cp:lastPrinted>2023-04-11T07:59:00Z</cp:lastPrinted>
  <dcterms:modified xsi:type="dcterms:W3CDTF">2023-04-13T01:55:49Z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