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工作提示（一四五）</w:t>
      </w:r>
    </w:p>
    <w:p>
      <w:pPr>
        <w:spacing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关于进一步做好商务领域疫情防控工作</w:t>
      </w:r>
    </w:p>
    <w:p>
      <w:pPr>
        <w:spacing w:line="560" w:lineRule="exact"/>
        <w:rPr>
          <w:rFonts w:ascii="仿宋_GB2312" w:hAnsi="仿宋_GB2312" w:eastAsia="仿宋_GB2312" w:cs="仿宋_GB2312"/>
          <w:sz w:val="32"/>
          <w:szCs w:val="32"/>
        </w:rPr>
      </w:pPr>
    </w:p>
    <w:p>
      <w:pPr>
        <w:pStyle w:val="6"/>
        <w:spacing w:line="560" w:lineRule="exact"/>
        <w:ind w:firstLine="620"/>
        <w:rPr>
          <w:rFonts w:ascii="仿宋_GB2312" w:hAnsi="仿宋_GB2312" w:eastAsia="仿宋_GB2312" w:cs="仿宋_GB2312"/>
          <w:sz w:val="32"/>
          <w:szCs w:val="32"/>
        </w:rPr>
      </w:pPr>
      <w:r>
        <w:rPr>
          <w:rFonts w:hint="eastAsia" w:ascii="仿宋_GB2312" w:hAnsi="仿宋_GB2312" w:eastAsia="仿宋_GB2312" w:cs="仿宋_GB2312"/>
          <w:color w:val="000000"/>
          <w:sz w:val="32"/>
          <w:szCs w:val="32"/>
        </w:rPr>
        <w:t>为进一步做好</w:t>
      </w:r>
      <w:r>
        <w:rPr>
          <w:rFonts w:hint="eastAsia" w:ascii="仿宋_GB2312" w:hAnsi="仿宋_GB2312" w:eastAsia="仿宋_GB2312" w:cs="仿宋_GB2312"/>
          <w:color w:val="000000"/>
          <w:sz w:val="32"/>
          <w:szCs w:val="32"/>
          <w:lang w:val="en-US" w:eastAsia="zh-CN"/>
        </w:rPr>
        <w:t>本区</w:t>
      </w:r>
      <w:r>
        <w:rPr>
          <w:rFonts w:hint="eastAsia" w:ascii="仿宋_GB2312" w:hAnsi="仿宋_GB2312" w:eastAsia="仿宋_GB2312" w:cs="仿宋_GB2312"/>
          <w:color w:val="000000"/>
          <w:sz w:val="32"/>
          <w:szCs w:val="32"/>
        </w:rPr>
        <w:t>商务领域疫情防控工作，根</w:t>
      </w:r>
      <w:r>
        <w:rPr>
          <w:rFonts w:hint="eastAsia" w:ascii="仿宋_GB2312" w:hAnsi="仿宋_GB2312" w:eastAsia="仿宋_GB2312" w:cs="仿宋_GB2312"/>
          <w:color w:val="000000"/>
          <w:sz w:val="32"/>
          <w:szCs w:val="32"/>
          <w:lang w:val="en-US" w:eastAsia="zh-CN"/>
        </w:rPr>
        <w:t>据《崇明区2022年元旦春节期间新冠肺炎疫情防控工作方案》、《关于进一步加强本市商务领域疫情防控工作的通知</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沪肺炎防控办〔2022〕45号</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等文件精神</w:t>
      </w:r>
      <w:r>
        <w:rPr>
          <w:rFonts w:hint="eastAsia" w:ascii="仿宋_GB2312" w:hAnsi="仿宋_GB2312" w:eastAsia="仿宋_GB2312" w:cs="仿宋_GB2312"/>
          <w:color w:val="000000"/>
          <w:sz w:val="32"/>
          <w:szCs w:val="32"/>
        </w:rPr>
        <w:t>，</w:t>
      </w:r>
      <w:bookmarkStart w:id="0" w:name="_GoBack"/>
      <w:bookmarkEnd w:id="0"/>
      <w:r>
        <w:rPr>
          <w:rFonts w:hint="eastAsia" w:ascii="仿宋_GB2312" w:hAnsi="仿宋_GB2312" w:eastAsia="仿宋_GB2312" w:cs="仿宋_GB2312"/>
          <w:color w:val="000000"/>
          <w:sz w:val="32"/>
          <w:szCs w:val="32"/>
        </w:rPr>
        <w:t>现就相关工作</w:t>
      </w:r>
      <w:r>
        <w:rPr>
          <w:rFonts w:hint="eastAsia" w:ascii="仿宋_GB2312" w:hAnsi="仿宋_GB2312" w:eastAsia="仿宋_GB2312" w:cs="仿宋_GB2312"/>
          <w:color w:val="000000"/>
          <w:sz w:val="32"/>
          <w:szCs w:val="32"/>
          <w:lang w:val="en-US" w:eastAsia="zh-CN"/>
        </w:rPr>
        <w:t>提示</w:t>
      </w:r>
      <w:r>
        <w:rPr>
          <w:rFonts w:hint="eastAsia" w:ascii="仿宋_GB2312" w:hAnsi="仿宋_GB2312" w:eastAsia="仿宋_GB2312" w:cs="仿宋_GB2312"/>
          <w:color w:val="000000"/>
          <w:sz w:val="32"/>
          <w:szCs w:val="32"/>
        </w:rPr>
        <w:t>如下：</w:t>
      </w:r>
    </w:p>
    <w:p>
      <w:pPr>
        <w:pStyle w:val="6"/>
        <w:spacing w:line="560" w:lineRule="exact"/>
        <w:ind w:firstLine="620"/>
        <w:rPr>
          <w:rFonts w:ascii="黑体" w:hAnsi="黑体" w:eastAsia="黑体" w:cs="黑体"/>
          <w:sz w:val="32"/>
          <w:szCs w:val="32"/>
        </w:rPr>
      </w:pPr>
      <w:r>
        <w:rPr>
          <w:rFonts w:hint="eastAsia" w:ascii="黑体" w:hAnsi="黑体" w:eastAsia="黑体" w:cs="黑体"/>
          <w:color w:val="000000"/>
          <w:sz w:val="32"/>
          <w:szCs w:val="32"/>
        </w:rPr>
        <w:t>一、进一步提高思想认识，切实压实防控责任</w:t>
      </w:r>
    </w:p>
    <w:p>
      <w:pPr>
        <w:pStyle w:val="6"/>
        <w:spacing w:line="560" w:lineRule="exact"/>
        <w:ind w:firstLine="6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要充分认清当前做好商务领域疫情防控工作的紧迫性重要性，坚决克服麻痹思想、厌战情绪、侥幸心理、松劲心态，始终保持如履薄冰的警醒、连续作战的韧性、恪尽职守的担当，从严从紧、从实从细抓好商务领域疫情防控各项工作。要建立健全</w:t>
      </w:r>
      <w:r>
        <w:rPr>
          <w:rFonts w:hint="eastAsia" w:ascii="仿宋_GB2312" w:hAnsi="仿宋_GB2312" w:eastAsia="仿宋_GB2312" w:cs="仿宋_GB2312"/>
          <w:color w:val="000000"/>
          <w:sz w:val="32"/>
          <w:szCs w:val="32"/>
          <w:lang w:val="zh-CN" w:eastAsia="zh-CN" w:bidi="zh-CN"/>
        </w:rPr>
        <w:t>“</w:t>
      </w:r>
      <w:r>
        <w:rPr>
          <w:rFonts w:hint="eastAsia" w:ascii="仿宋_GB2312" w:hAnsi="仿宋_GB2312" w:eastAsia="仿宋_GB2312" w:cs="仿宋_GB2312"/>
          <w:color w:val="000000"/>
          <w:sz w:val="32"/>
          <w:szCs w:val="32"/>
        </w:rPr>
        <w:t>区</w:t>
      </w:r>
      <w:r>
        <w:rPr>
          <w:rFonts w:hint="eastAsia" w:ascii="仿宋_GB2312" w:hAnsi="仿宋_GB2312" w:eastAsia="仿宋_GB2312" w:cs="仿宋_GB2312"/>
          <w:color w:val="000000"/>
          <w:sz w:val="32"/>
          <w:szCs w:val="32"/>
          <w:lang w:val="en-US" w:eastAsia="zh-CN"/>
        </w:rPr>
        <w:t>镇</w:t>
      </w:r>
      <w:r>
        <w:rPr>
          <w:rFonts w:hint="eastAsia" w:ascii="仿宋_GB2312" w:hAnsi="仿宋_GB2312" w:eastAsia="仿宋_GB2312" w:cs="仿宋_GB2312"/>
          <w:color w:val="000000"/>
          <w:sz w:val="32"/>
          <w:szCs w:val="32"/>
        </w:rPr>
        <w:t>联动、条包块管、条块结合、属地推进”工作机制，</w:t>
      </w:r>
      <w:r>
        <w:rPr>
          <w:rFonts w:hint="eastAsia" w:ascii="仿宋_GB2312" w:hAnsi="仿宋_GB2312" w:eastAsia="仿宋_GB2312" w:cs="仿宋_GB2312"/>
          <w:color w:val="000000"/>
          <w:sz w:val="32"/>
          <w:szCs w:val="32"/>
          <w:lang w:val="en-US" w:eastAsia="zh-CN"/>
        </w:rPr>
        <w:t>区镇两级疫情防控工作领导小组要</w:t>
      </w:r>
      <w:r>
        <w:rPr>
          <w:rFonts w:hint="eastAsia" w:ascii="仿宋_GB2312" w:hAnsi="仿宋_GB2312" w:eastAsia="仿宋_GB2312" w:cs="仿宋_GB2312"/>
          <w:color w:val="000000"/>
          <w:sz w:val="32"/>
          <w:szCs w:val="32"/>
        </w:rPr>
        <w:t>将</w:t>
      </w:r>
      <w:r>
        <w:rPr>
          <w:rFonts w:hint="eastAsia" w:ascii="仿宋_GB2312" w:hAnsi="仿宋_GB2312" w:eastAsia="仿宋_GB2312" w:cs="仿宋_GB2312"/>
          <w:color w:val="000000"/>
          <w:sz w:val="32"/>
          <w:szCs w:val="32"/>
          <w:lang w:val="en-US" w:eastAsia="zh-CN"/>
        </w:rPr>
        <w:t>本辖区内</w:t>
      </w:r>
      <w:r>
        <w:rPr>
          <w:rFonts w:hint="eastAsia" w:ascii="仿宋_GB2312" w:hAnsi="仿宋_GB2312" w:eastAsia="仿宋_GB2312" w:cs="仿宋_GB2312"/>
          <w:color w:val="000000"/>
          <w:sz w:val="32"/>
          <w:szCs w:val="32"/>
        </w:rPr>
        <w:t>商务领域疫情防控作为当前工作的重要任务之一，统筹部署商务领域疫情防控相关工作。</w:t>
      </w:r>
      <w:r>
        <w:rPr>
          <w:rFonts w:hint="eastAsia" w:ascii="仿宋_GB2312" w:hAnsi="仿宋_GB2312" w:eastAsia="仿宋_GB2312" w:cs="仿宋_GB2312"/>
          <w:color w:val="000000"/>
          <w:sz w:val="32"/>
          <w:szCs w:val="32"/>
          <w:lang w:val="en-US" w:eastAsia="zh-CN"/>
        </w:rPr>
        <w:t>区经委</w:t>
      </w:r>
      <w:r>
        <w:rPr>
          <w:rFonts w:hint="eastAsia" w:ascii="仿宋_GB2312" w:hAnsi="仿宋_GB2312" w:eastAsia="仿宋_GB2312" w:cs="仿宋_GB2312"/>
          <w:color w:val="000000"/>
          <w:sz w:val="32"/>
          <w:szCs w:val="32"/>
        </w:rPr>
        <w:t>要落实商贸行业管理职责，加强商务领域疫情防控工作的宣传发动和督促推进。</w:t>
      </w:r>
      <w:r>
        <w:rPr>
          <w:rFonts w:hint="eastAsia" w:ascii="仿宋_GB2312" w:hAnsi="仿宋_GB2312" w:eastAsia="仿宋_GB2312" w:cs="仿宋_GB2312"/>
          <w:color w:val="000000"/>
          <w:sz w:val="32"/>
          <w:szCs w:val="32"/>
          <w:lang w:val="en-US" w:eastAsia="zh-CN"/>
        </w:rPr>
        <w:t>区</w:t>
      </w:r>
      <w:r>
        <w:rPr>
          <w:rFonts w:hint="eastAsia" w:ascii="仿宋_GB2312" w:hAnsi="仿宋_GB2312" w:eastAsia="仿宋_GB2312" w:cs="仿宋_GB2312"/>
          <w:color w:val="000000"/>
          <w:sz w:val="32"/>
          <w:szCs w:val="32"/>
        </w:rPr>
        <w:t>市场监管</w:t>
      </w:r>
      <w:r>
        <w:rPr>
          <w:rFonts w:hint="eastAsia" w:ascii="仿宋_GB2312" w:hAnsi="仿宋_GB2312" w:eastAsia="仿宋_GB2312" w:cs="仿宋_GB2312"/>
          <w:color w:val="000000"/>
          <w:sz w:val="32"/>
          <w:szCs w:val="32"/>
          <w:lang w:val="en-US" w:eastAsia="zh-CN"/>
        </w:rPr>
        <w:t>局</w:t>
      </w: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val="en-US" w:eastAsia="zh-CN"/>
        </w:rPr>
        <w:t>区城管执法局</w:t>
      </w:r>
      <w:r>
        <w:rPr>
          <w:rFonts w:hint="eastAsia" w:ascii="仿宋_GB2312" w:hAnsi="仿宋_GB2312" w:eastAsia="仿宋_GB2312" w:cs="仿宋_GB2312"/>
          <w:color w:val="000000"/>
          <w:sz w:val="32"/>
          <w:szCs w:val="32"/>
        </w:rPr>
        <w:t>等相关部门要发挥各自职能优势协同推进。各</w:t>
      </w:r>
      <w:r>
        <w:rPr>
          <w:rFonts w:hint="eastAsia" w:ascii="仿宋_GB2312" w:hAnsi="仿宋_GB2312" w:eastAsia="仿宋_GB2312" w:cs="仿宋_GB2312"/>
          <w:color w:val="000000"/>
          <w:sz w:val="32"/>
          <w:szCs w:val="32"/>
          <w:lang w:val="en-US" w:eastAsia="zh-CN"/>
        </w:rPr>
        <w:t>乡镇</w:t>
      </w:r>
      <w:r>
        <w:rPr>
          <w:rFonts w:hint="eastAsia" w:ascii="仿宋_GB2312" w:hAnsi="仿宋_GB2312" w:eastAsia="仿宋_GB2312" w:cs="仿宋_GB2312"/>
          <w:color w:val="000000"/>
          <w:sz w:val="32"/>
          <w:szCs w:val="32"/>
        </w:rPr>
        <w:t>要切实履行属地责任，统筹抓紧抓实</w:t>
      </w:r>
      <w:r>
        <w:rPr>
          <w:rFonts w:hint="eastAsia" w:ascii="仿宋_GB2312" w:hAnsi="仿宋_GB2312" w:eastAsia="仿宋_GB2312" w:cs="仿宋_GB2312"/>
          <w:color w:val="000000"/>
          <w:sz w:val="32"/>
          <w:szCs w:val="32"/>
          <w:lang w:val="en-US" w:eastAsia="zh-CN"/>
        </w:rPr>
        <w:t>辖区内</w:t>
      </w:r>
      <w:r>
        <w:rPr>
          <w:rFonts w:hint="eastAsia" w:ascii="仿宋_GB2312" w:hAnsi="仿宋_GB2312" w:eastAsia="仿宋_GB2312" w:cs="仿宋_GB2312"/>
          <w:color w:val="000000"/>
          <w:sz w:val="32"/>
          <w:szCs w:val="32"/>
        </w:rPr>
        <w:t>商场、超市、批发市场、菜场等重点领域和场所的疫情防控工作。</w:t>
      </w:r>
    </w:p>
    <w:p>
      <w:pPr>
        <w:pStyle w:val="6"/>
        <w:spacing w:line="560" w:lineRule="exact"/>
        <w:ind w:firstLine="600"/>
        <w:rPr>
          <w:rFonts w:ascii="黑体" w:hAnsi="黑体" w:eastAsia="黑体" w:cs="黑体"/>
          <w:sz w:val="32"/>
          <w:szCs w:val="32"/>
        </w:rPr>
      </w:pPr>
      <w:r>
        <w:rPr>
          <w:rFonts w:hint="eastAsia" w:ascii="黑体" w:hAnsi="黑体" w:eastAsia="黑体" w:cs="黑体"/>
          <w:color w:val="000000"/>
          <w:sz w:val="32"/>
          <w:szCs w:val="32"/>
        </w:rPr>
        <w:t>二、进一步细化防控措施，严格落实落细落到位</w:t>
      </w:r>
    </w:p>
    <w:p>
      <w:pPr>
        <w:pStyle w:val="6"/>
        <w:spacing w:line="560" w:lineRule="exact"/>
        <w:ind w:firstLine="600"/>
        <w:rPr>
          <w:rFonts w:ascii="仿宋_GB2312" w:hAnsi="仿宋_GB2312" w:eastAsia="仿宋_GB2312" w:cs="仿宋_GB2312"/>
          <w:sz w:val="32"/>
          <w:szCs w:val="32"/>
        </w:rPr>
      </w:pPr>
      <w:r>
        <w:rPr>
          <w:rFonts w:hint="eastAsia" w:ascii="仿宋_GB2312" w:hAnsi="仿宋_GB2312" w:eastAsia="仿宋_GB2312" w:cs="仿宋_GB2312"/>
          <w:color w:val="000000"/>
          <w:sz w:val="32"/>
          <w:szCs w:val="32"/>
        </w:rPr>
        <w:t>严格落实本</w:t>
      </w:r>
      <w:r>
        <w:rPr>
          <w:rFonts w:hint="eastAsia" w:ascii="仿宋_GB2312" w:hAnsi="仿宋_GB2312" w:eastAsia="仿宋_GB2312" w:cs="仿宋_GB2312"/>
          <w:color w:val="000000"/>
          <w:sz w:val="32"/>
          <w:szCs w:val="32"/>
          <w:lang w:val="en-US" w:eastAsia="zh-CN"/>
        </w:rPr>
        <w:t>区</w:t>
      </w:r>
      <w:r>
        <w:rPr>
          <w:rFonts w:hint="eastAsia" w:ascii="仿宋_GB2312" w:hAnsi="仿宋_GB2312" w:eastAsia="仿宋_GB2312" w:cs="仿宋_GB2312"/>
          <w:color w:val="000000"/>
          <w:sz w:val="32"/>
          <w:szCs w:val="32"/>
        </w:rPr>
        <w:t>商务领域疫情防控各项措施，把好进门入场关、清洁消毒关、人员管理关、场所限流关、进口冷链食品索证验证关。加强入口管理，各企业主体或市场管理方要严格落实主体责任，分开设置入口和出口，落实专人加强入口查验管理（包括地下停车场入口等），配合落实健康监测人员</w:t>
      </w:r>
      <w:r>
        <w:rPr>
          <w:rFonts w:hint="eastAsia" w:ascii="仿宋_GB2312" w:hAnsi="仿宋_GB2312" w:eastAsia="仿宋_GB2312" w:cs="仿宋_GB2312"/>
          <w:color w:val="000000"/>
          <w:sz w:val="32"/>
          <w:szCs w:val="32"/>
          <w:lang w:val="zh-CN" w:eastAsia="zh-CN" w:bidi="zh-CN"/>
        </w:rPr>
        <w:t>“六</w:t>
      </w:r>
      <w:r>
        <w:rPr>
          <w:rFonts w:hint="eastAsia" w:ascii="仿宋_GB2312" w:hAnsi="仿宋_GB2312" w:eastAsia="仿宋_GB2312" w:cs="仿宋_GB2312"/>
          <w:color w:val="000000"/>
          <w:sz w:val="32"/>
          <w:szCs w:val="32"/>
        </w:rPr>
        <w:t>不得”原则，严禁</w:t>
      </w:r>
      <w:r>
        <w:rPr>
          <w:rFonts w:hint="eastAsia" w:ascii="仿宋_GB2312" w:hAnsi="仿宋_GB2312" w:eastAsia="仿宋_GB2312" w:cs="仿宋_GB2312"/>
          <w:color w:val="000000"/>
          <w:sz w:val="32"/>
          <w:szCs w:val="32"/>
          <w:lang w:val="zh-CN" w:eastAsia="zh-CN" w:bidi="zh-CN"/>
        </w:rPr>
        <w:t>“黄</w:t>
      </w:r>
      <w:r>
        <w:rPr>
          <w:rFonts w:hint="eastAsia" w:ascii="仿宋_GB2312" w:hAnsi="仿宋_GB2312" w:eastAsia="仿宋_GB2312" w:cs="仿宋_GB2312"/>
          <w:color w:val="000000"/>
          <w:sz w:val="32"/>
          <w:szCs w:val="32"/>
        </w:rPr>
        <w:t>码”人员入内，及时分流限流。加强人员管理，严格落实员工、顾客、来访人员佩戴口罩、检测体温、查验健康码等措施，加强工作人员健康监测和核酸检测。加强环境管理，各类商务领域场所要保持室内空气流通，定期对公共场所和卫生间、电梯间等设施设备开展清洁消毒，配备必要的免洗手消毒液等防护物资。加强活动管理，各商务领域场所要坚持</w:t>
      </w:r>
      <w:r>
        <w:rPr>
          <w:rFonts w:hint="eastAsia" w:ascii="仿宋_GB2312" w:hAnsi="仿宋_GB2312" w:eastAsia="仿宋_GB2312" w:cs="仿宋_GB2312"/>
          <w:color w:val="000000"/>
          <w:sz w:val="32"/>
          <w:szCs w:val="32"/>
          <w:lang w:val="zh-CN" w:eastAsia="zh-CN" w:bidi="zh-CN"/>
        </w:rPr>
        <w:t>“非</w:t>
      </w:r>
      <w:r>
        <w:rPr>
          <w:rFonts w:hint="eastAsia" w:ascii="仿宋_GB2312" w:hAnsi="仿宋_GB2312" w:eastAsia="仿宋_GB2312" w:cs="仿宋_GB2312"/>
          <w:color w:val="000000"/>
          <w:sz w:val="32"/>
          <w:szCs w:val="32"/>
        </w:rPr>
        <w:t>必要不举办”聚集性活动，对确需举办的要细化疫情防控方案，鼓励支持开展形式多样的线上活动。</w:t>
      </w:r>
    </w:p>
    <w:p>
      <w:pPr>
        <w:pStyle w:val="6"/>
        <w:spacing w:line="560" w:lineRule="exact"/>
        <w:ind w:firstLine="600"/>
        <w:rPr>
          <w:rFonts w:ascii="黑体" w:hAnsi="黑体" w:eastAsia="黑体" w:cs="黑体"/>
          <w:sz w:val="32"/>
          <w:szCs w:val="32"/>
        </w:rPr>
      </w:pPr>
      <w:r>
        <w:rPr>
          <w:rFonts w:hint="eastAsia" w:ascii="黑体" w:hAnsi="黑体" w:eastAsia="黑体" w:cs="黑体"/>
          <w:color w:val="000000"/>
          <w:sz w:val="32"/>
          <w:szCs w:val="32"/>
        </w:rPr>
        <w:t>三</w:t>
      </w:r>
      <w:r>
        <w:rPr>
          <w:rFonts w:hint="eastAsia" w:ascii="黑体" w:hAnsi="黑体" w:eastAsia="黑体" w:cs="黑体"/>
          <w:color w:val="000000"/>
          <w:sz w:val="32"/>
          <w:szCs w:val="32"/>
          <w:lang w:eastAsia="zh-CN"/>
        </w:rPr>
        <w:t>、</w:t>
      </w:r>
      <w:r>
        <w:rPr>
          <w:rFonts w:hint="eastAsia" w:ascii="黑体" w:hAnsi="黑体" w:eastAsia="黑体" w:cs="黑体"/>
          <w:color w:val="000000"/>
          <w:sz w:val="32"/>
          <w:szCs w:val="32"/>
        </w:rPr>
        <w:t>进一步推进疫苗接种，确保商务领域应种尽种</w:t>
      </w:r>
    </w:p>
    <w:p>
      <w:pPr>
        <w:pStyle w:val="6"/>
        <w:spacing w:line="560" w:lineRule="exact"/>
        <w:ind w:firstLine="600"/>
        <w:rPr>
          <w:rFonts w:ascii="仿宋_GB2312" w:hAnsi="仿宋_GB2312" w:eastAsia="仿宋_GB2312" w:cs="仿宋_GB2312"/>
          <w:sz w:val="32"/>
          <w:szCs w:val="32"/>
        </w:rPr>
      </w:pPr>
      <w:r>
        <w:rPr>
          <w:rFonts w:hint="eastAsia" w:ascii="仿宋_GB2312" w:hAnsi="仿宋_GB2312" w:eastAsia="仿宋_GB2312" w:cs="仿宋_GB2312"/>
          <w:color w:val="000000"/>
          <w:sz w:val="32"/>
          <w:szCs w:val="32"/>
          <w:lang w:val="en-US" w:eastAsia="zh-CN"/>
        </w:rPr>
        <w:t>区经委要牵头</w:t>
      </w:r>
      <w:r>
        <w:rPr>
          <w:rFonts w:hint="eastAsia" w:ascii="仿宋_GB2312" w:hAnsi="仿宋_GB2312" w:eastAsia="仿宋_GB2312" w:cs="仿宋_GB2312"/>
          <w:color w:val="000000"/>
          <w:sz w:val="32"/>
          <w:szCs w:val="32"/>
        </w:rPr>
        <w:t>卫健、疾控、市场监管、</w:t>
      </w:r>
      <w:r>
        <w:rPr>
          <w:rFonts w:hint="eastAsia" w:ascii="仿宋_GB2312" w:hAnsi="仿宋_GB2312" w:eastAsia="仿宋_GB2312" w:cs="仿宋_GB2312"/>
          <w:color w:val="000000"/>
          <w:sz w:val="32"/>
          <w:szCs w:val="32"/>
          <w:lang w:val="en-US" w:eastAsia="zh-CN"/>
        </w:rPr>
        <w:t>城管执法</w:t>
      </w:r>
      <w:r>
        <w:rPr>
          <w:rFonts w:hint="eastAsia" w:ascii="仿宋_GB2312" w:hAnsi="仿宋_GB2312" w:eastAsia="仿宋_GB2312" w:cs="仿宋_GB2312"/>
          <w:color w:val="000000"/>
          <w:sz w:val="32"/>
          <w:szCs w:val="32"/>
        </w:rPr>
        <w:t>等部门，依托各</w:t>
      </w:r>
      <w:r>
        <w:rPr>
          <w:rFonts w:hint="eastAsia" w:ascii="仿宋_GB2312" w:hAnsi="仿宋_GB2312" w:eastAsia="仿宋_GB2312" w:cs="仿宋_GB2312"/>
          <w:color w:val="000000"/>
          <w:sz w:val="32"/>
          <w:szCs w:val="32"/>
          <w:lang w:val="en-US" w:eastAsia="zh-CN"/>
        </w:rPr>
        <w:t>乡镇</w:t>
      </w:r>
      <w:r>
        <w:rPr>
          <w:rFonts w:hint="eastAsia" w:ascii="仿宋_GB2312" w:hAnsi="仿宋_GB2312" w:eastAsia="仿宋_GB2312" w:cs="仿宋_GB2312"/>
          <w:color w:val="000000"/>
          <w:sz w:val="32"/>
          <w:szCs w:val="32"/>
        </w:rPr>
        <w:t>、园区属地力量,积极支持和加快推进商务领域重点场所从业人员疫苗接种，还没有完成全程接种的要尽快完成，已完成全程接种的且满6个月以上的要尽快完成加强免疫接种。</w:t>
      </w:r>
      <w:r>
        <w:rPr>
          <w:rFonts w:hint="eastAsia" w:ascii="仿宋_GB2312" w:hAnsi="仿宋_GB2312" w:eastAsia="仿宋_GB2312" w:cs="仿宋_GB2312"/>
          <w:color w:val="000000"/>
          <w:sz w:val="32"/>
          <w:szCs w:val="32"/>
          <w:lang w:val="zh-TW" w:eastAsia="zh-TW"/>
        </w:rPr>
        <w:t>区经委</w:t>
      </w:r>
      <w:r>
        <w:rPr>
          <w:rFonts w:hint="eastAsia" w:ascii="仿宋_GB2312" w:hAnsi="仿宋_GB2312" w:eastAsia="仿宋_GB2312" w:cs="仿宋_GB2312"/>
          <w:color w:val="000000"/>
          <w:sz w:val="32"/>
          <w:szCs w:val="32"/>
        </w:rPr>
        <w:t>要会同</w:t>
      </w:r>
      <w:r>
        <w:rPr>
          <w:rFonts w:hint="eastAsia" w:ascii="仿宋_GB2312" w:hAnsi="仿宋_GB2312" w:eastAsia="仿宋_GB2312" w:cs="仿宋_GB2312"/>
          <w:color w:val="000000"/>
          <w:sz w:val="32"/>
          <w:szCs w:val="32"/>
          <w:lang w:val="zh-TW" w:eastAsia="zh-TW"/>
        </w:rPr>
        <w:t>区</w:t>
      </w:r>
      <w:r>
        <w:rPr>
          <w:rFonts w:hint="eastAsia" w:ascii="仿宋_GB2312" w:hAnsi="仿宋_GB2312" w:eastAsia="仿宋_GB2312" w:cs="仿宋_GB2312"/>
          <w:color w:val="000000"/>
          <w:sz w:val="32"/>
          <w:szCs w:val="32"/>
        </w:rPr>
        <w:t>市场监管</w:t>
      </w:r>
      <w:r>
        <w:rPr>
          <w:rFonts w:hint="eastAsia" w:ascii="仿宋_GB2312" w:hAnsi="仿宋_GB2312" w:eastAsia="仿宋_GB2312" w:cs="仿宋_GB2312"/>
          <w:color w:val="000000"/>
          <w:sz w:val="32"/>
          <w:szCs w:val="32"/>
          <w:lang w:val="zh-TW" w:eastAsia="zh-TW"/>
        </w:rPr>
        <w:t>局</w:t>
      </w: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val="zh-TW" w:eastAsia="zh-TW"/>
        </w:rPr>
        <w:t>区城管执法局</w:t>
      </w:r>
      <w:r>
        <w:rPr>
          <w:rFonts w:hint="eastAsia" w:ascii="仿宋_GB2312" w:hAnsi="仿宋_GB2312" w:eastAsia="仿宋_GB2312" w:cs="仿宋_GB2312"/>
          <w:color w:val="000000"/>
          <w:sz w:val="32"/>
          <w:szCs w:val="32"/>
        </w:rPr>
        <w:t>等部门加强商务领域尤其是重点场所从业人员的宣传发动和督促推进，指导和督促属地</w:t>
      </w:r>
      <w:r>
        <w:rPr>
          <w:rFonts w:hint="eastAsia" w:ascii="仿宋_GB2312" w:hAnsi="仿宋_GB2312" w:eastAsia="仿宋_GB2312" w:cs="仿宋_GB2312"/>
          <w:color w:val="000000"/>
          <w:sz w:val="32"/>
          <w:szCs w:val="32"/>
          <w:lang w:val="en-US" w:eastAsia="zh-CN"/>
        </w:rPr>
        <w:t>乡镇</w:t>
      </w:r>
      <w:r>
        <w:rPr>
          <w:rFonts w:hint="eastAsia" w:ascii="仿宋_GB2312" w:hAnsi="仿宋_GB2312" w:eastAsia="仿宋_GB2312" w:cs="仿宋_GB2312"/>
          <w:color w:val="000000"/>
          <w:sz w:val="32"/>
          <w:szCs w:val="32"/>
        </w:rPr>
        <w:t>、园区组织相关人员进行接种。各</w:t>
      </w:r>
      <w:r>
        <w:rPr>
          <w:rFonts w:hint="eastAsia" w:ascii="仿宋_GB2312" w:hAnsi="仿宋_GB2312" w:eastAsia="仿宋_GB2312" w:cs="仿宋_GB2312"/>
          <w:color w:val="000000"/>
          <w:sz w:val="32"/>
          <w:szCs w:val="32"/>
          <w:lang w:val="en-US" w:eastAsia="zh-CN"/>
        </w:rPr>
        <w:t>乡镇</w:t>
      </w:r>
      <w:r>
        <w:rPr>
          <w:rFonts w:hint="eastAsia" w:ascii="仿宋_GB2312" w:hAnsi="仿宋_GB2312" w:eastAsia="仿宋_GB2312" w:cs="仿宋_GB2312"/>
          <w:color w:val="000000"/>
          <w:sz w:val="32"/>
          <w:szCs w:val="32"/>
        </w:rPr>
        <w:t>、园区要切实履行属地责任，统筹辖区资源维护好现场秩序，组织发动属地企业和个人接种，确保在春节前做到应种尽种。</w:t>
      </w:r>
    </w:p>
    <w:p>
      <w:pPr>
        <w:pStyle w:val="6"/>
        <w:spacing w:line="560" w:lineRule="exact"/>
        <w:ind w:firstLine="600"/>
        <w:rPr>
          <w:rFonts w:ascii="黑体" w:hAnsi="黑体" w:eastAsia="黑体" w:cs="黑体"/>
          <w:sz w:val="32"/>
          <w:szCs w:val="32"/>
        </w:rPr>
      </w:pPr>
      <w:r>
        <w:rPr>
          <w:rFonts w:hint="eastAsia" w:ascii="黑体" w:hAnsi="黑体" w:eastAsia="黑体" w:cs="黑体"/>
          <w:color w:val="000000"/>
          <w:sz w:val="32"/>
          <w:szCs w:val="32"/>
        </w:rPr>
        <w:t>四、进一步加强督查整改，完善闭环管理机制</w:t>
      </w:r>
    </w:p>
    <w:p>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要建立健全</w:t>
      </w:r>
      <w:r>
        <w:rPr>
          <w:rFonts w:hint="eastAsia" w:ascii="仿宋_GB2312" w:hAnsi="仿宋_GB2312" w:eastAsia="仿宋_GB2312" w:cs="仿宋_GB2312"/>
          <w:color w:val="000000"/>
          <w:sz w:val="32"/>
          <w:szCs w:val="32"/>
          <w:lang w:val="zh-CN" w:bidi="zh-CN"/>
        </w:rPr>
        <w:t>“发现</w:t>
      </w:r>
      <w:r>
        <w:rPr>
          <w:rFonts w:hint="eastAsia" w:ascii="仿宋_GB2312" w:hAnsi="仿宋_GB2312" w:eastAsia="仿宋_GB2312" w:cs="仿宋_GB2312"/>
          <w:color w:val="000000"/>
          <w:sz w:val="32"/>
          <w:szCs w:val="32"/>
        </w:rPr>
        <w:t>问题-督促整改-回头看”闭环管理机制，落实好商务以及文体旅、金融等领域疫情防控重点单位检查指导工作（具体分工见附件）。区经委要落实好商务领域疫情防控督查检查牵头抓总工作，市场监管、城管执法等部门和属地乡镇要根据各自职责做好相关场所检查，确保各项防控措施落到实处。各责任单位对检查出现的问题要及时通报给各乡镇和相应企业主体，督促乡镇、园区和相应企业主体举一反三，加强整改，及时开展</w:t>
      </w:r>
      <w:r>
        <w:rPr>
          <w:rFonts w:hint="eastAsia" w:ascii="仿宋_GB2312" w:hAnsi="仿宋_GB2312" w:eastAsia="仿宋_GB2312" w:cs="仿宋_GB2312"/>
          <w:color w:val="000000"/>
          <w:sz w:val="32"/>
          <w:szCs w:val="32"/>
          <w:lang w:val="zh-CN" w:bidi="zh-CN"/>
        </w:rPr>
        <w:t>“回头</w:t>
      </w:r>
      <w:r>
        <w:rPr>
          <w:rFonts w:hint="eastAsia" w:ascii="仿宋_GB2312" w:hAnsi="仿宋_GB2312" w:eastAsia="仿宋_GB2312" w:cs="仿宋_GB2312"/>
          <w:color w:val="000000"/>
          <w:sz w:val="32"/>
          <w:szCs w:val="32"/>
        </w:rPr>
        <w:t>看”，确保发现问题整改落实到位。区疫情防控组织监察组要加强对全区各重点场所疫情防控落实情况的检查暗访，杜绝发现问题再次出现。</w:t>
      </w:r>
    </w:p>
    <w:p>
      <w:pPr>
        <w:spacing w:line="560" w:lineRule="exact"/>
        <w:ind w:firstLine="640" w:firstLineChars="200"/>
        <w:rPr>
          <w:rFonts w:ascii="仿宋_GB2312" w:hAnsi="仿宋_GB2312" w:eastAsia="仿宋_GB2312" w:cs="仿宋_GB2312"/>
          <w:color w:val="000000"/>
          <w:sz w:val="32"/>
          <w:szCs w:val="32"/>
        </w:rPr>
      </w:pPr>
    </w:p>
    <w:p>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附件：崇明区疫情防控工作重点单位检查责任分工表</w:t>
      </w:r>
    </w:p>
    <w:p>
      <w:pPr>
        <w:spacing w:line="560" w:lineRule="exact"/>
        <w:ind w:firstLine="640" w:firstLineChars="200"/>
        <w:rPr>
          <w:rFonts w:ascii="仿宋_GB2312" w:hAnsi="仿宋_GB2312" w:eastAsia="仿宋_GB2312" w:cs="仿宋_GB2312"/>
          <w:color w:val="000000"/>
          <w:sz w:val="32"/>
          <w:szCs w:val="32"/>
        </w:rPr>
      </w:pPr>
    </w:p>
    <w:p>
      <w:pPr>
        <w:spacing w:line="560" w:lineRule="exact"/>
        <w:ind w:firstLine="640" w:firstLineChars="200"/>
        <w:rPr>
          <w:rFonts w:ascii="仿宋_GB2312" w:hAnsi="仿宋_GB2312" w:eastAsia="仿宋_GB2312" w:cs="仿宋_GB2312"/>
          <w:color w:val="000000"/>
          <w:sz w:val="32"/>
          <w:szCs w:val="32"/>
        </w:rPr>
      </w:pPr>
    </w:p>
    <w:p>
      <w:pPr>
        <w:spacing w:line="560" w:lineRule="exact"/>
        <w:jc w:val="right"/>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区疫情防控工作领导小组办公室</w:t>
      </w:r>
    </w:p>
    <w:p>
      <w:pPr>
        <w:spacing w:line="560" w:lineRule="exact"/>
        <w:jc w:val="center"/>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 xml:space="preserve">                              2022年1月1</w:t>
      </w:r>
      <w:r>
        <w:rPr>
          <w:rFonts w:hint="eastAsia" w:ascii="仿宋_GB2312" w:hAnsi="仿宋_GB2312" w:eastAsia="仿宋_GB2312" w:cs="仿宋_GB2312"/>
          <w:color w:val="000000"/>
          <w:sz w:val="32"/>
          <w:szCs w:val="32"/>
          <w:lang w:val="en-US" w:eastAsia="zh-CN"/>
        </w:rPr>
        <w:t>6</w:t>
      </w:r>
      <w:r>
        <w:rPr>
          <w:rFonts w:hint="eastAsia" w:ascii="仿宋_GB2312" w:hAnsi="仿宋_GB2312" w:eastAsia="仿宋_GB2312" w:cs="仿宋_GB2312"/>
          <w:color w:val="000000"/>
          <w:sz w:val="32"/>
          <w:szCs w:val="32"/>
        </w:rPr>
        <w:t>日</w:t>
      </w:r>
    </w:p>
    <w:p>
      <w:pPr>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br w:type="page"/>
      </w:r>
    </w:p>
    <w:p>
      <w:pPr>
        <w:spacing w:line="560" w:lineRule="exact"/>
        <w:jc w:val="left"/>
        <w:rPr>
          <w:rFonts w:ascii="仿宋_GB2312" w:hAnsi="仿宋_GB2312" w:eastAsia="仿宋_GB2312" w:cs="仿宋_GB2312"/>
          <w:color w:val="000000"/>
          <w:sz w:val="36"/>
          <w:szCs w:val="36"/>
        </w:rPr>
      </w:pPr>
      <w:r>
        <w:rPr>
          <w:rFonts w:hint="eastAsia" w:ascii="仿宋_GB2312" w:hAnsi="仿宋_GB2312" w:eastAsia="仿宋_GB2312" w:cs="仿宋_GB2312"/>
          <w:color w:val="000000"/>
          <w:sz w:val="36"/>
          <w:szCs w:val="36"/>
        </w:rPr>
        <w:t>附件</w:t>
      </w:r>
    </w:p>
    <w:p>
      <w:pPr>
        <w:spacing w:line="400" w:lineRule="exact"/>
        <w:jc w:val="center"/>
        <w:rPr>
          <w:rFonts w:ascii="方正小标宋简体" w:hAnsi="方正小标宋简体" w:eastAsia="方正小标宋简体" w:cs="方正小标宋简体"/>
          <w:color w:val="000000"/>
          <w:sz w:val="32"/>
          <w:szCs w:val="32"/>
        </w:rPr>
      </w:pPr>
    </w:p>
    <w:p>
      <w:pPr>
        <w:spacing w:line="400" w:lineRule="exact"/>
        <w:jc w:val="center"/>
        <w:rPr>
          <w:rFonts w:ascii="方正小标宋简体" w:hAnsi="方正小标宋简体" w:eastAsia="方正小标宋简体" w:cs="方正小标宋简体"/>
          <w:color w:val="000000"/>
          <w:sz w:val="36"/>
          <w:szCs w:val="36"/>
        </w:rPr>
      </w:pPr>
      <w:r>
        <w:rPr>
          <w:rFonts w:hint="eastAsia" w:ascii="方正小标宋简体" w:hAnsi="方正小标宋简体" w:eastAsia="方正小标宋简体" w:cs="方正小标宋简体"/>
          <w:color w:val="000000"/>
          <w:sz w:val="36"/>
          <w:szCs w:val="36"/>
        </w:rPr>
        <w:t>崇明区疫情防控工作重点单位检查责任分工表</w:t>
      </w:r>
    </w:p>
    <w:tbl>
      <w:tblPr>
        <w:tblStyle w:val="5"/>
        <w:tblW w:w="8858" w:type="dxa"/>
        <w:tblInd w:w="0" w:type="dxa"/>
        <w:tblLayout w:type="fixed"/>
        <w:tblCellMar>
          <w:top w:w="0" w:type="dxa"/>
          <w:left w:w="0" w:type="dxa"/>
          <w:bottom w:w="0" w:type="dxa"/>
          <w:right w:w="0" w:type="dxa"/>
        </w:tblCellMar>
      </w:tblPr>
      <w:tblGrid>
        <w:gridCol w:w="715"/>
        <w:gridCol w:w="4613"/>
        <w:gridCol w:w="3530"/>
      </w:tblGrid>
      <w:tr>
        <w:tblPrEx>
          <w:tblLayout w:type="fixed"/>
          <w:tblCellMar>
            <w:top w:w="0" w:type="dxa"/>
            <w:left w:w="0" w:type="dxa"/>
            <w:bottom w:w="0" w:type="dxa"/>
            <w:right w:w="0" w:type="dxa"/>
          </w:tblCellMar>
        </w:tblPrEx>
        <w:trPr>
          <w:trHeight w:val="791" w:hRule="atLeast"/>
        </w:trPr>
        <w:tc>
          <w:tcPr>
            <w:tcW w:w="71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spacing w:line="320" w:lineRule="exact"/>
              <w:jc w:val="center"/>
              <w:textAlignment w:val="center"/>
              <w:rPr>
                <w:rFonts w:ascii="黑体" w:hAnsi="黑体" w:eastAsia="黑体" w:cs="黑体"/>
                <w:bCs/>
                <w:color w:val="000000"/>
                <w:sz w:val="32"/>
                <w:szCs w:val="32"/>
              </w:rPr>
            </w:pPr>
            <w:r>
              <w:rPr>
                <w:rFonts w:hint="eastAsia" w:ascii="黑体" w:hAnsi="黑体" w:eastAsia="黑体" w:cs="黑体"/>
                <w:bCs/>
                <w:color w:val="000000"/>
                <w:kern w:val="0"/>
                <w:sz w:val="32"/>
                <w:szCs w:val="32"/>
                <w:lang w:bidi="ar"/>
              </w:rPr>
              <w:t>序号</w:t>
            </w:r>
          </w:p>
        </w:tc>
        <w:tc>
          <w:tcPr>
            <w:tcW w:w="461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spacing w:line="320" w:lineRule="exact"/>
              <w:jc w:val="center"/>
              <w:textAlignment w:val="center"/>
              <w:rPr>
                <w:rFonts w:ascii="黑体" w:hAnsi="黑体" w:eastAsia="黑体" w:cs="黑体"/>
                <w:bCs/>
                <w:color w:val="000000"/>
                <w:sz w:val="32"/>
                <w:szCs w:val="32"/>
              </w:rPr>
            </w:pPr>
            <w:r>
              <w:rPr>
                <w:rFonts w:hint="eastAsia" w:ascii="黑体" w:hAnsi="黑体" w:eastAsia="黑体" w:cs="黑体"/>
                <w:bCs/>
                <w:color w:val="000000"/>
                <w:kern w:val="0"/>
                <w:sz w:val="32"/>
                <w:szCs w:val="32"/>
                <w:lang w:bidi="ar"/>
              </w:rPr>
              <w:t>类  别</w:t>
            </w:r>
          </w:p>
        </w:tc>
        <w:tc>
          <w:tcPr>
            <w:tcW w:w="3530"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spacing w:line="320" w:lineRule="exact"/>
              <w:jc w:val="center"/>
              <w:textAlignment w:val="center"/>
              <w:rPr>
                <w:rFonts w:ascii="黑体" w:hAnsi="黑体" w:eastAsia="黑体" w:cs="黑体"/>
                <w:bCs/>
                <w:color w:val="000000"/>
                <w:sz w:val="32"/>
                <w:szCs w:val="32"/>
              </w:rPr>
            </w:pPr>
            <w:r>
              <w:rPr>
                <w:rFonts w:hint="eastAsia" w:ascii="黑体" w:hAnsi="黑体" w:eastAsia="黑体" w:cs="黑体"/>
                <w:bCs/>
                <w:color w:val="000000"/>
                <w:kern w:val="0"/>
                <w:sz w:val="32"/>
                <w:szCs w:val="32"/>
                <w:lang w:bidi="ar"/>
              </w:rPr>
              <w:t>责任单位</w:t>
            </w:r>
          </w:p>
        </w:tc>
      </w:tr>
      <w:tr>
        <w:tblPrEx>
          <w:tblLayout w:type="fixed"/>
          <w:tblCellMar>
            <w:top w:w="0" w:type="dxa"/>
            <w:left w:w="0" w:type="dxa"/>
            <w:bottom w:w="0" w:type="dxa"/>
            <w:right w:w="0" w:type="dxa"/>
          </w:tblCellMar>
        </w:tblPrEx>
        <w:trPr>
          <w:trHeight w:val="1518" w:hRule="atLeast"/>
        </w:trPr>
        <w:tc>
          <w:tcPr>
            <w:tcW w:w="71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spacing w:line="320" w:lineRule="exact"/>
              <w:jc w:val="center"/>
              <w:textAlignment w:val="center"/>
              <w:rPr>
                <w:rFonts w:ascii="宋体" w:hAnsi="宋体" w:eastAsia="宋体" w:cs="宋体"/>
                <w:color w:val="000000"/>
                <w:sz w:val="32"/>
                <w:szCs w:val="32"/>
              </w:rPr>
            </w:pPr>
            <w:r>
              <w:rPr>
                <w:rFonts w:hint="eastAsia" w:ascii="宋体" w:hAnsi="宋体" w:eastAsia="宋体" w:cs="宋体"/>
                <w:color w:val="000000"/>
                <w:kern w:val="0"/>
                <w:sz w:val="32"/>
                <w:szCs w:val="32"/>
                <w:lang w:bidi="ar"/>
              </w:rPr>
              <w:t>1</w:t>
            </w:r>
          </w:p>
        </w:tc>
        <w:tc>
          <w:tcPr>
            <w:tcW w:w="461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spacing w:line="320" w:lineRule="exact"/>
              <w:jc w:val="center"/>
              <w:textAlignment w:val="center"/>
              <w:rPr>
                <w:rFonts w:ascii="仿宋_GB2312" w:hAnsi="宋体" w:eastAsia="仿宋_GB2312" w:cs="仿宋_GB2312"/>
                <w:color w:val="000000"/>
                <w:sz w:val="32"/>
                <w:szCs w:val="32"/>
              </w:rPr>
            </w:pPr>
            <w:r>
              <w:rPr>
                <w:rStyle w:val="7"/>
                <w:rFonts w:hint="default" w:hAnsi="宋体"/>
                <w:lang w:bidi="ar"/>
              </w:rPr>
              <w:t>重点商场超市7</w:t>
            </w:r>
            <w:r>
              <w:rPr>
                <w:rStyle w:val="8"/>
                <w:rFonts w:hint="default" w:hAnsi="宋体"/>
                <w:b w:val="0"/>
                <w:lang w:bidi="ar"/>
              </w:rPr>
              <w:t>个</w:t>
            </w:r>
            <w:r>
              <w:rPr>
                <w:rStyle w:val="7"/>
                <w:rFonts w:hint="default" w:hAnsi="宋体"/>
                <w:lang w:bidi="ar"/>
              </w:rPr>
              <w:t>：万达广场、联华西门里、八一广场、苏宁电器南门店、国美电器南门店、华联超市东门店、农工商超市46店</w:t>
            </w:r>
          </w:p>
        </w:tc>
        <w:tc>
          <w:tcPr>
            <w:tcW w:w="3530"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spacing w:line="320" w:lineRule="exact"/>
              <w:jc w:val="center"/>
              <w:textAlignment w:val="center"/>
              <w:rPr>
                <w:rFonts w:ascii="仿宋_GB2312" w:hAnsi="宋体" w:eastAsia="仿宋_GB2312" w:cs="仿宋_GB2312"/>
                <w:color w:val="000000"/>
                <w:sz w:val="32"/>
                <w:szCs w:val="32"/>
              </w:rPr>
            </w:pPr>
            <w:r>
              <w:rPr>
                <w:rFonts w:hint="eastAsia" w:ascii="仿宋_GB2312" w:hAnsi="宋体" w:eastAsia="仿宋_GB2312" w:cs="仿宋_GB2312"/>
                <w:color w:val="000000"/>
                <w:kern w:val="0"/>
                <w:sz w:val="32"/>
                <w:szCs w:val="32"/>
                <w:lang w:bidi="ar"/>
              </w:rPr>
              <w:t>区经委、区供销社</w:t>
            </w:r>
          </w:p>
        </w:tc>
      </w:tr>
      <w:tr>
        <w:tblPrEx>
          <w:tblLayout w:type="fixed"/>
          <w:tblCellMar>
            <w:top w:w="0" w:type="dxa"/>
            <w:left w:w="0" w:type="dxa"/>
            <w:bottom w:w="0" w:type="dxa"/>
            <w:right w:w="0" w:type="dxa"/>
          </w:tblCellMar>
        </w:tblPrEx>
        <w:trPr>
          <w:trHeight w:val="838" w:hRule="atLeast"/>
        </w:trPr>
        <w:tc>
          <w:tcPr>
            <w:tcW w:w="71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spacing w:line="320" w:lineRule="exact"/>
              <w:jc w:val="center"/>
              <w:textAlignment w:val="center"/>
              <w:rPr>
                <w:rFonts w:ascii="宋体" w:hAnsi="宋体" w:eastAsia="宋体" w:cs="宋体"/>
                <w:color w:val="000000"/>
                <w:sz w:val="32"/>
                <w:szCs w:val="32"/>
              </w:rPr>
            </w:pPr>
            <w:r>
              <w:rPr>
                <w:rFonts w:hint="eastAsia" w:ascii="宋体" w:hAnsi="宋体" w:eastAsia="宋体" w:cs="宋体"/>
                <w:color w:val="000000"/>
                <w:sz w:val="32"/>
                <w:szCs w:val="32"/>
              </w:rPr>
              <w:t>2</w:t>
            </w:r>
          </w:p>
        </w:tc>
        <w:tc>
          <w:tcPr>
            <w:tcW w:w="461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spacing w:line="320" w:lineRule="exact"/>
              <w:jc w:val="center"/>
              <w:textAlignment w:val="center"/>
              <w:rPr>
                <w:rFonts w:ascii="仿宋_GB2312" w:hAnsi="宋体" w:eastAsia="仿宋_GB2312" w:cs="仿宋_GB2312"/>
                <w:color w:val="000000"/>
                <w:sz w:val="32"/>
                <w:szCs w:val="32"/>
              </w:rPr>
            </w:pPr>
            <w:r>
              <w:rPr>
                <w:rFonts w:hint="eastAsia" w:ascii="仿宋_GB2312" w:hAnsi="宋体" w:eastAsia="仿宋_GB2312" w:cs="仿宋_GB2312"/>
                <w:color w:val="000000"/>
                <w:kern w:val="0"/>
                <w:sz w:val="32"/>
                <w:szCs w:val="32"/>
                <w:lang w:bidi="ar"/>
              </w:rPr>
              <w:t>各类餐饮单位</w:t>
            </w:r>
          </w:p>
        </w:tc>
        <w:tc>
          <w:tcPr>
            <w:tcW w:w="3530"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spacing w:line="320" w:lineRule="exact"/>
              <w:jc w:val="center"/>
              <w:textAlignment w:val="center"/>
              <w:rPr>
                <w:rFonts w:ascii="仿宋_GB2312" w:hAnsi="宋体" w:eastAsia="仿宋_GB2312" w:cs="仿宋_GB2312"/>
                <w:color w:val="000000"/>
                <w:sz w:val="32"/>
                <w:szCs w:val="32"/>
              </w:rPr>
            </w:pPr>
            <w:r>
              <w:rPr>
                <w:rFonts w:hint="eastAsia" w:ascii="仿宋_GB2312" w:hAnsi="宋体" w:eastAsia="仿宋_GB2312" w:cs="仿宋_GB2312"/>
                <w:color w:val="000000"/>
                <w:kern w:val="0"/>
                <w:sz w:val="32"/>
                <w:szCs w:val="32"/>
                <w:lang w:bidi="ar"/>
              </w:rPr>
              <w:t>区经委</w:t>
            </w:r>
          </w:p>
        </w:tc>
      </w:tr>
      <w:tr>
        <w:tblPrEx>
          <w:tblLayout w:type="fixed"/>
          <w:tblCellMar>
            <w:top w:w="0" w:type="dxa"/>
            <w:left w:w="0" w:type="dxa"/>
            <w:bottom w:w="0" w:type="dxa"/>
            <w:right w:w="0" w:type="dxa"/>
          </w:tblCellMar>
        </w:tblPrEx>
        <w:trPr>
          <w:trHeight w:val="822" w:hRule="atLeast"/>
        </w:trPr>
        <w:tc>
          <w:tcPr>
            <w:tcW w:w="71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spacing w:line="320" w:lineRule="exact"/>
              <w:jc w:val="center"/>
              <w:textAlignment w:val="center"/>
              <w:rPr>
                <w:rFonts w:ascii="宋体" w:hAnsi="宋体" w:eastAsia="宋体" w:cs="宋体"/>
                <w:color w:val="000000"/>
                <w:sz w:val="32"/>
                <w:szCs w:val="32"/>
              </w:rPr>
            </w:pPr>
            <w:r>
              <w:rPr>
                <w:rFonts w:hint="eastAsia" w:ascii="宋体" w:hAnsi="宋体" w:eastAsia="宋体" w:cs="宋体"/>
                <w:color w:val="000000"/>
                <w:kern w:val="0"/>
                <w:sz w:val="32"/>
                <w:szCs w:val="32"/>
                <w:lang w:bidi="ar"/>
              </w:rPr>
              <w:t>3</w:t>
            </w:r>
          </w:p>
        </w:tc>
        <w:tc>
          <w:tcPr>
            <w:tcW w:w="461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spacing w:line="320" w:lineRule="exact"/>
              <w:jc w:val="center"/>
              <w:textAlignment w:val="center"/>
              <w:rPr>
                <w:rFonts w:ascii="仿宋_GB2312" w:hAnsi="宋体" w:eastAsia="仿宋_GB2312" w:cs="仿宋_GB2312"/>
                <w:color w:val="000000"/>
                <w:sz w:val="32"/>
                <w:szCs w:val="32"/>
              </w:rPr>
            </w:pPr>
            <w:r>
              <w:rPr>
                <w:rFonts w:hint="eastAsia" w:ascii="仿宋_GB2312" w:hAnsi="宋体" w:eastAsia="仿宋_GB2312" w:cs="仿宋_GB2312"/>
                <w:color w:val="000000"/>
                <w:kern w:val="0"/>
                <w:sz w:val="32"/>
                <w:szCs w:val="32"/>
                <w:lang w:bidi="ar"/>
              </w:rPr>
              <w:t>乡镇超市、集贸市场</w:t>
            </w:r>
          </w:p>
        </w:tc>
        <w:tc>
          <w:tcPr>
            <w:tcW w:w="3530"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spacing w:line="320" w:lineRule="exact"/>
              <w:jc w:val="left"/>
              <w:textAlignment w:val="center"/>
              <w:rPr>
                <w:rFonts w:ascii="仿宋_GB2312" w:hAnsi="宋体" w:eastAsia="仿宋_GB2312" w:cs="仿宋_GB2312"/>
                <w:color w:val="000000"/>
                <w:sz w:val="32"/>
                <w:szCs w:val="32"/>
              </w:rPr>
            </w:pPr>
            <w:r>
              <w:rPr>
                <w:rFonts w:hint="eastAsia" w:ascii="仿宋_GB2312" w:hAnsi="宋体" w:eastAsia="仿宋_GB2312" w:cs="仿宋_GB2312"/>
                <w:color w:val="000000"/>
                <w:kern w:val="0"/>
                <w:sz w:val="32"/>
                <w:szCs w:val="32"/>
                <w:lang w:bidi="ar"/>
              </w:rPr>
              <w:t>各乡镇落实属地责任，区经委负责督查</w:t>
            </w:r>
          </w:p>
        </w:tc>
      </w:tr>
      <w:tr>
        <w:tblPrEx>
          <w:tblLayout w:type="fixed"/>
          <w:tblCellMar>
            <w:top w:w="0" w:type="dxa"/>
            <w:left w:w="0" w:type="dxa"/>
            <w:bottom w:w="0" w:type="dxa"/>
            <w:right w:w="0" w:type="dxa"/>
          </w:tblCellMar>
        </w:tblPrEx>
        <w:trPr>
          <w:trHeight w:val="813" w:hRule="atLeast"/>
        </w:trPr>
        <w:tc>
          <w:tcPr>
            <w:tcW w:w="71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spacing w:line="320" w:lineRule="exact"/>
              <w:jc w:val="center"/>
              <w:textAlignment w:val="center"/>
              <w:rPr>
                <w:rFonts w:ascii="宋体" w:hAnsi="宋体" w:eastAsia="宋体" w:cs="宋体"/>
                <w:color w:val="000000"/>
                <w:sz w:val="32"/>
                <w:szCs w:val="32"/>
              </w:rPr>
            </w:pPr>
            <w:r>
              <w:rPr>
                <w:rFonts w:hint="eastAsia" w:ascii="宋体" w:hAnsi="宋体" w:eastAsia="宋体" w:cs="宋体"/>
                <w:color w:val="000000"/>
                <w:kern w:val="0"/>
                <w:sz w:val="32"/>
                <w:szCs w:val="32"/>
                <w:lang w:bidi="ar"/>
              </w:rPr>
              <w:t>4</w:t>
            </w:r>
          </w:p>
        </w:tc>
        <w:tc>
          <w:tcPr>
            <w:tcW w:w="461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spacing w:line="320" w:lineRule="exact"/>
              <w:jc w:val="center"/>
              <w:textAlignment w:val="center"/>
              <w:rPr>
                <w:rFonts w:ascii="仿宋_GB2312" w:hAnsi="宋体" w:eastAsia="仿宋_GB2312" w:cs="仿宋_GB2312"/>
                <w:color w:val="000000"/>
                <w:sz w:val="32"/>
                <w:szCs w:val="32"/>
              </w:rPr>
            </w:pPr>
            <w:r>
              <w:rPr>
                <w:rFonts w:hint="eastAsia" w:ascii="仿宋_GB2312" w:hAnsi="宋体" w:eastAsia="仿宋_GB2312" w:cs="仿宋_GB2312"/>
                <w:color w:val="000000"/>
                <w:kern w:val="0"/>
                <w:sz w:val="32"/>
                <w:szCs w:val="32"/>
                <w:lang w:bidi="ar"/>
              </w:rPr>
              <w:t>文化休闲娱乐场所</w:t>
            </w:r>
          </w:p>
        </w:tc>
        <w:tc>
          <w:tcPr>
            <w:tcW w:w="3530"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spacing w:line="320" w:lineRule="exact"/>
              <w:jc w:val="center"/>
              <w:textAlignment w:val="center"/>
              <w:rPr>
                <w:rFonts w:ascii="仿宋_GB2312" w:hAnsi="宋体" w:eastAsia="仿宋_GB2312" w:cs="仿宋_GB2312"/>
                <w:color w:val="000000"/>
                <w:sz w:val="32"/>
                <w:szCs w:val="32"/>
              </w:rPr>
            </w:pPr>
            <w:r>
              <w:rPr>
                <w:rFonts w:hint="eastAsia" w:ascii="仿宋_GB2312" w:hAnsi="宋体" w:eastAsia="仿宋_GB2312" w:cs="仿宋_GB2312"/>
                <w:color w:val="000000"/>
                <w:kern w:val="0"/>
                <w:sz w:val="32"/>
                <w:szCs w:val="32"/>
                <w:lang w:bidi="ar"/>
              </w:rPr>
              <w:t>区文旅局</w:t>
            </w:r>
          </w:p>
        </w:tc>
      </w:tr>
      <w:tr>
        <w:tblPrEx>
          <w:tblLayout w:type="fixed"/>
          <w:tblCellMar>
            <w:top w:w="0" w:type="dxa"/>
            <w:left w:w="0" w:type="dxa"/>
            <w:bottom w:w="0" w:type="dxa"/>
            <w:right w:w="0" w:type="dxa"/>
          </w:tblCellMar>
        </w:tblPrEx>
        <w:trPr>
          <w:trHeight w:val="764" w:hRule="atLeast"/>
        </w:trPr>
        <w:tc>
          <w:tcPr>
            <w:tcW w:w="71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spacing w:line="320" w:lineRule="exact"/>
              <w:jc w:val="center"/>
              <w:textAlignment w:val="center"/>
              <w:rPr>
                <w:rFonts w:ascii="宋体" w:hAnsi="宋体" w:eastAsia="宋体" w:cs="宋体"/>
                <w:color w:val="000000"/>
                <w:sz w:val="32"/>
                <w:szCs w:val="32"/>
              </w:rPr>
            </w:pPr>
            <w:r>
              <w:rPr>
                <w:rFonts w:hint="eastAsia" w:ascii="宋体" w:hAnsi="宋体" w:eastAsia="宋体" w:cs="宋体"/>
                <w:color w:val="000000"/>
                <w:kern w:val="0"/>
                <w:sz w:val="32"/>
                <w:szCs w:val="32"/>
                <w:lang w:bidi="ar"/>
              </w:rPr>
              <w:t>5</w:t>
            </w:r>
          </w:p>
        </w:tc>
        <w:tc>
          <w:tcPr>
            <w:tcW w:w="461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spacing w:line="320" w:lineRule="exact"/>
              <w:jc w:val="center"/>
              <w:textAlignment w:val="center"/>
              <w:rPr>
                <w:rFonts w:ascii="仿宋_GB2312" w:hAnsi="宋体" w:eastAsia="仿宋_GB2312" w:cs="仿宋_GB2312"/>
                <w:color w:val="000000"/>
                <w:sz w:val="32"/>
                <w:szCs w:val="32"/>
              </w:rPr>
            </w:pPr>
            <w:r>
              <w:rPr>
                <w:rFonts w:hint="eastAsia" w:ascii="仿宋_GB2312" w:hAnsi="宋体" w:eastAsia="仿宋_GB2312" w:cs="仿宋_GB2312"/>
                <w:color w:val="000000"/>
                <w:kern w:val="0"/>
                <w:sz w:val="32"/>
                <w:szCs w:val="32"/>
                <w:lang w:bidi="ar"/>
              </w:rPr>
              <w:t>各银行网点及其他金融机构</w:t>
            </w:r>
          </w:p>
        </w:tc>
        <w:tc>
          <w:tcPr>
            <w:tcW w:w="3530"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spacing w:line="320" w:lineRule="exact"/>
              <w:jc w:val="center"/>
              <w:textAlignment w:val="center"/>
              <w:rPr>
                <w:rFonts w:ascii="仿宋_GB2312" w:hAnsi="宋体" w:eastAsia="仿宋_GB2312" w:cs="仿宋_GB2312"/>
                <w:color w:val="000000"/>
                <w:sz w:val="32"/>
                <w:szCs w:val="32"/>
              </w:rPr>
            </w:pPr>
            <w:r>
              <w:rPr>
                <w:rFonts w:hint="eastAsia" w:ascii="仿宋_GB2312" w:hAnsi="宋体" w:eastAsia="仿宋_GB2312" w:cs="仿宋_GB2312"/>
                <w:color w:val="000000"/>
                <w:kern w:val="0"/>
                <w:sz w:val="32"/>
                <w:szCs w:val="32"/>
                <w:lang w:bidi="ar"/>
              </w:rPr>
              <w:t>区财政局</w:t>
            </w:r>
          </w:p>
        </w:tc>
      </w:tr>
      <w:tr>
        <w:tblPrEx>
          <w:tblLayout w:type="fixed"/>
          <w:tblCellMar>
            <w:top w:w="0" w:type="dxa"/>
            <w:left w:w="0" w:type="dxa"/>
            <w:bottom w:w="0" w:type="dxa"/>
            <w:right w:w="0" w:type="dxa"/>
          </w:tblCellMar>
        </w:tblPrEx>
        <w:trPr>
          <w:trHeight w:val="753" w:hRule="atLeast"/>
        </w:trPr>
        <w:tc>
          <w:tcPr>
            <w:tcW w:w="71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spacing w:line="320" w:lineRule="exact"/>
              <w:jc w:val="center"/>
              <w:textAlignment w:val="center"/>
              <w:rPr>
                <w:rFonts w:ascii="宋体" w:hAnsi="宋体" w:eastAsia="宋体" w:cs="宋体"/>
                <w:color w:val="000000"/>
                <w:sz w:val="32"/>
                <w:szCs w:val="32"/>
              </w:rPr>
            </w:pPr>
            <w:r>
              <w:rPr>
                <w:rFonts w:hint="eastAsia" w:ascii="宋体" w:hAnsi="宋体" w:eastAsia="宋体" w:cs="宋体"/>
                <w:color w:val="000000"/>
                <w:kern w:val="0"/>
                <w:sz w:val="32"/>
                <w:szCs w:val="32"/>
                <w:lang w:bidi="ar"/>
              </w:rPr>
              <w:t>6</w:t>
            </w:r>
          </w:p>
        </w:tc>
        <w:tc>
          <w:tcPr>
            <w:tcW w:w="461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spacing w:line="320" w:lineRule="exact"/>
              <w:jc w:val="center"/>
              <w:textAlignment w:val="center"/>
              <w:rPr>
                <w:rFonts w:ascii="仿宋_GB2312" w:hAnsi="宋体" w:eastAsia="仿宋_GB2312" w:cs="仿宋_GB2312"/>
                <w:color w:val="000000"/>
                <w:sz w:val="32"/>
                <w:szCs w:val="32"/>
              </w:rPr>
            </w:pPr>
            <w:r>
              <w:rPr>
                <w:rFonts w:hint="eastAsia" w:ascii="仿宋_GB2312" w:hAnsi="宋体" w:eastAsia="仿宋_GB2312" w:cs="仿宋_GB2312"/>
                <w:color w:val="000000"/>
                <w:kern w:val="0"/>
                <w:sz w:val="32"/>
                <w:szCs w:val="32"/>
                <w:lang w:bidi="ar"/>
              </w:rPr>
              <w:t>各体育场馆</w:t>
            </w:r>
          </w:p>
        </w:tc>
        <w:tc>
          <w:tcPr>
            <w:tcW w:w="3530"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spacing w:line="320" w:lineRule="exact"/>
              <w:jc w:val="center"/>
              <w:textAlignment w:val="center"/>
              <w:rPr>
                <w:rFonts w:ascii="仿宋_GB2312" w:hAnsi="宋体" w:eastAsia="仿宋_GB2312" w:cs="仿宋_GB2312"/>
                <w:color w:val="000000"/>
                <w:sz w:val="32"/>
                <w:szCs w:val="32"/>
              </w:rPr>
            </w:pPr>
            <w:r>
              <w:rPr>
                <w:rFonts w:hint="eastAsia" w:ascii="仿宋_GB2312" w:hAnsi="宋体" w:eastAsia="仿宋_GB2312" w:cs="仿宋_GB2312"/>
                <w:color w:val="000000"/>
                <w:kern w:val="0"/>
                <w:sz w:val="32"/>
                <w:szCs w:val="32"/>
                <w:lang w:bidi="ar"/>
              </w:rPr>
              <w:t>区体育局</w:t>
            </w:r>
          </w:p>
        </w:tc>
      </w:tr>
      <w:tr>
        <w:tblPrEx>
          <w:tblLayout w:type="fixed"/>
          <w:tblCellMar>
            <w:top w:w="0" w:type="dxa"/>
            <w:left w:w="0" w:type="dxa"/>
            <w:bottom w:w="0" w:type="dxa"/>
            <w:right w:w="0" w:type="dxa"/>
          </w:tblCellMar>
        </w:tblPrEx>
        <w:trPr>
          <w:trHeight w:val="1306" w:hRule="atLeast"/>
        </w:trPr>
        <w:tc>
          <w:tcPr>
            <w:tcW w:w="71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spacing w:line="320" w:lineRule="exact"/>
              <w:jc w:val="center"/>
              <w:textAlignment w:val="center"/>
              <w:rPr>
                <w:rFonts w:ascii="宋体" w:hAnsi="宋体" w:eastAsia="宋体" w:cs="宋体"/>
                <w:color w:val="000000"/>
                <w:sz w:val="32"/>
                <w:szCs w:val="32"/>
              </w:rPr>
            </w:pPr>
            <w:r>
              <w:rPr>
                <w:rFonts w:hint="eastAsia" w:ascii="宋体" w:hAnsi="宋体" w:eastAsia="宋体" w:cs="宋体"/>
                <w:color w:val="000000"/>
                <w:kern w:val="0"/>
                <w:sz w:val="32"/>
                <w:szCs w:val="32"/>
                <w:lang w:bidi="ar"/>
              </w:rPr>
              <w:t>7</w:t>
            </w:r>
          </w:p>
        </w:tc>
        <w:tc>
          <w:tcPr>
            <w:tcW w:w="461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spacing w:line="320" w:lineRule="exact"/>
              <w:jc w:val="center"/>
              <w:textAlignment w:val="center"/>
              <w:rPr>
                <w:rFonts w:ascii="仿宋_GB2312" w:hAnsi="宋体" w:eastAsia="仿宋_GB2312" w:cs="仿宋_GB2312"/>
                <w:color w:val="000000"/>
                <w:sz w:val="32"/>
                <w:szCs w:val="32"/>
              </w:rPr>
            </w:pPr>
            <w:r>
              <w:rPr>
                <w:rFonts w:hint="eastAsia" w:ascii="仿宋_GB2312" w:hAnsi="宋体" w:eastAsia="仿宋_GB2312" w:cs="仿宋_GB2312"/>
                <w:color w:val="000000"/>
                <w:kern w:val="0"/>
                <w:sz w:val="32"/>
                <w:szCs w:val="32"/>
                <w:lang w:bidi="ar"/>
              </w:rPr>
              <w:t>其他各类商业设施</w:t>
            </w:r>
          </w:p>
        </w:tc>
        <w:tc>
          <w:tcPr>
            <w:tcW w:w="3530"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spacing w:line="320" w:lineRule="exact"/>
              <w:jc w:val="left"/>
              <w:textAlignment w:val="center"/>
              <w:rPr>
                <w:rFonts w:ascii="仿宋_GB2312" w:hAnsi="宋体" w:eastAsia="仿宋_GB2312" w:cs="仿宋_GB2312"/>
                <w:color w:val="000000"/>
                <w:sz w:val="32"/>
                <w:szCs w:val="32"/>
              </w:rPr>
            </w:pPr>
            <w:r>
              <w:rPr>
                <w:rFonts w:hint="eastAsia" w:ascii="仿宋_GB2312" w:hAnsi="宋体" w:eastAsia="仿宋_GB2312" w:cs="仿宋_GB2312"/>
                <w:color w:val="000000"/>
                <w:kern w:val="0"/>
                <w:sz w:val="32"/>
                <w:szCs w:val="32"/>
                <w:lang w:bidi="ar"/>
              </w:rPr>
              <w:t>各乡镇（市场监管所、城管执法中队）落实属地责任，区经委负责督查</w:t>
            </w:r>
          </w:p>
        </w:tc>
      </w:tr>
    </w:tbl>
    <w:p>
      <w:pPr>
        <w:spacing w:line="560" w:lineRule="exact"/>
        <w:jc w:val="center"/>
        <w:rPr>
          <w:rFonts w:ascii="仿宋_GB2312" w:hAnsi="仿宋_GB2312" w:eastAsia="仿宋_GB2312" w:cs="仿宋_GB2312"/>
          <w:color w:val="000000"/>
          <w:sz w:val="32"/>
          <w:szCs w:val="32"/>
        </w:rPr>
      </w:pPr>
    </w:p>
    <w:sectPr>
      <w:footerReference r:id="rId3" w:type="default"/>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pStyle w:val="2"/>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AE020CB"/>
    <w:rsid w:val="002E1971"/>
    <w:rsid w:val="00D9299C"/>
    <w:rsid w:val="00DA4777"/>
    <w:rsid w:val="00E826A8"/>
    <w:rsid w:val="00ED012C"/>
    <w:rsid w:val="00F27C0D"/>
    <w:rsid w:val="01527799"/>
    <w:rsid w:val="08EF74DA"/>
    <w:rsid w:val="0C7F61B1"/>
    <w:rsid w:val="113D0611"/>
    <w:rsid w:val="11AA6EFA"/>
    <w:rsid w:val="1AE020CB"/>
    <w:rsid w:val="212141BD"/>
    <w:rsid w:val="214166AF"/>
    <w:rsid w:val="28E83E8C"/>
    <w:rsid w:val="2BB7009B"/>
    <w:rsid w:val="2DEF675E"/>
    <w:rsid w:val="44972C3A"/>
    <w:rsid w:val="484038A5"/>
    <w:rsid w:val="4AC179A5"/>
    <w:rsid w:val="6C5028DE"/>
    <w:rsid w:val="7A6E38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nhideWhenUsed/>
    <w:qFormat/>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customStyle="1" w:styleId="6">
    <w:name w:val="Body text|1"/>
    <w:basedOn w:val="1"/>
    <w:qFormat/>
    <w:uiPriority w:val="0"/>
    <w:pPr>
      <w:spacing w:line="386" w:lineRule="auto"/>
      <w:ind w:firstLine="400"/>
    </w:pPr>
    <w:rPr>
      <w:rFonts w:ascii="宋体" w:hAnsi="宋体" w:eastAsia="宋体" w:cs="宋体"/>
      <w:sz w:val="30"/>
      <w:szCs w:val="30"/>
      <w:lang w:val="zh-TW" w:eastAsia="zh-TW" w:bidi="zh-TW"/>
    </w:rPr>
  </w:style>
  <w:style w:type="character" w:customStyle="1" w:styleId="7">
    <w:name w:val="font01"/>
    <w:basedOn w:val="4"/>
    <w:qFormat/>
    <w:uiPriority w:val="0"/>
    <w:rPr>
      <w:rFonts w:hint="eastAsia" w:ascii="仿宋_GB2312" w:eastAsia="仿宋_GB2312" w:cs="仿宋_GB2312"/>
      <w:color w:val="000000"/>
      <w:sz w:val="32"/>
      <w:szCs w:val="32"/>
      <w:u w:val="none"/>
    </w:rPr>
  </w:style>
  <w:style w:type="character" w:customStyle="1" w:styleId="8">
    <w:name w:val="font21"/>
    <w:basedOn w:val="4"/>
    <w:qFormat/>
    <w:uiPriority w:val="0"/>
    <w:rPr>
      <w:rFonts w:hint="eastAsia" w:ascii="仿宋_GB2312" w:eastAsia="仿宋_GB2312" w:cs="仿宋_GB2312"/>
      <w:b/>
      <w:color w:val="000000"/>
      <w:sz w:val="32"/>
      <w:szCs w:val="32"/>
      <w:u w:val="none"/>
    </w:rPr>
  </w:style>
  <w:style w:type="paragraph" w:customStyle="1" w:styleId="9">
    <w:name w:val="Revision"/>
    <w:hidden/>
    <w:semiHidden/>
    <w:qFormat/>
    <w:uiPriority w:val="99"/>
    <w:rPr>
      <w:rFonts w:asciiTheme="minorHAnsi" w:hAnsiTheme="minorHAnsi" w:eastAsiaTheme="minorEastAsia" w:cstheme="minorBidi"/>
      <w:kern w:val="2"/>
      <w:sz w:val="21"/>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上海市崇明区司法局</Company>
  <Pages>4</Pages>
  <Words>264</Words>
  <Characters>1505</Characters>
  <Lines>12</Lines>
  <Paragraphs>3</Paragraphs>
  <TotalTime>25</TotalTime>
  <ScaleCrop>false</ScaleCrop>
  <LinksUpToDate>false</LinksUpToDate>
  <CharactersWithSpaces>1766</CharactersWithSpaces>
  <Application>WPS Office_10.8.2.7090_F1E327BC-269C-435d-A152-05C5408002CA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2022-01-15T01:02:00Z</dcterms:created>
  <dc:creator>BEN_MJJ</dc:creator>
  <cp:lastModifiedBy>Administrator</cp:lastModifiedBy>
  <dcterms:modified xsi:type="dcterms:W3CDTF">2022-01-20T05:35:15Z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2052-10.8.2.7090</vt:lpwstr>
  </property>
  <property fmtid="{D5CDD505-2E9C-101B-9397-08002B2CF9AE}" pid="3" name="ICV">
    <vt:lpwstr>554448C91F354331B4D7363E848C84F2</vt:lpwstr>
  </property>
</Properties>
</file>