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sz w:val="36"/>
          <w:szCs w:val="36"/>
          <w:lang w:eastAsia="zh-CN"/>
        </w:rPr>
      </w:pPr>
      <w:bookmarkStart w:id="9" w:name="_GoBack"/>
      <w:r>
        <w:rPr>
          <w:rFonts w:hint="eastAsia" w:ascii="黑体" w:hAnsi="黑体" w:eastAsia="黑体" w:cs="黑体"/>
          <w:sz w:val="36"/>
          <w:szCs w:val="36"/>
          <w:lang w:eastAsia="zh-CN"/>
        </w:rPr>
        <w:t>区经委关于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2022年前三季度</w:t>
      </w:r>
      <w:r>
        <w:rPr>
          <w:rFonts w:hint="eastAsia" w:ascii="黑体" w:hAnsi="黑体" w:eastAsia="黑体" w:cs="黑体"/>
          <w:sz w:val="36"/>
          <w:szCs w:val="36"/>
          <w:lang w:eastAsia="zh-CN"/>
        </w:rPr>
        <w:t>商业经济</w:t>
      </w:r>
    </w:p>
    <w:p>
      <w:pPr>
        <w:jc w:val="center"/>
        <w:rPr>
          <w:rFonts w:hint="eastAsia" w:ascii="黑体" w:hAnsi="黑体" w:eastAsia="黑体" w:cs="黑体"/>
          <w:sz w:val="36"/>
          <w:szCs w:val="36"/>
          <w:lang w:eastAsia="zh-CN"/>
        </w:rPr>
      </w:pPr>
      <w:r>
        <w:rPr>
          <w:rFonts w:hint="eastAsia" w:ascii="黑体" w:hAnsi="黑体" w:eastAsia="黑体" w:cs="黑体"/>
          <w:sz w:val="36"/>
          <w:szCs w:val="36"/>
          <w:lang w:eastAsia="zh-CN"/>
        </w:rPr>
        <w:t>运行情况分析报告</w:t>
      </w:r>
    </w:p>
    <w:bookmarkEnd w:id="9"/>
    <w:p>
      <w:pPr>
        <w:jc w:val="center"/>
        <w:rPr>
          <w:rFonts w:hint="eastAsia" w:ascii="黑体" w:hAnsi="黑体" w:eastAsia="黑体" w:cs="黑体"/>
          <w:sz w:val="36"/>
          <w:szCs w:val="36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一、今年以来商业经济指标完成情况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jc w:val="center"/>
        <w:textAlignment w:val="auto"/>
        <w:rPr>
          <w:rFonts w:hint="default" w:ascii="黑体" w:hAnsi="黑体" w:eastAsia="黑体" w:cs="黑体"/>
          <w:color w:val="auto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28"/>
          <w:szCs w:val="28"/>
          <w:lang w:val="en-US" w:eastAsia="zh-CN"/>
        </w:rPr>
        <w:t xml:space="preserve"> 1-8月我区社零和商销完成情况表</w:t>
      </w:r>
    </w:p>
    <w:tbl>
      <w:tblPr>
        <w:tblStyle w:val="9"/>
        <w:tblW w:w="7558" w:type="dxa"/>
        <w:jc w:val="center"/>
        <w:tblBorders>
          <w:top w:val="single" w:color="000000" w:sz="12" w:space="0"/>
          <w:left w:val="none" w:color="auto" w:sz="0" w:space="0"/>
          <w:bottom w:val="single" w:color="000000" w:sz="12" w:space="0"/>
          <w:right w:val="none" w:color="auto" w:sz="0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7"/>
        <w:gridCol w:w="2701"/>
        <w:gridCol w:w="1511"/>
        <w:gridCol w:w="1278"/>
        <w:gridCol w:w="1281"/>
      </w:tblGrid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787" w:type="dxa"/>
            <w:vMerge w:val="restart"/>
            <w:tcBorders>
              <w:top w:val="single" w:color="000000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b/>
                <w:bCs w:val="0"/>
                <w:color w:val="auto"/>
                <w:position w:val="4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 w:val="0"/>
                <w:color w:val="auto"/>
                <w:position w:val="4"/>
                <w:sz w:val="24"/>
              </w:rPr>
              <w:t>序号</w:t>
            </w:r>
          </w:p>
        </w:tc>
        <w:tc>
          <w:tcPr>
            <w:tcW w:w="2701" w:type="dxa"/>
            <w:vMerge w:val="restart"/>
            <w:tcBorders>
              <w:top w:val="single" w:color="000000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b/>
                <w:bCs w:val="0"/>
                <w:color w:val="auto"/>
                <w:position w:val="4"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 w:val="0"/>
                <w:color w:val="auto"/>
                <w:position w:val="4"/>
                <w:sz w:val="24"/>
              </w:rPr>
              <w:t>指  标  名  称</w:t>
            </w:r>
          </w:p>
        </w:tc>
        <w:tc>
          <w:tcPr>
            <w:tcW w:w="2789" w:type="dxa"/>
            <w:gridSpan w:val="2"/>
            <w:tcBorders>
              <w:top w:val="single" w:color="000000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b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color w:val="auto"/>
                <w:position w:val="4"/>
                <w:sz w:val="24"/>
                <w:szCs w:val="24"/>
                <w:lang w:val="en-US" w:eastAsia="zh-CN"/>
              </w:rPr>
              <w:t>1-8月完成情况</w:t>
            </w:r>
          </w:p>
        </w:tc>
        <w:tc>
          <w:tcPr>
            <w:tcW w:w="1281" w:type="dxa"/>
            <w:tcBorders>
              <w:top w:val="single" w:color="000000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Theme="majorEastAsia" w:hAnsiTheme="majorEastAsia" w:eastAsiaTheme="majorEastAsia" w:cstheme="majorEastAsia"/>
                <w:b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color w:val="auto"/>
                <w:position w:val="4"/>
                <w:sz w:val="24"/>
                <w:szCs w:val="24"/>
                <w:lang w:val="en-US" w:eastAsia="zh-CN"/>
              </w:rPr>
              <w:t>1-7月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787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b/>
                <w:color w:val="auto"/>
                <w:sz w:val="24"/>
              </w:rPr>
            </w:pPr>
          </w:p>
        </w:tc>
        <w:tc>
          <w:tcPr>
            <w:tcW w:w="2701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b/>
                <w:color w:val="auto"/>
                <w:sz w:val="24"/>
              </w:rPr>
            </w:pPr>
          </w:p>
        </w:tc>
        <w:tc>
          <w:tcPr>
            <w:tcW w:w="1511" w:type="dxa"/>
            <w:tcBorders>
              <w:top w:val="single" w:color="000000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b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color w:val="auto"/>
                <w:position w:val="4"/>
                <w:sz w:val="24"/>
                <w:szCs w:val="24"/>
                <w:lang w:val="en-US" w:eastAsia="zh-CN"/>
              </w:rPr>
              <w:t>累计</w:t>
            </w:r>
          </w:p>
        </w:tc>
        <w:tc>
          <w:tcPr>
            <w:tcW w:w="1278" w:type="dxa"/>
            <w:tcBorders>
              <w:top w:val="single" w:color="000000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ajorEastAsia" w:hAnsiTheme="majorEastAsia" w:eastAsiaTheme="majorEastAsia" w:cstheme="majorEastAsia"/>
                <w:b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color w:val="auto"/>
                <w:position w:val="4"/>
                <w:sz w:val="24"/>
                <w:szCs w:val="24"/>
                <w:lang w:val="en-US" w:eastAsia="zh-CN"/>
              </w:rPr>
              <w:t>同比增幅</w:t>
            </w:r>
          </w:p>
        </w:tc>
        <w:tc>
          <w:tcPr>
            <w:tcW w:w="1281" w:type="dxa"/>
            <w:tcBorders>
              <w:top w:val="single" w:color="000000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Theme="majorEastAsia" w:hAnsiTheme="majorEastAsia" w:eastAsiaTheme="majorEastAsia" w:cstheme="majorEastAsia"/>
                <w:b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color w:val="auto"/>
                <w:position w:val="4"/>
                <w:sz w:val="24"/>
                <w:szCs w:val="24"/>
                <w:lang w:val="en-US" w:eastAsia="zh-CN"/>
              </w:rPr>
              <w:t>同比增幅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exact"/>
          <w:jc w:val="center"/>
        </w:trPr>
        <w:tc>
          <w:tcPr>
            <w:tcW w:w="78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</w:rPr>
            </w:pPr>
            <w:bookmarkStart w:id="0" w:name="OLE_LINK9" w:colFirst="1" w:colLast="2"/>
            <w:bookmarkStart w:id="1" w:name="OLE_LINK8" w:colFirst="3" w:colLast="4"/>
            <w:bookmarkStart w:id="2" w:name="OLE_LINK18" w:colFirst="3" w:colLast="4"/>
            <w:bookmarkStart w:id="3" w:name="OLE_LINK10" w:colFirst="0" w:colLast="4"/>
            <w:r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</w:rPr>
              <w:t>1</w:t>
            </w:r>
          </w:p>
        </w:tc>
        <w:tc>
          <w:tcPr>
            <w:tcW w:w="27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社会消费品零售总额</w:t>
            </w:r>
          </w:p>
        </w:tc>
        <w:tc>
          <w:tcPr>
            <w:tcW w:w="15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87.31亿元 </w:t>
            </w:r>
          </w:p>
        </w:tc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-7.14%</w:t>
            </w: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-9.54%</w:t>
            </w:r>
          </w:p>
        </w:tc>
      </w:tr>
      <w:bookmarkEnd w:id="0"/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exact"/>
          <w:jc w:val="center"/>
        </w:trPr>
        <w:tc>
          <w:tcPr>
            <w:tcW w:w="78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</w:rPr>
              <w:t>2</w:t>
            </w:r>
          </w:p>
        </w:tc>
        <w:tc>
          <w:tcPr>
            <w:tcW w:w="27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批发</w:t>
            </w:r>
          </w:p>
        </w:tc>
        <w:tc>
          <w:tcPr>
            <w:tcW w:w="15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3.74亿元</w:t>
            </w:r>
          </w:p>
        </w:tc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-16.94%</w:t>
            </w: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-19.22%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exact"/>
          <w:jc w:val="center"/>
        </w:trPr>
        <w:tc>
          <w:tcPr>
            <w:tcW w:w="78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</w:rPr>
              <w:t>3</w:t>
            </w:r>
          </w:p>
        </w:tc>
        <w:tc>
          <w:tcPr>
            <w:tcW w:w="27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零售</w:t>
            </w:r>
          </w:p>
        </w:tc>
        <w:tc>
          <w:tcPr>
            <w:tcW w:w="15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73.62亿元 </w:t>
            </w:r>
          </w:p>
        </w:tc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-6.63%</w:t>
            </w: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-9.14%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exact"/>
          <w:jc w:val="center"/>
        </w:trPr>
        <w:tc>
          <w:tcPr>
            <w:tcW w:w="78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</w:rPr>
              <w:t>4</w:t>
            </w:r>
          </w:p>
        </w:tc>
        <w:tc>
          <w:tcPr>
            <w:tcW w:w="27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住宿</w:t>
            </w:r>
          </w:p>
        </w:tc>
        <w:tc>
          <w:tcPr>
            <w:tcW w:w="151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highlight w:val="yellow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yellow"/>
                <w:u w:val="none"/>
                <w:lang w:val="en-US" w:eastAsia="zh-CN" w:bidi="ar"/>
              </w:rPr>
              <w:t xml:space="preserve">4.27亿元 </w:t>
            </w:r>
          </w:p>
        </w:tc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highlight w:val="yellow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yellow"/>
                <w:u w:val="none"/>
                <w:lang w:val="en-US" w:eastAsia="zh-CN" w:bidi="ar"/>
              </w:rPr>
              <w:t>0.52%</w:t>
            </w: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highlight w:val="yellow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highlight w:val="yellow"/>
                <w:u w:val="none"/>
                <w:lang w:val="en-US" w:eastAsia="zh-CN" w:bidi="ar"/>
              </w:rPr>
              <w:t>-0.51%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exact"/>
          <w:jc w:val="center"/>
        </w:trPr>
        <w:tc>
          <w:tcPr>
            <w:tcW w:w="78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</w:rPr>
            </w:pPr>
            <w:bookmarkStart w:id="4" w:name="OLE_LINK11" w:colFirst="1" w:colLast="3"/>
            <w:bookmarkStart w:id="5" w:name="OLE_LINK3" w:colFirst="1" w:colLast="4"/>
            <w:bookmarkStart w:id="6" w:name="OLE_LINK6" w:colFirst="1" w:colLast="2"/>
            <w:bookmarkStart w:id="7" w:name="OLE_LINK4" w:colFirst="3" w:colLast="4"/>
            <w:r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</w:rPr>
              <w:t>5</w:t>
            </w:r>
          </w:p>
        </w:tc>
        <w:tc>
          <w:tcPr>
            <w:tcW w:w="270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餐饮</w:t>
            </w:r>
          </w:p>
        </w:tc>
        <w:tc>
          <w:tcPr>
            <w:tcW w:w="151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5.68亿元</w:t>
            </w:r>
          </w:p>
        </w:tc>
        <w:tc>
          <w:tcPr>
            <w:tcW w:w="1278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-11.61%</w:t>
            </w:r>
          </w:p>
        </w:tc>
        <w:tc>
          <w:tcPr>
            <w:tcW w:w="1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-13.09%</w:t>
            </w:r>
          </w:p>
        </w:tc>
      </w:tr>
      <w:bookmarkEnd w:id="1"/>
      <w:bookmarkEnd w:id="4"/>
      <w:bookmarkEnd w:id="5"/>
      <w:bookmarkEnd w:id="6"/>
      <w:bookmarkEnd w:id="7"/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" w:hRule="exact"/>
          <w:jc w:val="center"/>
        </w:trPr>
        <w:tc>
          <w:tcPr>
            <w:tcW w:w="787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  <w:lang w:val="en-US" w:eastAsia="zh-CN"/>
              </w:rPr>
            </w:pPr>
            <w:bookmarkStart w:id="8" w:name="OLE_LINK7" w:colFirst="1" w:colLast="4"/>
            <w:r>
              <w:rPr>
                <w:rFonts w:hint="eastAsia" w:asciiTheme="minorEastAsia" w:hAnsiTheme="minorEastAsia" w:cstheme="minorEastAsia"/>
                <w:color w:val="auto"/>
                <w:position w:val="4"/>
                <w:sz w:val="24"/>
                <w:lang w:val="en-US" w:eastAsia="zh-CN"/>
              </w:rPr>
              <w:t>6</w:t>
            </w:r>
          </w:p>
        </w:tc>
        <w:tc>
          <w:tcPr>
            <w:tcW w:w="270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集市贸易</w:t>
            </w:r>
          </w:p>
        </w:tc>
        <w:tc>
          <w:tcPr>
            <w:tcW w:w="151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highlight w:val="yellow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position w:val="4"/>
                <w:sz w:val="24"/>
                <w:szCs w:val="24"/>
                <w:highlight w:val="none"/>
                <w:lang w:val="en-US" w:eastAsia="zh-CN"/>
              </w:rPr>
              <w:t>17.48亿元</w:t>
            </w:r>
          </w:p>
        </w:tc>
        <w:tc>
          <w:tcPr>
            <w:tcW w:w="1278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highlight w:val="yellow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  <w:t>-25.27%</w:t>
            </w:r>
          </w:p>
        </w:tc>
        <w:tc>
          <w:tcPr>
            <w:tcW w:w="1281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  <w:t>-29.98%</w:t>
            </w:r>
          </w:p>
        </w:tc>
      </w:tr>
      <w:tr>
        <w:tblPrEx>
          <w:tblBorders>
            <w:top w:val="single" w:color="000000" w:sz="12" w:space="0"/>
            <w:left w:val="none" w:color="auto" w:sz="0" w:space="0"/>
            <w:bottom w:val="single" w:color="000000" w:sz="12" w:space="0"/>
            <w:right w:val="none" w:color="auto" w:sz="0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exact"/>
          <w:jc w:val="center"/>
        </w:trPr>
        <w:tc>
          <w:tcPr>
            <w:tcW w:w="78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position w:val="4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position w:val="4"/>
                <w:sz w:val="24"/>
                <w:lang w:val="en-US" w:eastAsia="zh-CN"/>
              </w:rPr>
              <w:t>7</w:t>
            </w:r>
          </w:p>
        </w:tc>
        <w:tc>
          <w:tcPr>
            <w:tcW w:w="270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  <w:t>商品销售总额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  <w:t>（限额以上）</w:t>
            </w:r>
          </w:p>
        </w:tc>
        <w:tc>
          <w:tcPr>
            <w:tcW w:w="151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  <w:t>135.31亿元</w:t>
            </w:r>
          </w:p>
        </w:tc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  <w:t>-17.49%</w:t>
            </w:r>
          </w:p>
        </w:tc>
        <w:tc>
          <w:tcPr>
            <w:tcW w:w="128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default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auto"/>
                <w:position w:val="4"/>
                <w:sz w:val="24"/>
                <w:szCs w:val="24"/>
                <w:lang w:val="en-US" w:eastAsia="zh-CN"/>
              </w:rPr>
              <w:t>-22.39%</w:t>
            </w:r>
          </w:p>
        </w:tc>
      </w:tr>
      <w:bookmarkEnd w:id="2"/>
      <w:bookmarkEnd w:id="3"/>
      <w:bookmarkEnd w:id="8"/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（一）1-8月主要经济指标情况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</w:rPr>
        <w:t>月，全区完成社会消费品零售总额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87.31</w:t>
      </w:r>
      <w:r>
        <w:rPr>
          <w:rFonts w:hint="eastAsia" w:ascii="仿宋_GB2312" w:hAnsi="仿宋_GB2312" w:eastAsia="仿宋_GB2312" w:cs="仿宋_GB2312"/>
          <w:sz w:val="32"/>
          <w:szCs w:val="32"/>
        </w:rPr>
        <w:t>亿元，同比下降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7.14</w:t>
      </w:r>
      <w:r>
        <w:rPr>
          <w:rFonts w:hint="eastAsia" w:ascii="仿宋_GB2312" w:hAnsi="仿宋_GB2312" w:eastAsia="仿宋_GB2312" w:cs="仿宋_GB2312"/>
          <w:sz w:val="32"/>
          <w:szCs w:val="32"/>
        </w:rPr>
        <w:t>%。完成商品销售总额（限额以上口径）1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35.31</w:t>
      </w:r>
      <w:r>
        <w:rPr>
          <w:rFonts w:hint="eastAsia" w:ascii="仿宋_GB2312" w:hAnsi="仿宋_GB2312" w:eastAsia="仿宋_GB2312" w:cs="仿宋_GB2312"/>
          <w:sz w:val="32"/>
          <w:szCs w:val="32"/>
        </w:rPr>
        <w:t>亿元，同比下降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17.49</w:t>
      </w:r>
      <w:r>
        <w:rPr>
          <w:rFonts w:hint="eastAsia" w:ascii="仿宋_GB2312" w:hAnsi="仿宋_GB2312" w:eastAsia="仿宋_GB2312" w:cs="仿宋_GB2312"/>
          <w:sz w:val="32"/>
          <w:szCs w:val="32"/>
        </w:rPr>
        <w:t>%。全区集市贸易成交额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17.48</w:t>
      </w:r>
      <w:r>
        <w:rPr>
          <w:rFonts w:hint="eastAsia" w:ascii="仿宋_GB2312" w:hAnsi="仿宋_GB2312" w:eastAsia="仿宋_GB2312" w:cs="仿宋_GB2312"/>
          <w:sz w:val="32"/>
          <w:szCs w:val="32"/>
        </w:rPr>
        <w:t>亿元，同比下降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25.27</w:t>
      </w:r>
      <w:r>
        <w:rPr>
          <w:rFonts w:hint="eastAsia" w:ascii="仿宋_GB2312" w:hAnsi="仿宋_GB2312" w:eastAsia="仿宋_GB2312" w:cs="仿宋_GB2312"/>
          <w:sz w:val="32"/>
          <w:szCs w:val="32"/>
        </w:rPr>
        <w:t>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（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二</w:t>
      </w:r>
      <w:r>
        <w:rPr>
          <w:rFonts w:hint="eastAsia" w:ascii="楷体" w:hAnsi="楷体" w:eastAsia="楷体" w:cs="楷体"/>
          <w:b/>
          <w:bCs/>
          <w:sz w:val="32"/>
          <w:szCs w:val="32"/>
          <w:lang w:eastAsia="zh-CN"/>
        </w:rPr>
        <w:t>）</w:t>
      </w: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我区1-8月批发、零售销售额情况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 xml:space="preserve">                                         </w:t>
      </w:r>
      <w:r>
        <w:rPr>
          <w:rFonts w:hint="eastAsia" w:ascii="仿宋_GB2312" w:hAnsi="仿宋_GB2312" w:eastAsia="仿宋_GB2312" w:cs="仿宋_GB2312"/>
          <w:b w:val="0"/>
          <w:bCs w:val="0"/>
          <w:sz w:val="21"/>
          <w:szCs w:val="21"/>
          <w:lang w:val="en-US" w:eastAsia="zh-CN"/>
        </w:rPr>
        <w:t>单位：亿元</w:t>
      </w:r>
    </w:p>
    <w:tbl>
      <w:tblPr>
        <w:tblStyle w:val="10"/>
        <w:tblpPr w:leftFromText="180" w:rightFromText="180" w:vertAnchor="text" w:horzAnchor="page" w:tblpX="1065" w:tblpY="25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7"/>
        <w:gridCol w:w="1117"/>
        <w:gridCol w:w="1117"/>
        <w:gridCol w:w="1117"/>
        <w:gridCol w:w="1117"/>
        <w:gridCol w:w="1117"/>
        <w:gridCol w:w="1117"/>
        <w:gridCol w:w="1117"/>
        <w:gridCol w:w="1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1月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2月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3月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4月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5月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6月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7月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8月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批发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0.62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0.86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0.13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0.18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0.71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0.40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0.38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0.46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零售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10.51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leftChars="0" w:firstLine="0" w:firstLineChars="0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kern w:val="2"/>
                <w:sz w:val="32"/>
                <w:szCs w:val="32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6.78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10.16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7.11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8.68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9.57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9.42</w:t>
            </w:r>
          </w:p>
        </w:tc>
        <w:tc>
          <w:tcPr>
            <w:tcW w:w="111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11.41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90170</wp:posOffset>
            </wp:positionH>
            <wp:positionV relativeFrom="paragraph">
              <wp:posOffset>1488440</wp:posOffset>
            </wp:positionV>
            <wp:extent cx="5080000" cy="3810000"/>
            <wp:effectExtent l="4445" t="4445" r="5715" b="10795"/>
            <wp:wrapSquare wrapText="bothSides"/>
            <wp:docPr id="9" name="图表 9" descr="7b0a202020202263686172745265734964223a202234363235383339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（三）消费品市场主要特点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" w:eastAsia="仿宋_GB2312"/>
          <w:bCs/>
          <w:sz w:val="32"/>
          <w:szCs w:val="32"/>
        </w:rPr>
      </w:pPr>
      <w:r>
        <w:rPr>
          <w:rFonts w:hint="eastAsia" w:ascii="仿宋_GB2312" w:hAnsi="仿宋" w:eastAsia="仿宋_GB2312"/>
          <w:b w:val="0"/>
          <w:bCs w:val="0"/>
          <w:sz w:val="32"/>
          <w:szCs w:val="32"/>
          <w:lang w:val="en-US" w:eastAsia="zh-CN"/>
        </w:rPr>
        <w:t>1.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</w:rPr>
        <w:t>从消费形态看，</w:t>
      </w:r>
      <w:r>
        <w:rPr>
          <w:rFonts w:hint="eastAsia" w:ascii="仿宋_GB2312" w:hAnsi="仿宋" w:eastAsia="仿宋_GB2312"/>
          <w:b w:val="0"/>
          <w:bCs w:val="0"/>
          <w:sz w:val="32"/>
          <w:szCs w:val="32"/>
          <w:lang w:val="en-US" w:eastAsia="zh-CN"/>
        </w:rPr>
        <w:t>住宿业同比率先实现正增长。</w:t>
      </w:r>
      <w:r>
        <w:rPr>
          <w:rFonts w:hint="eastAsia" w:ascii="仿宋_GB2312" w:hAnsi="仿宋" w:eastAsia="仿宋_GB2312"/>
          <w:bCs/>
          <w:sz w:val="32"/>
          <w:szCs w:val="32"/>
        </w:rPr>
        <w:t>1-</w:t>
      </w:r>
      <w:r>
        <w:rPr>
          <w:rFonts w:hint="eastAsia" w:ascii="仿宋_GB2312" w:hAnsi="仿宋" w:eastAsia="仿宋_GB2312"/>
          <w:bCs/>
          <w:sz w:val="32"/>
          <w:szCs w:val="32"/>
          <w:lang w:val="en-US" w:eastAsia="zh-CN"/>
        </w:rPr>
        <w:t>8</w:t>
      </w:r>
      <w:r>
        <w:rPr>
          <w:rFonts w:hint="eastAsia" w:ascii="仿宋_GB2312" w:hAnsi="仿宋" w:eastAsia="仿宋_GB2312"/>
          <w:bCs/>
          <w:sz w:val="32"/>
          <w:szCs w:val="32"/>
        </w:rPr>
        <w:t>月，全区住宿和餐饮业分别实现零售额</w:t>
      </w:r>
      <w:r>
        <w:rPr>
          <w:rFonts w:hint="eastAsia" w:ascii="仿宋_GB2312" w:hAnsi="仿宋" w:eastAsia="仿宋_GB2312"/>
          <w:bCs/>
          <w:sz w:val="32"/>
          <w:szCs w:val="32"/>
          <w:lang w:val="en-US" w:eastAsia="zh-CN"/>
        </w:rPr>
        <w:t>4.27</w:t>
      </w:r>
      <w:r>
        <w:rPr>
          <w:rFonts w:hint="eastAsia" w:ascii="仿宋_GB2312" w:hAnsi="仿宋" w:eastAsia="仿宋_GB2312"/>
          <w:bCs/>
          <w:sz w:val="32"/>
          <w:szCs w:val="32"/>
        </w:rPr>
        <w:t>亿元和</w:t>
      </w:r>
      <w:r>
        <w:rPr>
          <w:rFonts w:hint="eastAsia" w:ascii="仿宋_GB2312" w:hAnsi="仿宋" w:eastAsia="仿宋_GB2312"/>
          <w:bCs/>
          <w:sz w:val="32"/>
          <w:szCs w:val="32"/>
          <w:lang w:val="en-US" w:eastAsia="zh-CN"/>
        </w:rPr>
        <w:t>5.68</w:t>
      </w:r>
      <w:r>
        <w:rPr>
          <w:rFonts w:hint="eastAsia" w:ascii="仿宋_GB2312" w:hAnsi="仿宋" w:eastAsia="仿宋_GB2312"/>
          <w:bCs/>
          <w:sz w:val="32"/>
          <w:szCs w:val="32"/>
        </w:rPr>
        <w:t>亿元，同比分别</w:t>
      </w:r>
      <w:r>
        <w:rPr>
          <w:rFonts w:hint="eastAsia" w:ascii="仿宋_GB2312" w:hAnsi="仿宋" w:eastAsia="仿宋_GB2312"/>
          <w:bCs/>
          <w:sz w:val="32"/>
          <w:szCs w:val="32"/>
          <w:lang w:val="en-US" w:eastAsia="zh-CN"/>
        </w:rPr>
        <w:t>增幅0.52%</w:t>
      </w:r>
      <w:r>
        <w:rPr>
          <w:rFonts w:hint="eastAsia" w:ascii="仿宋_GB2312" w:hAnsi="仿宋" w:eastAsia="仿宋_GB2312"/>
          <w:bCs/>
          <w:sz w:val="32"/>
          <w:szCs w:val="32"/>
        </w:rPr>
        <w:t>和</w:t>
      </w:r>
      <w:r>
        <w:rPr>
          <w:rFonts w:hint="eastAsia" w:ascii="仿宋_GB2312" w:hAnsi="仿宋" w:eastAsia="仿宋_GB2312"/>
          <w:bCs/>
          <w:sz w:val="32"/>
          <w:szCs w:val="32"/>
          <w:lang w:val="en-US" w:eastAsia="zh-CN"/>
        </w:rPr>
        <w:t>下降11.61</w:t>
      </w:r>
      <w:r>
        <w:rPr>
          <w:rFonts w:hint="eastAsia" w:ascii="仿宋_GB2312" w:hAnsi="仿宋" w:eastAsia="仿宋_GB2312"/>
          <w:bCs/>
          <w:sz w:val="32"/>
          <w:szCs w:val="32"/>
        </w:rPr>
        <w:t>%；批发和零售业分别实现零售额</w:t>
      </w:r>
      <w:r>
        <w:rPr>
          <w:rFonts w:hint="eastAsia" w:ascii="仿宋_GB2312" w:hAnsi="仿宋" w:eastAsia="仿宋_GB2312"/>
          <w:bCs/>
          <w:sz w:val="32"/>
          <w:szCs w:val="32"/>
          <w:lang w:val="en-US" w:eastAsia="zh-CN"/>
        </w:rPr>
        <w:t>3.74</w:t>
      </w:r>
      <w:r>
        <w:rPr>
          <w:rFonts w:hint="eastAsia" w:ascii="仿宋_GB2312" w:hAnsi="仿宋" w:eastAsia="仿宋_GB2312"/>
          <w:bCs/>
          <w:sz w:val="32"/>
          <w:szCs w:val="32"/>
        </w:rPr>
        <w:t>亿元和</w:t>
      </w:r>
      <w:r>
        <w:rPr>
          <w:rFonts w:hint="eastAsia" w:ascii="仿宋_GB2312" w:hAnsi="仿宋" w:eastAsia="仿宋_GB2312"/>
          <w:bCs/>
          <w:sz w:val="32"/>
          <w:szCs w:val="32"/>
          <w:lang w:val="en-US" w:eastAsia="zh-CN"/>
        </w:rPr>
        <w:t>73.62</w:t>
      </w:r>
      <w:r>
        <w:rPr>
          <w:rFonts w:hint="eastAsia" w:ascii="仿宋_GB2312" w:hAnsi="仿宋" w:eastAsia="仿宋_GB2312"/>
          <w:bCs/>
          <w:sz w:val="32"/>
          <w:szCs w:val="32"/>
        </w:rPr>
        <w:t>亿元，同比分别</w:t>
      </w:r>
      <w:r>
        <w:rPr>
          <w:rFonts w:hint="eastAsia" w:ascii="仿宋_GB2312" w:hAnsi="仿宋" w:eastAsia="仿宋_GB2312"/>
          <w:bCs/>
          <w:sz w:val="32"/>
          <w:szCs w:val="32"/>
          <w:lang w:eastAsia="zh-CN"/>
        </w:rPr>
        <w:t>下降</w:t>
      </w:r>
      <w:r>
        <w:rPr>
          <w:rFonts w:hint="eastAsia" w:ascii="仿宋_GB2312" w:hAnsi="仿宋" w:eastAsia="仿宋_GB2312"/>
          <w:bCs/>
          <w:sz w:val="32"/>
          <w:szCs w:val="32"/>
          <w:lang w:val="en-US" w:eastAsia="zh-CN"/>
        </w:rPr>
        <w:t>16.94</w:t>
      </w:r>
      <w:r>
        <w:rPr>
          <w:rFonts w:hint="eastAsia" w:ascii="仿宋_GB2312" w:hAnsi="仿宋" w:eastAsia="仿宋_GB2312"/>
          <w:bCs/>
          <w:sz w:val="32"/>
          <w:szCs w:val="32"/>
        </w:rPr>
        <w:t>%和</w:t>
      </w:r>
      <w:r>
        <w:rPr>
          <w:rFonts w:hint="eastAsia" w:ascii="仿宋_GB2312" w:hAnsi="仿宋" w:eastAsia="仿宋_GB2312"/>
          <w:bCs/>
          <w:sz w:val="32"/>
          <w:szCs w:val="32"/>
          <w:lang w:val="en-US" w:eastAsia="zh-CN"/>
        </w:rPr>
        <w:t>6.63</w:t>
      </w:r>
      <w:r>
        <w:rPr>
          <w:rFonts w:hint="eastAsia" w:ascii="仿宋_GB2312" w:hAnsi="仿宋" w:eastAsia="仿宋_GB2312"/>
          <w:bCs/>
          <w:sz w:val="32"/>
          <w:szCs w:val="32"/>
        </w:rPr>
        <w:t>%。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bCs/>
          <w:sz w:val="32"/>
          <w:szCs w:val="32"/>
          <w:lang w:val="en-US" w:eastAsia="zh-CN"/>
        </w:rPr>
        <w:t>2.从商品大类看，四大类同比降幅逐渐回升，“穿”大类实现正增长。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1-8月，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吃、穿、用、烧商品销售分别实现零售额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37.17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亿元、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10.06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亿元、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34.14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亿元和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5.93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亿元，同比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增幅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分别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为-7.81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%、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3.06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%、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-9.19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%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及-6.50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%，较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1-7月同比均上升了2个百分点左右。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其中：集市贸易成交额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17.48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亿元，同比下降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25.27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%，较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1-7月同比上升了5个百分点左右。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二、我区今年前三季度商业指标预判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黑体" w:hAnsi="黑体" w:eastAsia="仿宋_GB2312" w:cs="黑体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崇明区2022年9月社会消费品零售总额预期目标为13.88亿元，同比增长12%，预计前三季度完成100.88亿元、同比下降5%。并预计全年增速持平。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、对我区全年社零情势的判断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崇明乡村夜生活节自9月9日启动以来，热度持续攀升，通过创意夜游、浪漫夜秀、品牌夜购、主题夜食、潮流夜娱、人文夜读、奇趣夜动、暖心夜宿8个主题系列活动，打造“乡村会客+民宿沉浸+好物品鉴”的崇明夜间消费体验新模式。助力打造崇明“24小时活力城市”，全力提升群众的幸福感和满意度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市政府电子消费券的推出，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更是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直接拉动市场消费潜力释放。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另外，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我区相对全市来说疫情防控更加安全放心，民宿经济、旅游经济、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直播带货经济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成为我区消费市场的增长力量，全区商业品牌连锁经营门店的引进，社区商业品质的不断提升，特色商业街区的打造启用，传统消费旺季的助力，餐饮市场的恢复，也必将拉动我区社零总额的稳步增长。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440" w:firstLineChars="17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市场运行科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firstLine="5120" w:firstLineChars="1600"/>
        <w:textAlignment w:val="auto"/>
        <w:rPr>
          <w:rFonts w:hint="eastAsia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2022年9月22日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Microsoft YaHei UI">
    <w:altName w:val="宋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zM2E5ZmNhNjNiMDc4MGNhMTdiMWFkMzdmNDY2Y2QifQ=="/>
  </w:docVars>
  <w:rsids>
    <w:rsidRoot w:val="6C6530F9"/>
    <w:rsid w:val="00734BA4"/>
    <w:rsid w:val="00B3215E"/>
    <w:rsid w:val="03217B69"/>
    <w:rsid w:val="03FC2435"/>
    <w:rsid w:val="060E0879"/>
    <w:rsid w:val="08F24482"/>
    <w:rsid w:val="0C0339CF"/>
    <w:rsid w:val="0F631D72"/>
    <w:rsid w:val="100F54A3"/>
    <w:rsid w:val="151F75E6"/>
    <w:rsid w:val="162630DC"/>
    <w:rsid w:val="166E2C6E"/>
    <w:rsid w:val="20363689"/>
    <w:rsid w:val="213B4094"/>
    <w:rsid w:val="214076AB"/>
    <w:rsid w:val="217D46AD"/>
    <w:rsid w:val="239A74F4"/>
    <w:rsid w:val="24144D9F"/>
    <w:rsid w:val="2A2A20BA"/>
    <w:rsid w:val="2D8D5C78"/>
    <w:rsid w:val="31F2079F"/>
    <w:rsid w:val="3326578F"/>
    <w:rsid w:val="36435A6D"/>
    <w:rsid w:val="39A16D33"/>
    <w:rsid w:val="3FCC262F"/>
    <w:rsid w:val="414B781E"/>
    <w:rsid w:val="439E2535"/>
    <w:rsid w:val="47934CAD"/>
    <w:rsid w:val="48FB3B13"/>
    <w:rsid w:val="4D2B5402"/>
    <w:rsid w:val="4F451D45"/>
    <w:rsid w:val="51621046"/>
    <w:rsid w:val="524C26DA"/>
    <w:rsid w:val="54843081"/>
    <w:rsid w:val="574A05B2"/>
    <w:rsid w:val="5E8C5B95"/>
    <w:rsid w:val="5F092B01"/>
    <w:rsid w:val="61612B49"/>
    <w:rsid w:val="62A145B3"/>
    <w:rsid w:val="669117B4"/>
    <w:rsid w:val="69D65CD5"/>
    <w:rsid w:val="6C2C7BAC"/>
    <w:rsid w:val="6C6530F9"/>
    <w:rsid w:val="6E1D6C76"/>
    <w:rsid w:val="70611C31"/>
    <w:rsid w:val="77884AB3"/>
    <w:rsid w:val="79B25E17"/>
    <w:rsid w:val="7EA80229"/>
    <w:rsid w:val="7FB70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iPriority="99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qFormat/>
    <w:uiPriority w:val="0"/>
    <w:pPr>
      <w:widowControl w:val="0"/>
      <w:ind w:firstLine="420"/>
      <w:jc w:val="both"/>
    </w:pPr>
    <w:rPr>
      <w:rFonts w:ascii="Calibri" w:hAnsi="Calibri" w:eastAsia="仿宋_GB2312" w:cs="宋体"/>
      <w:kern w:val="2"/>
      <w:sz w:val="32"/>
      <w:szCs w:val="21"/>
      <w:lang w:val="en-US" w:eastAsia="zh-CN" w:bidi="ar-SA"/>
    </w:rPr>
  </w:style>
  <w:style w:type="paragraph" w:styleId="3">
    <w:name w:val="Document Map"/>
    <w:basedOn w:val="1"/>
    <w:unhideWhenUsed/>
    <w:qFormat/>
    <w:uiPriority w:val="99"/>
    <w:rPr>
      <w:rFonts w:ascii="Microsoft YaHei UI" w:eastAsia="Microsoft YaHei UI"/>
      <w:sz w:val="18"/>
      <w:szCs w:val="18"/>
    </w:rPr>
  </w:style>
  <w:style w:type="paragraph" w:styleId="4">
    <w:name w:val="Body Text Indent"/>
    <w:basedOn w:val="1"/>
    <w:next w:val="2"/>
    <w:unhideWhenUsed/>
    <w:qFormat/>
    <w:uiPriority w:val="99"/>
    <w:pPr>
      <w:spacing w:after="120"/>
      <w:ind w:left="420" w:leftChars="200"/>
    </w:p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Body Text 2"/>
    <w:basedOn w:val="1"/>
    <w:next w:val="8"/>
    <w:qFormat/>
    <w:uiPriority w:val="0"/>
    <w:pPr>
      <w:ind w:firstLine="1840"/>
    </w:pPr>
    <w:rPr>
      <w:szCs w:val="24"/>
    </w:rPr>
  </w:style>
  <w:style w:type="paragraph" w:styleId="8">
    <w:name w:val="Body Text First Indent 2"/>
    <w:basedOn w:val="4"/>
    <w:next w:val="1"/>
    <w:unhideWhenUsed/>
    <w:qFormat/>
    <w:uiPriority w:val="99"/>
    <w:pPr>
      <w:ind w:firstLine="420" w:firstLineChars="200"/>
    </w:pPr>
  </w:style>
  <w:style w:type="table" w:styleId="10">
    <w:name w:val="Table Grid"/>
    <w:basedOn w:val="9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chart" Target="charts/chart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package" Target="../embeddings/Workbook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altLang="zh-CN"/>
              <a:t>1-8</a:t>
            </a:r>
            <a:r>
              <a:rPr altLang="en-US"/>
              <a:t>月批发、零售额情况表</a:t>
            </a:r>
            <a:endParaRPr lang="en-US" altLang="zh-CN"/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批发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Sheet1!$A$2:$A$9</c:f>
              <c:strCache>
                <c:ptCount val="8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</c:strCache>
            </c:strRef>
          </c:cat>
          <c:val>
            <c:numRef>
              <c:f>Sheet1!$B$2:$B$9</c:f>
              <c:numCache>
                <c:formatCode>General</c:formatCode>
                <c:ptCount val="8"/>
                <c:pt idx="0">
                  <c:v>0.62</c:v>
                </c:pt>
                <c:pt idx="1">
                  <c:v>0.86</c:v>
                </c:pt>
                <c:pt idx="2">
                  <c:v>0.13</c:v>
                </c:pt>
                <c:pt idx="3">
                  <c:v>0.18</c:v>
                </c:pt>
                <c:pt idx="4">
                  <c:v>0.71</c:v>
                </c:pt>
                <c:pt idx="5">
                  <c:v>0.4</c:v>
                </c:pt>
                <c:pt idx="6">
                  <c:v>0.38</c:v>
                </c:pt>
                <c:pt idx="7">
                  <c:v>0.46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零售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Sheet1!$A$2:$A$9</c:f>
              <c:strCache>
                <c:ptCount val="8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</c:strCache>
            </c:strRef>
          </c:cat>
          <c:val>
            <c:numRef>
              <c:f>Sheet1!$C$2:$C$9</c:f>
              <c:numCache>
                <c:formatCode>General</c:formatCode>
                <c:ptCount val="8"/>
                <c:pt idx="0">
                  <c:v>10.51</c:v>
                </c:pt>
                <c:pt idx="1">
                  <c:v>6.78</c:v>
                </c:pt>
                <c:pt idx="2">
                  <c:v>10.16</c:v>
                </c:pt>
                <c:pt idx="3">
                  <c:v>7.11</c:v>
                </c:pt>
                <c:pt idx="4">
                  <c:v>8.68</c:v>
                </c:pt>
                <c:pt idx="5">
                  <c:v>9.57</c:v>
                </c:pt>
                <c:pt idx="6">
                  <c:v>9.42</c:v>
                </c:pt>
                <c:pt idx="7">
                  <c:v>11.41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overlap val="0"/>
        <c:axId val="789313004"/>
        <c:axId val="852314270"/>
      </c:barChart>
      <c:catAx>
        <c:axId val="789313004"/>
        <c:scaling>
          <c:orientation val="minMax"/>
        </c:scaling>
        <c:delete val="0"/>
        <c:axPos val="b"/>
        <c:title>
          <c:tx>
            <c:rich>
              <a:bodyPr rot="0" spcFirstLastPara="0" vertOverflow="ellipsis" vert="horz" wrap="square" anchor="ctr" anchorCtr="1"/>
              <a:lstStyle/>
              <a:p>
                <a:pPr defTabSz="914400">
                  <a:defRPr lang="zh-CN"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t>单位：亿元</a:t>
                </a:r>
              </a:p>
            </c:rich>
          </c:tx>
          <c:layout>
            <c:manualLayout>
              <c:xMode val="edge"/>
              <c:yMode val="edge"/>
              <c:x val="0.771225"/>
              <c:y val="0.8685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852314270"/>
        <c:crosses val="autoZero"/>
        <c:auto val="1"/>
        <c:lblAlgn val="ctr"/>
        <c:lblOffset val="100"/>
        <c:noMultiLvlLbl val="0"/>
      </c:catAx>
      <c:valAx>
        <c:axId val="85231427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78931300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926</Words>
  <Characters>1229</Characters>
  <Lines>0</Lines>
  <Paragraphs>0</Paragraphs>
  <TotalTime>8</TotalTime>
  <ScaleCrop>false</ScaleCrop>
  <LinksUpToDate>false</LinksUpToDate>
  <CharactersWithSpaces>1280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2022-09-08T06:56:00Z</dcterms:created>
  <dc:creator>Administrator</dc:creator>
  <cp:lastModifiedBy>WPS_1644560306</cp:lastModifiedBy>
  <dcterms:modified xsi:type="dcterms:W3CDTF">2022-11-14T07:04:14Z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A5F16B7741D84624958C7A4FE79EC131</vt:lpwstr>
  </property>
</Properties>
</file>