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overflowPunct/>
        <w:topLinePunct w:val="0"/>
        <w:autoSpaceDE/>
        <w:autoSpaceDN/>
        <w:bidi w:val="0"/>
        <w:adjustRightInd/>
        <w:snapToGrid/>
        <w:spacing w:line="560" w:lineRule="exact"/>
        <w:jc w:val="both"/>
        <w:textAlignment w:val="auto"/>
        <w:outlineLvl w:val="9"/>
        <w:rPr>
          <w:rFonts w:hint="eastAsia" w:ascii="黑体" w:hAnsi="黑体" w:eastAsia="黑体" w:cs="黑体"/>
          <w:sz w:val="32"/>
          <w:szCs w:val="32"/>
        </w:rPr>
      </w:pPr>
      <w:bookmarkStart w:id="0" w:name="_GoBack"/>
      <w:bookmarkEnd w:id="0"/>
      <w:r>
        <w:rPr>
          <w:rFonts w:hint="eastAsia" w:ascii="黑体" w:hAnsi="黑体" w:eastAsia="黑体" w:cs="黑体"/>
          <w:sz w:val="32"/>
          <w:szCs w:val="32"/>
        </w:rPr>
        <w:t>附件 1</w:t>
      </w:r>
    </w:p>
    <w:p>
      <w:pPr>
        <w:keepNext w:val="0"/>
        <w:keepLines w:val="0"/>
        <w:pageBreakBefore w:val="0"/>
        <w:widowControl w:val="0"/>
        <w:kinsoku/>
        <w:overflowPunct/>
        <w:topLinePunct w:val="0"/>
        <w:autoSpaceDE/>
        <w:autoSpaceDN/>
        <w:bidi w:val="0"/>
        <w:adjustRightInd/>
        <w:snapToGrid/>
        <w:spacing w:line="560" w:lineRule="exact"/>
        <w:jc w:val="both"/>
        <w:textAlignment w:val="auto"/>
        <w:outlineLvl w:val="9"/>
        <w:rPr>
          <w:rFonts w:ascii="仿宋_GB2312" w:hAnsi="仿宋_GB2312" w:eastAsia="仿宋_GB2312" w:cs="仿宋_GB2312"/>
          <w:sz w:val="28"/>
          <w:szCs w:val="28"/>
        </w:rPr>
      </w:pPr>
    </w:p>
    <w:p>
      <w:pPr>
        <w:keepNext w:val="0"/>
        <w:keepLines w:val="0"/>
        <w:pageBreakBefore w:val="0"/>
        <w:widowControl w:val="0"/>
        <w:kinsoku/>
        <w:overflowPunct/>
        <w:topLinePunct w:val="0"/>
        <w:autoSpaceDE/>
        <w:autoSpaceDN/>
        <w:bidi w:val="0"/>
        <w:adjustRightInd/>
        <w:snapToGrid/>
        <w:spacing w:line="560" w:lineRule="exact"/>
        <w:jc w:val="center"/>
        <w:textAlignment w:val="auto"/>
        <w:outlineLvl w:val="9"/>
        <w:rPr>
          <w:rFonts w:hint="eastAsia" w:ascii="方正小标宋简体" w:hAnsi="方正小标宋简体" w:eastAsia="方正小标宋简体" w:cs="方正小标宋简体"/>
          <w:b w:val="0"/>
          <w:bCs w:val="0"/>
          <w:sz w:val="44"/>
          <w:szCs w:val="44"/>
        </w:rPr>
      </w:pPr>
      <w:r>
        <w:rPr>
          <w:rFonts w:hint="eastAsia" w:ascii="方正小标宋简体" w:hAnsi="方正小标宋简体" w:eastAsia="方正小标宋简体" w:cs="方正小标宋简体"/>
          <w:b w:val="0"/>
          <w:bCs w:val="0"/>
          <w:sz w:val="44"/>
          <w:szCs w:val="44"/>
        </w:rPr>
        <w:t>告知单</w:t>
      </w:r>
    </w:p>
    <w:p>
      <w:pPr>
        <w:keepNext w:val="0"/>
        <w:keepLines w:val="0"/>
        <w:pageBreakBefore w:val="0"/>
        <w:widowControl w:val="0"/>
        <w:kinsoku/>
        <w:overflowPunct/>
        <w:topLinePunct w:val="0"/>
        <w:autoSpaceDE/>
        <w:autoSpaceDN/>
        <w:bidi w:val="0"/>
        <w:adjustRightInd/>
        <w:snapToGrid/>
        <w:spacing w:line="560" w:lineRule="exact"/>
        <w:jc w:val="both"/>
        <w:textAlignment w:val="auto"/>
        <w:outlineLvl w:val="9"/>
        <w:rPr>
          <w:rFonts w:ascii="仿宋_GB2312" w:hAnsi="仿宋_GB2312" w:eastAsia="仿宋_GB2312" w:cs="仿宋_GB2312"/>
          <w:sz w:val="32"/>
          <w:szCs w:val="32"/>
        </w:rPr>
      </w:pPr>
    </w:p>
    <w:p>
      <w:pPr>
        <w:keepNext w:val="0"/>
        <w:keepLines w:val="0"/>
        <w:pageBreakBefore w:val="0"/>
        <w:widowControl w:val="0"/>
        <w:kinsoku/>
        <w:overflowPunct/>
        <w:topLinePunct w:val="0"/>
        <w:autoSpaceDE/>
        <w:autoSpaceDN/>
        <w:bidi w:val="0"/>
        <w:adjustRightInd/>
        <w:snapToGrid/>
        <w:spacing w:line="560" w:lineRule="exact"/>
        <w:jc w:val="both"/>
        <w:textAlignment w:val="auto"/>
        <w:outlineLvl w:val="9"/>
        <w:rPr>
          <w:rFonts w:ascii="仿宋_GB2312" w:hAnsi="仿宋_GB2312" w:eastAsia="仿宋_GB2312" w:cs="仿宋_GB2312"/>
          <w:sz w:val="32"/>
          <w:szCs w:val="32"/>
          <w:u w:val="single"/>
        </w:rPr>
      </w:pPr>
      <w:r>
        <w:rPr>
          <w:rFonts w:hint="eastAsia" w:ascii="仿宋_GB2312" w:hAnsi="仿宋_GB2312" w:eastAsia="仿宋_GB2312" w:cs="仿宋_GB2312"/>
          <w:sz w:val="32"/>
          <w:szCs w:val="32"/>
          <w:u w:val="single"/>
        </w:rPr>
        <w:t xml:space="preserve">                    ：</w:t>
      </w:r>
    </w:p>
    <w:p>
      <w:pPr>
        <w:keepNext w:val="0"/>
        <w:keepLines w:val="0"/>
        <w:pageBreakBefore w:val="0"/>
        <w:widowControl w:val="0"/>
        <w:kinsoku/>
        <w:overflowPunct/>
        <w:topLinePunct w:val="0"/>
        <w:autoSpaceDE/>
        <w:autoSpaceDN/>
        <w:bidi w:val="0"/>
        <w:adjustRightInd/>
        <w:snapToGrid/>
        <w:spacing w:line="560" w:lineRule="exact"/>
        <w:jc w:val="both"/>
        <w:textAlignment w:val="auto"/>
        <w:outlineLvl w:val="9"/>
        <w:rPr>
          <w:rFonts w:ascii="仿宋_GB2312" w:hAnsi="仿宋_GB2312" w:eastAsia="仿宋_GB2312" w:cs="仿宋_GB2312"/>
          <w:sz w:val="32"/>
          <w:szCs w:val="32"/>
          <w:u w:val="single"/>
        </w:rPr>
      </w:pPr>
    </w:p>
    <w:p>
      <w:pPr>
        <w:keepNext w:val="0"/>
        <w:keepLines w:val="0"/>
        <w:pageBreakBefore w:val="0"/>
        <w:widowControl w:val="0"/>
        <w:kinsoku/>
        <w:overflowPunct/>
        <w:topLinePunct w:val="0"/>
        <w:autoSpaceDE/>
        <w:autoSpaceDN/>
        <w:bidi w:val="0"/>
        <w:adjustRightInd/>
        <w:snapToGrid/>
        <w:spacing w:line="560" w:lineRule="exact"/>
        <w:ind w:firstLine="960" w:firstLineChars="300"/>
        <w:jc w:val="both"/>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sz w:val="32"/>
          <w:szCs w:val="32"/>
        </w:rPr>
        <w:t>经核，你单位所属的</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rPr>
        <w:t>年建筑玻璃幕墙于</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rPr>
        <w:t>竣工。按照上海市人民政府第</w:t>
      </w:r>
      <w:r>
        <w:rPr>
          <w:rFonts w:hint="eastAsia" w:ascii="仿宋_GB2312" w:hAnsi="仿宋_GB2312" w:eastAsia="仿宋_GB2312" w:cs="仿宋_GB2312"/>
          <w:sz w:val="32"/>
          <w:szCs w:val="32"/>
          <w:lang w:val="en-US" w:eastAsia="zh-CN"/>
        </w:rPr>
        <w:t>77</w:t>
      </w:r>
      <w:r>
        <w:rPr>
          <w:rFonts w:hint="eastAsia" w:ascii="仿宋_GB2312" w:hAnsi="仿宋_GB2312" w:eastAsia="仿宋_GB2312" w:cs="仿宋_GB2312"/>
          <w:sz w:val="32"/>
          <w:szCs w:val="32"/>
        </w:rPr>
        <w:t>号令《上海市建筑玻璃幕墙管理办法》规定</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幕墙工程在竣工验收一年后的规定期限里必须做相应的定期检查并将检查结果资料报建设行政管理部门备案。</w:t>
      </w:r>
    </w:p>
    <w:p>
      <w:pPr>
        <w:keepNext w:val="0"/>
        <w:keepLines w:val="0"/>
        <w:pageBreakBefore w:val="0"/>
        <w:widowControl w:val="0"/>
        <w:kinsoku/>
        <w:overflowPunct/>
        <w:topLinePunct w:val="0"/>
        <w:autoSpaceDE/>
        <w:autoSpaceDN/>
        <w:bidi w:val="0"/>
        <w:adjustRightInd/>
        <w:snapToGrid/>
        <w:spacing w:line="560" w:lineRule="exact"/>
        <w:ind w:firstLine="960" w:firstLineChars="300"/>
        <w:jc w:val="both"/>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请你单位接本告知后按规定在 </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rPr>
        <w:t>日前将定期检查结果资料上传至“上海市建筑幕墙管理平台”(www.yunmuqiang.com)备案核查。</w:t>
      </w:r>
    </w:p>
    <w:p>
      <w:pPr>
        <w:keepNext w:val="0"/>
        <w:keepLines w:val="0"/>
        <w:pageBreakBefore w:val="0"/>
        <w:widowControl w:val="0"/>
        <w:kinsoku/>
        <w:overflowPunct/>
        <w:topLinePunct w:val="0"/>
        <w:autoSpaceDE/>
        <w:autoSpaceDN/>
        <w:bidi w:val="0"/>
        <w:adjustRightInd/>
        <w:snapToGrid/>
        <w:spacing w:line="560" w:lineRule="exact"/>
        <w:ind w:firstLine="960" w:firstLineChars="300"/>
        <w:jc w:val="both"/>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sz w:val="32"/>
          <w:szCs w:val="32"/>
        </w:rPr>
        <w:t>如你单位收到本告知时还未作规定的相应定期检查，须限期作出安排定期检查书面承诺交我委。</w:t>
      </w:r>
    </w:p>
    <w:p>
      <w:pPr>
        <w:keepNext w:val="0"/>
        <w:keepLines w:val="0"/>
        <w:pageBreakBefore w:val="0"/>
        <w:widowControl w:val="0"/>
        <w:kinsoku/>
        <w:overflowPunct/>
        <w:topLinePunct w:val="0"/>
        <w:autoSpaceDE/>
        <w:autoSpaceDN/>
        <w:bidi w:val="0"/>
        <w:adjustRightInd/>
        <w:snapToGrid/>
        <w:spacing w:line="560" w:lineRule="exact"/>
        <w:ind w:firstLine="960" w:firstLineChars="300"/>
        <w:jc w:val="both"/>
        <w:textAlignment w:val="auto"/>
        <w:outlineLvl w:val="9"/>
        <w:rPr>
          <w:rFonts w:ascii="仿宋_GB2312" w:hAnsi="仿宋_GB2312" w:eastAsia="仿宋_GB2312" w:cs="仿宋_GB2312"/>
          <w:sz w:val="32"/>
          <w:szCs w:val="32"/>
        </w:rPr>
      </w:pPr>
    </w:p>
    <w:p>
      <w:pPr>
        <w:keepNext w:val="0"/>
        <w:keepLines w:val="0"/>
        <w:pageBreakBefore w:val="0"/>
        <w:widowControl w:val="0"/>
        <w:kinsoku/>
        <w:overflowPunct/>
        <w:topLinePunct w:val="0"/>
        <w:autoSpaceDE/>
        <w:autoSpaceDN/>
        <w:bidi w:val="0"/>
        <w:adjustRightInd/>
        <w:snapToGrid/>
        <w:spacing w:line="560" w:lineRule="exact"/>
        <w:ind w:firstLine="960" w:firstLineChars="300"/>
        <w:jc w:val="both"/>
        <w:textAlignment w:val="auto"/>
        <w:outlineLvl w:val="9"/>
        <w:rPr>
          <w:rFonts w:ascii="仿宋_GB2312" w:hAnsi="仿宋_GB2312" w:eastAsia="仿宋_GB2312" w:cs="仿宋_GB2312"/>
          <w:sz w:val="32"/>
          <w:szCs w:val="32"/>
        </w:rPr>
      </w:pPr>
    </w:p>
    <w:p>
      <w:pPr>
        <w:keepNext w:val="0"/>
        <w:keepLines w:val="0"/>
        <w:pageBreakBefore w:val="0"/>
        <w:widowControl w:val="0"/>
        <w:kinsoku/>
        <w:overflowPunct/>
        <w:topLinePunct w:val="0"/>
        <w:autoSpaceDE/>
        <w:autoSpaceDN/>
        <w:bidi w:val="0"/>
        <w:adjustRightInd/>
        <w:snapToGrid/>
        <w:spacing w:line="560" w:lineRule="exact"/>
        <w:ind w:firstLine="960" w:firstLineChars="300"/>
        <w:jc w:val="both"/>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上海市崇明区建设和管理委员会</w:t>
      </w:r>
    </w:p>
    <w:p>
      <w:pPr>
        <w:keepNext w:val="0"/>
        <w:keepLines w:val="0"/>
        <w:pageBreakBefore w:val="0"/>
        <w:widowControl w:val="0"/>
        <w:kinsoku/>
        <w:overflowPunct/>
        <w:topLinePunct w:val="0"/>
        <w:autoSpaceDE/>
        <w:autoSpaceDN/>
        <w:bidi w:val="0"/>
        <w:adjustRightInd/>
        <w:snapToGrid/>
        <w:spacing w:line="560" w:lineRule="exact"/>
        <w:ind w:firstLine="960" w:firstLineChars="300"/>
        <w:jc w:val="both"/>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               </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2023年10月9日</w:t>
      </w:r>
    </w:p>
    <w:p>
      <w:pPr>
        <w:keepNext w:val="0"/>
        <w:keepLines w:val="0"/>
        <w:pageBreakBefore w:val="0"/>
        <w:widowControl w:val="0"/>
        <w:kinsoku/>
        <w:overflowPunct/>
        <w:topLinePunct w:val="0"/>
        <w:autoSpaceDE/>
        <w:autoSpaceDN/>
        <w:bidi w:val="0"/>
        <w:adjustRightInd/>
        <w:snapToGrid/>
        <w:spacing w:line="560" w:lineRule="exact"/>
        <w:ind w:firstLine="840" w:firstLineChars="300"/>
        <w:jc w:val="both"/>
        <w:textAlignment w:val="auto"/>
        <w:outlineLvl w:val="9"/>
        <w:rPr>
          <w:rFonts w:ascii="仿宋_GB2312" w:hAnsi="仿宋_GB2312" w:eastAsia="仿宋_GB2312" w:cs="仿宋_GB2312"/>
          <w:sz w:val="28"/>
          <w:szCs w:val="28"/>
        </w:rPr>
      </w:pPr>
    </w:p>
    <w:p>
      <w:pPr>
        <w:keepNext w:val="0"/>
        <w:keepLines w:val="0"/>
        <w:pageBreakBefore w:val="0"/>
        <w:widowControl w:val="0"/>
        <w:kinsoku/>
        <w:overflowPunct/>
        <w:topLinePunct w:val="0"/>
        <w:autoSpaceDE/>
        <w:autoSpaceDN/>
        <w:bidi w:val="0"/>
        <w:adjustRightInd/>
        <w:snapToGrid/>
        <w:spacing w:line="560" w:lineRule="exact"/>
        <w:jc w:val="both"/>
        <w:textAlignment w:val="auto"/>
        <w:outlineLvl w:val="9"/>
        <w:rPr>
          <w:rFonts w:ascii="仿宋_GB2312" w:hAnsi="仿宋_GB2312" w:eastAsia="仿宋_GB2312" w:cs="仿宋_GB2312"/>
          <w:sz w:val="28"/>
          <w:szCs w:val="28"/>
        </w:rPr>
      </w:pP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outlineLvl w:val="9"/>
        <w:rPr>
          <w:rFonts w:hint="eastAsia" w:ascii="黑体" w:hAnsi="黑体" w:eastAsia="黑体" w:cs="黑体"/>
          <w:sz w:val="32"/>
          <w:szCs w:val="32"/>
        </w:rPr>
      </w:pPr>
    </w:p>
    <w:p>
      <w:pPr>
        <w:keepNext w:val="0"/>
        <w:keepLines w:val="0"/>
        <w:pageBreakBefore w:val="0"/>
        <w:widowControl w:val="0"/>
        <w:kinsoku/>
        <w:wordWrap/>
        <w:overflowPunct/>
        <w:topLinePunct w:val="0"/>
        <w:autoSpaceDE/>
        <w:autoSpaceDN/>
        <w:bidi w:val="0"/>
        <w:adjustRightInd/>
        <w:snapToGrid/>
        <w:spacing w:line="520" w:lineRule="exact"/>
        <w:jc w:val="both"/>
        <w:textAlignment w:val="auto"/>
        <w:outlineLvl w:val="9"/>
        <w:rPr>
          <w:rFonts w:hint="eastAsia" w:ascii="黑体" w:hAnsi="黑体" w:eastAsia="黑体" w:cs="黑体"/>
          <w:sz w:val="32"/>
          <w:szCs w:val="32"/>
        </w:rPr>
      </w:pPr>
      <w:r>
        <w:rPr>
          <w:rFonts w:hint="eastAsia" w:ascii="黑体" w:hAnsi="黑体" w:eastAsia="黑体" w:cs="黑体"/>
          <w:sz w:val="32"/>
          <w:szCs w:val="32"/>
        </w:rPr>
        <w:t>附件 2</w:t>
      </w:r>
    </w:p>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ascii="仿宋_GB2312" w:hAnsi="仿宋_GB2312" w:eastAsia="仿宋_GB2312" w:cs="仿宋_GB2312"/>
          <w:sz w:val="32"/>
          <w:szCs w:val="32"/>
        </w:rPr>
      </w:pPr>
      <w:r>
        <w:rPr>
          <w:rFonts w:hint="eastAsia" w:ascii="方正小标宋简体" w:hAnsi="方正小标宋简体" w:eastAsia="方正小标宋简体" w:cs="方正小标宋简体"/>
          <w:b w:val="0"/>
          <w:bCs w:val="0"/>
          <w:sz w:val="44"/>
          <w:szCs w:val="44"/>
        </w:rPr>
        <w:t>玻璃幕墙安全使用维护责任须知</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sz w:val="32"/>
          <w:szCs w:val="32"/>
        </w:rPr>
        <w:t>根据</w:t>
      </w:r>
      <w:r>
        <w:rPr>
          <w:rFonts w:hint="eastAsia" w:ascii="仿宋_GB2312" w:hAnsi="仿宋_GB2312" w:eastAsia="仿宋_GB2312" w:cs="仿宋_GB2312"/>
          <w:sz w:val="32"/>
          <w:szCs w:val="32"/>
          <w:lang w:val="en-US" w:eastAsia="zh-CN"/>
        </w:rPr>
        <w:t>2012</w:t>
      </w:r>
      <w:r>
        <w:rPr>
          <w:rFonts w:hint="eastAsia" w:ascii="仿宋_GB2312" w:hAnsi="仿宋_GB2312" w:eastAsia="仿宋_GB2312" w:cs="仿宋_GB2312"/>
          <w:sz w:val="32"/>
          <w:szCs w:val="32"/>
        </w:rPr>
        <w:t>年2月1日起施行的上海市人民政府第</w:t>
      </w:r>
      <w:r>
        <w:rPr>
          <w:rFonts w:hint="eastAsia" w:ascii="仿宋_GB2312" w:hAnsi="仿宋_GB2312" w:eastAsia="仿宋_GB2312" w:cs="仿宋_GB2312"/>
          <w:sz w:val="32"/>
          <w:szCs w:val="32"/>
          <w:lang w:val="en-US" w:eastAsia="zh-CN"/>
        </w:rPr>
        <w:t>77</w:t>
      </w:r>
      <w:r>
        <w:rPr>
          <w:rFonts w:hint="eastAsia" w:ascii="仿宋_GB2312" w:hAnsi="仿宋_GB2312" w:eastAsia="仿宋_GB2312" w:cs="仿宋_GB2312"/>
          <w:sz w:val="32"/>
          <w:szCs w:val="32"/>
        </w:rPr>
        <w:t>号令</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上海市建筑玻璃幕墙管理办法规定</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，建筑物的业主是建筑玻璃幕墙的安全使用维护的责任人</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业主或者受委托的物业服务单位，应当按照规定要求，对玻璃幕墙承担以下安全使用维护责任。</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outlineLvl w:val="9"/>
        <w:rPr>
          <w:rFonts w:hint="eastAsia" w:ascii="黑体" w:hAnsi="黑体" w:eastAsia="黑体" w:cs="黑体"/>
          <w:sz w:val="32"/>
          <w:szCs w:val="32"/>
        </w:rPr>
      </w:pPr>
      <w:r>
        <w:rPr>
          <w:rFonts w:hint="eastAsia" w:ascii="黑体" w:hAnsi="黑体" w:eastAsia="黑体" w:cs="黑体"/>
          <w:sz w:val="32"/>
          <w:szCs w:val="32"/>
        </w:rPr>
        <w:t>一、定期检查</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sz w:val="32"/>
          <w:szCs w:val="32"/>
          <w:lang w:eastAsia="zh-CN"/>
        </w:rPr>
        <w:t>（一）</w:t>
      </w:r>
      <w:r>
        <w:rPr>
          <w:rFonts w:hint="eastAsia" w:ascii="仿宋_GB2312" w:hAnsi="仿宋_GB2312" w:eastAsia="仿宋_GB2312" w:cs="仿宋_GB2312"/>
          <w:sz w:val="32"/>
          <w:szCs w:val="32"/>
        </w:rPr>
        <w:t>玻璃幕墙工程竣工验收</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年后，每</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年进行一次检查;</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sz w:val="32"/>
          <w:szCs w:val="32"/>
          <w:lang w:eastAsia="zh-CN"/>
        </w:rPr>
        <w:t>（二）</w:t>
      </w:r>
      <w:r>
        <w:rPr>
          <w:rFonts w:hint="eastAsia" w:ascii="仿宋_GB2312" w:hAnsi="仿宋_GB2312" w:eastAsia="仿宋_GB2312" w:cs="仿宋_GB2312"/>
          <w:sz w:val="32"/>
          <w:szCs w:val="32"/>
        </w:rPr>
        <w:t>对采用结构粘接装配的玻璃幕墙工程，交付使用满</w:t>
      </w:r>
      <w:r>
        <w:rPr>
          <w:rFonts w:hint="eastAsia" w:ascii="仿宋_GB2312" w:hAnsi="仿宋_GB2312" w:eastAsia="仿宋_GB2312" w:cs="仿宋_GB2312"/>
          <w:sz w:val="32"/>
          <w:szCs w:val="32"/>
          <w:lang w:val="en-US" w:eastAsia="zh-CN"/>
        </w:rPr>
        <w:t>10</w:t>
      </w:r>
      <w:r>
        <w:rPr>
          <w:rFonts w:hint="eastAsia" w:ascii="仿宋_GB2312" w:hAnsi="仿宋_GB2312" w:eastAsia="仿宋_GB2312" w:cs="仿宋_GB2312"/>
          <w:sz w:val="32"/>
          <w:szCs w:val="32"/>
        </w:rPr>
        <w:t>年的，对该工程不同部位的硅酮结构密封胶进行粘接性能的抽样检查，此后每</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年进行一次检查;</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（三）</w:t>
      </w:r>
      <w:r>
        <w:rPr>
          <w:rFonts w:hint="eastAsia" w:ascii="仿宋_GB2312" w:hAnsi="仿宋_GB2312" w:eastAsia="仿宋_GB2312" w:cs="仿宋_GB2312"/>
          <w:sz w:val="32"/>
          <w:szCs w:val="32"/>
        </w:rPr>
        <w:t>对采用拉杆或者拉索的玻璃幕墙工程，竣工后每</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年检查一次</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sz w:val="32"/>
          <w:szCs w:val="32"/>
          <w:lang w:eastAsia="zh-CN"/>
        </w:rPr>
        <w:t>（四）</w:t>
      </w:r>
      <w:r>
        <w:rPr>
          <w:rFonts w:hint="eastAsia" w:ascii="仿宋_GB2312" w:hAnsi="仿宋_GB2312" w:eastAsia="仿宋_GB2312" w:cs="仿宋_GB2312"/>
          <w:sz w:val="32"/>
          <w:szCs w:val="32"/>
        </w:rPr>
        <w:t>对超过设计使用年限仍继续使用的玻璃幕墙，每年进行一次检查。</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outlineLvl w:val="9"/>
        <w:rPr>
          <w:rFonts w:hint="eastAsia" w:ascii="黑体" w:hAnsi="黑体" w:eastAsia="黑体" w:cs="黑体"/>
          <w:sz w:val="32"/>
          <w:szCs w:val="32"/>
        </w:rPr>
      </w:pPr>
      <w:r>
        <w:rPr>
          <w:rFonts w:hint="eastAsia" w:ascii="黑体" w:hAnsi="黑体" w:eastAsia="黑体" w:cs="黑体"/>
          <w:sz w:val="32"/>
          <w:szCs w:val="32"/>
        </w:rPr>
        <w:t>二、安全性鉴定</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sz w:val="32"/>
          <w:szCs w:val="32"/>
        </w:rPr>
        <w:t>既有玻璃幕墙有下列情形之一的，业主应当委托具有玻璃幕墙检测资质的单位进行安全性鉴定，进行安全性鉴定的单位应当出具鉴定结论:</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sz w:val="32"/>
          <w:szCs w:val="32"/>
          <w:lang w:eastAsia="zh-CN"/>
        </w:rPr>
        <w:t>（一）</w:t>
      </w:r>
      <w:r>
        <w:rPr>
          <w:rFonts w:hint="eastAsia" w:ascii="仿宋_GB2312" w:hAnsi="仿宋_GB2312" w:eastAsia="仿宋_GB2312" w:cs="仿宋_GB2312"/>
          <w:sz w:val="32"/>
          <w:szCs w:val="32"/>
        </w:rPr>
        <w:t>面板、连接构件，局部幕墙等出现异常变形、脱落、爆裂现象；</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sz w:val="32"/>
          <w:szCs w:val="32"/>
          <w:lang w:eastAsia="zh-CN"/>
        </w:rPr>
        <w:t>（二）</w:t>
      </w:r>
      <w:r>
        <w:rPr>
          <w:rFonts w:hint="eastAsia" w:ascii="仿宋_GB2312" w:hAnsi="仿宋_GB2312" w:eastAsia="仿宋_GB2312" w:cs="仿宋_GB2312"/>
          <w:sz w:val="32"/>
          <w:szCs w:val="32"/>
        </w:rPr>
        <w:t>遭受台风、雷击、火灾，爆炸等自然灾害或者突发事故而造成损坏的;</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（三）</w:t>
      </w:r>
      <w:r>
        <w:rPr>
          <w:rFonts w:hint="eastAsia" w:ascii="仿宋_GB2312" w:hAnsi="仿宋_GB2312" w:eastAsia="仿宋_GB2312" w:cs="仿宋_GB2312"/>
          <w:sz w:val="32"/>
          <w:szCs w:val="32"/>
        </w:rPr>
        <w:t>相关建筑主体结构经检测，鉴定存在安全隐患的</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sz w:val="32"/>
          <w:szCs w:val="32"/>
          <w:lang w:eastAsia="zh-CN"/>
        </w:rPr>
        <w:t>（四）</w:t>
      </w:r>
      <w:r>
        <w:rPr>
          <w:rFonts w:hint="eastAsia" w:ascii="仿宋_GB2312" w:hAnsi="仿宋_GB2312" w:eastAsia="仿宋_GB2312" w:cs="仿宋_GB2312"/>
          <w:sz w:val="32"/>
          <w:szCs w:val="32"/>
        </w:rPr>
        <w:t>超过设计使用年限但需要继续使用的;</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sz w:val="32"/>
          <w:szCs w:val="32"/>
          <w:lang w:eastAsia="zh-CN"/>
        </w:rPr>
        <w:t>（五）</w:t>
      </w:r>
      <w:r>
        <w:rPr>
          <w:rFonts w:hint="eastAsia" w:ascii="仿宋_GB2312" w:hAnsi="仿宋_GB2312" w:eastAsia="仿宋_GB2312" w:cs="仿宋_GB2312"/>
          <w:sz w:val="32"/>
          <w:szCs w:val="32"/>
        </w:rPr>
        <w:t>需要进行安全性鉴定的其他情形。</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outlineLvl w:val="9"/>
        <w:rPr>
          <w:rFonts w:hint="eastAsia" w:ascii="黑体" w:hAnsi="黑体" w:eastAsia="黑体" w:cs="黑体"/>
          <w:sz w:val="32"/>
          <w:szCs w:val="32"/>
        </w:rPr>
      </w:pPr>
      <w:r>
        <w:rPr>
          <w:rFonts w:hint="eastAsia" w:ascii="黑体" w:hAnsi="黑体" w:eastAsia="黑体" w:cs="黑体"/>
          <w:sz w:val="32"/>
          <w:szCs w:val="32"/>
        </w:rPr>
        <w:t>三、维修</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（一）</w:t>
      </w:r>
      <w:r>
        <w:rPr>
          <w:rFonts w:hint="eastAsia" w:ascii="仿宋_GB2312" w:hAnsi="仿宋_GB2312" w:eastAsia="仿宋_GB2312" w:cs="仿宋_GB2312"/>
          <w:sz w:val="32"/>
          <w:szCs w:val="32"/>
        </w:rPr>
        <w:t>经检查，安全性鉴定发现玻璃幕墙存在安全隐患的，业主应当及时委托原施工单位或者其他有玻璃幕墙施工资质的单位进行维修</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（二）</w:t>
      </w:r>
      <w:r>
        <w:rPr>
          <w:rFonts w:hint="eastAsia" w:ascii="仿宋_GB2312" w:hAnsi="仿宋_GB2312" w:eastAsia="仿宋_GB2312" w:cs="仿宋_GB2312"/>
          <w:sz w:val="32"/>
          <w:szCs w:val="32"/>
        </w:rPr>
        <w:t>对玻璃幕墙进行定期检查、维修的施工单位，必须将玻璃幕墙定期检查、维修的相关技术资料，移交给业主</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（三）</w:t>
      </w:r>
      <w:r>
        <w:rPr>
          <w:rFonts w:hint="eastAsia" w:ascii="仿宋_GB2312" w:hAnsi="仿宋_GB2312" w:eastAsia="仿宋_GB2312" w:cs="仿宋_GB2312"/>
          <w:sz w:val="32"/>
          <w:szCs w:val="32"/>
        </w:rPr>
        <w:t>建筑物业主应当于每年10月将当年玻璃幕墙定期检查、安全性鉴定、维修以及采取防护措施等情况的技术资料，报区建管委备案</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outlineLvl w:val="9"/>
        <w:rPr>
          <w:rFonts w:hint="eastAsia" w:ascii="黑体" w:hAnsi="黑体" w:eastAsia="黑体" w:cs="黑体"/>
          <w:sz w:val="32"/>
          <w:szCs w:val="32"/>
        </w:rPr>
      </w:pPr>
      <w:r>
        <w:rPr>
          <w:rFonts w:hint="eastAsia" w:ascii="黑体" w:hAnsi="黑体" w:eastAsia="黑体" w:cs="黑体"/>
          <w:sz w:val="32"/>
          <w:szCs w:val="32"/>
        </w:rPr>
        <w:t>四、日常维护保养</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（一）</w:t>
      </w:r>
      <w:r>
        <w:rPr>
          <w:rFonts w:hint="eastAsia" w:ascii="仿宋_GB2312" w:hAnsi="仿宋_GB2312" w:eastAsia="仿宋_GB2312" w:cs="仿宋_GB2312"/>
          <w:sz w:val="32"/>
          <w:szCs w:val="32"/>
        </w:rPr>
        <w:t>建筑物业主作为建筑玻璃幕墙安全使用维护责任人应当自行或者委托有关单位加强对建筑玻璃幕墙的幕墙玻璃、密封胶条、开启窗、五金连接件等方面全面检查和日常巡检，并做好相应检查记录台帐</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sz w:val="32"/>
          <w:szCs w:val="32"/>
          <w:lang w:eastAsia="zh-CN"/>
        </w:rPr>
        <w:t>（二）</w:t>
      </w:r>
      <w:r>
        <w:rPr>
          <w:rFonts w:hint="eastAsia" w:ascii="仿宋_GB2312" w:hAnsi="仿宋_GB2312" w:eastAsia="仿宋_GB2312" w:cs="仿宋_GB2312"/>
          <w:sz w:val="32"/>
          <w:szCs w:val="32"/>
        </w:rPr>
        <w:t>加强对维护保养工作人员的培训，建立应急处置预案，明确岗位责任制度，加强应急处置演练。发现玻璃幕墙损坏或存在安全隐患的，应采取相应措施消除隐患。</w:t>
      </w:r>
    </w:p>
    <w:p>
      <w:pPr>
        <w:keepNext w:val="0"/>
        <w:keepLines w:val="0"/>
        <w:pageBreakBefore w:val="0"/>
        <w:widowControl w:val="0"/>
        <w:kinsoku/>
        <w:wordWrap/>
        <w:overflowPunct/>
        <w:topLinePunct w:val="0"/>
        <w:autoSpaceDE/>
        <w:autoSpaceDN/>
        <w:bidi w:val="0"/>
        <w:adjustRightInd/>
        <w:snapToGrid/>
        <w:spacing w:line="520" w:lineRule="exact"/>
        <w:jc w:val="both"/>
        <w:textAlignment w:val="auto"/>
        <w:outlineLvl w:val="9"/>
        <w:rPr>
          <w:rFonts w:ascii="仿宋_GB2312" w:hAnsi="仿宋_GB2312" w:eastAsia="仿宋_GB2312" w:cs="仿宋_GB2312"/>
          <w:b/>
          <w:bCs/>
          <w:sz w:val="32"/>
          <w:szCs w:val="32"/>
          <w:u w:val="single"/>
        </w:rPr>
      </w:pPr>
      <w:r>
        <w:rPr>
          <w:rFonts w:hint="eastAsia" w:ascii="仿宋_GB2312" w:hAnsi="仿宋_GB2312" w:eastAsia="仿宋_GB2312" w:cs="仿宋_GB2312"/>
          <w:sz w:val="32"/>
          <w:szCs w:val="32"/>
        </w:rPr>
        <w:t xml:space="preserve">请在确认以上告知事项后确认签收!    </w:t>
      </w:r>
      <w:r>
        <w:rPr>
          <w:rFonts w:hint="eastAsia" w:ascii="仿宋_GB2312" w:hAnsi="仿宋_GB2312" w:eastAsia="仿宋_GB2312" w:cs="仿宋_GB2312"/>
          <w:b/>
          <w:bCs/>
          <w:sz w:val="32"/>
          <w:szCs w:val="32"/>
        </w:rPr>
        <w:t>签收人：</w:t>
      </w:r>
      <w:r>
        <w:rPr>
          <w:rFonts w:hint="eastAsia" w:ascii="仿宋_GB2312" w:hAnsi="仿宋_GB2312" w:eastAsia="仿宋_GB2312" w:cs="仿宋_GB2312"/>
          <w:b/>
          <w:bCs/>
          <w:sz w:val="32"/>
          <w:szCs w:val="32"/>
          <w:u w:val="single"/>
        </w:rPr>
        <w:t xml:space="preserve">          </w:t>
      </w:r>
    </w:p>
    <w:p>
      <w:pPr>
        <w:keepNext w:val="0"/>
        <w:keepLines w:val="0"/>
        <w:pageBreakBefore w:val="0"/>
        <w:widowControl w:val="0"/>
        <w:kinsoku/>
        <w:wordWrap/>
        <w:overflowPunct/>
        <w:topLinePunct w:val="0"/>
        <w:autoSpaceDE/>
        <w:autoSpaceDN/>
        <w:bidi w:val="0"/>
        <w:adjustRightInd/>
        <w:snapToGrid/>
        <w:spacing w:line="520" w:lineRule="exact"/>
        <w:jc w:val="both"/>
        <w:textAlignment w:val="auto"/>
        <w:outlineLvl w:val="9"/>
        <w:rPr>
          <w:rFonts w:ascii="仿宋_GB2312" w:hAnsi="仿宋_GB2312" w:eastAsia="仿宋_GB2312" w:cs="仿宋_GB2312"/>
          <w:sz w:val="32"/>
          <w:szCs w:val="32"/>
        </w:rPr>
      </w:pPr>
    </w:p>
    <w:sectPr>
      <w:pgSz w:w="11906" w:h="16838"/>
      <w:pgMar w:top="2098" w:right="1474" w:bottom="1984"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swiss"/>
    <w:pitch w:val="default"/>
    <w:sig w:usb0="E0002AFF" w:usb1="C0007841" w:usb2="00000009" w:usb3="00000000" w:csb0="400001FF" w:csb1="FFFF0000"/>
  </w:font>
  <w:font w:name="宋体">
    <w:panose1 w:val="02010600030101010101"/>
    <w:charset w:val="CC"/>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DDFFD5E1"/>
    <w:rsid w:val="0018083C"/>
    <w:rsid w:val="0033491B"/>
    <w:rsid w:val="00E46738"/>
    <w:rsid w:val="0FF71094"/>
    <w:rsid w:val="196D1215"/>
    <w:rsid w:val="20102323"/>
    <w:rsid w:val="30F10024"/>
    <w:rsid w:val="3F9E691D"/>
    <w:rsid w:val="56F31A9D"/>
    <w:rsid w:val="6BE94E3B"/>
    <w:rsid w:val="6EAF25FE"/>
    <w:rsid w:val="DDFFD5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2">
    <w:name w:val="Default Paragraph Font"/>
    <w:semiHidden/>
    <w:unhideWhenUsed/>
    <w:qFormat/>
    <w:uiPriority w:val="1"/>
  </w:style>
  <w:style w:type="table" w:default="1" w:styleId="3">
    <w:name w:val="Normal Table"/>
    <w:semiHidden/>
    <w:unhideWhenUsed/>
    <w:qFormat/>
    <w:uiPriority w:val="99"/>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7</Pages>
  <Words>462</Words>
  <Characters>2637</Characters>
  <Lines>21</Lines>
  <Paragraphs>6</Paragraphs>
  <TotalTime>10</TotalTime>
  <ScaleCrop>false</ScaleCrop>
  <LinksUpToDate>false</LinksUpToDate>
  <CharactersWithSpaces>3093</CharactersWithSpaces>
  <Application>WPS Office_10.8.2.7119_F1E327BC-269C-435d-A152-05C5408002CA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2023-10-09T07:12:00Z</dcterms:created>
  <dc:creator>Future幕墙管家</dc:creator>
  <cp:lastModifiedBy>Administrator</cp:lastModifiedBy>
  <cp:lastPrinted>2023-10-09T08:48:00Z</cp:lastPrinted>
  <dcterms:modified xsi:type="dcterms:W3CDTF">2023-10-31T01:29:43Z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2052-10.8.2.7119</vt:lpwstr>
  </property>
  <property fmtid="{D5CDD505-2E9C-101B-9397-08002B2CF9AE}" pid="3" name="ICV">
    <vt:lpwstr>36CA5B6EAA4C7C71147F236553D5DDFB_41</vt:lpwstr>
  </property>
</Properties>
</file>