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both"/>
        <w:rPr>
          <w:rFonts w:hint="eastAsia" w:ascii="方正小标宋简体" w:hAnsi="仿宋" w:eastAsia="方正小标宋简体"/>
          <w:sz w:val="44"/>
          <w:szCs w:val="44"/>
          <w:lang w:val="en-US" w:eastAsia="zh-CN"/>
        </w:rPr>
      </w:pPr>
    </w:p>
    <w:p>
      <w:pPr>
        <w:spacing w:line="640" w:lineRule="exact"/>
        <w:jc w:val="center"/>
        <w:rPr>
          <w:rFonts w:hint="eastAsia" w:ascii="方正小标宋简体" w:hAnsi="仿宋" w:eastAsia="方正小标宋简体"/>
          <w:sz w:val="44"/>
          <w:szCs w:val="44"/>
        </w:rPr>
      </w:pPr>
    </w:p>
    <w:p>
      <w:pPr>
        <w:spacing w:line="640" w:lineRule="exact"/>
        <w:jc w:val="center"/>
        <w:rPr>
          <w:rFonts w:hint="eastAsia" w:ascii="方正小标宋简体" w:hAnsi="仿宋" w:eastAsia="方正小标宋简体"/>
          <w:sz w:val="44"/>
          <w:szCs w:val="44"/>
        </w:rPr>
      </w:pPr>
    </w:p>
    <w:p>
      <w:pPr>
        <w:spacing w:line="640" w:lineRule="exact"/>
        <w:jc w:val="center"/>
        <w:rPr>
          <w:rFonts w:hint="eastAsia" w:ascii="方正小标宋简体" w:hAnsi="仿宋" w:eastAsia="方正小标宋简体"/>
          <w:sz w:val="44"/>
          <w:szCs w:val="44"/>
        </w:rPr>
      </w:pPr>
    </w:p>
    <w:p>
      <w:pPr>
        <w:spacing w:line="640" w:lineRule="exact"/>
        <w:jc w:val="center"/>
        <w:rPr>
          <w:rFonts w:hint="eastAsia" w:ascii="方正小标宋简体" w:hAnsi="仿宋" w:eastAsia="方正小标宋简体"/>
          <w:sz w:val="44"/>
          <w:szCs w:val="44"/>
        </w:rPr>
      </w:pPr>
    </w:p>
    <w:p>
      <w:pPr>
        <w:spacing w:line="640" w:lineRule="exact"/>
        <w:jc w:val="center"/>
        <w:rPr>
          <w:rFonts w:hint="eastAsia" w:ascii="方正小标宋简体" w:hAnsi="仿宋" w:eastAsia="方正小标宋简体"/>
          <w:sz w:val="44"/>
          <w:szCs w:val="44"/>
        </w:rPr>
      </w:pPr>
    </w:p>
    <w:p>
      <w:pPr>
        <w:keepNext w:val="0"/>
        <w:keepLines w:val="0"/>
        <w:pageBreakBefore w:val="0"/>
        <w:widowControl w:val="0"/>
        <w:tabs>
          <w:tab w:val="center" w:pos="4482"/>
          <w:tab w:val="right" w:pos="8845"/>
        </w:tabs>
        <w:kinsoku/>
        <w:wordWrap/>
        <w:overflowPunct/>
        <w:topLinePunct w:val="0"/>
        <w:autoSpaceDE/>
        <w:autoSpaceDN/>
        <w:bidi w:val="0"/>
        <w:adjustRightInd/>
        <w:snapToGrid/>
        <w:spacing w:line="500" w:lineRule="exact"/>
        <w:ind w:firstLine="308" w:firstLineChars="100"/>
        <w:jc w:val="left"/>
        <w:textAlignment w:val="auto"/>
        <w:outlineLvl w:val="9"/>
        <w:rPr>
          <w:rFonts w:hint="eastAsia" w:ascii="仿宋_GB2312" w:hAnsi="仿宋" w:eastAsia="仿宋_GB2312"/>
          <w:sz w:val="32"/>
          <w:szCs w:val="32"/>
          <w:lang w:val="en-US" w:eastAsia="zh-CN"/>
        </w:rPr>
      </w:pPr>
      <w:r>
        <w:rPr>
          <w:rFonts w:hint="eastAsia" w:ascii="仿宋_GB2312" w:hAnsi="仿宋" w:eastAsia="仿宋_GB2312"/>
          <w:sz w:val="32"/>
          <w:szCs w:val="32"/>
        </w:rPr>
        <w:t>沪崇中府</w:t>
      </w:r>
      <w:r>
        <w:rPr>
          <w:rFonts w:hint="eastAsia" w:ascii="仿宋_GB2312" w:hAnsi="宋体" w:eastAsia="仿宋_GB2312"/>
          <w:sz w:val="32"/>
          <w:szCs w:val="32"/>
        </w:rPr>
        <w:t>〔20</w:t>
      </w:r>
      <w:r>
        <w:rPr>
          <w:rFonts w:hint="eastAsia" w:ascii="仿宋_GB2312" w:hAnsi="宋体" w:eastAsia="仿宋_GB2312"/>
          <w:sz w:val="32"/>
          <w:szCs w:val="32"/>
          <w:lang w:val="en-US" w:eastAsia="zh-CN"/>
        </w:rPr>
        <w:t>20</w:t>
      </w:r>
      <w:r>
        <w:rPr>
          <w:rFonts w:hint="eastAsia" w:ascii="仿宋_GB2312" w:hAnsi="宋体" w:eastAsia="仿宋_GB2312"/>
          <w:sz w:val="32"/>
          <w:szCs w:val="32"/>
        </w:rPr>
        <w:t>〕</w:t>
      </w:r>
      <w:r>
        <w:rPr>
          <w:rFonts w:hint="eastAsia" w:ascii="仿宋_GB2312" w:hAnsi="宋体"/>
          <w:sz w:val="32"/>
          <w:szCs w:val="32"/>
          <w:lang w:val="en-US" w:eastAsia="zh-CN"/>
        </w:rPr>
        <w:t>20</w:t>
      </w:r>
      <w:r>
        <w:rPr>
          <w:rFonts w:hint="eastAsia" w:ascii="仿宋_GB2312" w:hAnsi="宋体" w:eastAsia="仿宋_GB2312"/>
          <w:sz w:val="32"/>
          <w:szCs w:val="32"/>
        </w:rPr>
        <w:t xml:space="preserve">号    </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 xml:space="preserve">      </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 xml:space="preserve"> 签发人：周忠</w:t>
      </w:r>
      <w:r>
        <w:rPr>
          <w:rFonts w:hint="eastAsia" w:ascii="仿宋_GB2312" w:hAnsi="仿宋" w:eastAsia="仿宋_GB2312"/>
          <w:sz w:val="32"/>
          <w:szCs w:val="32"/>
        </w:rPr>
        <w:t>涛</w:t>
      </w:r>
      <w:r>
        <w:rPr>
          <w:rFonts w:hint="eastAsia" w:ascii="仿宋_GB2312" w:hAnsi="仿宋" w:eastAsia="仿宋_GB2312"/>
          <w:sz w:val="32"/>
          <w:szCs w:val="32"/>
          <w:lang w:val="en-US" w:eastAsia="zh-CN"/>
        </w:rPr>
        <w:t xml:space="preserve">  </w:t>
      </w:r>
    </w:p>
    <w:p>
      <w:pPr>
        <w:keepNext w:val="0"/>
        <w:keepLines w:val="0"/>
        <w:pageBreakBefore w:val="0"/>
        <w:widowControl w:val="0"/>
        <w:tabs>
          <w:tab w:val="center" w:pos="4482"/>
          <w:tab w:val="right" w:pos="8845"/>
        </w:tabs>
        <w:kinsoku/>
        <w:wordWrap/>
        <w:overflowPunct/>
        <w:topLinePunct w:val="0"/>
        <w:autoSpaceDE/>
        <w:autoSpaceDN/>
        <w:bidi w:val="0"/>
        <w:adjustRightInd/>
        <w:snapToGrid/>
        <w:spacing w:line="500" w:lineRule="exact"/>
        <w:ind w:firstLine="308" w:firstLineChars="100"/>
        <w:jc w:val="left"/>
        <w:textAlignment w:val="auto"/>
        <w:outlineLvl w:val="9"/>
        <w:rPr>
          <w:rFonts w:hint="eastAsia" w:ascii="方正小标宋简体" w:hAnsi="方正小标宋简体" w:eastAsia="方正小标宋简体" w:cs="方正小标宋简体"/>
          <w:b w:val="0"/>
          <w:bCs/>
          <w:sz w:val="44"/>
          <w:szCs w:val="44"/>
        </w:rPr>
      </w:pPr>
      <w:r>
        <w:rPr>
          <w:rFonts w:hint="eastAsia" w:ascii="仿宋_GB2312" w:hAnsi="仿宋" w:eastAsia="仿宋_GB2312"/>
          <w:sz w:val="32"/>
          <w:szCs w:val="32"/>
          <w:lang w:eastAsia="zh-CN"/>
        </w:rPr>
        <w:tab/>
      </w:r>
      <w:r>
        <w:rPr>
          <w:rFonts w:hint="eastAsia" w:ascii="仿宋_GB2312" w:hAnsi="宋体" w:eastAsia="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312" w:afterLines="100" w:line="560" w:lineRule="exact"/>
        <w:jc w:val="center"/>
        <w:textAlignment w:val="auto"/>
        <w:outlineLvl w:val="9"/>
        <w:rPr>
          <w:rFonts w:hint="eastAsia" w:ascii="仿宋_GB2312" w:hAnsi="仿宋_GB2312" w:eastAsia="仿宋_GB2312" w:cs="仿宋_GB2312"/>
          <w:b/>
          <w:bCs/>
          <w:color w:val="000000"/>
          <w:sz w:val="44"/>
          <w:szCs w:val="44"/>
        </w:rPr>
      </w:pPr>
      <w:r>
        <w:rPr>
          <w:rFonts w:hint="eastAsia" w:ascii="方正小标宋简体" w:hAnsi="仿宋" w:eastAsia="方正小标宋简体"/>
          <w:sz w:val="44"/>
          <w:szCs w:val="44"/>
        </w:rPr>
        <w:t>关于印发《</w:t>
      </w:r>
      <w:r>
        <w:rPr>
          <w:rFonts w:hint="eastAsia" w:ascii="方正小标宋简体" w:eastAsia="方正小标宋简体" w:cs="方正大标宋简体"/>
          <w:sz w:val="44"/>
          <w:szCs w:val="44"/>
          <w:lang w:eastAsia="zh-CN"/>
        </w:rPr>
        <w:t>中兴镇</w:t>
      </w:r>
      <w:r>
        <w:rPr>
          <w:rFonts w:hint="eastAsia" w:ascii="方正小标宋简体" w:eastAsia="方正小标宋简体" w:cs="方正大标宋简体"/>
          <w:sz w:val="44"/>
          <w:szCs w:val="44"/>
          <w:lang w:val="en-US" w:eastAsia="zh-CN"/>
        </w:rPr>
        <w:t>2020年度</w:t>
      </w:r>
      <w:r>
        <w:rPr>
          <w:rFonts w:hint="eastAsia" w:ascii="方正小标宋简体" w:eastAsia="方正小标宋简体" w:cs="方正大标宋简体"/>
          <w:sz w:val="44"/>
          <w:szCs w:val="44"/>
          <w:lang w:eastAsia="zh-CN"/>
        </w:rPr>
        <w:t>安全生产监督检查工作计划</w:t>
      </w:r>
      <w:r>
        <w:rPr>
          <w:rFonts w:hint="eastAsia" w:ascii="方正小标宋简体" w:hAnsi="仿宋" w:eastAsia="方正小标宋简体"/>
          <w:sz w:val="44"/>
          <w:szCs w:val="44"/>
        </w:rPr>
        <w:t>》的通知</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 w:eastAsia="仿宋_GB2312"/>
          <w:sz w:val="32"/>
          <w:szCs w:val="32"/>
        </w:rPr>
      </w:pPr>
      <w:r>
        <w:rPr>
          <w:rFonts w:hint="eastAsia" w:ascii="仿宋_GB2312"/>
          <w:color w:val="000000"/>
          <w:sz w:val="32"/>
          <w:szCs w:val="32"/>
          <w:lang w:val="en-US" w:eastAsia="zh-CN"/>
        </w:rPr>
        <w:t>镇安委会各成员单位、各生产经营单位：</w:t>
      </w:r>
    </w:p>
    <w:p>
      <w:pPr>
        <w:keepNext w:val="0"/>
        <w:keepLines w:val="0"/>
        <w:pageBreakBefore w:val="0"/>
        <w:widowControl w:val="0"/>
        <w:kinsoku/>
        <w:wordWrap/>
        <w:overflowPunct/>
        <w:topLinePunct w:val="0"/>
        <w:autoSpaceDE/>
        <w:autoSpaceDN/>
        <w:bidi w:val="0"/>
        <w:adjustRightInd/>
        <w:snapToGrid/>
        <w:spacing w:line="560" w:lineRule="exact"/>
        <w:ind w:firstLine="645"/>
        <w:textAlignment w:val="auto"/>
        <w:outlineLvl w:val="9"/>
        <w:rPr>
          <w:rFonts w:hint="eastAsia" w:ascii="仿宋_GB2312" w:hAnsi="仿宋" w:eastAsia="仿宋_GB2312"/>
          <w:sz w:val="32"/>
          <w:szCs w:val="32"/>
        </w:rPr>
      </w:pPr>
      <w:r>
        <w:rPr>
          <w:rFonts w:hint="eastAsia" w:ascii="仿宋_GB2312" w:hAnsi="仿宋" w:eastAsia="仿宋_GB2312"/>
          <w:sz w:val="32"/>
          <w:szCs w:val="32"/>
        </w:rPr>
        <w:t>现将《中兴镇</w:t>
      </w:r>
      <w:r>
        <w:rPr>
          <w:rFonts w:hint="eastAsia" w:ascii="仿宋_GB2312" w:hAnsi="仿宋"/>
          <w:sz w:val="32"/>
          <w:szCs w:val="32"/>
          <w:lang w:val="en-US" w:eastAsia="zh-CN"/>
        </w:rPr>
        <w:t>2020年度安全生产监督检查工作计划</w:t>
      </w:r>
      <w:r>
        <w:rPr>
          <w:rFonts w:hint="eastAsia" w:ascii="仿宋_GB2312" w:hAnsi="仿宋" w:eastAsia="仿宋_GB2312"/>
          <w:sz w:val="32"/>
          <w:szCs w:val="32"/>
        </w:rPr>
        <w:t>》印发给你们。请结合实际，认真贯彻落实。</w:t>
      </w:r>
    </w:p>
    <w:p>
      <w:pPr>
        <w:keepNext w:val="0"/>
        <w:keepLines w:val="0"/>
        <w:pageBreakBefore w:val="0"/>
        <w:widowControl w:val="0"/>
        <w:kinsoku/>
        <w:wordWrap/>
        <w:overflowPunct/>
        <w:topLinePunct w:val="0"/>
        <w:autoSpaceDE/>
        <w:autoSpaceDN/>
        <w:bidi w:val="0"/>
        <w:adjustRightInd/>
        <w:snapToGrid/>
        <w:spacing w:line="560" w:lineRule="exact"/>
        <w:ind w:firstLine="645"/>
        <w:textAlignment w:val="auto"/>
        <w:outlineLvl w:val="9"/>
        <w:rPr>
          <w:rFonts w:hint="eastAsia" w:ascii="仿宋_GB2312" w:hAnsi="仿宋" w:eastAsia="仿宋_GB2312"/>
          <w:sz w:val="32"/>
          <w:szCs w:val="32"/>
        </w:rPr>
      </w:pPr>
    </w:p>
    <w:p>
      <w:pPr>
        <w:pStyle w:val="2"/>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_GB2312" w:hAnsi="仿宋" w:eastAsia="仿宋_GB2312"/>
          <w:sz w:val="32"/>
          <w:szCs w:val="32"/>
        </w:rPr>
      </w:pPr>
    </w:p>
    <w:p>
      <w:pPr>
        <w:pStyle w:val="2"/>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_GB2312" w:hAnsi="仿宋"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3234" w:firstLineChars="1050"/>
        <w:textAlignment w:val="auto"/>
        <w:outlineLvl w:val="9"/>
        <w:rPr>
          <w:rFonts w:hint="eastAsia" w:ascii="仿宋_GB2312" w:hAnsi="仿宋" w:eastAsia="仿宋_GB2312"/>
          <w:sz w:val="32"/>
          <w:szCs w:val="32"/>
        </w:rPr>
      </w:pPr>
      <w:r>
        <w:rPr>
          <w:rFonts w:hint="eastAsia" w:ascii="仿宋_GB2312" w:hAnsi="仿宋"/>
          <w:sz w:val="32"/>
          <w:szCs w:val="32"/>
          <w:lang w:val="en-US" w:eastAsia="zh-CN"/>
        </w:rPr>
        <w:t xml:space="preserve">  </w:t>
      </w:r>
      <w:r>
        <w:rPr>
          <w:rFonts w:hint="eastAsia" w:ascii="仿宋_GB2312" w:hAnsi="仿宋" w:eastAsia="仿宋_GB2312"/>
          <w:sz w:val="32"/>
          <w:szCs w:val="32"/>
        </w:rPr>
        <w:t>上海市崇明区中兴镇人民政府</w:t>
      </w:r>
    </w:p>
    <w:p>
      <w:pPr>
        <w:keepNext w:val="0"/>
        <w:keepLines w:val="0"/>
        <w:pageBreakBefore w:val="0"/>
        <w:widowControl w:val="0"/>
        <w:kinsoku/>
        <w:wordWrap/>
        <w:overflowPunct/>
        <w:topLinePunct w:val="0"/>
        <w:autoSpaceDE/>
        <w:autoSpaceDN/>
        <w:bidi w:val="0"/>
        <w:adjustRightInd/>
        <w:snapToGrid/>
        <w:spacing w:line="560" w:lineRule="exact"/>
        <w:ind w:firstLine="4004" w:firstLineChars="1300"/>
        <w:textAlignment w:val="auto"/>
        <w:outlineLvl w:val="9"/>
        <w:rPr>
          <w:rFonts w:hint="eastAsia" w:ascii="仿宋_GB2312" w:hAnsi="仿宋" w:eastAsia="仿宋_GB2312"/>
          <w:sz w:val="32"/>
          <w:szCs w:val="32"/>
        </w:rPr>
      </w:pPr>
      <w:r>
        <w:rPr>
          <w:rFonts w:hint="eastAsia" w:ascii="仿宋_GB2312" w:hAnsi="仿宋"/>
          <w:sz w:val="32"/>
          <w:szCs w:val="32"/>
          <w:lang w:val="en-US" w:eastAsia="zh-CN"/>
        </w:rPr>
        <w:t xml:space="preserve">  </w:t>
      </w:r>
      <w:r>
        <w:rPr>
          <w:rFonts w:hint="eastAsia" w:ascii="仿宋_GB2312" w:hAnsi="仿宋" w:eastAsia="仿宋_GB2312"/>
          <w:sz w:val="32"/>
          <w:szCs w:val="32"/>
        </w:rPr>
        <w:t>20</w:t>
      </w:r>
      <w:r>
        <w:rPr>
          <w:rFonts w:hint="eastAsia" w:ascii="仿宋_GB2312" w:hAnsi="仿宋"/>
          <w:sz w:val="32"/>
          <w:szCs w:val="32"/>
          <w:lang w:val="en-US" w:eastAsia="zh-CN"/>
        </w:rPr>
        <w:t>20</w:t>
      </w:r>
      <w:r>
        <w:rPr>
          <w:rFonts w:hint="eastAsia" w:ascii="仿宋_GB2312" w:hAnsi="仿宋" w:eastAsia="仿宋_GB2312"/>
          <w:sz w:val="32"/>
          <w:szCs w:val="32"/>
        </w:rPr>
        <w:t>年4月</w:t>
      </w:r>
      <w:r>
        <w:rPr>
          <w:rFonts w:hint="eastAsia" w:ascii="仿宋_GB2312" w:hAnsi="仿宋"/>
          <w:sz w:val="32"/>
          <w:szCs w:val="32"/>
          <w:lang w:val="en-US" w:eastAsia="zh-CN"/>
        </w:rPr>
        <w:t>27</w:t>
      </w:r>
      <w:r>
        <w:rPr>
          <w:rFonts w:hint="eastAsia" w:ascii="仿宋_GB2312" w:hAnsi="仿宋" w:eastAsia="仿宋_GB2312"/>
          <w:sz w:val="32"/>
          <w:szCs w:val="32"/>
        </w:rPr>
        <w:t>日</w:t>
      </w:r>
    </w:p>
    <w:p>
      <w:pPr>
        <w:keepNext w:val="0"/>
        <w:keepLines w:val="0"/>
        <w:pageBreakBefore w:val="0"/>
        <w:widowControl w:val="0"/>
        <w:kinsoku/>
        <w:wordWrap/>
        <w:overflowPunct/>
        <w:topLinePunct w:val="0"/>
        <w:autoSpaceDE/>
        <w:autoSpaceDN/>
        <w:bidi w:val="0"/>
        <w:adjustRightInd/>
        <w:spacing w:line="560" w:lineRule="exact"/>
        <w:ind w:firstLine="462" w:firstLineChars="150"/>
        <w:textAlignment w:val="auto"/>
        <w:rPr>
          <w:rFonts w:hint="eastAsia" w:ascii="仿宋_GB2312"/>
          <w:color w:val="000000"/>
          <w:szCs w:val="32"/>
        </w:rPr>
      </w:pPr>
    </w:p>
    <w:p>
      <w:pPr>
        <w:pStyle w:val="2"/>
        <w:rPr>
          <w:rFonts w:hint="eastAsia" w:ascii="方正小标宋简体" w:hAnsi="方正小标宋简体" w:eastAsia="方正小标宋简体" w:cs="方正小标宋简体"/>
          <w:b w:val="0"/>
          <w:bCs w:val="0"/>
          <w:color w:val="000000"/>
          <w:spacing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color w:val="000000"/>
          <w:spacing w:val="0"/>
          <w:sz w:val="44"/>
          <w:szCs w:val="44"/>
        </w:rPr>
      </w:pPr>
      <w:r>
        <w:rPr>
          <w:rFonts w:hint="eastAsia" w:ascii="方正小标宋简体" w:hAnsi="方正小标宋简体" w:eastAsia="方正小标宋简体" w:cs="方正小标宋简体"/>
          <w:b w:val="0"/>
          <w:bCs w:val="0"/>
          <w:color w:val="000000"/>
          <w:spacing w:val="0"/>
          <w:sz w:val="44"/>
          <w:szCs w:val="44"/>
          <w:lang w:val="en-US" w:eastAsia="zh-CN"/>
        </w:rPr>
        <w:t>中兴镇2020年度</w:t>
      </w:r>
      <w:r>
        <w:rPr>
          <w:rFonts w:hint="eastAsia" w:ascii="方正小标宋简体" w:hAnsi="方正小标宋简体" w:eastAsia="方正小标宋简体" w:cs="方正小标宋简体"/>
          <w:b w:val="0"/>
          <w:bCs w:val="0"/>
          <w:color w:val="000000"/>
          <w:spacing w:val="0"/>
          <w:sz w:val="44"/>
          <w:szCs w:val="44"/>
        </w:rPr>
        <w:t>安全生产监督检查工作计划</w:t>
      </w:r>
    </w:p>
    <w:p>
      <w:pPr>
        <w:rPr>
          <w:rFonts w:ascii="方正小标宋简体" w:eastAsia="方正小标宋简体" w:cs="方正大标宋简体"/>
          <w:sz w:val="36"/>
          <w:szCs w:val="36"/>
        </w:rPr>
      </w:pP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szCs w:val="32"/>
        </w:rPr>
      </w:pPr>
      <w:r>
        <w:rPr>
          <w:rFonts w:hint="eastAsia" w:ascii="仿宋_GB2312"/>
          <w:color w:val="000000"/>
          <w:szCs w:val="32"/>
        </w:rPr>
        <w:t>2020年，</w:t>
      </w:r>
      <w:r>
        <w:rPr>
          <w:rFonts w:hint="eastAsia" w:ascii="仿宋_GB2312"/>
          <w:color w:val="000000"/>
          <w:szCs w:val="32"/>
          <w:lang w:eastAsia="zh-CN"/>
        </w:rPr>
        <w:t>中兴镇将</w:t>
      </w:r>
      <w:r>
        <w:rPr>
          <w:rFonts w:hint="eastAsia" w:ascii="仿宋_GB2312"/>
          <w:color w:val="000000"/>
          <w:szCs w:val="32"/>
        </w:rPr>
        <w:t>认真贯彻落实国家应急管理部和市、区应急局文件精神，</w:t>
      </w:r>
      <w:r>
        <w:rPr>
          <w:rFonts w:hint="eastAsia"/>
          <w:szCs w:val="32"/>
        </w:rPr>
        <w:t>依法科学履行安全生产监督管理职责，切实维护人民群众生命财产安全，</w:t>
      </w:r>
      <w:r>
        <w:rPr>
          <w:rFonts w:hint="eastAsia"/>
          <w:szCs w:val="32"/>
          <w:lang w:eastAsia="zh-CN"/>
        </w:rPr>
        <w:t>现</w:t>
      </w:r>
      <w:r>
        <w:rPr>
          <w:rFonts w:hint="eastAsia"/>
          <w:szCs w:val="32"/>
        </w:rPr>
        <w:t>结合我镇行业、</w:t>
      </w:r>
      <w:r>
        <w:rPr>
          <w:szCs w:val="32"/>
        </w:rPr>
        <w:t>企业特点和安全生产监管工作实际</w:t>
      </w:r>
      <w:r>
        <w:rPr>
          <w:rFonts w:hint="eastAsia"/>
          <w:szCs w:val="32"/>
        </w:rPr>
        <w:t xml:space="preserve">，编制本工作计划。 </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黑体" w:hAnsi="黑体" w:eastAsia="黑体"/>
          <w:b w:val="0"/>
          <w:bCs w:val="0"/>
          <w:szCs w:val="32"/>
        </w:rPr>
      </w:pPr>
      <w:r>
        <w:rPr>
          <w:rFonts w:hint="eastAsia" w:ascii="黑体" w:hAnsi="黑体" w:eastAsia="黑体"/>
          <w:b w:val="0"/>
          <w:bCs w:val="0"/>
          <w:szCs w:val="32"/>
        </w:rPr>
        <w:t>一、编制依据</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（一）《中华人民共和国安全生产法》。</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二</w:t>
      </w:r>
      <w:r>
        <w:rPr>
          <w:rFonts w:hint="eastAsia" w:ascii="楷体_GB2312" w:hAnsi="楷体_GB2312" w:eastAsia="楷体_GB2312" w:cs="楷体_GB2312"/>
          <w:sz w:val="32"/>
          <w:szCs w:val="32"/>
        </w:rPr>
        <w:t>）《安全生产监管监察职责和行政执法责任追究的暂行规定》（国家安监总局第77号令）</w:t>
      </w:r>
      <w:r>
        <w:rPr>
          <w:rFonts w:hint="eastAsia" w:ascii="楷体_GB2312" w:hAnsi="楷体_GB2312" w:eastAsia="楷体_GB2312" w:cs="楷体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pacing w:val="-4"/>
          <w:sz w:val="32"/>
          <w:szCs w:val="32"/>
        </w:rPr>
        <w:t>（三）《安全生产年度</w:t>
      </w:r>
      <w:r>
        <w:rPr>
          <w:rFonts w:hint="eastAsia" w:ascii="楷体_GB2312" w:hAnsi="楷体_GB2312" w:eastAsia="楷体_GB2312" w:cs="楷体_GB2312"/>
          <w:sz w:val="32"/>
          <w:szCs w:val="32"/>
        </w:rPr>
        <w:t>监督检查计划编制办法》</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outlineLvl w:val="9"/>
        <w:rPr>
          <w:rFonts w:hint="eastAsia" w:ascii="楷体_GB2312" w:hAnsi="楷体_GB2312" w:eastAsia="楷体_GB2312" w:cs="楷体_GB2312"/>
          <w:spacing w:val="-4"/>
          <w:sz w:val="32"/>
          <w:szCs w:val="32"/>
        </w:rPr>
      </w:pPr>
      <w:r>
        <w:rPr>
          <w:rFonts w:hint="eastAsia" w:ascii="楷体_GB2312" w:hAnsi="楷体_GB2312" w:eastAsia="楷体_GB2312" w:cs="楷体_GB2312"/>
          <w:spacing w:val="-4"/>
          <w:sz w:val="32"/>
          <w:szCs w:val="32"/>
        </w:rPr>
        <w:t>（四）《国务院办公厅关于加强安全生产监督执法的通知》（国办发〔2015〕20号）。</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（五）《安全生产监管监察职责和行政执法责任追究的规定》（国家安全监管总局令第24号）。</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（六）《上海市安全生产监督检查办法》（沪安监法规〔2016〕84号）。</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eastAsia="仿宋_GB2312"/>
          <w:sz w:val="32"/>
          <w:szCs w:val="32"/>
        </w:rPr>
      </w:pPr>
      <w:r>
        <w:rPr>
          <w:rFonts w:hint="eastAsia" w:eastAsia="仿宋_GB2312"/>
          <w:sz w:val="32"/>
          <w:szCs w:val="32"/>
        </w:rPr>
        <w:t>市</w:t>
      </w:r>
      <w:r>
        <w:rPr>
          <w:rFonts w:eastAsia="仿宋_GB2312"/>
          <w:sz w:val="32"/>
          <w:szCs w:val="32"/>
        </w:rPr>
        <w:t>安委会（</w:t>
      </w:r>
      <w:r>
        <w:rPr>
          <w:rFonts w:hint="eastAsia" w:eastAsia="仿宋_GB2312"/>
          <w:sz w:val="32"/>
          <w:szCs w:val="32"/>
        </w:rPr>
        <w:t>办</w:t>
      </w:r>
      <w:r>
        <w:rPr>
          <w:rFonts w:eastAsia="仿宋_GB2312"/>
          <w:sz w:val="32"/>
          <w:szCs w:val="32"/>
        </w:rPr>
        <w:t>）</w:t>
      </w:r>
      <w:r>
        <w:rPr>
          <w:rFonts w:hint="eastAsia" w:eastAsia="仿宋_GB2312"/>
          <w:sz w:val="32"/>
          <w:szCs w:val="32"/>
        </w:rPr>
        <w:t>，</w:t>
      </w:r>
      <w:r>
        <w:rPr>
          <w:rFonts w:eastAsia="仿宋_GB2312"/>
          <w:sz w:val="32"/>
          <w:szCs w:val="32"/>
        </w:rPr>
        <w:t>区委、区政府及</w:t>
      </w:r>
      <w:r>
        <w:rPr>
          <w:rFonts w:hint="eastAsia" w:eastAsia="仿宋_GB2312"/>
          <w:sz w:val="32"/>
          <w:szCs w:val="32"/>
        </w:rPr>
        <w:t>区</w:t>
      </w:r>
      <w:r>
        <w:rPr>
          <w:rFonts w:eastAsia="仿宋_GB2312"/>
          <w:sz w:val="32"/>
          <w:szCs w:val="32"/>
        </w:rPr>
        <w:t>安委会（</w:t>
      </w:r>
      <w:r>
        <w:rPr>
          <w:rFonts w:hint="eastAsia" w:eastAsia="仿宋_GB2312"/>
          <w:sz w:val="32"/>
          <w:szCs w:val="32"/>
        </w:rPr>
        <w:t>办</w:t>
      </w:r>
      <w:r>
        <w:rPr>
          <w:rFonts w:eastAsia="仿宋_GB2312"/>
          <w:sz w:val="32"/>
          <w:szCs w:val="32"/>
        </w:rPr>
        <w:t>）</w:t>
      </w:r>
      <w:r>
        <w:rPr>
          <w:rFonts w:hint="eastAsia" w:eastAsia="仿宋_GB2312"/>
          <w:sz w:val="32"/>
          <w:szCs w:val="32"/>
        </w:rPr>
        <w:t>发布</w:t>
      </w:r>
      <w:r>
        <w:rPr>
          <w:rFonts w:eastAsia="仿宋_GB2312"/>
          <w:sz w:val="32"/>
          <w:szCs w:val="32"/>
        </w:rPr>
        <w:t>的其他相关文件。</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黑体" w:hAnsi="黑体" w:eastAsia="黑体"/>
          <w:b w:val="0"/>
          <w:bCs w:val="0"/>
          <w:szCs w:val="32"/>
        </w:rPr>
      </w:pPr>
      <w:r>
        <w:rPr>
          <w:rFonts w:hint="eastAsia" w:ascii="黑体" w:hAnsi="黑体" w:eastAsia="黑体"/>
          <w:b w:val="0"/>
          <w:bCs w:val="0"/>
          <w:szCs w:val="32"/>
        </w:rPr>
        <w:t>二、指导思想</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szCs w:val="32"/>
        </w:rPr>
      </w:pPr>
      <w:r>
        <w:rPr>
          <w:rFonts w:hint="eastAsia"/>
          <w:szCs w:val="32"/>
        </w:rPr>
        <w:t xml:space="preserve">  </w:t>
      </w:r>
      <w:r>
        <w:rPr>
          <w:rFonts w:hint="eastAsia"/>
          <w:szCs w:val="32"/>
          <w:lang w:val="en-US" w:eastAsia="zh-CN"/>
        </w:rPr>
        <w:t xml:space="preserve">  </w:t>
      </w:r>
      <w:r>
        <w:rPr>
          <w:rFonts w:hint="eastAsia"/>
          <w:szCs w:val="32"/>
        </w:rPr>
        <w:t>以党的十九大精神为指导，全面贯彻落实习近平总书记关于加强安全生产工作的一系列重要指示和部署</w:t>
      </w:r>
      <w:r>
        <w:rPr>
          <w:rFonts w:hint="eastAsia"/>
          <w:szCs w:val="32"/>
          <w:lang w:eastAsia="zh-CN"/>
        </w:rPr>
        <w:t>，坚持</w:t>
      </w:r>
      <w:r>
        <w:rPr>
          <w:rFonts w:hint="eastAsia"/>
          <w:szCs w:val="32"/>
        </w:rPr>
        <w:t>“安全第一、预防为主、综合治理”的安全生产方针，履行安全生产监管检查职责，规范、科学、有序</w:t>
      </w:r>
      <w:r>
        <w:rPr>
          <w:rFonts w:hint="eastAsia"/>
          <w:szCs w:val="32"/>
          <w:lang w:eastAsia="zh-CN"/>
        </w:rPr>
        <w:t>地</w:t>
      </w:r>
      <w:r>
        <w:rPr>
          <w:rFonts w:hint="eastAsia"/>
          <w:szCs w:val="32"/>
        </w:rPr>
        <w:t>开展</w:t>
      </w:r>
      <w:r>
        <w:rPr>
          <w:rFonts w:hint="eastAsia"/>
          <w:szCs w:val="32"/>
          <w:lang w:eastAsia="zh-CN"/>
        </w:rPr>
        <w:t>安全</w:t>
      </w:r>
      <w:r>
        <w:rPr>
          <w:rFonts w:hint="eastAsia"/>
          <w:szCs w:val="32"/>
        </w:rPr>
        <w:t>检查，加大安全生产执法力度，</w:t>
      </w:r>
      <w:r>
        <w:rPr>
          <w:rFonts w:hint="eastAsia"/>
          <w:szCs w:val="32"/>
          <w:lang w:eastAsia="zh-CN"/>
        </w:rPr>
        <w:t>整治</w:t>
      </w:r>
      <w:r>
        <w:rPr>
          <w:rFonts w:hint="eastAsia"/>
          <w:szCs w:val="32"/>
        </w:rPr>
        <w:t>各类违法</w:t>
      </w:r>
      <w:r>
        <w:rPr>
          <w:rFonts w:hint="eastAsia"/>
          <w:szCs w:val="32"/>
          <w:lang w:eastAsia="zh-CN"/>
        </w:rPr>
        <w:t>违规</w:t>
      </w:r>
      <w:r>
        <w:rPr>
          <w:rFonts w:hint="eastAsia"/>
          <w:szCs w:val="32"/>
        </w:rPr>
        <w:t>行为，不断提升执法检查成效，为实现全镇安全生产持续稳定提供坚实保障</w:t>
      </w:r>
      <w:r>
        <w:rPr>
          <w:rFonts w:hint="eastAsia"/>
          <w:szCs w:val="32"/>
          <w:lang w:eastAsia="zh-CN"/>
        </w:rPr>
        <w:t>，</w:t>
      </w:r>
      <w:r>
        <w:rPr>
          <w:rFonts w:hint="eastAsia"/>
          <w:szCs w:val="32"/>
        </w:rPr>
        <w:t>为世界级生态岛建设和花博会筹办营造良好</w:t>
      </w:r>
      <w:r>
        <w:rPr>
          <w:rFonts w:hint="eastAsia"/>
          <w:szCs w:val="32"/>
          <w:lang w:eastAsia="zh-CN"/>
        </w:rPr>
        <w:t>安全</w:t>
      </w:r>
      <w:r>
        <w:rPr>
          <w:rFonts w:hint="eastAsia"/>
          <w:szCs w:val="32"/>
        </w:rPr>
        <w:t>环境。</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黑体" w:hAnsi="黑体" w:eastAsia="黑体"/>
          <w:szCs w:val="32"/>
        </w:rPr>
      </w:pPr>
      <w:r>
        <w:rPr>
          <w:rFonts w:hint="eastAsia" w:ascii="黑体" w:hAnsi="黑体" w:eastAsia="黑体"/>
          <w:szCs w:val="32"/>
          <w:lang w:eastAsia="zh-CN"/>
        </w:rPr>
        <w:t>三、</w:t>
      </w:r>
      <w:r>
        <w:rPr>
          <w:rFonts w:hint="eastAsia" w:ascii="黑体" w:hAnsi="黑体" w:eastAsia="黑体"/>
          <w:szCs w:val="32"/>
        </w:rPr>
        <w:t>工作目标</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仿宋_GB2312" w:hAnsi="仿宋_GB2312" w:eastAsia="仿宋_GB2312" w:cs="仿宋_GB2312"/>
          <w:szCs w:val="32"/>
        </w:rPr>
      </w:pPr>
      <w:r>
        <w:rPr>
          <w:rFonts w:hint="eastAsia" w:ascii="仿宋_GB2312" w:hAnsi="仿宋_GB2312" w:eastAsia="仿宋_GB2312" w:cs="仿宋_GB2312"/>
          <w:szCs w:val="32"/>
        </w:rPr>
        <w:t>坚持目标导向和问题导向，实现全年各类事故预控目标</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预防和减少一般事故，确保不发生较大以上及有严重社会影响的生产安全事故</w:t>
      </w:r>
      <w:r>
        <w:rPr>
          <w:rFonts w:hint="eastAsia" w:ascii="仿宋_GB2312" w:hAnsi="仿宋_GB2312" w:eastAsia="仿宋_GB2312" w:cs="仿宋_GB2312"/>
          <w:szCs w:val="32"/>
          <w:lang w:eastAsia="zh-CN"/>
        </w:rPr>
        <w:t>；扎实做好安全生产基础工作，各部门、各村居定期对所负责行业和区域开展安全生产检查，</w:t>
      </w:r>
      <w:r>
        <w:rPr>
          <w:rFonts w:hint="eastAsia" w:ascii="仿宋_GB2312" w:hAnsi="仿宋_GB2312" w:eastAsia="仿宋_GB2312" w:cs="仿宋_GB2312"/>
          <w:color w:val="000000"/>
          <w:szCs w:val="32"/>
          <w:lang w:eastAsia="zh-CN"/>
        </w:rPr>
        <w:t>认真</w:t>
      </w:r>
      <w:r>
        <w:rPr>
          <w:rFonts w:hint="eastAsia" w:ascii="仿宋_GB2312" w:hAnsi="仿宋_GB2312" w:eastAsia="仿宋_GB2312" w:cs="仿宋_GB2312"/>
          <w:szCs w:val="32"/>
        </w:rPr>
        <w:t>完成</w:t>
      </w:r>
      <w:r>
        <w:rPr>
          <w:rFonts w:hint="eastAsia" w:ascii="仿宋_GB2312" w:hAnsi="仿宋_GB2312" w:eastAsia="仿宋_GB2312" w:cs="仿宋_GB2312"/>
          <w:szCs w:val="32"/>
          <w:lang w:eastAsia="zh-CN"/>
        </w:rPr>
        <w:t>区安委会、</w:t>
      </w:r>
      <w:r>
        <w:rPr>
          <w:rFonts w:hint="eastAsia" w:ascii="仿宋_GB2312" w:hAnsi="仿宋_GB2312" w:eastAsia="仿宋_GB2312" w:cs="仿宋_GB2312"/>
          <w:szCs w:val="32"/>
        </w:rPr>
        <w:t>区</w:t>
      </w:r>
      <w:r>
        <w:rPr>
          <w:rFonts w:hint="eastAsia" w:ascii="仿宋_GB2312" w:hAnsi="仿宋_GB2312" w:eastAsia="仿宋_GB2312" w:cs="仿宋_GB2312"/>
          <w:szCs w:val="32"/>
          <w:lang w:eastAsia="zh-CN"/>
        </w:rPr>
        <w:t>应急局</w:t>
      </w:r>
      <w:r>
        <w:rPr>
          <w:rFonts w:hint="eastAsia" w:ascii="仿宋_GB2312" w:hAnsi="仿宋_GB2312" w:eastAsia="仿宋_GB2312" w:cs="仿宋_GB2312"/>
          <w:szCs w:val="32"/>
        </w:rPr>
        <w:t>下达的重大安全隐患和其他安全隐患的整治任务</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确保</w:t>
      </w:r>
      <w:r>
        <w:rPr>
          <w:rFonts w:hint="eastAsia" w:ascii="仿宋_GB2312" w:hAnsi="仿宋_GB2312" w:eastAsia="仿宋_GB2312" w:cs="仿宋_GB2312"/>
          <w:szCs w:val="32"/>
          <w:lang w:eastAsia="zh-CN"/>
        </w:rPr>
        <w:t>检查率、覆盖</w:t>
      </w:r>
      <w:r>
        <w:rPr>
          <w:rFonts w:hint="eastAsia" w:ascii="仿宋_GB2312" w:hAnsi="仿宋_GB2312" w:eastAsia="仿宋_GB2312" w:cs="仿宋_GB2312"/>
          <w:szCs w:val="32"/>
        </w:rPr>
        <w:t>率</w:t>
      </w:r>
      <w:r>
        <w:rPr>
          <w:rFonts w:hint="eastAsia" w:ascii="仿宋_GB2312" w:hAnsi="仿宋_GB2312" w:eastAsia="仿宋_GB2312" w:cs="仿宋_GB2312"/>
          <w:szCs w:val="32"/>
          <w:lang w:eastAsia="zh-CN"/>
        </w:rPr>
        <w:t>和整改率达到</w:t>
      </w:r>
      <w:r>
        <w:rPr>
          <w:rFonts w:hint="eastAsia" w:ascii="仿宋_GB2312" w:hAnsi="仿宋_GB2312" w:eastAsia="仿宋_GB2312" w:cs="仿宋_GB2312"/>
          <w:szCs w:val="32"/>
          <w:lang w:val="en-US" w:eastAsia="zh-CN"/>
        </w:rPr>
        <w:t>100%。</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黑体" w:hAnsi="黑体" w:eastAsia="黑体"/>
          <w:szCs w:val="32"/>
          <w:lang w:eastAsia="zh-CN"/>
        </w:rPr>
      </w:pPr>
      <w:r>
        <w:rPr>
          <w:rFonts w:hint="eastAsia" w:ascii="黑体" w:hAnsi="黑体" w:eastAsia="黑体"/>
          <w:szCs w:val="32"/>
          <w:lang w:eastAsia="zh-CN"/>
        </w:rPr>
        <w:t>四</w:t>
      </w:r>
      <w:r>
        <w:rPr>
          <w:rFonts w:hint="eastAsia" w:ascii="黑体" w:hAnsi="黑体" w:eastAsia="黑体"/>
          <w:szCs w:val="32"/>
        </w:rPr>
        <w:t>、检查方式、</w:t>
      </w:r>
      <w:r>
        <w:rPr>
          <w:rFonts w:hint="eastAsia" w:ascii="黑体" w:hAnsi="黑体" w:eastAsia="黑体"/>
          <w:szCs w:val="32"/>
          <w:lang w:eastAsia="zh-CN"/>
        </w:rPr>
        <w:t>检查</w:t>
      </w:r>
      <w:r>
        <w:rPr>
          <w:rFonts w:hint="eastAsia" w:ascii="黑体" w:hAnsi="黑体" w:eastAsia="黑体"/>
          <w:szCs w:val="32"/>
        </w:rPr>
        <w:t>内容和</w:t>
      </w:r>
      <w:r>
        <w:rPr>
          <w:rFonts w:hint="eastAsia" w:ascii="黑体" w:hAnsi="黑体" w:eastAsia="黑体"/>
          <w:szCs w:val="32"/>
          <w:lang w:eastAsia="zh-CN"/>
        </w:rPr>
        <w:t>检查方法</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黑体" w:hAnsi="黑体" w:eastAsia="黑体"/>
          <w:b w:val="0"/>
          <w:bCs w:val="0"/>
          <w:szCs w:val="32"/>
        </w:rPr>
      </w:pPr>
      <w:r>
        <w:rPr>
          <w:rFonts w:hint="eastAsia" w:ascii="楷体_GB2312" w:hAnsi="黑体" w:eastAsia="楷体_GB2312"/>
          <w:b w:val="0"/>
          <w:bCs w:val="0"/>
          <w:szCs w:val="32"/>
        </w:rPr>
        <w:t>（一）执法检查方式</w:t>
      </w:r>
    </w:p>
    <w:p>
      <w:pPr>
        <w:keepNext w:val="0"/>
        <w:keepLines w:val="0"/>
        <w:pageBreakBefore w:val="0"/>
        <w:widowControl w:val="0"/>
        <w:kinsoku/>
        <w:wordWrap/>
        <w:overflowPunct/>
        <w:topLinePunct w:val="0"/>
        <w:autoSpaceDE/>
        <w:autoSpaceDN/>
        <w:bidi w:val="0"/>
        <w:adjustRightInd/>
        <w:snapToGrid/>
        <w:spacing w:line="560" w:lineRule="exact"/>
        <w:ind w:firstLine="646"/>
        <w:textAlignment w:val="auto"/>
        <w:outlineLvl w:val="9"/>
        <w:rPr>
          <w:szCs w:val="32"/>
        </w:rPr>
      </w:pPr>
      <w:r>
        <w:rPr>
          <w:rFonts w:hint="eastAsia"/>
          <w:szCs w:val="32"/>
        </w:rPr>
        <w:t>执法</w:t>
      </w:r>
      <w:r>
        <w:rPr>
          <w:szCs w:val="32"/>
        </w:rPr>
        <w:t>检查主要</w:t>
      </w:r>
      <w:r>
        <w:rPr>
          <w:rFonts w:hint="eastAsia"/>
          <w:szCs w:val="32"/>
          <w:lang w:eastAsia="zh-CN"/>
        </w:rPr>
        <w:t>采取</w:t>
      </w:r>
      <w:r>
        <w:rPr>
          <w:rFonts w:hint="eastAsia"/>
          <w:szCs w:val="32"/>
        </w:rPr>
        <w:t>全面普查</w:t>
      </w:r>
      <w:r>
        <w:rPr>
          <w:szCs w:val="32"/>
        </w:rPr>
        <w:t>、随机抽查、联合检查等检查方式，各项检查方式按照《</w:t>
      </w:r>
      <w:r>
        <w:rPr>
          <w:rFonts w:hint="eastAsia"/>
          <w:szCs w:val="32"/>
        </w:rPr>
        <w:t>上海</w:t>
      </w:r>
      <w:r>
        <w:rPr>
          <w:szCs w:val="32"/>
        </w:rPr>
        <w:t>市安全生产监督检查办法》</w:t>
      </w:r>
      <w:r>
        <w:rPr>
          <w:rFonts w:hint="eastAsia"/>
          <w:szCs w:val="32"/>
        </w:rPr>
        <w:t>和区应急管理局的各项指导文件的</w:t>
      </w:r>
      <w:r>
        <w:rPr>
          <w:szCs w:val="32"/>
        </w:rPr>
        <w:t>规定开展</w:t>
      </w:r>
      <w:r>
        <w:rPr>
          <w:rFonts w:hint="eastAsia"/>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楷体_GB2312" w:hAnsi="黑体" w:eastAsia="楷体_GB2312" w:cs="Times New Roman"/>
          <w:szCs w:val="32"/>
        </w:rPr>
      </w:pPr>
      <w:r>
        <w:rPr>
          <w:rFonts w:hint="eastAsia" w:ascii="楷体_GB2312" w:hAnsi="黑体" w:eastAsia="楷体_GB2312" w:cs="Times New Roman"/>
          <w:szCs w:val="32"/>
        </w:rPr>
        <w:t>（二）重点检查内容</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仿宋_GB2312"/>
          <w:szCs w:val="32"/>
        </w:rPr>
      </w:pPr>
      <w:r>
        <w:rPr>
          <w:rFonts w:hint="eastAsia" w:ascii="仿宋_GB2312"/>
          <w:szCs w:val="32"/>
          <w:lang w:eastAsia="zh-CN"/>
        </w:rPr>
        <w:t>依据</w:t>
      </w:r>
      <w:r>
        <w:rPr>
          <w:rFonts w:hint="eastAsia" w:ascii="仿宋_GB2312"/>
          <w:szCs w:val="32"/>
        </w:rPr>
        <w:t>《中华人民共和国安全生产法》</w:t>
      </w:r>
      <w:r>
        <w:rPr>
          <w:rFonts w:hint="eastAsia" w:ascii="仿宋_GB2312"/>
          <w:szCs w:val="32"/>
          <w:lang w:eastAsia="zh-CN"/>
        </w:rPr>
        <w:t>、</w:t>
      </w:r>
      <w:r>
        <w:rPr>
          <w:rFonts w:hint="eastAsia" w:ascii="仿宋_GB2312"/>
          <w:szCs w:val="32"/>
        </w:rPr>
        <w:t>国家安监总局第24号令</w:t>
      </w:r>
      <w:r>
        <w:rPr>
          <w:rFonts w:hint="eastAsia" w:ascii="仿宋_GB2312"/>
          <w:szCs w:val="32"/>
          <w:lang w:eastAsia="zh-CN"/>
        </w:rPr>
        <w:t>和《</w:t>
      </w:r>
      <w:r>
        <w:rPr>
          <w:rFonts w:hint="eastAsia" w:ascii="仿宋_GB2312"/>
          <w:szCs w:val="32"/>
        </w:rPr>
        <w:t>上海市崇明区乡镇安全生产监督检查记分管理办法（试行）</w:t>
      </w:r>
      <w:r>
        <w:rPr>
          <w:rFonts w:hint="eastAsia" w:ascii="仿宋_GB2312"/>
          <w:szCs w:val="32"/>
          <w:lang w:eastAsia="zh-CN"/>
        </w:rPr>
        <w:t>》</w:t>
      </w:r>
      <w:r>
        <w:rPr>
          <w:rFonts w:hint="eastAsia" w:ascii="仿宋_GB2312"/>
          <w:szCs w:val="32"/>
        </w:rPr>
        <w:t>等有关规定，重点监督检查以下内容：</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仿宋_GB2312"/>
          <w:szCs w:val="32"/>
        </w:rPr>
      </w:pPr>
      <w:r>
        <w:rPr>
          <w:rFonts w:hint="eastAsia" w:ascii="仿宋_GB2312"/>
          <w:szCs w:val="32"/>
        </w:rPr>
        <w:t>1.生产经营单位的责任制、规章制度、操作规程、作业规程的建立和落实情况；</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仿宋_GB2312"/>
          <w:szCs w:val="32"/>
        </w:rPr>
      </w:pPr>
      <w:r>
        <w:rPr>
          <w:rFonts w:hint="eastAsia" w:ascii="仿宋_GB2312"/>
          <w:szCs w:val="32"/>
        </w:rPr>
        <w:t>2.</w:t>
      </w:r>
      <w:r>
        <w:rPr>
          <w:rFonts w:hint="eastAsia" w:ascii="仿宋_GB2312"/>
          <w:szCs w:val="32"/>
          <w:lang w:eastAsia="zh-CN"/>
        </w:rPr>
        <w:t>建设项目</w:t>
      </w:r>
      <w:r>
        <w:rPr>
          <w:rFonts w:hint="eastAsia" w:ascii="仿宋_GB2312"/>
          <w:szCs w:val="32"/>
        </w:rPr>
        <w:t>安全设施“三同时”建设情况；</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仿宋_GB2312"/>
          <w:szCs w:val="32"/>
        </w:rPr>
      </w:pPr>
      <w:r>
        <w:rPr>
          <w:rFonts w:hint="eastAsia" w:ascii="仿宋_GB2312"/>
          <w:szCs w:val="32"/>
        </w:rPr>
        <w:t>3.作业现场安全管理情况；</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仿宋_GB2312"/>
          <w:szCs w:val="32"/>
        </w:rPr>
      </w:pPr>
      <w:r>
        <w:rPr>
          <w:rFonts w:hint="eastAsia" w:ascii="仿宋_GB2312"/>
          <w:szCs w:val="32"/>
        </w:rPr>
        <w:t>4.安全生产投入及安全生产费用提取情况；</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仿宋_GB2312"/>
          <w:szCs w:val="32"/>
        </w:rPr>
      </w:pPr>
      <w:r>
        <w:rPr>
          <w:rFonts w:hint="eastAsia" w:ascii="仿宋_GB2312"/>
          <w:szCs w:val="32"/>
        </w:rPr>
        <w:t>5.应急预案制定、实施、备案及应急救援组织和装备配备、维护保养情况；</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仿宋_GB2312"/>
          <w:szCs w:val="32"/>
        </w:rPr>
      </w:pPr>
      <w:r>
        <w:rPr>
          <w:rFonts w:hint="eastAsia" w:ascii="仿宋_GB2312"/>
          <w:szCs w:val="32"/>
        </w:rPr>
        <w:t>6.安全管理机构设置和人员配备、从业人员安全教育、培训、持证情况；</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仿宋_GB2312"/>
          <w:szCs w:val="32"/>
        </w:rPr>
      </w:pPr>
      <w:r>
        <w:rPr>
          <w:rFonts w:hint="eastAsia" w:ascii="仿宋_GB2312"/>
          <w:szCs w:val="32"/>
        </w:rPr>
        <w:t>7.</w:t>
      </w:r>
      <w:r>
        <w:rPr>
          <w:rFonts w:hint="eastAsia" w:ascii="仿宋_GB2312"/>
          <w:szCs w:val="32"/>
          <w:lang w:eastAsia="zh-CN"/>
        </w:rPr>
        <w:t>安全风险管控、</w:t>
      </w:r>
      <w:r>
        <w:rPr>
          <w:rFonts w:hint="eastAsia" w:ascii="仿宋_GB2312"/>
          <w:szCs w:val="32"/>
        </w:rPr>
        <w:t>事故隐患排查治理</w:t>
      </w:r>
      <w:r>
        <w:rPr>
          <w:rFonts w:hint="eastAsia" w:ascii="仿宋_GB2312"/>
          <w:szCs w:val="32"/>
          <w:lang w:eastAsia="zh-CN"/>
        </w:rPr>
        <w:t>及</w:t>
      </w:r>
      <w:r>
        <w:rPr>
          <w:rFonts w:hint="eastAsia" w:ascii="仿宋_GB2312"/>
          <w:szCs w:val="32"/>
        </w:rPr>
        <w:t>上报情况；</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ascii="仿宋_GB2312"/>
          <w:szCs w:val="32"/>
        </w:rPr>
      </w:pPr>
      <w:r>
        <w:rPr>
          <w:rFonts w:hint="eastAsia" w:ascii="仿宋_GB2312"/>
          <w:szCs w:val="32"/>
        </w:rPr>
        <w:t>8</w:t>
      </w:r>
      <w:r>
        <w:rPr>
          <w:rFonts w:ascii="仿宋_GB2312"/>
          <w:szCs w:val="32"/>
        </w:rPr>
        <w:t>.</w:t>
      </w:r>
      <w:r>
        <w:rPr>
          <w:rFonts w:hint="eastAsia" w:ascii="仿宋_GB2312"/>
          <w:szCs w:val="32"/>
        </w:rPr>
        <w:t>按照</w:t>
      </w:r>
      <w:r>
        <w:rPr>
          <w:rFonts w:ascii="仿宋_GB2312"/>
          <w:szCs w:val="32"/>
        </w:rPr>
        <w:t>规定报告生产安全事故的情况</w:t>
      </w:r>
      <w:r>
        <w:rPr>
          <w:rFonts w:hint="eastAsia" w:ascii="仿宋_GB231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楷体_GB2312" w:hAnsi="黑体" w:eastAsia="楷体_GB2312"/>
          <w:szCs w:val="32"/>
          <w:lang w:eastAsia="zh-CN"/>
        </w:rPr>
      </w:pPr>
      <w:r>
        <w:rPr>
          <w:rFonts w:hint="eastAsia" w:ascii="楷体_GB2312" w:hAnsi="黑体" w:eastAsia="楷体_GB2312"/>
          <w:szCs w:val="32"/>
        </w:rPr>
        <w:t>（三）</w:t>
      </w:r>
      <w:r>
        <w:rPr>
          <w:rFonts w:ascii="楷体_GB2312" w:hAnsi="黑体" w:eastAsia="楷体_GB2312"/>
          <w:szCs w:val="32"/>
        </w:rPr>
        <w:t>检查</w:t>
      </w:r>
      <w:r>
        <w:rPr>
          <w:rFonts w:hint="eastAsia" w:ascii="楷体_GB2312" w:hAnsi="黑体" w:eastAsia="楷体_GB2312"/>
          <w:szCs w:val="32"/>
          <w:lang w:eastAsia="zh-CN"/>
        </w:rPr>
        <w:t>方法的实施</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检查人员发现</w:t>
      </w:r>
      <w:r>
        <w:rPr>
          <w:rFonts w:hint="eastAsia" w:ascii="仿宋_GB2312" w:hAnsi="仿宋_GB2312" w:cs="仿宋_GB2312"/>
          <w:color w:val="000000" w:themeColor="text1"/>
          <w:sz w:val="32"/>
          <w:szCs w:val="32"/>
          <w:lang w:eastAsia="zh-CN"/>
          <w14:textFill>
            <w14:solidFill>
              <w14:schemeClr w14:val="tx1"/>
            </w14:solidFill>
          </w14:textFill>
        </w:rPr>
        <w:t>生产经营单位</w:t>
      </w:r>
      <w:r>
        <w:rPr>
          <w:rFonts w:hint="eastAsia" w:ascii="仿宋_GB2312" w:hAnsi="仿宋_GB2312" w:eastAsia="仿宋_GB2312" w:cs="仿宋_GB2312"/>
          <w:color w:val="000000" w:themeColor="text1"/>
          <w:sz w:val="32"/>
          <w:szCs w:val="32"/>
          <w14:textFill>
            <w14:solidFill>
              <w14:schemeClr w14:val="tx1"/>
            </w14:solidFill>
          </w14:textFill>
        </w:rPr>
        <w:t>存在安全生产事故隐患或不符合法律法规行为，依法</w:t>
      </w:r>
      <w:r>
        <w:rPr>
          <w:rFonts w:hint="eastAsia" w:ascii="仿宋_GB2312" w:hAnsi="仿宋_GB2312" w:cs="仿宋_GB2312"/>
          <w:color w:val="000000" w:themeColor="text1"/>
          <w:sz w:val="32"/>
          <w:szCs w:val="32"/>
          <w:lang w:eastAsia="zh-CN"/>
          <w14:textFill>
            <w14:solidFill>
              <w14:schemeClr w14:val="tx1"/>
            </w14:solidFill>
          </w14:textFill>
        </w:rPr>
        <w:t>依规</w:t>
      </w:r>
      <w:r>
        <w:rPr>
          <w:rFonts w:hint="eastAsia" w:ascii="仿宋_GB2312" w:hAnsi="仿宋_GB2312" w:eastAsia="仿宋_GB2312" w:cs="仿宋_GB2312"/>
          <w:color w:val="000000" w:themeColor="text1"/>
          <w:sz w:val="32"/>
          <w:szCs w:val="32"/>
          <w14:textFill>
            <w14:solidFill>
              <w14:schemeClr w14:val="tx1"/>
            </w14:solidFill>
          </w14:textFill>
        </w:rPr>
        <w:t>行使现场处理职责</w:t>
      </w:r>
      <w:r>
        <w:rPr>
          <w:rFonts w:hint="eastAsia" w:ascii="仿宋_GB2312" w:hAnsi="仿宋_GB2312" w:cs="仿宋_GB2312"/>
          <w:color w:val="000000" w:themeColor="text1"/>
          <w:sz w:val="32"/>
          <w:szCs w:val="32"/>
          <w:lang w:eastAsia="zh-CN"/>
          <w14:textFill>
            <w14:solidFill>
              <w14:schemeClr w14:val="tx1"/>
            </w14:solidFill>
          </w14:textFill>
        </w:rPr>
        <w:t>，要求生产经营单位</w:t>
      </w:r>
      <w:r>
        <w:rPr>
          <w:rFonts w:hint="eastAsia" w:ascii="仿宋_GB2312" w:hAnsi="仿宋_GB2312" w:cs="仿宋_GB2312"/>
          <w:szCs w:val="32"/>
        </w:rPr>
        <w:t>制定整改措施</w:t>
      </w:r>
      <w:r>
        <w:rPr>
          <w:rFonts w:hint="eastAsia" w:ascii="仿宋_GB2312" w:hAnsi="仿宋_GB2312" w:cs="仿宋_GB2312"/>
          <w:szCs w:val="32"/>
          <w:lang w:eastAsia="zh-CN"/>
        </w:rPr>
        <w:t>并落实</w:t>
      </w:r>
      <w:r>
        <w:rPr>
          <w:rFonts w:hint="eastAsia" w:ascii="仿宋_GB2312" w:hAnsi="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涉及记分事项的</w:t>
      </w:r>
      <w:r>
        <w:rPr>
          <w:rFonts w:hint="eastAsia" w:ascii="仿宋_GB2312" w:hAnsi="仿宋_GB2312" w:cs="仿宋_GB2312"/>
          <w:color w:val="000000" w:themeColor="text1"/>
          <w:sz w:val="32"/>
          <w:szCs w:val="32"/>
          <w:lang w:eastAsia="zh-CN"/>
          <w14:textFill>
            <w14:solidFill>
              <w14:schemeClr w14:val="tx1"/>
            </w14:solidFill>
          </w14:textFill>
        </w:rPr>
        <w:t>工贸企业，</w:t>
      </w:r>
      <w:r>
        <w:rPr>
          <w:rFonts w:hint="eastAsia" w:ascii="仿宋_GB2312" w:hAnsi="仿宋_GB2312" w:eastAsia="仿宋_GB2312" w:cs="仿宋_GB2312"/>
          <w:color w:val="000000" w:themeColor="text1"/>
          <w:sz w:val="32"/>
          <w:szCs w:val="32"/>
          <w14:textFill>
            <w14:solidFill>
              <w14:schemeClr w14:val="tx1"/>
            </w14:solidFill>
          </w14:textFill>
        </w:rPr>
        <w:t>根据</w:t>
      </w:r>
      <w:r>
        <w:rPr>
          <w:rFonts w:hint="eastAsia" w:ascii="仿宋_GB2312" w:hAnsi="仿宋_GB2312" w:cs="仿宋_GB2312"/>
          <w:color w:val="000000" w:themeColor="text1"/>
          <w:sz w:val="32"/>
          <w:szCs w:val="32"/>
          <w:lang w:eastAsia="zh-CN"/>
          <w14:textFill>
            <w14:solidFill>
              <w14:schemeClr w14:val="tx1"/>
            </w14:solidFill>
          </w14:textFill>
        </w:rPr>
        <w:t>“记分管理</w:t>
      </w:r>
      <w:r>
        <w:rPr>
          <w:rFonts w:hint="eastAsia" w:ascii="仿宋_GB2312" w:hAnsi="仿宋_GB2312" w:eastAsia="仿宋_GB2312" w:cs="仿宋_GB2312"/>
          <w:color w:val="000000" w:themeColor="text1"/>
          <w:sz w:val="32"/>
          <w:szCs w:val="32"/>
          <w14:textFill>
            <w14:solidFill>
              <w14:schemeClr w14:val="tx1"/>
            </w14:solidFill>
          </w14:textFill>
        </w:rPr>
        <w:t>办法</w:t>
      </w:r>
      <w:r>
        <w:rPr>
          <w:rFonts w:hint="eastAsia" w:ascii="仿宋_GB2312" w:hAnsi="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进行记分</w:t>
      </w:r>
      <w:r>
        <w:rPr>
          <w:rFonts w:hint="eastAsia" w:ascii="仿宋_GB2312" w:hAnsi="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对记分周期内累积达到相应分值的企业，对其加强安全生产监督监察</w:t>
      </w:r>
      <w:r>
        <w:rPr>
          <w:rFonts w:hint="eastAsia" w:ascii="仿宋_GB2312" w:hAnsi="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黑体" w:hAnsi="黑体" w:eastAsia="黑体"/>
          <w:szCs w:val="32"/>
        </w:rPr>
      </w:pPr>
      <w:r>
        <w:rPr>
          <w:rFonts w:hint="eastAsia" w:ascii="黑体" w:hAnsi="黑体" w:eastAsia="黑体"/>
          <w:szCs w:val="32"/>
          <w:lang w:eastAsia="zh-CN"/>
        </w:rPr>
        <w:t>五</w:t>
      </w:r>
      <w:r>
        <w:rPr>
          <w:rFonts w:hint="eastAsia" w:ascii="黑体" w:hAnsi="黑体" w:eastAsia="黑体"/>
          <w:szCs w:val="32"/>
        </w:rPr>
        <w:t>、监督检查安排</w:t>
      </w:r>
    </w:p>
    <w:p>
      <w:pPr>
        <w:keepNext w:val="0"/>
        <w:keepLines w:val="0"/>
        <w:pageBreakBefore w:val="0"/>
        <w:widowControl w:val="0"/>
        <w:kinsoku/>
        <w:wordWrap/>
        <w:overflowPunct/>
        <w:topLinePunct w:val="0"/>
        <w:autoSpaceDE/>
        <w:autoSpaceDN/>
        <w:bidi w:val="0"/>
        <w:adjustRightInd/>
        <w:snapToGrid/>
        <w:spacing w:line="560" w:lineRule="exact"/>
        <w:ind w:firstLine="646"/>
        <w:textAlignment w:val="auto"/>
        <w:outlineLvl w:val="9"/>
        <w:rPr>
          <w:rFonts w:hint="eastAsia" w:ascii="楷体_GB2312" w:hAnsi="黑体" w:eastAsia="楷体_GB2312" w:cs="Times New Roman"/>
          <w:spacing w:val="-4"/>
          <w:sz w:val="32"/>
          <w:szCs w:val="32"/>
          <w:lang w:val="en-US" w:eastAsia="zh-CN"/>
        </w:rPr>
      </w:pPr>
      <w:r>
        <w:rPr>
          <w:rFonts w:hint="eastAsia" w:ascii="楷体_GB2312" w:hAnsi="黑体" w:eastAsia="楷体_GB2312" w:cs="Times New Roman"/>
          <w:spacing w:val="-4"/>
          <w:sz w:val="32"/>
          <w:szCs w:val="32"/>
          <w:lang w:val="en-US" w:eastAsia="zh-CN"/>
        </w:rPr>
        <w:t>（一）重点时段的检查</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eastAsia="仿宋_GB2312"/>
          <w:sz w:val="32"/>
          <w:szCs w:val="32"/>
        </w:rPr>
      </w:pPr>
      <w:r>
        <w:rPr>
          <w:rFonts w:hint="eastAsia" w:eastAsia="仿宋_GB2312"/>
          <w:sz w:val="32"/>
          <w:szCs w:val="32"/>
        </w:rPr>
        <w:t>结合</w:t>
      </w:r>
      <w:r>
        <w:rPr>
          <w:rFonts w:eastAsia="仿宋_GB2312"/>
          <w:sz w:val="32"/>
          <w:szCs w:val="32"/>
        </w:rPr>
        <w:t>国家或地区重大活动</w:t>
      </w:r>
      <w:r>
        <w:rPr>
          <w:rFonts w:hint="eastAsia" w:eastAsia="仿宋_GB2312"/>
          <w:sz w:val="32"/>
          <w:szCs w:val="32"/>
        </w:rPr>
        <w:t>、</w:t>
      </w:r>
      <w:r>
        <w:rPr>
          <w:rFonts w:eastAsia="仿宋_GB2312"/>
          <w:sz w:val="32"/>
          <w:szCs w:val="32"/>
        </w:rPr>
        <w:t>国定节假日安全保障需要</w:t>
      </w:r>
      <w:r>
        <w:rPr>
          <w:rFonts w:hint="eastAsia" w:eastAsia="仿宋_GB2312"/>
          <w:sz w:val="32"/>
          <w:szCs w:val="32"/>
        </w:rPr>
        <w:t>和</w:t>
      </w:r>
      <w:r>
        <w:rPr>
          <w:rFonts w:eastAsia="仿宋_GB2312"/>
          <w:sz w:val="32"/>
          <w:szCs w:val="32"/>
        </w:rPr>
        <w:t>区</w:t>
      </w:r>
      <w:r>
        <w:rPr>
          <w:rFonts w:hint="eastAsia"/>
          <w:sz w:val="32"/>
          <w:szCs w:val="32"/>
          <w:lang w:eastAsia="zh-CN"/>
        </w:rPr>
        <w:t>安委会、区应急局</w:t>
      </w:r>
      <w:r>
        <w:rPr>
          <w:rFonts w:eastAsia="仿宋_GB2312"/>
          <w:sz w:val="32"/>
          <w:szCs w:val="32"/>
        </w:rPr>
        <w:t>检查计划</w:t>
      </w:r>
      <w:r>
        <w:rPr>
          <w:rFonts w:hint="eastAsia"/>
          <w:sz w:val="32"/>
          <w:szCs w:val="32"/>
          <w:lang w:eastAsia="zh-CN"/>
        </w:rPr>
        <w:t>，在重大活动和节假日期间，经济办、事业办、事务办、稳定办、规保办、派出所等单位联合对辖区内的生产经营单位</w:t>
      </w:r>
      <w:r>
        <w:rPr>
          <w:rFonts w:eastAsia="仿宋_GB2312"/>
          <w:sz w:val="32"/>
          <w:szCs w:val="32"/>
        </w:rPr>
        <w:t>开展安全监督检查</w:t>
      </w:r>
      <w:r>
        <w:rPr>
          <w:rFonts w:hint="eastAsia" w:eastAsia="仿宋_GB2312"/>
          <w:sz w:val="32"/>
          <w:szCs w:val="32"/>
        </w:rPr>
        <w:t>，做到</w:t>
      </w:r>
      <w:r>
        <w:rPr>
          <w:rFonts w:hint="eastAsia"/>
          <w:sz w:val="32"/>
          <w:szCs w:val="32"/>
          <w:lang w:eastAsia="zh-CN"/>
        </w:rPr>
        <w:t>生产经营单位</w:t>
      </w:r>
      <w:r>
        <w:rPr>
          <w:rFonts w:eastAsia="仿宋_GB2312"/>
          <w:sz w:val="32"/>
          <w:szCs w:val="32"/>
        </w:rPr>
        <w:t>全覆盖</w:t>
      </w:r>
      <w:r>
        <w:rPr>
          <w:rFonts w:hint="eastAsia"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6"/>
        <w:textAlignment w:val="auto"/>
        <w:outlineLvl w:val="9"/>
        <w:rPr>
          <w:rFonts w:hint="eastAsia" w:ascii="楷体_GB2312" w:hAnsi="黑体" w:eastAsia="楷体_GB2312" w:cs="Times New Roman"/>
          <w:spacing w:val="-4"/>
          <w:sz w:val="32"/>
          <w:szCs w:val="32"/>
          <w:lang w:val="en-US" w:eastAsia="zh-CN"/>
        </w:rPr>
      </w:pPr>
      <w:r>
        <w:rPr>
          <w:rFonts w:hint="eastAsia" w:ascii="楷体_GB2312" w:hAnsi="黑体" w:eastAsia="楷体_GB2312" w:cs="Times New Roman"/>
          <w:spacing w:val="-4"/>
          <w:sz w:val="32"/>
          <w:szCs w:val="32"/>
          <w:lang w:val="en-US" w:eastAsia="zh-CN"/>
        </w:rPr>
        <w:t>（二）一般时段的检查</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ascii="仿宋_GB2312" w:hAnsi="仿宋_GB2312" w:eastAsia="仿宋_GB2312" w:cs="仿宋_GB2312"/>
          <w:szCs w:val="32"/>
        </w:rPr>
      </w:pPr>
      <w:r>
        <w:rPr>
          <w:rFonts w:hint="eastAsia" w:ascii="仿宋_GB2312" w:hAnsi="仿宋_GB2312" w:eastAsia="仿宋_GB2312" w:cs="仿宋_GB2312"/>
          <w:szCs w:val="32"/>
          <w:lang w:eastAsia="zh-CN"/>
        </w:rPr>
        <w:t>一般时段，对</w:t>
      </w:r>
      <w:r>
        <w:rPr>
          <w:rFonts w:hint="eastAsia" w:ascii="仿宋_GB2312" w:hAnsi="仿宋_GB2312" w:eastAsia="仿宋_GB2312" w:cs="仿宋_GB2312"/>
          <w:szCs w:val="32"/>
        </w:rPr>
        <w:t>我镇辖区内工贸企业70家（含8家个体户）和危险化学品销售企业2家。按照属地监管、综合监管、分级检查的原则，结合辖区内</w:t>
      </w:r>
      <w:r>
        <w:rPr>
          <w:rFonts w:hint="eastAsia" w:ascii="仿宋_GB2312" w:hAnsi="仿宋_GB2312" w:eastAsia="仿宋_GB2312" w:cs="仿宋_GB2312"/>
          <w:szCs w:val="32"/>
          <w:lang w:eastAsia="zh-CN"/>
        </w:rPr>
        <w:t>企业</w:t>
      </w:r>
      <w:r>
        <w:rPr>
          <w:rFonts w:hint="eastAsia" w:ascii="仿宋_GB2312" w:hAnsi="仿宋_GB2312" w:eastAsia="仿宋_GB2312" w:cs="仿宋_GB2312"/>
          <w:szCs w:val="32"/>
        </w:rPr>
        <w:t>实际</w:t>
      </w:r>
      <w:r>
        <w:rPr>
          <w:rFonts w:hint="eastAsia" w:ascii="仿宋_GB2312" w:hAnsi="仿宋_GB2312" w:eastAsia="仿宋_GB2312" w:cs="仿宋_GB2312"/>
          <w:szCs w:val="32"/>
          <w:lang w:eastAsia="zh-CN"/>
        </w:rPr>
        <w:t>情况</w:t>
      </w:r>
      <w:r>
        <w:rPr>
          <w:rFonts w:hint="eastAsia" w:ascii="仿宋_GB2312" w:hAnsi="仿宋_GB2312" w:eastAsia="仿宋_GB2312" w:cs="仿宋_GB2312"/>
          <w:szCs w:val="32"/>
        </w:rPr>
        <w:t>，确定本</w:t>
      </w:r>
      <w:r>
        <w:rPr>
          <w:rFonts w:hint="eastAsia" w:ascii="仿宋_GB2312" w:hAnsi="仿宋_GB2312" w:eastAsia="仿宋_GB2312" w:cs="仿宋_GB2312"/>
          <w:szCs w:val="32"/>
          <w:lang w:eastAsia="zh-CN"/>
        </w:rPr>
        <w:t>区域内</w:t>
      </w:r>
      <w:r>
        <w:rPr>
          <w:rFonts w:hint="eastAsia" w:ascii="仿宋_GB2312" w:hAnsi="仿宋_GB2312" w:eastAsia="仿宋_GB2312" w:cs="仿宋_GB2312"/>
          <w:szCs w:val="32"/>
        </w:rPr>
        <w:t>重点</w:t>
      </w:r>
      <w:r>
        <w:rPr>
          <w:rFonts w:hint="eastAsia" w:ascii="仿宋_GB2312" w:hAnsi="仿宋_GB2312" w:eastAsia="仿宋_GB2312" w:cs="仿宋_GB2312"/>
          <w:szCs w:val="32"/>
          <w:lang w:eastAsia="zh-CN"/>
        </w:rPr>
        <w:t>企业</w:t>
      </w:r>
      <w:r>
        <w:rPr>
          <w:rFonts w:hint="eastAsia" w:ascii="仿宋_GB2312" w:hAnsi="仿宋_GB2312" w:eastAsia="仿宋_GB2312" w:cs="仿宋_GB2312"/>
          <w:szCs w:val="32"/>
        </w:rPr>
        <w:t>共2</w:t>
      </w:r>
      <w:r>
        <w:rPr>
          <w:rFonts w:hint="eastAsia" w:ascii="仿宋_GB2312" w:hAnsi="仿宋_GB2312" w:eastAsia="仿宋_GB2312" w:cs="仿宋_GB2312"/>
          <w:szCs w:val="32"/>
          <w:lang w:val="en-US" w:eastAsia="zh-CN"/>
        </w:rPr>
        <w:t>2</w:t>
      </w:r>
      <w:r>
        <w:rPr>
          <w:rFonts w:hint="eastAsia" w:ascii="仿宋_GB2312" w:hAnsi="仿宋_GB2312" w:eastAsia="仿宋_GB2312" w:cs="仿宋_GB2312"/>
          <w:szCs w:val="32"/>
        </w:rPr>
        <w:t>家</w:t>
      </w:r>
      <w:r>
        <w:rPr>
          <w:rFonts w:hint="eastAsia" w:ascii="仿宋_GB2312" w:hAnsi="仿宋_GB2312" w:eastAsia="仿宋_GB2312" w:cs="仿宋_GB2312"/>
          <w:szCs w:val="32"/>
          <w:lang w:eastAsia="zh-CN"/>
        </w:rPr>
        <w:t>（详情见附件），一般企业</w:t>
      </w:r>
      <w:r>
        <w:rPr>
          <w:rFonts w:hint="eastAsia" w:ascii="仿宋_GB2312" w:hAnsi="仿宋_GB2312" w:eastAsia="仿宋_GB2312" w:cs="仿宋_GB2312"/>
          <w:szCs w:val="32"/>
          <w:lang w:val="en-US" w:eastAsia="zh-CN"/>
        </w:rPr>
        <w:t>50家。为</w:t>
      </w:r>
      <w:r>
        <w:rPr>
          <w:rFonts w:hint="eastAsia" w:ascii="仿宋_GB2312" w:hAnsi="仿宋_GB2312" w:eastAsia="仿宋_GB2312" w:cs="仿宋_GB2312"/>
          <w:szCs w:val="32"/>
        </w:rPr>
        <w:t>实现高危行业、重点领域</w:t>
      </w:r>
      <w:r>
        <w:rPr>
          <w:rFonts w:hint="eastAsia" w:ascii="仿宋_GB2312" w:hAnsi="仿宋_GB2312" w:eastAsia="仿宋_GB2312" w:cs="仿宋_GB2312"/>
          <w:szCs w:val="32"/>
          <w:lang w:eastAsia="zh-CN"/>
        </w:rPr>
        <w:t>、一般企业</w:t>
      </w:r>
      <w:r>
        <w:rPr>
          <w:rFonts w:hint="eastAsia" w:ascii="仿宋_GB2312" w:hAnsi="仿宋_GB2312" w:eastAsia="仿宋_GB2312" w:cs="仿宋_GB2312"/>
          <w:szCs w:val="32"/>
        </w:rPr>
        <w:t>监督检查全覆盖</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全年</w:t>
      </w:r>
      <w:r>
        <w:rPr>
          <w:rFonts w:hint="eastAsia" w:ascii="仿宋_GB2312" w:hAnsi="仿宋_GB2312" w:eastAsia="仿宋_GB2312" w:cs="仿宋_GB2312"/>
          <w:szCs w:val="32"/>
          <w:lang w:eastAsia="zh-CN"/>
        </w:rPr>
        <w:t>共</w:t>
      </w:r>
      <w:r>
        <w:rPr>
          <w:rFonts w:hint="eastAsia" w:ascii="仿宋_GB2312" w:hAnsi="仿宋_GB2312" w:eastAsia="仿宋_GB2312" w:cs="仿宋_GB2312"/>
          <w:szCs w:val="32"/>
        </w:rPr>
        <w:t>计划检查</w:t>
      </w:r>
      <w:r>
        <w:rPr>
          <w:rFonts w:hint="eastAsia" w:ascii="仿宋_GB2312" w:hAnsi="仿宋_GB2312" w:eastAsia="仿宋_GB2312" w:cs="仿宋_GB2312"/>
          <w:szCs w:val="32"/>
          <w:lang w:val="en-US" w:eastAsia="zh-CN"/>
        </w:rPr>
        <w:t>426</w:t>
      </w:r>
      <w:r>
        <w:rPr>
          <w:rFonts w:hint="eastAsia" w:ascii="仿宋_GB2312" w:hAnsi="仿宋_GB2312" w:eastAsia="仿宋_GB2312" w:cs="仿宋_GB2312"/>
          <w:szCs w:val="32"/>
        </w:rPr>
        <w:t>次</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中兴镇安全生产管理事务所</w:t>
      </w:r>
      <w:r>
        <w:rPr>
          <w:rFonts w:hint="eastAsia" w:ascii="仿宋_GB2312" w:hAnsi="仿宋_GB2312" w:eastAsia="仿宋_GB2312" w:cs="仿宋_GB2312"/>
          <w:szCs w:val="32"/>
          <w:lang w:eastAsia="zh-CN"/>
        </w:rPr>
        <w:t>计划</w:t>
      </w:r>
      <w:r>
        <w:rPr>
          <w:rFonts w:hint="eastAsia" w:ascii="仿宋_GB2312" w:hAnsi="仿宋_GB2312" w:eastAsia="仿宋_GB2312" w:cs="仿宋_GB2312"/>
          <w:szCs w:val="32"/>
        </w:rPr>
        <w:t>全年</w:t>
      </w:r>
      <w:r>
        <w:rPr>
          <w:rFonts w:hint="eastAsia" w:ascii="仿宋_GB2312" w:hAnsi="仿宋_GB2312" w:eastAsia="仿宋_GB2312" w:cs="仿宋_GB2312"/>
          <w:szCs w:val="32"/>
          <w:lang w:eastAsia="zh-CN"/>
        </w:rPr>
        <w:t>检查各</w:t>
      </w:r>
      <w:r>
        <w:rPr>
          <w:rFonts w:hint="eastAsia" w:ascii="仿宋_GB2312" w:hAnsi="仿宋_GB2312" w:eastAsia="仿宋_GB2312" w:cs="仿宋_GB2312"/>
          <w:szCs w:val="32"/>
        </w:rPr>
        <w:t>重点</w:t>
      </w:r>
      <w:r>
        <w:rPr>
          <w:rFonts w:hint="eastAsia" w:ascii="仿宋_GB2312" w:hAnsi="仿宋_GB2312" w:eastAsia="仿宋_GB2312" w:cs="仿宋_GB2312"/>
          <w:szCs w:val="32"/>
          <w:lang w:eastAsia="zh-CN"/>
        </w:rPr>
        <w:t>企业</w:t>
      </w:r>
      <w:r>
        <w:rPr>
          <w:rFonts w:hint="eastAsia" w:ascii="仿宋_GB2312" w:hAnsi="仿宋_GB2312" w:eastAsia="仿宋_GB2312" w:cs="仿宋_GB2312"/>
          <w:szCs w:val="32"/>
        </w:rPr>
        <w:t>4次，</w:t>
      </w:r>
      <w:r>
        <w:rPr>
          <w:rFonts w:hint="eastAsia" w:ascii="仿宋_GB2312" w:hAnsi="仿宋_GB2312" w:eastAsia="仿宋_GB2312" w:cs="仿宋_GB2312"/>
          <w:szCs w:val="32"/>
          <w:lang w:eastAsia="zh-CN"/>
        </w:rPr>
        <w:t>检查各</w:t>
      </w:r>
      <w:r>
        <w:rPr>
          <w:rFonts w:hint="eastAsia" w:ascii="仿宋_GB2312" w:hAnsi="仿宋_GB2312" w:eastAsia="仿宋_GB2312" w:cs="仿宋_GB2312"/>
          <w:szCs w:val="32"/>
        </w:rPr>
        <w:t>一般</w:t>
      </w:r>
      <w:r>
        <w:rPr>
          <w:rFonts w:hint="eastAsia" w:ascii="仿宋_GB2312" w:hAnsi="仿宋_GB2312" w:eastAsia="仿宋_GB2312" w:cs="仿宋_GB2312"/>
          <w:szCs w:val="32"/>
          <w:lang w:eastAsia="zh-CN"/>
        </w:rPr>
        <w:t>单位</w:t>
      </w:r>
      <w:r>
        <w:rPr>
          <w:rFonts w:hint="eastAsia" w:ascii="仿宋_GB2312" w:hAnsi="仿宋_GB2312" w:eastAsia="仿宋_GB2312" w:cs="仿宋_GB2312"/>
          <w:szCs w:val="32"/>
        </w:rPr>
        <w:t>1次</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各村（居）全年负责检查属地</w:t>
      </w:r>
      <w:r>
        <w:rPr>
          <w:rFonts w:hint="eastAsia" w:ascii="仿宋_GB2312" w:hAnsi="仿宋_GB2312" w:eastAsia="仿宋_GB2312" w:cs="仿宋_GB2312"/>
          <w:szCs w:val="32"/>
          <w:lang w:eastAsia="zh-CN"/>
        </w:rPr>
        <w:t>各</w:t>
      </w:r>
      <w:r>
        <w:rPr>
          <w:rFonts w:hint="eastAsia" w:ascii="仿宋_GB2312" w:hAnsi="仿宋_GB2312" w:eastAsia="仿宋_GB2312" w:cs="仿宋_GB2312"/>
          <w:szCs w:val="32"/>
        </w:rPr>
        <w:t>企业4次。</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16" w:firstLineChars="200"/>
        <w:textAlignment w:val="auto"/>
        <w:outlineLvl w:val="9"/>
        <w:rPr>
          <w:rFonts w:hint="eastAsia" w:ascii="黑体" w:hAnsi="黑体" w:eastAsia="黑体"/>
          <w:szCs w:val="32"/>
          <w:lang w:eastAsia="zh-CN"/>
        </w:rPr>
      </w:pPr>
      <w:r>
        <w:rPr>
          <w:rFonts w:hint="eastAsia" w:ascii="黑体" w:hAnsi="黑体" w:eastAsia="黑体"/>
          <w:szCs w:val="32"/>
          <w:lang w:eastAsia="zh-CN"/>
        </w:rPr>
        <w:t>工作要求</w:t>
      </w:r>
    </w:p>
    <w:p>
      <w:pPr>
        <w:keepNext w:val="0"/>
        <w:keepLines w:val="0"/>
        <w:pageBreakBefore w:val="0"/>
        <w:widowControl w:val="0"/>
        <w:kinsoku/>
        <w:wordWrap/>
        <w:overflowPunct/>
        <w:topLinePunct w:val="0"/>
        <w:autoSpaceDE/>
        <w:autoSpaceDN/>
        <w:bidi w:val="0"/>
        <w:adjustRightInd/>
        <w:spacing w:line="560" w:lineRule="exact"/>
        <w:ind w:firstLine="616" w:firstLineChars="200"/>
        <w:textAlignment w:val="auto"/>
        <w:rPr>
          <w:rFonts w:hint="eastAsia"/>
          <w:sz w:val="32"/>
          <w:szCs w:val="32"/>
          <w:lang w:val="en-US" w:eastAsia="zh-CN"/>
        </w:rPr>
      </w:pPr>
      <w:r>
        <w:rPr>
          <w:rFonts w:hint="eastAsia"/>
          <w:sz w:val="32"/>
          <w:szCs w:val="32"/>
          <w:lang w:val="en-US" w:eastAsia="zh-CN"/>
        </w:rPr>
        <w:t>高度重视安全生产监督检查工作，并将其作为全年的重点工作抓紧抓好；根据本计划的要求，认真贯彻落实，保证监督检查工作落到实处；加大重点时段、重点行业、重点领域安全隐患的检查力度，加强隐患排查治理闭环管理，对于重大隐患发现和典型事故处置，实行台账清单登记制度，找准事故原因，做好预防措施，及时跟踪复查，详细分类记录建档归案；进一步</w:t>
      </w:r>
      <w:r>
        <w:rPr>
          <w:rFonts w:hint="eastAsia"/>
          <w:sz w:val="32"/>
          <w:szCs w:val="32"/>
        </w:rPr>
        <w:t>健全企业“一企一档”管理制度，明确生产经营单位第一责任人的职责</w:t>
      </w:r>
      <w:r>
        <w:rPr>
          <w:rFonts w:hint="eastAsia"/>
          <w:sz w:val="32"/>
          <w:szCs w:val="32"/>
          <w:lang w:val="en-US" w:eastAsia="zh-CN"/>
        </w:rPr>
        <w:t>。</w:t>
      </w:r>
    </w:p>
    <w:p>
      <w:pPr>
        <w:pStyle w:val="2"/>
        <w:keepNext w:val="0"/>
        <w:keepLines w:val="0"/>
        <w:pageBreakBefore w:val="0"/>
        <w:widowControl w:val="0"/>
        <w:kinsoku/>
        <w:wordWrap/>
        <w:overflowPunct/>
        <w:topLinePunct w:val="0"/>
        <w:autoSpaceDE/>
        <w:autoSpaceDN/>
        <w:bidi w:val="0"/>
        <w:adjustRightInd/>
        <w:spacing w:line="560" w:lineRule="exact"/>
        <w:textAlignment w:val="auto"/>
        <w:rPr>
          <w:rFonts w:hint="eastAsia"/>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outlineLvl w:val="9"/>
        <w:rPr>
          <w:rFonts w:hint="eastAsia"/>
          <w:sz w:val="32"/>
          <w:szCs w:val="32"/>
          <w:lang w:val="en-US" w:eastAsia="zh-CN"/>
        </w:rPr>
      </w:pPr>
      <w:r>
        <w:rPr>
          <w:rFonts w:hint="eastAsia"/>
          <w:sz w:val="32"/>
          <w:szCs w:val="32"/>
          <w:lang w:val="en-US" w:eastAsia="zh-CN"/>
        </w:rPr>
        <w:t>附件：重点检查企业名单</w:t>
      </w:r>
    </w:p>
    <w:p>
      <w:pPr>
        <w:pStyle w:val="2"/>
        <w:rPr>
          <w:rFonts w:hint="eastAsia"/>
          <w:sz w:val="32"/>
          <w:szCs w:val="32"/>
          <w:lang w:val="en-US" w:eastAsia="zh-CN"/>
        </w:rPr>
      </w:pPr>
    </w:p>
    <w:p>
      <w:pPr>
        <w:pStyle w:val="2"/>
        <w:rPr>
          <w:rFonts w:hint="eastAsia"/>
          <w:sz w:val="32"/>
          <w:szCs w:val="32"/>
          <w:lang w:val="en-US" w:eastAsia="zh-CN"/>
        </w:rPr>
      </w:pPr>
    </w:p>
    <w:p>
      <w:pPr>
        <w:pStyle w:val="2"/>
        <w:rPr>
          <w:rFonts w:hint="eastAsia"/>
          <w:sz w:val="32"/>
          <w:szCs w:val="32"/>
          <w:lang w:val="en-US" w:eastAsia="zh-CN"/>
        </w:rPr>
      </w:pPr>
    </w:p>
    <w:p>
      <w:pPr>
        <w:pStyle w:val="2"/>
        <w:rPr>
          <w:rFonts w:hint="eastAsia"/>
          <w:sz w:val="32"/>
          <w:szCs w:val="32"/>
          <w:lang w:val="en-US" w:eastAsia="zh-CN"/>
        </w:rPr>
      </w:pPr>
    </w:p>
    <w:p>
      <w:pPr>
        <w:keepNext w:val="0"/>
        <w:keepLines w:val="0"/>
        <w:pageBreakBefore w:val="0"/>
        <w:widowControl w:val="0"/>
        <w:kinsoku/>
        <w:wordWrap/>
        <w:overflowPunct/>
        <w:topLinePunct w:val="0"/>
        <w:autoSpaceDE/>
        <w:autoSpaceDN/>
        <w:bidi w:val="0"/>
        <w:adjustRightInd/>
        <w:spacing w:line="560" w:lineRule="exact"/>
        <w:textAlignment w:val="auto"/>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pStyle w:val="2"/>
        <w:rPr>
          <w:rFonts w:hint="eastAsia" w:ascii="黑体" w:hAnsi="黑体" w:eastAsia="黑体" w:cs="黑体"/>
          <w:sz w:val="32"/>
          <w:szCs w:val="32"/>
        </w:rPr>
      </w:pPr>
    </w:p>
    <w:p>
      <w:pPr>
        <w:widowControl/>
        <w:spacing w:line="400" w:lineRule="exact"/>
        <w:jc w:val="left"/>
        <w:rPr>
          <w:rFonts w:ascii="Times New Roman" w:hAnsi="Times New Roman"/>
          <w:kern w:val="0"/>
          <w:sz w:val="28"/>
          <w:szCs w:val="28"/>
        </w:rPr>
      </w:pPr>
    </w:p>
    <w:p>
      <w:pPr>
        <w:widowControl/>
        <w:spacing w:line="400" w:lineRule="exact"/>
        <w:jc w:val="left"/>
        <w:rPr>
          <w:rFonts w:ascii="Times New Roman" w:hAnsi="Times New Roman"/>
          <w:kern w:val="0"/>
          <w:sz w:val="28"/>
          <w:szCs w:val="28"/>
        </w:rPr>
      </w:pPr>
    </w:p>
    <w:p>
      <w:pPr>
        <w:widowControl/>
        <w:spacing w:line="400" w:lineRule="exact"/>
        <w:jc w:val="left"/>
        <w:rPr>
          <w:rFonts w:ascii="Times New Roman" w:hAnsi="Times New Roman"/>
          <w:kern w:val="0"/>
          <w:sz w:val="28"/>
          <w:szCs w:val="28"/>
        </w:rPr>
      </w:pPr>
    </w:p>
    <w:p>
      <w:pPr>
        <w:widowControl/>
        <w:spacing w:line="400" w:lineRule="exact"/>
        <w:jc w:val="left"/>
        <w:rPr>
          <w:rFonts w:ascii="Times New Roman" w:hAnsi="Times New Roman"/>
          <w:kern w:val="0"/>
          <w:sz w:val="28"/>
          <w:szCs w:val="28"/>
        </w:rPr>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228600</wp:posOffset>
                </wp:positionV>
                <wp:extent cx="5600700" cy="635"/>
                <wp:effectExtent l="0" t="0" r="0" b="0"/>
                <wp:wrapNone/>
                <wp:docPr id="4" name="直接连接符 4"/>
                <wp:cNvGraphicFramePr/>
                <a:graphic xmlns:a="http://schemas.openxmlformats.org/drawingml/2006/main">
                  <a:graphicData uri="http://schemas.microsoft.com/office/word/2010/wordprocessingShape">
                    <wps:wsp>
                      <wps:cNvCnPr>
                        <a:cxnSpLocks noChangeShapeType="1"/>
                      </wps:cNvCnPr>
                      <wps:spPr bwMode="auto">
                        <a:xfrm>
                          <a:off x="0" y="0"/>
                          <a:ext cx="5600700" cy="635"/>
                        </a:xfrm>
                        <a:prstGeom prst="line">
                          <a:avLst/>
                        </a:prstGeom>
                        <a:noFill/>
                        <a:ln w="15875">
                          <a:solidFill>
                            <a:srgbClr val="000000"/>
                          </a:solidFill>
                          <a:round/>
                        </a:ln>
                        <a:effectLst/>
                      </wps:spPr>
                      <wps:bodyPr/>
                    </wps:wsp>
                  </a:graphicData>
                </a:graphic>
              </wp:anchor>
            </w:drawing>
          </mc:Choice>
          <mc:Fallback>
            <w:pict>
              <v:line id="_x0000_s1026" o:spid="_x0000_s1026" o:spt="20" style="position:absolute;left:0pt;margin-left:0pt;margin-top:18pt;height:0.05pt;width:441pt;z-index:251660288;mso-width-relative:page;mso-height-relative:page;" filled="f" stroked="t" coordsize="21600,21600" o:gfxdata="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q2oSc9UAAAAGAQAADwAAAAAAAAABACAAAAAiAAAA&#10;ZHJzL2Rvd25yZXYueG1sUEsBAhQAFAAAAAgAh07iQDPqyMLRAQAAbQMAAA4AAAAAAAAAAQAgAAAA&#10;JAEAAGRycy9lMm9Eb2MueG1sUEsFBgAAAAAGAAYAWQEAAGcFAAAAAA==&#10;">
                <v:fill on="f" focussize="0,0"/>
                <v:stroke weight="1.25pt" color="#00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420" w:lineRule="exact"/>
        <w:ind w:firstLine="536" w:firstLineChars="200"/>
        <w:textAlignment w:val="auto"/>
        <w:outlineLvl w:val="9"/>
        <w:rPr>
          <w:rFonts w:hint="eastAsia" w:ascii="仿宋_GB2312" w:eastAsia="仿宋_GB2312"/>
          <w:sz w:val="28"/>
          <w:szCs w:val="28"/>
          <w:lang w:eastAsia="zh-CN"/>
        </w:rPr>
      </w:pPr>
      <w:bookmarkStart w:id="0" w:name="_GoBack"/>
      <w:bookmarkEnd w:id="0"/>
      <w:r>
        <w:rPr>
          <w:rFonts w:hint="eastAsia" w:ascii="仿宋_GB2312" w:hAnsi="Times New Roman" w:eastAsia="仿宋_GB2312"/>
          <w:sz w:val="28"/>
          <w:szCs w:val="28"/>
        </w:rPr>
        <w:t>抄送：</w:t>
      </w:r>
      <w:r>
        <w:rPr>
          <w:rFonts w:hint="eastAsia" w:ascii="仿宋_GB2312" w:hAnsi="Times New Roman"/>
          <w:sz w:val="28"/>
          <w:szCs w:val="28"/>
          <w:lang w:eastAsia="zh-CN"/>
        </w:rPr>
        <w:t>区应急管理局</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firstLine="308" w:firstLineChars="100"/>
        <w:textAlignment w:val="auto"/>
        <w:outlineLvl w:val="9"/>
        <w:rPr>
          <w:rFonts w:hint="eastAsia" w:ascii="黑体" w:hAnsi="黑体" w:eastAsia="黑体" w:cs="黑体"/>
          <w:sz w:val="32"/>
          <w:szCs w:val="32"/>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314960</wp:posOffset>
                </wp:positionV>
                <wp:extent cx="5600700" cy="635"/>
                <wp:effectExtent l="0" t="0" r="0" b="0"/>
                <wp:wrapNone/>
                <wp:docPr id="2" name="直接连接符 2"/>
                <wp:cNvGraphicFramePr/>
                <a:graphic xmlns:a="http://schemas.openxmlformats.org/drawingml/2006/main">
                  <a:graphicData uri="http://schemas.microsoft.com/office/word/2010/wordprocessingShape">
                    <wps:wsp>
                      <wps:cNvCnPr>
                        <a:cxnSpLocks noChangeShapeType="1"/>
                      </wps:cNvCnPr>
                      <wps:spPr bwMode="auto">
                        <a:xfrm>
                          <a:off x="0" y="0"/>
                          <a:ext cx="5600700" cy="635"/>
                        </a:xfrm>
                        <a:prstGeom prst="line">
                          <a:avLst/>
                        </a:prstGeom>
                        <a:noFill/>
                        <a:ln w="15875">
                          <a:solidFill>
                            <a:srgbClr val="000000"/>
                          </a:solidFill>
                          <a:round/>
                        </a:ln>
                        <a:effectLst/>
                      </wps:spPr>
                      <wps:bodyPr/>
                    </wps:wsp>
                  </a:graphicData>
                </a:graphic>
              </wp:anchor>
            </w:drawing>
          </mc:Choice>
          <mc:Fallback>
            <w:pict>
              <v:line id="_x0000_s1026" o:spid="_x0000_s1026" o:spt="20" style="position:absolute;left:0pt;margin-left:0pt;margin-top:24.8pt;height:0.05pt;width:441pt;z-index:251659264;mso-width-relative:page;mso-height-relative:page;" filled="f" stroked="t" coordsize="21600,21600" o:gfxdata="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sFm6zNYAAAAGAQAADwAAAAAAAAABACAAAAAiAAAA&#10;ZHJzL2Rvd25yZXYueG1sUEsBAhQAFAAAAAgAh07iQAylXp/QAQAAbQMAAA4AAAAAAAAAAQAgAAAA&#10;JQEAAGRycy9lMm9Eb2MueG1sUEsFBgAAAAAGAAYAWQEAAGcFAAAAAA==&#10;">
                <v:fill on="f" focussize="0,0"/>
                <v:stroke weight="1.25pt" color="#000000" joinstyle="round"/>
                <v:imagedata o:title=""/>
                <o:lock v:ext="edit" aspectratio="f"/>
              </v:line>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17780</wp:posOffset>
                </wp:positionV>
                <wp:extent cx="5600700" cy="635"/>
                <wp:effectExtent l="0" t="0" r="0" b="0"/>
                <wp:wrapNone/>
                <wp:docPr id="3"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5600700" cy="635"/>
                        </a:xfrm>
                        <a:prstGeom prst="line">
                          <a:avLst/>
                        </a:prstGeom>
                        <a:noFill/>
                        <a:ln w="6350">
                          <a:solidFill>
                            <a:srgbClr val="000000"/>
                          </a:solidFill>
                          <a:round/>
                        </a:ln>
                        <a:effectLst/>
                      </wps:spPr>
                      <wps:bodyPr/>
                    </wps:wsp>
                  </a:graphicData>
                </a:graphic>
              </wp:anchor>
            </w:drawing>
          </mc:Choice>
          <mc:Fallback>
            <w:pict>
              <v:line id="_x0000_s1026" o:spid="_x0000_s1026" o:spt="20" style="position:absolute;left:0pt;margin-left:0pt;margin-top:1.4pt;height:0.05pt;width:441pt;z-index:251661312;mso-width-relative:page;mso-height-relative:page;" filled="f" stroked="t" coordsize="21600,21600" o:gfxdata="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0j6zy0AAAAAQBAAAPAAAAAAAAAAEAIAAAACIAAABkcnMvZG93bnJl&#10;di54bWxQSwECFAAUAAAACACHTuJAW3mI/swBAABsAwAADgAAAAAAAAABACAAAAAfAQAAZHJzL2Uy&#10;b0RvYy54bWxQSwUGAAAAAAYABgBZAQAAXQUAAAAA&#10;">
                <v:fill on="f" focussize="0,0"/>
                <v:stroke weight="0.5pt" color="#000000" joinstyle="round"/>
                <v:imagedata o:title=""/>
                <o:lock v:ext="edit" aspectratio="f"/>
              </v:line>
            </w:pict>
          </mc:Fallback>
        </mc:AlternateContent>
      </w:r>
      <w:r>
        <w:rPr>
          <w:rFonts w:hint="eastAsia" w:ascii="仿宋_GB2312" w:hAnsi="Times New Roman" w:eastAsia="仿宋_GB2312"/>
          <w:sz w:val="28"/>
          <w:szCs w:val="28"/>
          <w:lang w:val="en-US" w:eastAsia="zh-CN"/>
        </w:rPr>
        <w:t>上海市</w:t>
      </w:r>
      <w:r>
        <w:rPr>
          <w:rFonts w:hint="eastAsia" w:ascii="仿宋_GB2312" w:hAnsi="Times New Roman" w:eastAsia="仿宋_GB2312"/>
          <w:sz w:val="28"/>
          <w:szCs w:val="28"/>
        </w:rPr>
        <w:t>崇明</w:t>
      </w:r>
      <w:r>
        <w:rPr>
          <w:rFonts w:hint="eastAsia" w:ascii="仿宋_GB2312" w:hAnsi="Times New Roman" w:eastAsia="仿宋_GB2312"/>
          <w:sz w:val="28"/>
          <w:szCs w:val="28"/>
          <w:lang w:val="en-US" w:eastAsia="zh-CN"/>
        </w:rPr>
        <w:t>区</w:t>
      </w:r>
      <w:r>
        <w:rPr>
          <w:rFonts w:hint="eastAsia" w:ascii="仿宋_GB2312" w:hAnsi="Times New Roman" w:eastAsia="仿宋_GB2312"/>
          <w:sz w:val="28"/>
          <w:szCs w:val="28"/>
        </w:rPr>
        <w:t>中兴镇</w:t>
      </w:r>
      <w:r>
        <w:rPr>
          <w:rFonts w:hint="eastAsia" w:ascii="仿宋_GB2312" w:hAnsi="Times New Roman" w:eastAsia="仿宋_GB2312"/>
          <w:sz w:val="28"/>
          <w:szCs w:val="28"/>
          <w:lang w:eastAsia="zh-CN"/>
        </w:rPr>
        <w:t>人民政府</w:t>
      </w:r>
      <w:r>
        <w:rPr>
          <w:rFonts w:hint="eastAsia" w:ascii="仿宋_GB2312" w:hAnsi="Times New Roman" w:eastAsia="仿宋_GB2312"/>
          <w:sz w:val="28"/>
          <w:szCs w:val="28"/>
        </w:rPr>
        <w:t>办公室</w:t>
      </w:r>
      <w:r>
        <w:rPr>
          <w:rFonts w:hint="eastAsia" w:ascii="仿宋_GB2312" w:hAnsi="Times New Roman" w:eastAsia="仿宋_GB2312"/>
          <w:sz w:val="28"/>
          <w:szCs w:val="28"/>
          <w:lang w:val="en-US" w:eastAsia="zh-CN"/>
        </w:rPr>
        <w:t xml:space="preserve">       </w:t>
      </w:r>
      <w:r>
        <w:rPr>
          <w:rFonts w:hint="eastAsia" w:ascii="仿宋_GB2312" w:hAnsi="Times New Roman"/>
          <w:sz w:val="28"/>
          <w:szCs w:val="28"/>
          <w:lang w:val="en-US" w:eastAsia="zh-CN"/>
        </w:rPr>
        <w:t xml:space="preserve">   </w:t>
      </w:r>
      <w:r>
        <w:rPr>
          <w:rFonts w:hint="eastAsia" w:ascii="仿宋_GB2312" w:hAnsi="Times New Roman" w:eastAsia="仿宋_GB2312"/>
          <w:sz w:val="28"/>
          <w:szCs w:val="28"/>
        </w:rPr>
        <w:t xml:space="preserve"> 20</w:t>
      </w:r>
      <w:r>
        <w:rPr>
          <w:rFonts w:hint="eastAsia" w:ascii="仿宋_GB2312" w:hAnsi="Times New Roman"/>
          <w:sz w:val="28"/>
          <w:szCs w:val="28"/>
          <w:lang w:val="en-US" w:eastAsia="zh-CN"/>
        </w:rPr>
        <w:t>20</w:t>
      </w:r>
      <w:r>
        <w:rPr>
          <w:rFonts w:hint="eastAsia" w:ascii="仿宋_GB2312" w:hAnsi="Times New Roman" w:eastAsia="仿宋_GB2312"/>
          <w:sz w:val="28"/>
          <w:szCs w:val="28"/>
        </w:rPr>
        <w:t>年</w:t>
      </w:r>
      <w:r>
        <w:rPr>
          <w:rFonts w:hint="eastAsia" w:ascii="仿宋_GB2312" w:hAnsi="Times New Roman"/>
          <w:sz w:val="28"/>
          <w:szCs w:val="28"/>
          <w:lang w:val="en-US" w:eastAsia="zh-CN"/>
        </w:rPr>
        <w:t>4</w:t>
      </w:r>
      <w:r>
        <w:rPr>
          <w:rFonts w:hint="eastAsia" w:ascii="仿宋_GB2312" w:hAnsi="Times New Roman" w:eastAsia="仿宋_GB2312"/>
          <w:sz w:val="28"/>
          <w:szCs w:val="28"/>
        </w:rPr>
        <w:t>月</w:t>
      </w:r>
      <w:r>
        <w:rPr>
          <w:rFonts w:hint="eastAsia" w:ascii="仿宋_GB2312" w:hAnsi="Times New Roman"/>
          <w:sz w:val="28"/>
          <w:szCs w:val="28"/>
          <w:lang w:val="en-US" w:eastAsia="zh-CN"/>
        </w:rPr>
        <w:t>27</w:t>
      </w:r>
      <w:r>
        <w:rPr>
          <w:rFonts w:hint="eastAsia" w:ascii="仿宋_GB2312" w:hAnsi="Times New Roman" w:eastAsia="仿宋_GB2312"/>
          <w:sz w:val="28"/>
          <w:szCs w:val="28"/>
        </w:rPr>
        <w:t>日印发</w:t>
      </w:r>
    </w:p>
    <w:p>
      <w:pPr>
        <w:rPr>
          <w:rFonts w:hint="eastAsia" w:ascii="黑体" w:hAnsi="黑体" w:eastAsia="黑体" w:cs="黑体"/>
          <w:b w:val="0"/>
          <w:bCs w:val="0"/>
          <w:szCs w:val="32"/>
          <w:lang w:eastAsia="zh-CN"/>
        </w:rPr>
      </w:pPr>
      <w:r>
        <w:rPr>
          <w:rFonts w:hint="eastAsia" w:ascii="黑体" w:hAnsi="黑体" w:eastAsia="黑体" w:cs="黑体"/>
          <w:b w:val="0"/>
          <w:bCs w:val="0"/>
          <w:szCs w:val="32"/>
        </w:rPr>
        <w:t>附件</w:t>
      </w:r>
      <w:r>
        <w:rPr>
          <w:rFonts w:hint="eastAsia" w:ascii="黑体" w:hAnsi="黑体" w:eastAsia="黑体" w:cs="黑体"/>
          <w:b w:val="0"/>
          <w:bCs w:val="0"/>
          <w:szCs w:val="32"/>
          <w:lang w:eastAsia="zh-CN"/>
        </w:rPr>
        <w:t>：</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ascii="黑体" w:hAnsi="黑体" w:eastAsia="黑体"/>
          <w:b/>
          <w:bCs/>
          <w:sz w:val="32"/>
          <w:szCs w:val="32"/>
        </w:rPr>
      </w:pPr>
      <w:r>
        <w:rPr>
          <w:rFonts w:hint="eastAsia" w:ascii="黑体" w:hAnsi="黑体" w:eastAsia="黑体"/>
          <w:b/>
          <w:bCs/>
          <w:sz w:val="32"/>
          <w:szCs w:val="32"/>
        </w:rPr>
        <w:t>重点</w:t>
      </w:r>
      <w:r>
        <w:rPr>
          <w:rFonts w:ascii="黑体" w:hAnsi="黑体" w:eastAsia="黑体"/>
          <w:b/>
          <w:bCs/>
          <w:sz w:val="32"/>
          <w:szCs w:val="32"/>
        </w:rPr>
        <w:t>检查</w:t>
      </w:r>
      <w:r>
        <w:rPr>
          <w:rFonts w:hint="eastAsia" w:ascii="黑体" w:hAnsi="黑体" w:eastAsia="黑体"/>
          <w:b/>
          <w:bCs/>
          <w:sz w:val="32"/>
          <w:szCs w:val="32"/>
          <w:lang w:eastAsia="zh-CN"/>
        </w:rPr>
        <w:t>企业</w:t>
      </w:r>
      <w:r>
        <w:rPr>
          <w:rFonts w:hint="eastAsia" w:ascii="黑体" w:hAnsi="黑体" w:eastAsia="黑体"/>
          <w:b/>
          <w:bCs/>
          <w:sz w:val="32"/>
          <w:szCs w:val="32"/>
        </w:rPr>
        <w:t>名单</w:t>
      </w:r>
    </w:p>
    <w:tbl>
      <w:tblPr>
        <w:tblStyle w:val="9"/>
        <w:tblW w:w="8392" w:type="dxa"/>
        <w:jc w:val="center"/>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3"/>
        <w:gridCol w:w="3691"/>
        <w:gridCol w:w="32"/>
        <w:gridCol w:w="3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vAlign w:val="center"/>
          </w:tcPr>
          <w:p>
            <w:pPr>
              <w:keepNext w:val="0"/>
              <w:keepLines w:val="0"/>
              <w:pageBreakBefore w:val="0"/>
              <w:kinsoku/>
              <w:wordWrap/>
              <w:overflowPunct/>
              <w:topLinePunct w:val="0"/>
              <w:autoSpaceDE/>
              <w:autoSpaceDN/>
              <w:bidi w:val="0"/>
              <w:adjustRightInd/>
              <w:snapToGrid/>
              <w:spacing w:line="280" w:lineRule="exact"/>
              <w:jc w:val="center"/>
              <w:outlineLvl w:val="9"/>
              <w:rPr>
                <w:sz w:val="24"/>
                <w:szCs w:val="24"/>
              </w:rPr>
            </w:pPr>
            <w:r>
              <w:rPr>
                <w:rFonts w:hint="eastAsia"/>
                <w:sz w:val="24"/>
                <w:szCs w:val="24"/>
              </w:rPr>
              <w:t>序号</w:t>
            </w:r>
          </w:p>
        </w:tc>
        <w:tc>
          <w:tcPr>
            <w:tcW w:w="3691" w:type="dxa"/>
            <w:vAlign w:val="center"/>
          </w:tcPr>
          <w:p>
            <w:pPr>
              <w:keepNext w:val="0"/>
              <w:keepLines w:val="0"/>
              <w:pageBreakBefore w:val="0"/>
              <w:kinsoku/>
              <w:wordWrap/>
              <w:overflowPunct/>
              <w:topLinePunct w:val="0"/>
              <w:autoSpaceDE/>
              <w:autoSpaceDN/>
              <w:bidi w:val="0"/>
              <w:adjustRightInd/>
              <w:snapToGrid/>
              <w:spacing w:line="280" w:lineRule="exact"/>
              <w:jc w:val="center"/>
              <w:outlineLvl w:val="9"/>
              <w:rPr>
                <w:sz w:val="24"/>
                <w:szCs w:val="24"/>
              </w:rPr>
            </w:pPr>
            <w:r>
              <w:rPr>
                <w:rFonts w:hint="eastAsia"/>
                <w:sz w:val="24"/>
                <w:szCs w:val="24"/>
                <w:lang w:eastAsia="zh-CN"/>
              </w:rPr>
              <w:t>企业</w:t>
            </w:r>
            <w:r>
              <w:rPr>
                <w:sz w:val="24"/>
                <w:szCs w:val="24"/>
              </w:rPr>
              <w:t>名称</w:t>
            </w:r>
          </w:p>
        </w:tc>
        <w:tc>
          <w:tcPr>
            <w:tcW w:w="3898" w:type="dxa"/>
            <w:gridSpan w:val="2"/>
            <w:vAlign w:val="center"/>
          </w:tcPr>
          <w:p>
            <w:pPr>
              <w:keepNext w:val="0"/>
              <w:keepLines w:val="0"/>
              <w:pageBreakBefore w:val="0"/>
              <w:kinsoku/>
              <w:wordWrap/>
              <w:overflowPunct/>
              <w:topLinePunct w:val="0"/>
              <w:autoSpaceDE/>
              <w:autoSpaceDN/>
              <w:bidi w:val="0"/>
              <w:adjustRightInd/>
              <w:snapToGrid/>
              <w:spacing w:line="280" w:lineRule="exact"/>
              <w:jc w:val="center"/>
              <w:outlineLvl w:val="9"/>
              <w:rPr>
                <w:sz w:val="24"/>
                <w:szCs w:val="24"/>
              </w:rPr>
            </w:pPr>
            <w:r>
              <w:rPr>
                <w:rFonts w:hint="eastAsia"/>
                <w:sz w:val="24"/>
                <w:szCs w:val="24"/>
              </w:rPr>
              <w:t>地  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392" w:type="dxa"/>
            <w:gridSpan w:val="4"/>
            <w:vAlign w:val="center"/>
          </w:tcPr>
          <w:p>
            <w:pPr>
              <w:keepNext w:val="0"/>
              <w:keepLines w:val="0"/>
              <w:pageBreakBefore w:val="0"/>
              <w:kinsoku/>
              <w:wordWrap/>
              <w:overflowPunct/>
              <w:topLinePunct w:val="0"/>
              <w:autoSpaceDE/>
              <w:autoSpaceDN/>
              <w:bidi w:val="0"/>
              <w:adjustRightInd/>
              <w:snapToGrid/>
              <w:spacing w:line="280" w:lineRule="exact"/>
              <w:jc w:val="center"/>
              <w:outlineLvl w:val="9"/>
              <w:rPr>
                <w:b/>
                <w:sz w:val="24"/>
                <w:szCs w:val="24"/>
              </w:rPr>
            </w:pPr>
            <w:r>
              <w:rPr>
                <w:b/>
                <w:sz w:val="24"/>
                <w:szCs w:val="24"/>
              </w:rPr>
              <w:t>区重点监管单位、重大危险源企业</w:t>
            </w:r>
            <w:r>
              <w:rPr>
                <w:rFonts w:hint="eastAsia"/>
                <w:b/>
                <w:sz w:val="24"/>
                <w:szCs w:val="24"/>
              </w:rPr>
              <w:t>（4家）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1</w:t>
            </w:r>
          </w:p>
        </w:tc>
        <w:tc>
          <w:tcPr>
            <w:tcW w:w="3691" w:type="dxa"/>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sz w:val="24"/>
                <w:szCs w:val="24"/>
              </w:rPr>
              <w:t>上海绿岛米酒酿造有限公司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中兴镇开港村（有限空间）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2"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2</w:t>
            </w:r>
          </w:p>
        </w:tc>
        <w:tc>
          <w:tcPr>
            <w:tcW w:w="3691" w:type="dxa"/>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color w:val="000000"/>
                <w:kern w:val="0"/>
                <w:sz w:val="24"/>
                <w:szCs w:val="24"/>
              </w:rPr>
              <w:t>上海阿彪豆制品有限公司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color w:val="000000"/>
                <w:kern w:val="0"/>
                <w:sz w:val="24"/>
                <w:szCs w:val="24"/>
              </w:rPr>
              <w:t>中兴镇兴工路25号（有限空间）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3</w:t>
            </w:r>
          </w:p>
        </w:tc>
        <w:tc>
          <w:tcPr>
            <w:tcW w:w="3691" w:type="dxa"/>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color w:val="000000"/>
                <w:kern w:val="0"/>
                <w:sz w:val="24"/>
                <w:szCs w:val="24"/>
              </w:rPr>
              <w:t>上海飘香酿造股份有限公司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color w:val="000000"/>
                <w:kern w:val="0"/>
                <w:sz w:val="24"/>
                <w:szCs w:val="24"/>
              </w:rPr>
              <w:t>中兴镇汲浜公路3999号（有限空间）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1"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sz w:val="24"/>
                <w:szCs w:val="24"/>
              </w:rPr>
            </w:pPr>
            <w:r>
              <w:rPr>
                <w:rFonts w:hint="eastAsia" w:ascii="仿宋" w:hAnsi="仿宋" w:eastAsia="仿宋" w:cs="仿宋"/>
                <w:sz w:val="24"/>
                <w:szCs w:val="24"/>
              </w:rPr>
              <w:t>4</w:t>
            </w:r>
          </w:p>
        </w:tc>
        <w:tc>
          <w:tcPr>
            <w:tcW w:w="3691"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中石化海岛加油站</w:t>
            </w:r>
          </w:p>
        </w:tc>
        <w:tc>
          <w:tcPr>
            <w:tcW w:w="3898" w:type="dxa"/>
            <w:gridSpan w:val="2"/>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color w:val="000000"/>
                <w:kern w:val="0"/>
                <w:sz w:val="24"/>
                <w:szCs w:val="24"/>
              </w:rPr>
              <w:t>中兴镇</w:t>
            </w:r>
            <w:r>
              <w:rPr>
                <w:rFonts w:hint="eastAsia" w:ascii="仿宋" w:hAnsi="仿宋" w:eastAsia="仿宋" w:cs="仿宋"/>
                <w:sz w:val="24"/>
                <w:szCs w:val="24"/>
              </w:rPr>
              <w:t>陈彷公路3535号（</w:t>
            </w:r>
            <w:r>
              <w:rPr>
                <w:rFonts w:hint="eastAsia" w:ascii="仿宋" w:hAnsi="仿宋" w:eastAsia="仿宋" w:cs="仿宋"/>
                <w:sz w:val="24"/>
                <w:szCs w:val="24"/>
                <w:lang w:eastAsia="zh-CN"/>
              </w:rPr>
              <w:t>危化品）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392" w:type="dxa"/>
            <w:gridSpan w:val="4"/>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b/>
                <w:sz w:val="24"/>
                <w:szCs w:val="24"/>
              </w:rPr>
              <w:t>镇</w:t>
            </w:r>
            <w:r>
              <w:rPr>
                <w:b/>
                <w:sz w:val="24"/>
                <w:szCs w:val="24"/>
              </w:rPr>
              <w:t>重点监管单位、</w:t>
            </w:r>
            <w:r>
              <w:rPr>
                <w:rFonts w:hint="eastAsia"/>
                <w:b/>
                <w:sz w:val="24"/>
                <w:szCs w:val="24"/>
                <w:lang w:eastAsia="zh-CN"/>
              </w:rPr>
              <w:t>规上</w:t>
            </w:r>
            <w:r>
              <w:rPr>
                <w:b/>
                <w:sz w:val="24"/>
                <w:szCs w:val="24"/>
              </w:rPr>
              <w:t>企业</w:t>
            </w:r>
            <w:r>
              <w:rPr>
                <w:rFonts w:hint="eastAsia"/>
                <w:b/>
                <w:sz w:val="24"/>
                <w:szCs w:val="24"/>
              </w:rPr>
              <w:t>（7家）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5</w:t>
            </w:r>
          </w:p>
        </w:tc>
        <w:tc>
          <w:tcPr>
            <w:tcW w:w="3691" w:type="dxa"/>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上海昊南特种电机有限公司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中兴镇滧中村滧南57号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6</w:t>
            </w:r>
          </w:p>
        </w:tc>
        <w:tc>
          <w:tcPr>
            <w:tcW w:w="3691" w:type="dxa"/>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上海申福高压泵液压件有限公司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中兴镇广福开发区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7</w:t>
            </w:r>
          </w:p>
        </w:tc>
        <w:tc>
          <w:tcPr>
            <w:tcW w:w="3691" w:type="dxa"/>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color w:val="000000"/>
                <w:kern w:val="0"/>
                <w:sz w:val="24"/>
                <w:szCs w:val="24"/>
              </w:rPr>
              <w:t>上海安美金属制品有限公司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color w:val="000000"/>
                <w:kern w:val="0"/>
                <w:sz w:val="24"/>
                <w:szCs w:val="24"/>
              </w:rPr>
              <w:t>中兴镇中兴村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8</w:t>
            </w:r>
          </w:p>
        </w:tc>
        <w:tc>
          <w:tcPr>
            <w:tcW w:w="3691" w:type="dxa"/>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上海博鳌混凝土制品有限公司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中兴镇开港南路369号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9</w:t>
            </w:r>
          </w:p>
        </w:tc>
        <w:tc>
          <w:tcPr>
            <w:tcW w:w="3691" w:type="dxa"/>
            <w:vAlign w:val="center"/>
          </w:tcPr>
          <w:p>
            <w:pPr>
              <w:keepNext w:val="0"/>
              <w:keepLines w:val="0"/>
              <w:pageBreakBefore w:val="0"/>
              <w:widowControl/>
              <w:tabs>
                <w:tab w:val="left" w:pos="928"/>
              </w:tabs>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上海冠甲电子有限公司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中兴镇永南村855号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10</w:t>
            </w:r>
          </w:p>
        </w:tc>
        <w:tc>
          <w:tcPr>
            <w:tcW w:w="3691" w:type="dxa"/>
            <w:vAlign w:val="center"/>
          </w:tcPr>
          <w:p>
            <w:pPr>
              <w:keepNext w:val="0"/>
              <w:keepLines w:val="0"/>
              <w:pageBreakBefore w:val="0"/>
              <w:widowControl/>
              <w:tabs>
                <w:tab w:val="left" w:pos="928"/>
              </w:tabs>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上海汉扬建设工程材料有限公司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中兴镇七滧村8队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11</w:t>
            </w:r>
          </w:p>
        </w:tc>
        <w:tc>
          <w:tcPr>
            <w:tcW w:w="3691" w:type="dxa"/>
            <w:vAlign w:val="center"/>
          </w:tcPr>
          <w:p>
            <w:pPr>
              <w:keepNext w:val="0"/>
              <w:keepLines w:val="0"/>
              <w:pageBreakBefore w:val="0"/>
              <w:widowControl/>
              <w:tabs>
                <w:tab w:val="left" w:pos="928"/>
              </w:tabs>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上海樱宇管业有限公司</w:t>
            </w:r>
          </w:p>
        </w:tc>
        <w:tc>
          <w:tcPr>
            <w:tcW w:w="3898"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中兴镇兴工路37号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392" w:type="dxa"/>
            <w:gridSpan w:val="4"/>
          </w:tcPr>
          <w:p>
            <w:pPr>
              <w:keepNext w:val="0"/>
              <w:keepLines w:val="0"/>
              <w:pageBreakBefore w:val="0"/>
              <w:kinsoku/>
              <w:wordWrap/>
              <w:overflowPunct/>
              <w:topLinePunct w:val="0"/>
              <w:autoSpaceDE/>
              <w:autoSpaceDN/>
              <w:bidi w:val="0"/>
              <w:adjustRightInd/>
              <w:snapToGrid/>
              <w:spacing w:line="280" w:lineRule="exact"/>
              <w:jc w:val="center"/>
              <w:outlineLvl w:val="9"/>
              <w:rPr>
                <w:b/>
                <w:sz w:val="24"/>
                <w:szCs w:val="24"/>
              </w:rPr>
            </w:pPr>
            <w:r>
              <w:rPr>
                <w:rFonts w:hint="eastAsia"/>
                <w:b/>
                <w:sz w:val="24"/>
                <w:szCs w:val="24"/>
              </w:rPr>
              <w:t>危险化学品储存、销售（1家）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12</w:t>
            </w:r>
          </w:p>
        </w:tc>
        <w:tc>
          <w:tcPr>
            <w:tcW w:w="3691" w:type="dxa"/>
          </w:tcPr>
          <w:p>
            <w:pPr>
              <w:keepNext w:val="0"/>
              <w:keepLines w:val="0"/>
              <w:pageBreakBefore w:val="0"/>
              <w:tabs>
                <w:tab w:val="right" w:pos="4065"/>
              </w:tabs>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中石油崇明第三加油站</w:t>
            </w:r>
          </w:p>
        </w:tc>
        <w:tc>
          <w:tcPr>
            <w:tcW w:w="3898" w:type="dxa"/>
            <w:gridSpan w:val="2"/>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color w:val="000000"/>
                <w:kern w:val="0"/>
                <w:sz w:val="24"/>
                <w:szCs w:val="24"/>
              </w:rPr>
              <w:t>中兴镇陈彷公路3099弄20号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392" w:type="dxa"/>
            <w:gridSpan w:val="4"/>
          </w:tcPr>
          <w:p>
            <w:pPr>
              <w:keepNext w:val="0"/>
              <w:keepLines w:val="0"/>
              <w:pageBreakBefore w:val="0"/>
              <w:kinsoku/>
              <w:wordWrap/>
              <w:overflowPunct/>
              <w:topLinePunct w:val="0"/>
              <w:autoSpaceDE/>
              <w:autoSpaceDN/>
              <w:bidi w:val="0"/>
              <w:adjustRightInd/>
              <w:snapToGrid/>
              <w:spacing w:line="280" w:lineRule="exact"/>
              <w:jc w:val="center"/>
              <w:outlineLvl w:val="9"/>
              <w:rPr>
                <w:b/>
                <w:sz w:val="24"/>
                <w:szCs w:val="24"/>
              </w:rPr>
            </w:pPr>
            <w:r>
              <w:rPr>
                <w:rFonts w:ascii="仿宋_GB2312"/>
                <w:b/>
                <w:sz w:val="24"/>
                <w:szCs w:val="24"/>
              </w:rPr>
              <w:t>粉尘涉爆企业</w:t>
            </w:r>
            <w:r>
              <w:rPr>
                <w:rFonts w:hint="eastAsia" w:ascii="仿宋_GB2312"/>
                <w:b/>
                <w:sz w:val="24"/>
                <w:szCs w:val="24"/>
              </w:rPr>
              <w:t>（2家）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13</w:t>
            </w:r>
          </w:p>
        </w:tc>
        <w:tc>
          <w:tcPr>
            <w:tcW w:w="3691"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上海良晟食品有限公司</w:t>
            </w:r>
          </w:p>
        </w:tc>
        <w:tc>
          <w:tcPr>
            <w:tcW w:w="3898" w:type="dxa"/>
            <w:gridSpan w:val="2"/>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color w:val="000000"/>
                <w:kern w:val="0"/>
                <w:sz w:val="24"/>
                <w:szCs w:val="24"/>
              </w:rPr>
              <w:t>中兴镇汲浜公路223号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14</w:t>
            </w:r>
          </w:p>
        </w:tc>
        <w:tc>
          <w:tcPr>
            <w:tcW w:w="3691"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上海明信食品有限公司</w:t>
            </w:r>
          </w:p>
        </w:tc>
        <w:tc>
          <w:tcPr>
            <w:tcW w:w="3898" w:type="dxa"/>
            <w:gridSpan w:val="2"/>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color w:val="000000"/>
                <w:kern w:val="0"/>
                <w:sz w:val="24"/>
                <w:szCs w:val="24"/>
              </w:rPr>
              <w:t>中兴镇</w:t>
            </w:r>
            <w:r>
              <w:rPr>
                <w:rFonts w:hint="eastAsia" w:ascii="仿宋" w:hAnsi="仿宋" w:eastAsia="仿宋" w:cs="仿宋"/>
                <w:sz w:val="24"/>
                <w:szCs w:val="24"/>
              </w:rPr>
              <w:t>胜利村988号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392" w:type="dxa"/>
            <w:gridSpan w:val="4"/>
          </w:tcPr>
          <w:p>
            <w:pPr>
              <w:keepNext w:val="0"/>
              <w:keepLines w:val="0"/>
              <w:pageBreakBefore w:val="0"/>
              <w:kinsoku/>
              <w:wordWrap/>
              <w:overflowPunct/>
              <w:topLinePunct w:val="0"/>
              <w:autoSpaceDE/>
              <w:autoSpaceDN/>
              <w:bidi w:val="0"/>
              <w:adjustRightInd/>
              <w:snapToGrid/>
              <w:spacing w:line="280" w:lineRule="exact"/>
              <w:jc w:val="center"/>
              <w:outlineLvl w:val="9"/>
              <w:rPr>
                <w:sz w:val="24"/>
                <w:szCs w:val="24"/>
              </w:rPr>
            </w:pPr>
            <w:r>
              <w:rPr>
                <w:rFonts w:hint="eastAsia"/>
                <w:b/>
                <w:bCs/>
                <w:sz w:val="24"/>
                <w:szCs w:val="24"/>
              </w:rPr>
              <w:t>船舶修造企业（1家）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5"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jc w:val="center"/>
              <w:outlineLvl w:val="9"/>
              <w:rPr>
                <w:rFonts w:ascii="仿宋" w:hAnsi="仿宋" w:eastAsia="仿宋" w:cs="仿宋"/>
                <w:sz w:val="24"/>
                <w:szCs w:val="24"/>
              </w:rPr>
            </w:pPr>
            <w:r>
              <w:rPr>
                <w:rFonts w:hint="eastAsia" w:ascii="仿宋" w:hAnsi="仿宋" w:eastAsia="仿宋" w:cs="仿宋"/>
                <w:sz w:val="24"/>
                <w:szCs w:val="24"/>
              </w:rPr>
              <w:t>15</w:t>
            </w:r>
          </w:p>
        </w:tc>
        <w:tc>
          <w:tcPr>
            <w:tcW w:w="3691" w:type="dxa"/>
          </w:tcPr>
          <w:p>
            <w:pPr>
              <w:keepNext w:val="0"/>
              <w:keepLines w:val="0"/>
              <w:pageBreakBefore w:val="0"/>
              <w:kinsoku/>
              <w:wordWrap/>
              <w:overflowPunct/>
              <w:topLinePunct w:val="0"/>
              <w:autoSpaceDE/>
              <w:autoSpaceDN/>
              <w:bidi w:val="0"/>
              <w:adjustRightInd/>
              <w:snapToGrid/>
              <w:spacing w:line="280" w:lineRule="exact"/>
              <w:outlineLvl w:val="9"/>
              <w:rPr>
                <w:rFonts w:ascii="仿宋" w:hAnsi="仿宋" w:eastAsia="仿宋" w:cs="仿宋"/>
                <w:sz w:val="24"/>
                <w:szCs w:val="24"/>
              </w:rPr>
            </w:pPr>
            <w:r>
              <w:rPr>
                <w:rFonts w:hint="eastAsia" w:ascii="仿宋" w:hAnsi="仿宋" w:eastAsia="仿宋" w:cs="仿宋"/>
                <w:sz w:val="24"/>
                <w:szCs w:val="24"/>
              </w:rPr>
              <w:t>上海洪周船舶修造厂</w:t>
            </w:r>
          </w:p>
        </w:tc>
        <w:tc>
          <w:tcPr>
            <w:tcW w:w="3898" w:type="dxa"/>
            <w:gridSpan w:val="2"/>
          </w:tcPr>
          <w:p>
            <w:pPr>
              <w:keepNext w:val="0"/>
              <w:keepLines w:val="0"/>
              <w:pageBreakBefore w:val="0"/>
              <w:kinsoku/>
              <w:wordWrap/>
              <w:overflowPunct/>
              <w:topLinePunct w:val="0"/>
              <w:autoSpaceDE/>
              <w:autoSpaceDN/>
              <w:bidi w:val="0"/>
              <w:adjustRightInd/>
              <w:snapToGrid/>
              <w:spacing w:line="280" w:lineRule="exact"/>
              <w:outlineLvl w:val="9"/>
              <w:rPr>
                <w:rFonts w:ascii="仿宋" w:hAnsi="仿宋" w:eastAsia="仿宋" w:cs="仿宋"/>
                <w:sz w:val="24"/>
                <w:szCs w:val="24"/>
              </w:rPr>
            </w:pPr>
            <w:r>
              <w:rPr>
                <w:rFonts w:hint="eastAsia" w:ascii="仿宋" w:hAnsi="仿宋" w:eastAsia="仿宋" w:cs="仿宋"/>
                <w:sz w:val="24"/>
                <w:szCs w:val="24"/>
              </w:rPr>
              <w:t>中兴镇滧中村1队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392" w:type="dxa"/>
            <w:gridSpan w:val="4"/>
          </w:tcPr>
          <w:p>
            <w:pPr>
              <w:keepNext w:val="0"/>
              <w:keepLines w:val="0"/>
              <w:pageBreakBefore w:val="0"/>
              <w:kinsoku/>
              <w:wordWrap/>
              <w:overflowPunct/>
              <w:topLinePunct w:val="0"/>
              <w:autoSpaceDE/>
              <w:autoSpaceDN/>
              <w:bidi w:val="0"/>
              <w:adjustRightInd/>
              <w:snapToGrid/>
              <w:spacing w:line="280" w:lineRule="exact"/>
              <w:jc w:val="center"/>
              <w:outlineLvl w:val="9"/>
              <w:rPr>
                <w:b/>
                <w:sz w:val="24"/>
                <w:szCs w:val="24"/>
              </w:rPr>
            </w:pPr>
            <w:r>
              <w:rPr>
                <w:rFonts w:hint="eastAsia" w:ascii="仿宋_GB2312"/>
                <w:b/>
                <w:sz w:val="24"/>
                <w:szCs w:val="24"/>
              </w:rPr>
              <w:t>安全生产标准创建、复评、风险分级管控</w:t>
            </w:r>
            <w:r>
              <w:rPr>
                <w:rFonts w:ascii="仿宋_GB2312"/>
                <w:b/>
                <w:sz w:val="24"/>
                <w:szCs w:val="24"/>
              </w:rPr>
              <w:t>企业</w:t>
            </w:r>
            <w:r>
              <w:rPr>
                <w:rFonts w:hint="eastAsia" w:ascii="仿宋_GB2312"/>
                <w:b/>
                <w:sz w:val="24"/>
                <w:szCs w:val="24"/>
              </w:rPr>
              <w:t>（7家）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Pr>
          <w:p>
            <w:pPr>
              <w:keepNext w:val="0"/>
              <w:keepLines w:val="0"/>
              <w:pageBreakBefore w:val="0"/>
              <w:kinsoku/>
              <w:wordWrap/>
              <w:overflowPunct/>
              <w:topLinePunct w:val="0"/>
              <w:autoSpaceDE/>
              <w:autoSpaceDN/>
              <w:bidi w:val="0"/>
              <w:adjustRightInd/>
              <w:snapToGrid/>
              <w:spacing w:line="280" w:lineRule="exact"/>
              <w:ind w:firstLine="114" w:firstLineChars="50"/>
              <w:outlineLvl w:val="9"/>
              <w:rPr>
                <w:rFonts w:ascii="仿宋" w:hAnsi="仿宋" w:eastAsia="仿宋" w:cs="仿宋"/>
                <w:sz w:val="24"/>
                <w:szCs w:val="24"/>
              </w:rPr>
            </w:pPr>
            <w:r>
              <w:rPr>
                <w:rFonts w:hint="eastAsia" w:ascii="仿宋" w:hAnsi="仿宋" w:eastAsia="仿宋" w:cs="仿宋"/>
                <w:sz w:val="24"/>
                <w:szCs w:val="24"/>
              </w:rPr>
              <w:t>16</w:t>
            </w:r>
          </w:p>
        </w:tc>
        <w:tc>
          <w:tcPr>
            <w:tcW w:w="3723" w:type="dxa"/>
            <w:gridSpan w:val="2"/>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上海昊南特种电机有限公司</w:t>
            </w:r>
          </w:p>
        </w:tc>
        <w:tc>
          <w:tcPr>
            <w:tcW w:w="3866" w:type="dxa"/>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中兴镇滧中村滧南57号（复评）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autoSpaceDE/>
              <w:autoSpaceDN/>
              <w:bidi w:val="0"/>
              <w:adjustRightInd/>
              <w:snapToGrid/>
              <w:spacing w:line="280" w:lineRule="exact"/>
              <w:ind w:firstLine="114" w:firstLineChars="50"/>
              <w:outlineLvl w:val="9"/>
              <w:rPr>
                <w:rFonts w:ascii="仿宋" w:hAnsi="仿宋" w:eastAsia="仿宋" w:cs="仿宋"/>
                <w:sz w:val="24"/>
                <w:szCs w:val="24"/>
              </w:rPr>
            </w:pPr>
            <w:r>
              <w:rPr>
                <w:rFonts w:hint="eastAsia" w:ascii="仿宋" w:hAnsi="仿宋" w:eastAsia="仿宋" w:cs="仿宋"/>
                <w:sz w:val="24"/>
                <w:szCs w:val="24"/>
              </w:rPr>
              <w:t>17</w:t>
            </w:r>
          </w:p>
        </w:tc>
        <w:tc>
          <w:tcPr>
            <w:tcW w:w="3723"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上海申福高压泵液压件有限公司</w:t>
            </w:r>
          </w:p>
        </w:tc>
        <w:tc>
          <w:tcPr>
            <w:tcW w:w="386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中兴镇陈彷公路2429弄18号（复评）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autoSpaceDE/>
              <w:autoSpaceDN/>
              <w:bidi w:val="0"/>
              <w:adjustRightInd/>
              <w:snapToGrid/>
              <w:spacing w:line="280" w:lineRule="exact"/>
              <w:ind w:firstLine="114" w:firstLineChars="50"/>
              <w:outlineLvl w:val="9"/>
              <w:rPr>
                <w:rFonts w:ascii="仿宋" w:hAnsi="仿宋" w:eastAsia="仿宋" w:cs="仿宋"/>
                <w:sz w:val="24"/>
                <w:szCs w:val="24"/>
              </w:rPr>
            </w:pPr>
            <w:r>
              <w:rPr>
                <w:rFonts w:hint="eastAsia" w:ascii="仿宋" w:hAnsi="仿宋" w:eastAsia="仿宋" w:cs="仿宋"/>
                <w:sz w:val="24"/>
                <w:szCs w:val="24"/>
              </w:rPr>
              <w:t>18</w:t>
            </w:r>
          </w:p>
        </w:tc>
        <w:tc>
          <w:tcPr>
            <w:tcW w:w="3723"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tabs>
                <w:tab w:val="left" w:pos="928"/>
              </w:tabs>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上海樱宇管业有限公司</w:t>
            </w:r>
          </w:p>
        </w:tc>
        <w:tc>
          <w:tcPr>
            <w:tcW w:w="386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中兴镇兴工路37号（复评）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autoSpaceDE/>
              <w:autoSpaceDN/>
              <w:bidi w:val="0"/>
              <w:adjustRightInd/>
              <w:snapToGrid/>
              <w:spacing w:line="280" w:lineRule="exact"/>
              <w:ind w:firstLine="114" w:firstLineChars="50"/>
              <w:outlineLvl w:val="9"/>
              <w:rPr>
                <w:rFonts w:ascii="仿宋" w:hAnsi="仿宋" w:eastAsia="仿宋" w:cs="仿宋"/>
                <w:sz w:val="24"/>
                <w:szCs w:val="24"/>
              </w:rPr>
            </w:pPr>
            <w:r>
              <w:rPr>
                <w:rFonts w:hint="eastAsia" w:ascii="仿宋" w:hAnsi="仿宋" w:eastAsia="仿宋" w:cs="仿宋"/>
                <w:sz w:val="24"/>
                <w:szCs w:val="24"/>
              </w:rPr>
              <w:t>19</w:t>
            </w:r>
          </w:p>
        </w:tc>
        <w:tc>
          <w:tcPr>
            <w:tcW w:w="3723"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tabs>
                <w:tab w:val="left" w:pos="928"/>
              </w:tabs>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上海樱联电力塑料管有限公司</w:t>
            </w:r>
          </w:p>
        </w:tc>
        <w:tc>
          <w:tcPr>
            <w:tcW w:w="386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中兴镇兴工路37号（复评）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autoSpaceDE/>
              <w:autoSpaceDN/>
              <w:bidi w:val="0"/>
              <w:adjustRightInd/>
              <w:snapToGrid/>
              <w:spacing w:line="280" w:lineRule="exact"/>
              <w:ind w:firstLine="114" w:firstLineChars="50"/>
              <w:outlineLvl w:val="9"/>
              <w:rPr>
                <w:rFonts w:ascii="仿宋" w:hAnsi="仿宋" w:eastAsia="仿宋" w:cs="仿宋"/>
                <w:sz w:val="24"/>
                <w:szCs w:val="24"/>
              </w:rPr>
            </w:pPr>
            <w:r>
              <w:rPr>
                <w:rFonts w:hint="eastAsia" w:ascii="仿宋" w:hAnsi="仿宋" w:eastAsia="仿宋" w:cs="仿宋"/>
                <w:sz w:val="24"/>
                <w:szCs w:val="24"/>
              </w:rPr>
              <w:t>20</w:t>
            </w:r>
          </w:p>
        </w:tc>
        <w:tc>
          <w:tcPr>
            <w:tcW w:w="3723"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color w:val="000000"/>
                <w:kern w:val="0"/>
                <w:sz w:val="24"/>
                <w:szCs w:val="24"/>
              </w:rPr>
              <w:t>上海飘香酿造股份有限公司</w:t>
            </w:r>
          </w:p>
        </w:tc>
        <w:tc>
          <w:tcPr>
            <w:tcW w:w="386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sz w:val="24"/>
                <w:szCs w:val="24"/>
              </w:rPr>
            </w:pPr>
            <w:r>
              <w:rPr>
                <w:rFonts w:hint="eastAsia" w:ascii="仿宋" w:hAnsi="仿宋" w:eastAsia="仿宋" w:cs="仿宋"/>
                <w:color w:val="000000"/>
                <w:kern w:val="0"/>
                <w:sz w:val="24"/>
                <w:szCs w:val="24"/>
              </w:rPr>
              <w:t>中兴镇汲浜公路3999号（复评）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exact"/>
          <w:jc w:val="center"/>
        </w:trPr>
        <w:tc>
          <w:tcPr>
            <w:tcW w:w="803"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autoSpaceDE/>
              <w:autoSpaceDN/>
              <w:bidi w:val="0"/>
              <w:adjustRightInd/>
              <w:snapToGrid/>
              <w:spacing w:line="280" w:lineRule="exact"/>
              <w:ind w:firstLine="114" w:firstLineChars="50"/>
              <w:outlineLvl w:val="9"/>
              <w:rPr>
                <w:rFonts w:ascii="仿宋" w:hAnsi="仿宋" w:eastAsia="仿宋" w:cs="仿宋"/>
                <w:sz w:val="24"/>
                <w:szCs w:val="24"/>
              </w:rPr>
            </w:pPr>
            <w:r>
              <w:rPr>
                <w:rFonts w:hint="eastAsia" w:ascii="仿宋" w:hAnsi="仿宋" w:eastAsia="仿宋" w:cs="仿宋"/>
                <w:sz w:val="24"/>
                <w:szCs w:val="24"/>
              </w:rPr>
              <w:t>21</w:t>
            </w:r>
          </w:p>
        </w:tc>
        <w:tc>
          <w:tcPr>
            <w:tcW w:w="3723"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tabs>
                <w:tab w:val="left" w:pos="928"/>
              </w:tabs>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上海冠甲电子有限公司</w:t>
            </w:r>
          </w:p>
        </w:tc>
        <w:tc>
          <w:tcPr>
            <w:tcW w:w="386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中兴镇永南村855号（复评、风控）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2" w:hRule="exact"/>
          <w:jc w:val="center"/>
        </w:trPr>
        <w:tc>
          <w:tcPr>
            <w:tcW w:w="803"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autoSpaceDE/>
              <w:autoSpaceDN/>
              <w:bidi w:val="0"/>
              <w:adjustRightInd/>
              <w:snapToGrid/>
              <w:spacing w:line="280" w:lineRule="exact"/>
              <w:ind w:firstLine="114" w:firstLineChars="50"/>
              <w:outlineLvl w:val="9"/>
              <w:rPr>
                <w:rFonts w:ascii="仿宋" w:hAnsi="仿宋" w:eastAsia="仿宋" w:cs="仿宋"/>
                <w:sz w:val="24"/>
                <w:szCs w:val="24"/>
              </w:rPr>
            </w:pPr>
            <w:r>
              <w:rPr>
                <w:rFonts w:hint="eastAsia" w:ascii="仿宋" w:hAnsi="仿宋" w:eastAsia="仿宋" w:cs="仿宋"/>
                <w:sz w:val="24"/>
                <w:szCs w:val="24"/>
              </w:rPr>
              <w:t>22</w:t>
            </w:r>
          </w:p>
        </w:tc>
        <w:tc>
          <w:tcPr>
            <w:tcW w:w="3723"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tabs>
                <w:tab w:val="left" w:pos="928"/>
              </w:tabs>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上海老杜农业发展股份有限公司</w:t>
            </w:r>
          </w:p>
        </w:tc>
        <w:tc>
          <w:tcPr>
            <w:tcW w:w="386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仿宋" w:hAnsi="仿宋" w:eastAsia="仿宋" w:cs="仿宋"/>
                <w:color w:val="000000"/>
                <w:kern w:val="0"/>
                <w:sz w:val="24"/>
                <w:szCs w:val="24"/>
              </w:rPr>
            </w:pPr>
            <w:r>
              <w:rPr>
                <w:rFonts w:hint="eastAsia" w:ascii="仿宋" w:hAnsi="仿宋" w:eastAsia="仿宋" w:cs="仿宋"/>
                <w:color w:val="000000"/>
                <w:kern w:val="0"/>
                <w:sz w:val="24"/>
                <w:szCs w:val="24"/>
              </w:rPr>
              <w:t>中兴镇绿耕路18号（创建、风控）</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outlineLvl w:val="9"/>
      </w:pPr>
    </w:p>
    <w:sectPr>
      <w:footerReference r:id="rId3" w:type="default"/>
      <w:footerReference r:id="rId4" w:type="even"/>
      <w:pgSz w:w="11906" w:h="16838"/>
      <w:pgMar w:top="2098" w:right="1474" w:bottom="1984" w:left="1587" w:header="851" w:footer="1332" w:gutter="0"/>
      <w:pgNumType w:fmt="numberInDash" w:start="1"/>
      <w:cols w:space="0" w:num="1"/>
      <w:rtlGutter w:val="0"/>
      <w:docGrid w:type="linesAndChar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大标宋简体">
    <w:altName w:val="微软雅黑"/>
    <w:panose1 w:val="02010601030101010101"/>
    <w:charset w:val="86"/>
    <w:family w:val="auto"/>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- 1 -</w:t>
                          </w:r>
                          <w:r>
                            <w:rPr>
                              <w:rFonts w:hint="eastAsia" w:asciiTheme="majorEastAsia" w:hAnsiTheme="majorEastAsia" w:eastAsiaTheme="majorEastAsia" w:cstheme="maj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pStyle w:val="2"/>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- 1 -</w:t>
                    </w:r>
                    <w:r>
                      <w:rPr>
                        <w:rFonts w:hint="eastAsia" w:asciiTheme="majorEastAsia" w:hAnsiTheme="majorEastAsia" w:eastAsiaTheme="majorEastAsia" w:cstheme="majorEastAsia"/>
                        <w:sz w:val="28"/>
                        <w:szCs w:val="28"/>
                        <w:lang w:eastAsia="zh-CN"/>
                      </w:rPr>
                      <w:fldChar w:fldCharType="end"/>
                    </w:r>
                  </w:p>
                </w:txbxContent>
              </v:textbox>
            </v:shape>
          </w:pict>
        </mc:Fallback>
      </mc:AlternateContent>
    </w:r>
  </w:p>
  <w:p>
    <w:pPr>
      <w:pStyle w:val="2"/>
      <w:ind w:firstLine="7370" w:firstLineChars="2750"/>
      <w:rPr>
        <w:rFonts w:ascii="宋体" w:hAnsi="宋体" w:eastAsia="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BC68F4"/>
    <w:multiLevelType w:val="singleLevel"/>
    <w:tmpl w:val="1FBC68F4"/>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308"/>
  <w:drawingGridVerticalSpacing w:val="29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F92"/>
    <w:rsid w:val="00007C4B"/>
    <w:rsid w:val="000324FE"/>
    <w:rsid w:val="00080BC4"/>
    <w:rsid w:val="00086A16"/>
    <w:rsid w:val="00111454"/>
    <w:rsid w:val="00111F8E"/>
    <w:rsid w:val="00130437"/>
    <w:rsid w:val="001313AF"/>
    <w:rsid w:val="001430EC"/>
    <w:rsid w:val="002547F1"/>
    <w:rsid w:val="00353C68"/>
    <w:rsid w:val="00375860"/>
    <w:rsid w:val="003C2814"/>
    <w:rsid w:val="003E4206"/>
    <w:rsid w:val="0041309E"/>
    <w:rsid w:val="00430DC1"/>
    <w:rsid w:val="00442548"/>
    <w:rsid w:val="004A71CC"/>
    <w:rsid w:val="00503DC3"/>
    <w:rsid w:val="00551275"/>
    <w:rsid w:val="005B7190"/>
    <w:rsid w:val="005E38A3"/>
    <w:rsid w:val="005E57D5"/>
    <w:rsid w:val="005F6AAF"/>
    <w:rsid w:val="00624C7B"/>
    <w:rsid w:val="006367AC"/>
    <w:rsid w:val="0066283A"/>
    <w:rsid w:val="006A4AB3"/>
    <w:rsid w:val="006A6146"/>
    <w:rsid w:val="006C7804"/>
    <w:rsid w:val="00715EE7"/>
    <w:rsid w:val="00730EC0"/>
    <w:rsid w:val="00766DA8"/>
    <w:rsid w:val="00775BBE"/>
    <w:rsid w:val="00776A07"/>
    <w:rsid w:val="007D38A6"/>
    <w:rsid w:val="008171D0"/>
    <w:rsid w:val="00860E0C"/>
    <w:rsid w:val="00885DF2"/>
    <w:rsid w:val="00895197"/>
    <w:rsid w:val="008D0CF6"/>
    <w:rsid w:val="008D53C4"/>
    <w:rsid w:val="008E7F87"/>
    <w:rsid w:val="008F288F"/>
    <w:rsid w:val="008F62AB"/>
    <w:rsid w:val="00902353"/>
    <w:rsid w:val="00912869"/>
    <w:rsid w:val="009A1C69"/>
    <w:rsid w:val="009E7760"/>
    <w:rsid w:val="00A22D2B"/>
    <w:rsid w:val="00AD02C6"/>
    <w:rsid w:val="00AD4EE2"/>
    <w:rsid w:val="00B542EF"/>
    <w:rsid w:val="00BD3FB4"/>
    <w:rsid w:val="00BE3322"/>
    <w:rsid w:val="00C62F71"/>
    <w:rsid w:val="00C73F85"/>
    <w:rsid w:val="00C90F92"/>
    <w:rsid w:val="00CB3607"/>
    <w:rsid w:val="00EC4071"/>
    <w:rsid w:val="00F63826"/>
    <w:rsid w:val="00F90748"/>
    <w:rsid w:val="00FC67E0"/>
    <w:rsid w:val="00FE20E1"/>
    <w:rsid w:val="06374C5C"/>
    <w:rsid w:val="0FC86136"/>
    <w:rsid w:val="16252130"/>
    <w:rsid w:val="1CF21D14"/>
    <w:rsid w:val="21737DED"/>
    <w:rsid w:val="2D07705B"/>
    <w:rsid w:val="322875D1"/>
    <w:rsid w:val="346A1F2D"/>
    <w:rsid w:val="3CA0554B"/>
    <w:rsid w:val="52790A43"/>
    <w:rsid w:val="52A41AF3"/>
    <w:rsid w:val="56921287"/>
    <w:rsid w:val="5A1657B4"/>
    <w:rsid w:val="5ABD5DC5"/>
    <w:rsid w:val="5CE30442"/>
    <w:rsid w:val="62FD6B21"/>
    <w:rsid w:val="66D84313"/>
    <w:rsid w:val="6834117E"/>
    <w:rsid w:val="6E8B7369"/>
    <w:rsid w:val="745662C9"/>
    <w:rsid w:val="76171B5B"/>
    <w:rsid w:val="7B894E5C"/>
    <w:rsid w:val="7C1B73C0"/>
    <w:rsid w:val="7C3F26C8"/>
    <w:rsid w:val="7E6819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86" w:lineRule="exact"/>
      <w:jc w:val="both"/>
    </w:pPr>
    <w:rPr>
      <w:rFonts w:ascii="Times New Roman" w:hAnsi="Times New Roman" w:eastAsia="仿宋_GB2312" w:cs="Times New Roman"/>
      <w:spacing w:val="-6"/>
      <w:kern w:val="2"/>
      <w:sz w:val="32"/>
      <w:szCs w:val="24"/>
      <w:lang w:val="en-US" w:eastAsia="zh-CN" w:bidi="ar-SA"/>
    </w:rPr>
  </w:style>
  <w:style w:type="paragraph" w:styleId="3">
    <w:name w:val="heading 2"/>
    <w:basedOn w:val="1"/>
    <w:next w:val="1"/>
    <w:semiHidden/>
    <w:unhideWhenUsed/>
    <w:qFormat/>
    <w:uiPriority w:val="9"/>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7">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1"/>
    <w:qFormat/>
    <w:uiPriority w:val="99"/>
    <w:pPr>
      <w:tabs>
        <w:tab w:val="center" w:pos="4153"/>
        <w:tab w:val="right" w:pos="8306"/>
      </w:tabs>
      <w:snapToGrid w:val="0"/>
      <w:spacing w:line="240" w:lineRule="atLeast"/>
      <w:jc w:val="left"/>
    </w:pPr>
    <w:rPr>
      <w:rFonts w:asciiTheme="minorHAnsi" w:hAnsiTheme="minorHAnsi" w:cstheme="minorBidi"/>
      <w:sz w:val="18"/>
      <w:szCs w:val="18"/>
    </w:rPr>
  </w:style>
  <w:style w:type="paragraph" w:styleId="4">
    <w:name w:val="header"/>
    <w:basedOn w:val="1"/>
    <w:link w:val="12"/>
    <w:semiHidden/>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6">
    <w:name w:val="Title"/>
    <w:basedOn w:val="1"/>
    <w:next w:val="1"/>
    <w:qFormat/>
    <w:uiPriority w:val="0"/>
    <w:pPr>
      <w:spacing w:before="240" w:after="60"/>
      <w:ind w:firstLine="200" w:firstLineChars="200"/>
      <w:jc w:val="center"/>
      <w:outlineLvl w:val="0"/>
    </w:pPr>
    <w:rPr>
      <w:rFonts w:ascii="Cambria" w:hAnsi="Cambria" w:eastAsia="仿宋_GB2312"/>
      <w:b/>
      <w:bCs/>
      <w:sz w:val="36"/>
      <w:szCs w:val="32"/>
    </w:rPr>
  </w:style>
  <w:style w:type="character" w:styleId="8">
    <w:name w:val="Strong"/>
    <w:basedOn w:val="7"/>
    <w:qFormat/>
    <w:uiPriority w:val="22"/>
    <w:rPr>
      <w:b/>
    </w:rPr>
  </w:style>
  <w:style w:type="character" w:customStyle="1" w:styleId="10">
    <w:name w:val="页脚 Char"/>
    <w:basedOn w:val="7"/>
    <w:link w:val="2"/>
    <w:qFormat/>
    <w:uiPriority w:val="99"/>
    <w:rPr>
      <w:rFonts w:eastAsia="仿宋_GB2312"/>
      <w:spacing w:val="-4"/>
      <w:sz w:val="18"/>
      <w:szCs w:val="18"/>
    </w:rPr>
  </w:style>
  <w:style w:type="character" w:customStyle="1" w:styleId="11">
    <w:name w:val="页脚 Char1"/>
    <w:basedOn w:val="7"/>
    <w:link w:val="2"/>
    <w:semiHidden/>
    <w:qFormat/>
    <w:uiPriority w:val="99"/>
    <w:rPr>
      <w:rFonts w:ascii="Times New Roman" w:hAnsi="Times New Roman" w:eastAsia="仿宋_GB2312" w:cs="Times New Roman"/>
      <w:spacing w:val="-4"/>
      <w:sz w:val="18"/>
      <w:szCs w:val="18"/>
    </w:rPr>
  </w:style>
  <w:style w:type="character" w:customStyle="1" w:styleId="12">
    <w:name w:val="页眉 Char"/>
    <w:basedOn w:val="7"/>
    <w:link w:val="4"/>
    <w:semiHidden/>
    <w:qFormat/>
    <w:uiPriority w:val="99"/>
    <w:rPr>
      <w:rFonts w:ascii="Times New Roman" w:hAnsi="Times New Roman" w:eastAsia="仿宋_GB2312" w:cs="Times New Roman"/>
      <w:spacing w:val="-4"/>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488</Words>
  <Characters>2788</Characters>
  <Lines>23</Lines>
  <Paragraphs>6</Paragraphs>
  <TotalTime>1</TotalTime>
  <ScaleCrop>false</ScaleCrop>
  <LinksUpToDate>false</LinksUpToDate>
  <CharactersWithSpaces>3270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2019-01-25T07:00:00Z</dcterms:created>
  <dc:creator>Windows 用户</dc:creator>
  <cp:lastModifiedBy>Administrator</cp:lastModifiedBy>
  <cp:lastPrinted>2020-04-13T01:30:00Z</cp:lastPrinted>
  <dcterms:modified xsi:type="dcterms:W3CDTF">2020-04-30T02:46:56Z</dcterms:modified>
  <cp:revision>114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