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崇明区促进总部经济发展管理细则（试行）（贸易型总部）（征求意见稿）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一、奖励对象和奖励依据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经市级部门认定的市级贸易型总部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（二）经区级部门认定的区级贸易型总部。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按照本细则，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实行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区、乡镇（公司）两级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财政分级负担的办法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二、认定奖励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对经市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级部门认定的市级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贸易型总部，给予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一次性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奖励</w:t>
      </w: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经区级部门认定的区级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贸易型总部，给予最一次性奖励。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三、运营奖励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鼓励总部企业在崇明集聚业务，拓展功能，提升能级。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对市级贸易型总部，以国内批发零售、国际货物贸易、物流仓储或国际服务贸易、平台交易为主营业务的，自认定当年起，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auto"/>
          <w:sz w:val="32"/>
          <w:szCs w:val="40"/>
          <w:lang w:val="en-US" w:eastAsia="zh-CN"/>
        </w:rPr>
        <w:t>年营业收入首次同比增幅超过10%的，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经认定，给予一次性奖励。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对区级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贸易型总部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，自认定当年起，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olor w:val="auto"/>
          <w:sz w:val="32"/>
          <w:szCs w:val="40"/>
          <w:lang w:val="en-US" w:eastAsia="zh-CN"/>
        </w:rPr>
        <w:t>年营业收入首次同比增幅超过10%的</w:t>
      </w:r>
      <w:r>
        <w:rPr>
          <w:rFonts w:hint="eastAsia" w:ascii="仿宋_GB2312" w:hAnsi="仿宋_GB2312" w:eastAsia="仿宋_GB2312" w:cs="仿宋_GB2312"/>
          <w:b/>
          <w:bCs/>
          <w:i/>
          <w:iCs/>
          <w:color w:val="auto"/>
          <w:sz w:val="32"/>
          <w:szCs w:val="40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经认定，给予一次性奖励。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四、集聚奖励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支持总部企业在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崇明集聚总部能级</w:t>
      </w:r>
      <w:r>
        <w:rPr>
          <w:rFonts w:hint="eastAsia" w:ascii="仿宋_GB2312" w:hAnsi="仿宋_GB2312" w:eastAsia="仿宋_GB2312" w:cs="仿宋_GB2312"/>
          <w:sz w:val="32"/>
          <w:szCs w:val="32"/>
        </w:rPr>
        <w:t>，做强总部功能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。对</w:t>
      </w:r>
      <w:r>
        <w:rPr>
          <w:rFonts w:hint="eastAsia" w:ascii="仿宋_GB2312" w:hAnsi="仿宋_GB2312" w:eastAsia="仿宋_GB2312" w:cs="仿宋_GB2312"/>
          <w:sz w:val="32"/>
          <w:szCs w:val="32"/>
        </w:rPr>
        <w:t>已认定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为市级总部、区级总部的企业，帮助所在辖区集聚诸如</w:t>
      </w:r>
      <w:r>
        <w:rPr>
          <w:rFonts w:hint="eastAsia" w:ascii="仿宋_GB2312" w:hAnsi="仿宋_GB2312" w:eastAsia="仿宋_GB2312" w:cs="仿宋_GB2312"/>
          <w:sz w:val="32"/>
          <w:szCs w:val="32"/>
        </w:rPr>
        <w:t>新设立业务公司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迁入控股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子</w:t>
      </w:r>
      <w:r>
        <w:rPr>
          <w:rFonts w:hint="eastAsia" w:ascii="仿宋_GB2312" w:hAnsi="仿宋_GB2312" w:eastAsia="仿宋_GB2312" w:cs="仿宋_GB2312"/>
          <w:sz w:val="32"/>
          <w:szCs w:val="32"/>
        </w:rPr>
        <w:t>公司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、引入极高关联度公司等一系列总部能级的公司，可由所在乡镇（公司）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根据新集聚的企业经营情况予以支持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五、提升奖励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outlineLvl w:val="9"/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已认定为总部企业的，如有总部类型升格，扣除已享受奖励部分，补足资金差额，同时奖励年限及年度比例参照同类型总部。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六、存量奖励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16" w:firstLineChars="200"/>
        <w:textAlignment w:val="auto"/>
        <w:outlineLvl w:val="9"/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为鼓励存量总部企业继续做大做强，本区存量市级贸易型总部企业或自2025年1月1日起迁入我区的存量市级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贸易型总部企业</w:t>
      </w:r>
      <w:r>
        <w:rPr>
          <w:rFonts w:hint="eastAsia" w:ascii="仿宋_GB2312" w:hAnsi="仿宋_GB2312" w:eastAsia="仿宋_GB2312" w:cs="Times New Roman"/>
          <w:snapToGrid w:val="0"/>
          <w:color w:val="auto"/>
          <w:spacing w:val="-6"/>
          <w:kern w:val="0"/>
          <w:sz w:val="32"/>
          <w:szCs w:val="32"/>
          <w:lang w:val="en-US" w:eastAsia="zh-CN"/>
        </w:rPr>
        <w:t>，经认定，仍然符合市级贸易型总部要求的，可申请运营奖励、集聚奖励和带动奖励。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七、带动奖励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已认定为总部企业的，对带动本区产业发展、推动产业链上下游协作、促进本地人民增收致富、提升公共服务能力、参与社会公益活动等方面有突出贡献的，经认定，可由所在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乡镇（公司）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自行制订奖励政策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/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823F3"/>
    <w:rsid w:val="00CA1F56"/>
    <w:rsid w:val="07E05094"/>
    <w:rsid w:val="0D6A3094"/>
    <w:rsid w:val="0F070D99"/>
    <w:rsid w:val="12B04829"/>
    <w:rsid w:val="36B97356"/>
    <w:rsid w:val="36DB362D"/>
    <w:rsid w:val="389B44F4"/>
    <w:rsid w:val="44EA23B7"/>
    <w:rsid w:val="47EB6A5F"/>
    <w:rsid w:val="4F142C60"/>
    <w:rsid w:val="501361B2"/>
    <w:rsid w:val="577823F3"/>
    <w:rsid w:val="6B9D3DB2"/>
    <w:rsid w:val="700F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上海市崇明区经济委员会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2024-07-29T02:01:00Z</dcterms:created>
  <dc:creator>Administrator</dc:creator>
  <cp:lastModifiedBy>Administrator</cp:lastModifiedBy>
  <cp:lastPrinted>2024-08-07T06:59:00Z</cp:lastPrinted>
  <dcterms:modified xsi:type="dcterms:W3CDTF">2024-09-13T07:37:29Z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</Properties>
</file>