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上海市崇明区建设镇社区党群服务中心</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2021年度决算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第一部分上海市崇明区建设镇社区党群服务中心概况</w:t>
      </w:r>
    </w:p>
    <w:p>
      <w:pPr>
        <w:spacing w:line="360" w:lineRule="auto"/>
        <w:rPr>
          <w:rFonts w:ascii="楷体_GB2312" w:eastAsia="楷体_GB2312"/>
          <w:sz w:val="30"/>
          <w:szCs w:val="30"/>
        </w:rPr>
      </w:pPr>
      <w:r>
        <w:rPr>
          <w:rFonts w:hint="eastAsia" w:ascii="楷体_GB2312" w:eastAsia="楷体_GB2312"/>
          <w:sz w:val="30"/>
          <w:szCs w:val="30"/>
        </w:rPr>
        <w:t>一、主要职能</w:t>
      </w:r>
    </w:p>
    <w:p>
      <w:pPr>
        <w:spacing w:line="360" w:lineRule="auto"/>
        <w:rPr>
          <w:rFonts w:ascii="楷体_GB2312" w:eastAsia="楷体_GB2312"/>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第二部分上海市崇明区建设镇社区党群服务中心2021年度决算表</w:t>
      </w:r>
    </w:p>
    <w:p>
      <w:pPr>
        <w:spacing w:line="360" w:lineRule="auto"/>
        <w:rPr>
          <w:rFonts w:ascii="楷体_GB2312" w:eastAsia="楷体_GB2312"/>
          <w:sz w:val="30"/>
          <w:szCs w:val="30"/>
        </w:rPr>
      </w:pPr>
      <w:r>
        <w:rPr>
          <w:rFonts w:hint="eastAsia" w:ascii="楷体_GB2312" w:eastAsia="楷体_GB2312"/>
          <w:sz w:val="30"/>
          <w:szCs w:val="30"/>
        </w:rPr>
        <w:t>一、收入支出决算总表</w:t>
      </w:r>
    </w:p>
    <w:p>
      <w:pPr>
        <w:spacing w:line="360" w:lineRule="auto"/>
        <w:rPr>
          <w:rFonts w:ascii="楷体_GB2312" w:eastAsia="楷体_GB2312"/>
          <w:sz w:val="30"/>
          <w:szCs w:val="30"/>
        </w:rPr>
      </w:pPr>
      <w:r>
        <w:rPr>
          <w:rFonts w:hint="eastAsia" w:ascii="楷体_GB2312" w:eastAsia="楷体_GB2312"/>
          <w:sz w:val="30"/>
          <w:szCs w:val="30"/>
        </w:rPr>
        <w:t>二、收入决算表</w:t>
      </w:r>
    </w:p>
    <w:p>
      <w:pPr>
        <w:spacing w:line="360" w:lineRule="auto"/>
        <w:rPr>
          <w:rFonts w:ascii="楷体_GB2312" w:eastAsia="楷体_GB2312"/>
          <w:sz w:val="30"/>
          <w:szCs w:val="30"/>
        </w:rPr>
      </w:pPr>
      <w:r>
        <w:rPr>
          <w:rFonts w:hint="eastAsia" w:ascii="楷体_GB2312" w:eastAsia="楷体_GB2312"/>
          <w:sz w:val="30"/>
          <w:szCs w:val="30"/>
        </w:rPr>
        <w:t>三、支出决算表</w:t>
      </w:r>
    </w:p>
    <w:p>
      <w:pPr>
        <w:spacing w:line="360" w:lineRule="auto"/>
        <w:rPr>
          <w:rFonts w:ascii="楷体_GB2312" w:eastAsia="楷体_GB2312"/>
          <w:sz w:val="30"/>
          <w:szCs w:val="30"/>
        </w:rPr>
      </w:pPr>
      <w:r>
        <w:rPr>
          <w:rFonts w:hint="eastAsia" w:ascii="楷体_GB2312" w:eastAsia="楷体_GB2312"/>
          <w:sz w:val="30"/>
          <w:szCs w:val="30"/>
        </w:rPr>
        <w:t>四、财政拨款收入支出决算总表</w:t>
      </w:r>
    </w:p>
    <w:p>
      <w:pPr>
        <w:spacing w:line="360" w:lineRule="auto"/>
        <w:rPr>
          <w:rFonts w:ascii="楷体_GB2312" w:eastAsia="楷体_GB2312"/>
          <w:sz w:val="30"/>
          <w:szCs w:val="30"/>
        </w:rPr>
      </w:pPr>
      <w:r>
        <w:rPr>
          <w:rFonts w:hint="eastAsia" w:ascii="楷体_GB2312" w:eastAsia="楷体_GB2312"/>
          <w:sz w:val="30"/>
          <w:szCs w:val="30"/>
        </w:rPr>
        <w:t>五、一般公共预算财政拨款支出决算表</w:t>
      </w:r>
    </w:p>
    <w:p>
      <w:pPr>
        <w:spacing w:line="360" w:lineRule="auto"/>
        <w:rPr>
          <w:rFonts w:ascii="楷体_GB2312" w:eastAsia="楷体_GB2312"/>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sz w:val="30"/>
          <w:szCs w:val="30"/>
        </w:rPr>
      </w:pPr>
      <w:r>
        <w:rPr>
          <w:rFonts w:hint="eastAsia" w:ascii="楷体_GB2312" w:eastAsia="楷体_GB2312"/>
          <w:sz w:val="30"/>
          <w:szCs w:val="30"/>
        </w:rPr>
        <w:t>七、一般公共预算财政拨款“三公”经费支出决算表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十、资产负债情况表</w:t>
      </w:r>
    </w:p>
    <w:p>
      <w:pPr>
        <w:spacing w:line="360" w:lineRule="auto"/>
        <w:rPr>
          <w:rFonts w:ascii="黑体" w:eastAsia="黑体"/>
          <w:sz w:val="30"/>
          <w:szCs w:val="30"/>
        </w:rPr>
      </w:pPr>
      <w:r>
        <w:rPr>
          <w:rFonts w:hint="eastAsia" w:ascii="黑体" w:eastAsia="黑体"/>
          <w:sz w:val="30"/>
          <w:szCs w:val="30"/>
        </w:rPr>
        <w:t>第三部分上海市崇明区建设镇社区党群服务中心2021年度决算情况说明</w:t>
      </w:r>
    </w:p>
    <w:p>
      <w:pPr>
        <w:spacing w:line="360" w:lineRule="auto"/>
        <w:rPr>
          <w:rFonts w:ascii="楷体_GB2312" w:eastAsia="楷体_GB2312"/>
          <w:sz w:val="30"/>
          <w:szCs w:val="30"/>
        </w:rPr>
      </w:pPr>
      <w:r>
        <w:rPr>
          <w:rFonts w:hint="eastAsia" w:ascii="楷体_GB2312" w:eastAsia="楷体_GB2312"/>
          <w:sz w:val="30"/>
          <w:szCs w:val="30"/>
        </w:rPr>
        <w:t>一、收入支出决算总体情况说明</w:t>
      </w:r>
    </w:p>
    <w:p>
      <w:pPr>
        <w:spacing w:line="360" w:lineRule="auto"/>
        <w:rPr>
          <w:rFonts w:ascii="楷体_GB2312" w:eastAsia="楷体_GB2312"/>
          <w:sz w:val="30"/>
          <w:szCs w:val="30"/>
        </w:rPr>
      </w:pPr>
      <w:r>
        <w:rPr>
          <w:rFonts w:hint="eastAsia" w:ascii="楷体_GB2312" w:eastAsia="楷体_GB2312"/>
          <w:sz w:val="30"/>
          <w:szCs w:val="30"/>
        </w:rPr>
        <w:t>二、收入决算情况说明</w:t>
      </w:r>
    </w:p>
    <w:p>
      <w:pPr>
        <w:spacing w:line="360" w:lineRule="auto"/>
        <w:rPr>
          <w:rFonts w:ascii="楷体_GB2312" w:eastAsia="楷体_GB2312"/>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十、预算绩效情况说明</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上海市崇明区建设镇社区党群服务中心概况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rPr>
          <w:rFonts w:ascii="仿宋_GB2312" w:eastAsia="仿宋_GB2312"/>
          <w:sz w:val="30"/>
          <w:szCs w:val="30"/>
        </w:rPr>
      </w:pPr>
      <w:r>
        <w:rPr>
          <w:rFonts w:hint="eastAsia" w:ascii="仿宋_GB2312" w:eastAsia="仿宋_GB2312"/>
          <w:sz w:val="30"/>
          <w:szCs w:val="30"/>
        </w:rPr>
        <w:t>建设镇社区党建服务中心系事业单位，主要业务范围负责本辖区内的党建服务等相关工作。</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eastAsia="仿宋_GB2312"/>
          <w:sz w:val="30"/>
          <w:szCs w:val="30"/>
        </w:rPr>
        <w:t>机构情况：根据上述职责，上海市崇明区建设镇社区党群服务中心无内设机构。</w:t>
      </w:r>
    </w:p>
    <w:p>
      <w:pPr>
        <w:jc w:val="center"/>
        <w:rPr>
          <w:rFonts w:ascii="黑体" w:eastAsia="黑体"/>
          <w:sz w:val="30"/>
          <w:szCs w:val="30"/>
        </w:rPr>
      </w:pPr>
      <w:r>
        <w:rPr>
          <w:rFonts w:ascii="仿宋_GB2312" w:eastAsia="仿宋_GB2312"/>
          <w:sz w:val="30"/>
          <w:szCs w:val="30"/>
        </w:rPr>
        <w:br w:type="page"/>
      </w:r>
      <w:r>
        <w:rPr>
          <w:rFonts w:hint="eastAsia" w:ascii="黑体" w:eastAsia="黑体"/>
          <w:sz w:val="30"/>
          <w:szCs w:val="30"/>
        </w:rPr>
        <w:t>第二部分    上海市崇明区建设镇社区党群服务中心</w:t>
      </w:r>
    </w:p>
    <w:p>
      <w:pPr>
        <w:jc w:val="center"/>
        <w:rPr>
          <w:rFonts w:ascii="仿宋_GB2312" w:eastAsia="仿宋_GB2312"/>
          <w:sz w:val="30"/>
          <w:szCs w:val="30"/>
        </w:rPr>
      </w:pPr>
      <w:r>
        <w:rPr>
          <w:rFonts w:hint="eastAsia" w:ascii="黑体" w:eastAsia="黑体"/>
          <w:sz w:val="30"/>
          <w:szCs w:val="30"/>
        </w:rPr>
        <w:t>2021年度部门决算表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490.51</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144.03</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 xml:space="preserve">204.17 </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 xml:space="preserve">82.78 </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 xml:space="preserve">26.11 </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33.41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490.51</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490.51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490.51</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490.51</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425"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488" w:type="dxa"/>
        <w:tblInd w:w="93" w:type="dxa"/>
        <w:tblLayout w:type="autofit"/>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hint="eastAsia" w:ascii="宋体" w:hAnsi="宋体" w:cs="宋体"/>
                <w:kern w:val="0"/>
                <w:szCs w:val="21"/>
              </w:rPr>
              <w:t>490.51</w:t>
            </w:r>
          </w:p>
        </w:tc>
        <w:tc>
          <w:tcPr>
            <w:tcW w:w="1559"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hint="eastAsia" w:ascii="宋体" w:hAnsi="宋体" w:cs="宋体"/>
                <w:kern w:val="0"/>
                <w:szCs w:val="21"/>
              </w:rPr>
              <w:t>490.51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一般公共服务支出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144.03</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144.03</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20136</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其他共产党事务支出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144.03</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144.03</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2013650</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事业运行</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114.38</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114.38</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2013699</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其他共产党事务支出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29.65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29.65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文化旅游体育与传媒支出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204.17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204.17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20701</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文化和旅游</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70.56</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70.56</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2070108</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文化活动</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69.56</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69.56</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2070109</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群众文化</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1.00</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1.00</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20799</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其他文化旅游体育与传媒支出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133.61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133.61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2079999</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其他文化旅游体育与传媒支出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133.61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133.61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208</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社会保障和就业支出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82.78</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82.78</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20805</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行政事业单位养老支出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82.78</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82.78</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hint="eastAsia" w:ascii="宋体" w:hAnsi="宋体" w:cs="宋体"/>
                <w:kern w:val="0"/>
                <w:szCs w:val="21"/>
              </w:rPr>
              <w:t>2080502</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事业单位离退休</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3.95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3.95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2080505</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机关事业单位基本养老保险缴费支出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50.30</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50.30</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2080506</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机关事业单位职业年金缴费支出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28.54</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28.54</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210</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卫生健康支出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26.11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26.11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21011</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行政事业单位医疗</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26.11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26.11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2101102</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事业单位医疗</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26.11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26.11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221</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住房保障支出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33.41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33.41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22102</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住房改革支出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33.41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33.41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2210201</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住房公积金</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33.41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33.41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r>
              <w:rPr>
                <w:rFonts w:hint="eastAsia" w:ascii="宋体" w:hAnsi="宋体" w:cs="宋体"/>
                <w:kern w:val="0"/>
                <w:szCs w:val="21"/>
              </w:rPr>
              <w:t>490.51</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r>
              <w:rPr>
                <w:rFonts w:hint="eastAsia" w:ascii="宋体" w:hAnsi="宋体" w:cs="宋体"/>
                <w:kern w:val="0"/>
                <w:szCs w:val="21"/>
              </w:rPr>
              <w:t>327.55</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r>
              <w:rPr>
                <w:rFonts w:hint="eastAsia" w:ascii="宋体" w:hAnsi="宋体" w:cs="宋体"/>
                <w:kern w:val="0"/>
                <w:szCs w:val="21"/>
              </w:rPr>
              <w:t>162.96</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w:t>
            </w:r>
          </w:p>
        </w:tc>
        <w:tc>
          <w:tcPr>
            <w:tcW w:w="2607"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一般公共服务支出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144.03</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114.38</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29.65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20136</w:t>
            </w:r>
          </w:p>
        </w:tc>
        <w:tc>
          <w:tcPr>
            <w:tcW w:w="2607"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其他共产党事务支出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144.03</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114.38</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29.65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2013650</w:t>
            </w:r>
          </w:p>
        </w:tc>
        <w:tc>
          <w:tcPr>
            <w:tcW w:w="2607"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事业运行</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114.38</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114.38</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2013699</w:t>
            </w:r>
          </w:p>
        </w:tc>
        <w:tc>
          <w:tcPr>
            <w:tcW w:w="2607"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其他共产党事务支出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29.65</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29.65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w:t>
            </w:r>
          </w:p>
        </w:tc>
        <w:tc>
          <w:tcPr>
            <w:tcW w:w="2607"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文化旅游体育与传媒支出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204.17</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70.87</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133.31</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20701</w:t>
            </w:r>
          </w:p>
        </w:tc>
        <w:tc>
          <w:tcPr>
            <w:tcW w:w="2607"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文化和旅游</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70.56</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70.56</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2070108</w:t>
            </w:r>
          </w:p>
        </w:tc>
        <w:tc>
          <w:tcPr>
            <w:tcW w:w="2607"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文化活动</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69.56</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69.56</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2070109</w:t>
            </w:r>
          </w:p>
        </w:tc>
        <w:tc>
          <w:tcPr>
            <w:tcW w:w="2607"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群众文化</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1.00</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1.00</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20799</w:t>
            </w:r>
          </w:p>
        </w:tc>
        <w:tc>
          <w:tcPr>
            <w:tcW w:w="2607"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其他文化旅游体育与传媒支出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133.61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70.87</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62.74</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2079999</w:t>
            </w:r>
          </w:p>
        </w:tc>
        <w:tc>
          <w:tcPr>
            <w:tcW w:w="2607"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其他文化旅游体育与传媒支出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133.61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70.87</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r>
              <w:rPr>
                <w:rFonts w:hint="eastAsia" w:ascii="宋体" w:hAnsi="宋体" w:cs="宋体"/>
                <w:kern w:val="0"/>
                <w:szCs w:val="21"/>
              </w:rPr>
              <w:t>62.74</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208</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社会保障和就业支出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82.78</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82.78</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20805</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行政事业单位养老支出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82.78</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82.78</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2080502</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事业单位离退休</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3.95</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3.95</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2080505</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机关事业单位基本养老保险缴费支出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50.30</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50.30</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2080506</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机关事业单位职业年金缴费支出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28.54</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28.54</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210</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卫生健康支出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26.11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26.11</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21011</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行政事业单位医疗</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26.11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26.11</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2101102</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事业单位医疗</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26.11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26.11</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221</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住房保障支出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33.41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33.41</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22102</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住房改革支出</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33.41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33.41</w:t>
            </w:r>
          </w:p>
        </w:tc>
        <w:tc>
          <w:tcPr>
            <w:tcW w:w="1643" w:type="dxa"/>
            <w:tcBorders>
              <w:top w:val="nil"/>
              <w:left w:val="nil"/>
              <w:bottom w:val="single" w:color="auto" w:sz="8" w:space="0"/>
              <w:right w:val="single" w:color="auto" w:sz="8" w:space="0"/>
            </w:tcBorders>
            <w:shd w:val="clear" w:color="auto" w:fill="auto"/>
            <w:noWrap/>
            <w:vAlign w:val="center"/>
          </w:tcPr>
          <w:p>
            <w:pPr>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tcPr>
          <w:p>
            <w:pPr>
              <w:rPr>
                <w:rFonts w:ascii="宋体" w:hAnsi="宋体" w:cs="宋体"/>
                <w:kern w:val="0"/>
                <w:szCs w:val="21"/>
              </w:rPr>
            </w:pPr>
            <w:r>
              <w:rPr>
                <w:rFonts w:ascii="宋体" w:hAnsi="宋体" w:cs="宋体"/>
                <w:kern w:val="0"/>
                <w:szCs w:val="21"/>
              </w:rPr>
              <w:t>2210201</w:t>
            </w:r>
          </w:p>
        </w:tc>
        <w:tc>
          <w:tcPr>
            <w:tcW w:w="2607" w:type="dxa"/>
            <w:tcBorders>
              <w:top w:val="nil"/>
              <w:left w:val="nil"/>
              <w:bottom w:val="single" w:color="auto" w:sz="8" w:space="0"/>
              <w:right w:val="single" w:color="auto" w:sz="8" w:space="0"/>
            </w:tcBorders>
            <w:shd w:val="clear" w:color="auto" w:fill="auto"/>
          </w:tcPr>
          <w:p>
            <w:pPr>
              <w:rPr>
                <w:rFonts w:ascii="宋体" w:hAnsi="宋体" w:cs="宋体"/>
                <w:kern w:val="0"/>
                <w:szCs w:val="21"/>
              </w:rPr>
            </w:pPr>
            <w:r>
              <w:rPr>
                <w:rFonts w:hint="eastAsia" w:ascii="宋体" w:hAnsi="宋体" w:cs="宋体"/>
                <w:kern w:val="0"/>
                <w:szCs w:val="21"/>
              </w:rPr>
              <w:t>住房公积金</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33.41</w:t>
            </w:r>
          </w:p>
        </w:tc>
        <w:tc>
          <w:tcPr>
            <w:tcW w:w="1643" w:type="dxa"/>
            <w:tcBorders>
              <w:top w:val="nil"/>
              <w:left w:val="nil"/>
              <w:bottom w:val="single" w:color="auto" w:sz="8" w:space="0"/>
              <w:right w:val="single" w:color="auto" w:sz="8" w:space="0"/>
            </w:tcBorders>
            <w:shd w:val="clear" w:color="auto" w:fill="auto"/>
            <w:noWrap/>
          </w:tcPr>
          <w:p>
            <w:pPr>
              <w:jc w:val="right"/>
              <w:rPr>
                <w:rFonts w:ascii="宋体" w:hAnsi="宋体" w:cs="宋体"/>
                <w:kern w:val="0"/>
                <w:szCs w:val="21"/>
              </w:rPr>
            </w:pPr>
            <w:r>
              <w:rPr>
                <w:rFonts w:ascii="宋体" w:hAnsi="宋体" w:cs="宋体"/>
                <w:kern w:val="0"/>
                <w:szCs w:val="21"/>
              </w:rPr>
              <w:t>33.41</w:t>
            </w:r>
          </w:p>
        </w:tc>
        <w:tc>
          <w:tcPr>
            <w:tcW w:w="1643" w:type="dxa"/>
            <w:tcBorders>
              <w:top w:val="nil"/>
              <w:left w:val="nil"/>
              <w:bottom w:val="single" w:color="auto" w:sz="8" w:space="0"/>
              <w:right w:val="single" w:color="auto" w:sz="8" w:space="0"/>
            </w:tcBorders>
            <w:shd w:val="clear" w:color="auto" w:fill="auto"/>
            <w:noWrap/>
            <w:vAlign w:val="center"/>
          </w:tcPr>
          <w:p>
            <w:pPr>
              <w:ind w:right="105"/>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425"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775" w:type="dxa"/>
            <w:gridSpan w:val="2"/>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1134" w:type="dxa"/>
            <w:gridSpan w:val="5"/>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388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89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126"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shd w:val="clear" w:color="auto" w:fill="auto"/>
            <w:noWrap/>
            <w:vAlign w:val="center"/>
          </w:tcPr>
          <w:p>
            <w:pPr>
              <w:widowControl/>
              <w:jc w:val="right"/>
              <w:rPr>
                <w:rFonts w:ascii="宋体" w:hAnsi="宋体" w:cs="宋体"/>
                <w:kern w:val="0"/>
                <w:szCs w:val="21"/>
              </w:rPr>
            </w:pPr>
            <w:r>
              <w:rPr>
                <w:rFonts w:ascii="宋体" w:hAnsi="宋体" w:cs="宋体"/>
                <w:kern w:val="0"/>
                <w:szCs w:val="21"/>
              </w:rPr>
              <w:t>490.51</w:t>
            </w: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一、一般公共服务支出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r>
              <w:rPr>
                <w:rFonts w:ascii="宋体" w:hAnsi="宋体" w:cs="宋体"/>
                <w:kern w:val="0"/>
                <w:szCs w:val="21"/>
              </w:rPr>
              <w:t>144.03</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144.03</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二、外交支出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三、国防支出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四、公共安全支出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五、教育支出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六、科学技术支出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七、文化旅游体育与传媒支出</w:t>
            </w:r>
          </w:p>
        </w:tc>
        <w:tc>
          <w:tcPr>
            <w:tcW w:w="1134" w:type="dxa"/>
            <w:shd w:val="clear" w:color="auto" w:fill="auto"/>
            <w:noWrap/>
            <w:vAlign w:val="center"/>
          </w:tcPr>
          <w:p>
            <w:pPr>
              <w:widowControl/>
              <w:rPr>
                <w:rFonts w:ascii="宋体" w:hAnsi="宋体" w:cs="宋体"/>
                <w:kern w:val="0"/>
                <w:szCs w:val="21"/>
              </w:rPr>
            </w:pPr>
            <w:r>
              <w:rPr>
                <w:rFonts w:hint="eastAsia" w:ascii="宋体" w:hAnsi="宋体" w:cs="宋体"/>
                <w:kern w:val="0"/>
                <w:szCs w:val="21"/>
              </w:rPr>
              <w:t>　</w:t>
            </w:r>
            <w:r>
              <w:rPr>
                <w:rFonts w:ascii="宋体" w:hAnsi="宋体" w:cs="宋体"/>
                <w:kern w:val="0"/>
                <w:szCs w:val="21"/>
              </w:rPr>
              <w:t>204.17</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204.17</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八、社会保障和就业支出</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82.78</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82.78</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九、卫生健康支出</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26.11</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26.11</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十、节能环保支出</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十一、城乡社区支出</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十二、农林水支出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十三、交通运输支出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十四、资源勘探工业信息等支出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十五、商业服务业等支出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十六、金融支出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十七、援助其他地区支出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十八、自然资源海洋气象等支出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十九、住房保障支出</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33.41</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33.41</w:t>
            </w: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二十、粮油物资储备支出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szCs w:val="21"/>
              </w:rPr>
            </w:pPr>
            <w:r>
              <w:rPr>
                <w:rFonts w:hint="eastAsia" w:ascii="宋体" w:hAnsi="宋体"/>
                <w:szCs w:val="21"/>
              </w:rPr>
              <w:t>二十一、国有资本经营预算支出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rPr>
                <w:rFonts w:ascii="宋体" w:hAnsi="宋体"/>
                <w:szCs w:val="21"/>
              </w:rPr>
            </w:pPr>
            <w:r>
              <w:rPr>
                <w:rFonts w:hint="eastAsia" w:ascii="宋体" w:hAnsi="宋体"/>
                <w:szCs w:val="21"/>
              </w:rPr>
              <w:t>二十二、灾害防治及应急管理支出</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bCs/>
                <w:kern w:val="0"/>
                <w:szCs w:val="21"/>
              </w:rPr>
            </w:pP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二十三、其他支出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szCs w:val="21"/>
              </w:rPr>
            </w:pPr>
            <w:r>
              <w:rPr>
                <w:rFonts w:hint="eastAsia" w:ascii="宋体" w:hAnsi="宋体"/>
                <w:szCs w:val="21"/>
              </w:rPr>
              <w:t>二十四、抗疫特别国债安排的支出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892" w:type="dxa"/>
            <w:shd w:val="clear" w:color="auto" w:fill="auto"/>
            <w:noWrap/>
            <w:vAlign w:val="center"/>
          </w:tcPr>
          <w:p>
            <w:pPr>
              <w:widowControl/>
              <w:jc w:val="right"/>
              <w:rPr>
                <w:rFonts w:ascii="宋体" w:hAnsi="宋体" w:cs="宋体"/>
                <w:kern w:val="0"/>
                <w:szCs w:val="21"/>
              </w:rPr>
            </w:pPr>
            <w:r>
              <w:rPr>
                <w:rFonts w:ascii="宋体" w:hAnsi="宋体" w:cs="宋体"/>
                <w:kern w:val="0"/>
                <w:szCs w:val="21"/>
              </w:rPr>
              <w:t>490.51</w:t>
            </w:r>
            <w:r>
              <w:rPr>
                <w:rFonts w:hint="eastAsia" w:ascii="宋体" w:hAnsi="宋体" w:cs="宋体"/>
                <w:kern w:val="0"/>
                <w:szCs w:val="21"/>
              </w:rPr>
              <w:t>　</w:t>
            </w:r>
          </w:p>
        </w:tc>
        <w:tc>
          <w:tcPr>
            <w:tcW w:w="3126"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r>
              <w:rPr>
                <w:rFonts w:ascii="宋体" w:hAnsi="宋体" w:cs="宋体"/>
                <w:kern w:val="0"/>
                <w:szCs w:val="21"/>
              </w:rPr>
              <w:t>490.51</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490.51</w:t>
            </w: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892" w:type="dxa"/>
            <w:shd w:val="clear" w:color="auto" w:fill="auto"/>
            <w:noWrap/>
            <w:vAlign w:val="center"/>
          </w:tcPr>
          <w:p>
            <w:pPr>
              <w:widowControl/>
              <w:jc w:val="right"/>
              <w:rPr>
                <w:rFonts w:ascii="宋体" w:hAnsi="宋体" w:cs="宋体"/>
                <w:kern w:val="0"/>
                <w:szCs w:val="21"/>
              </w:rPr>
            </w:pPr>
            <w:r>
              <w:rPr>
                <w:rFonts w:ascii="宋体" w:hAnsi="宋体" w:cs="宋体"/>
                <w:kern w:val="0"/>
                <w:szCs w:val="21"/>
              </w:rPr>
              <w:t>490.51</w:t>
            </w:r>
            <w:r>
              <w:rPr>
                <w:rFonts w:hint="eastAsia" w:ascii="宋体" w:hAnsi="宋体" w:cs="宋体"/>
                <w:kern w:val="0"/>
                <w:szCs w:val="21"/>
              </w:rPr>
              <w:t>　</w:t>
            </w:r>
          </w:p>
        </w:tc>
        <w:tc>
          <w:tcPr>
            <w:tcW w:w="3126" w:type="dxa"/>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490.51</w:t>
            </w:r>
          </w:p>
        </w:tc>
        <w:tc>
          <w:tcPr>
            <w:tcW w:w="1134"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490.51</w:t>
            </w: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425"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201</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一般公共服务支出</w:t>
            </w:r>
          </w:p>
        </w:tc>
        <w:tc>
          <w:tcPr>
            <w:tcW w:w="1504"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144.03</w:t>
            </w:r>
          </w:p>
        </w:tc>
        <w:tc>
          <w:tcPr>
            <w:tcW w:w="1650" w:type="dxa"/>
            <w:tcBorders>
              <w:top w:val="single" w:color="auto" w:sz="4" w:space="0"/>
              <w:left w:val="nil"/>
              <w:bottom w:val="single" w:color="auto" w:sz="4" w:space="0"/>
              <w:right w:val="single" w:color="auto" w:sz="4" w:space="0"/>
            </w:tcBorders>
            <w:vAlign w:val="center"/>
          </w:tcPr>
          <w:p>
            <w:pPr>
              <w:jc w:val="left"/>
              <w:rPr>
                <w:rFonts w:ascii="宋体" w:hAnsi="宋体"/>
                <w:szCs w:val="21"/>
              </w:rPr>
            </w:pPr>
            <w:r>
              <w:rPr>
                <w:rFonts w:hint="eastAsia" w:ascii="宋体" w:hAnsi="宋体" w:cs="宋体"/>
                <w:kern w:val="0"/>
                <w:szCs w:val="21"/>
              </w:rPr>
              <w:t>114.38</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29.65</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20136</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其他共产党事务支出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144.03</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114.38</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29.65</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2013650</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事业运行</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114.38</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114.38</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2013699</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其他共产党事务支出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29.65</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29.65</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文化旅游体育与传媒支出</w:t>
            </w:r>
          </w:p>
        </w:tc>
        <w:tc>
          <w:tcPr>
            <w:tcW w:w="1504"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204.17</w:t>
            </w:r>
          </w:p>
        </w:tc>
        <w:tc>
          <w:tcPr>
            <w:tcW w:w="1650"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70.87</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133.31</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20701</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文化和旅游</w:t>
            </w:r>
          </w:p>
        </w:tc>
        <w:tc>
          <w:tcPr>
            <w:tcW w:w="1504"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70.56</w:t>
            </w:r>
          </w:p>
        </w:tc>
        <w:tc>
          <w:tcPr>
            <w:tcW w:w="1650"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70.56</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2070108</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文化活动</w:t>
            </w:r>
          </w:p>
        </w:tc>
        <w:tc>
          <w:tcPr>
            <w:tcW w:w="1504"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69.56</w:t>
            </w:r>
          </w:p>
        </w:tc>
        <w:tc>
          <w:tcPr>
            <w:tcW w:w="1650"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69.56</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2070109</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群众文化</w:t>
            </w:r>
          </w:p>
        </w:tc>
        <w:tc>
          <w:tcPr>
            <w:tcW w:w="1504"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1.00</w:t>
            </w:r>
          </w:p>
        </w:tc>
        <w:tc>
          <w:tcPr>
            <w:tcW w:w="1650"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1.00</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20799</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其他文化旅游体育与传媒支出</w:t>
            </w:r>
          </w:p>
        </w:tc>
        <w:tc>
          <w:tcPr>
            <w:tcW w:w="1504"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133.61</w:t>
            </w:r>
          </w:p>
        </w:tc>
        <w:tc>
          <w:tcPr>
            <w:tcW w:w="1650"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70.87</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62.74</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2079999</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其他文化旅游体育与传媒支出</w:t>
            </w:r>
          </w:p>
        </w:tc>
        <w:tc>
          <w:tcPr>
            <w:tcW w:w="1504"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133.61</w:t>
            </w:r>
          </w:p>
        </w:tc>
        <w:tc>
          <w:tcPr>
            <w:tcW w:w="1650"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70.87</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62.74</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208</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社会保障和就业支出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82.78</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82.78</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20805</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行政事业单位养老支出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82.78</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82.78</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cs="宋体"/>
                <w:kern w:val="0"/>
                <w:szCs w:val="21"/>
              </w:rPr>
            </w:pPr>
            <w:r>
              <w:rPr>
                <w:rFonts w:ascii="宋体" w:hAnsi="宋体" w:cs="宋体"/>
                <w:kern w:val="0"/>
                <w:szCs w:val="21"/>
              </w:rPr>
              <w:t>2080502</w:t>
            </w:r>
          </w:p>
        </w:tc>
        <w:tc>
          <w:tcPr>
            <w:tcW w:w="1612" w:type="dxa"/>
            <w:tcBorders>
              <w:top w:val="single" w:color="auto" w:sz="4" w:space="0"/>
              <w:left w:val="nil"/>
              <w:bottom w:val="single" w:color="auto" w:sz="4" w:space="0"/>
              <w:right w:val="single" w:color="auto" w:sz="4" w:space="0"/>
            </w:tcBorders>
          </w:tcPr>
          <w:p>
            <w:pPr>
              <w:rPr>
                <w:rFonts w:ascii="宋体" w:hAnsi="宋体" w:cs="宋体"/>
                <w:kern w:val="0"/>
                <w:szCs w:val="21"/>
              </w:rPr>
            </w:pPr>
            <w:r>
              <w:rPr>
                <w:rFonts w:hint="eastAsia" w:ascii="宋体" w:hAnsi="宋体" w:cs="宋体"/>
                <w:kern w:val="0"/>
                <w:szCs w:val="21"/>
              </w:rPr>
              <w:t>事业单位离退休</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3.95</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3.95</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2080505</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50.30</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50.30</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2080506</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机关事业单位职业年金缴费支出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28.54</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28.54</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210</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卫生健康支出</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26.11</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26.11</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21011</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行政事业单位医疗</w:t>
            </w:r>
          </w:p>
        </w:tc>
        <w:tc>
          <w:tcPr>
            <w:tcW w:w="150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26.11</w:t>
            </w:r>
          </w:p>
        </w:tc>
        <w:tc>
          <w:tcPr>
            <w:tcW w:w="165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26.11</w:t>
            </w:r>
          </w:p>
        </w:tc>
        <w:tc>
          <w:tcPr>
            <w:tcW w:w="1595" w:type="dxa"/>
            <w:tcBorders>
              <w:top w:val="single" w:color="auto" w:sz="4" w:space="0"/>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2101102</w:t>
            </w:r>
          </w:p>
        </w:tc>
        <w:tc>
          <w:tcPr>
            <w:tcW w:w="1612" w:type="dxa"/>
            <w:tcBorders>
              <w:top w:val="nil"/>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事业单位医疗</w:t>
            </w:r>
          </w:p>
        </w:tc>
        <w:tc>
          <w:tcPr>
            <w:tcW w:w="1504"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26.11</w:t>
            </w:r>
          </w:p>
        </w:tc>
        <w:tc>
          <w:tcPr>
            <w:tcW w:w="165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26.11</w:t>
            </w:r>
          </w:p>
        </w:tc>
        <w:tc>
          <w:tcPr>
            <w:tcW w:w="1595" w:type="dxa"/>
            <w:tcBorders>
              <w:top w:val="nil"/>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221</w:t>
            </w:r>
          </w:p>
        </w:tc>
        <w:tc>
          <w:tcPr>
            <w:tcW w:w="1612" w:type="dxa"/>
            <w:tcBorders>
              <w:top w:val="nil"/>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住房保障支出</w:t>
            </w:r>
          </w:p>
        </w:tc>
        <w:tc>
          <w:tcPr>
            <w:tcW w:w="1504"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33.41</w:t>
            </w:r>
          </w:p>
        </w:tc>
        <w:tc>
          <w:tcPr>
            <w:tcW w:w="165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33.41</w:t>
            </w:r>
          </w:p>
        </w:tc>
        <w:tc>
          <w:tcPr>
            <w:tcW w:w="1595" w:type="dxa"/>
            <w:tcBorders>
              <w:top w:val="nil"/>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22102</w:t>
            </w:r>
          </w:p>
        </w:tc>
        <w:tc>
          <w:tcPr>
            <w:tcW w:w="1612" w:type="dxa"/>
            <w:tcBorders>
              <w:top w:val="nil"/>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住房改革支出</w:t>
            </w:r>
          </w:p>
        </w:tc>
        <w:tc>
          <w:tcPr>
            <w:tcW w:w="1504"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33.41</w:t>
            </w:r>
          </w:p>
        </w:tc>
        <w:tc>
          <w:tcPr>
            <w:tcW w:w="165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33.41</w:t>
            </w:r>
          </w:p>
        </w:tc>
        <w:tc>
          <w:tcPr>
            <w:tcW w:w="1595" w:type="dxa"/>
            <w:tcBorders>
              <w:top w:val="nil"/>
              <w:left w:val="nil"/>
              <w:bottom w:val="single" w:color="auto" w:sz="4" w:space="0"/>
              <w:right w:val="single" w:color="auto" w:sz="4" w:space="0"/>
            </w:tcBorders>
            <w:vAlign w:val="center"/>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rPr>
                <w:rFonts w:ascii="宋体" w:hAnsi="宋体"/>
                <w:szCs w:val="21"/>
              </w:rPr>
            </w:pPr>
            <w:r>
              <w:rPr>
                <w:rFonts w:ascii="宋体" w:hAnsi="宋体"/>
                <w:szCs w:val="21"/>
              </w:rPr>
              <w:t>2210201</w:t>
            </w:r>
          </w:p>
        </w:tc>
        <w:tc>
          <w:tcPr>
            <w:tcW w:w="1612"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住房公积金</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33.41</w:t>
            </w:r>
          </w:p>
        </w:tc>
        <w:tc>
          <w:tcPr>
            <w:tcW w:w="1650"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33.41</w:t>
            </w:r>
          </w:p>
        </w:tc>
        <w:tc>
          <w:tcPr>
            <w:tcW w:w="1595" w:type="dxa"/>
            <w:tcBorders>
              <w:top w:val="nil"/>
              <w:left w:val="nil"/>
              <w:bottom w:val="single" w:color="auto" w:sz="4" w:space="0"/>
              <w:right w:val="single" w:color="auto" w:sz="4" w:space="0"/>
            </w:tcBorders>
          </w:tcPr>
          <w:p>
            <w:pPr>
              <w:rPr>
                <w:rFonts w:ascii="宋体" w:hAnsi="宋体"/>
                <w:szCs w:val="21"/>
              </w:rPr>
            </w:pPr>
          </w:p>
        </w:tc>
      </w:tr>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szCs w:val="21"/>
              </w:rPr>
            </w:pPr>
            <w:r>
              <w:rPr>
                <w:rFonts w:hint="eastAsia" w:ascii="宋体" w:hAnsi="宋体"/>
                <w:szCs w:val="21"/>
              </w:rPr>
              <w:t>合计</w:t>
            </w:r>
          </w:p>
        </w:tc>
        <w:tc>
          <w:tcPr>
            <w:tcW w:w="1504"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490.51</w:t>
            </w:r>
          </w:p>
        </w:tc>
        <w:tc>
          <w:tcPr>
            <w:tcW w:w="1650"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327.55</w:t>
            </w:r>
          </w:p>
        </w:tc>
        <w:tc>
          <w:tcPr>
            <w:tcW w:w="1595"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162.96</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2021年度一般公共预算财政拨款基本支出决算表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8"/>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2609"/>
        <w:gridCol w:w="1686"/>
        <w:gridCol w:w="1031"/>
        <w:gridCol w:w="214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880" w:type="dxa"/>
            <w:shd w:val="clear" w:color="auto" w:fill="auto"/>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076"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344" w:type="dxa"/>
            <w:shd w:val="clear" w:color="auto" w:fill="auto"/>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w:t>
            </w:r>
          </w:p>
        </w:tc>
        <w:tc>
          <w:tcPr>
            <w:tcW w:w="2880" w:type="dxa"/>
            <w:shd w:val="clear" w:color="auto" w:fill="auto"/>
            <w:vAlign w:val="center"/>
          </w:tcPr>
          <w:p>
            <w:pPr>
              <w:rPr>
                <w:rFonts w:ascii="宋体" w:hAnsi="宋体" w:cs="宋体"/>
                <w:szCs w:val="21"/>
              </w:rPr>
            </w:pPr>
            <w:r>
              <w:rPr>
                <w:rFonts w:hint="eastAsia" w:ascii="宋体" w:hAnsi="宋体"/>
                <w:szCs w:val="21"/>
              </w:rPr>
              <w:t>工资福利支出</w:t>
            </w:r>
          </w:p>
        </w:tc>
        <w:tc>
          <w:tcPr>
            <w:tcW w:w="1080" w:type="dxa"/>
            <w:shd w:val="clear" w:color="auto" w:fill="auto"/>
            <w:vAlign w:val="center"/>
          </w:tcPr>
          <w:p>
            <w:pPr>
              <w:jc w:val="right"/>
              <w:rPr>
                <w:rFonts w:ascii="宋体" w:hAnsi="宋体" w:cs="宋体"/>
                <w:szCs w:val="21"/>
              </w:rPr>
            </w:pPr>
            <w:r>
              <w:rPr>
                <w:rFonts w:ascii="宋体" w:hAnsi="宋体" w:cs="宋体"/>
                <w:szCs w:val="21"/>
              </w:rPr>
              <w:t>303.86</w:t>
            </w:r>
          </w:p>
        </w:tc>
        <w:tc>
          <w:tcPr>
            <w:tcW w:w="1076" w:type="dxa"/>
            <w:shd w:val="clear" w:color="auto" w:fill="auto"/>
            <w:vAlign w:val="center"/>
          </w:tcPr>
          <w:p>
            <w:pPr>
              <w:rPr>
                <w:rFonts w:ascii="宋体" w:hAnsi="宋体" w:cs="Arial"/>
                <w:szCs w:val="21"/>
              </w:rPr>
            </w:pPr>
            <w:r>
              <w:rPr>
                <w:rFonts w:hint="eastAsia" w:ascii="宋体" w:hAnsi="宋体" w:cs="Arial"/>
                <w:szCs w:val="21"/>
              </w:rPr>
              <w:t>302</w:t>
            </w:r>
          </w:p>
        </w:tc>
        <w:tc>
          <w:tcPr>
            <w:tcW w:w="2344" w:type="dxa"/>
            <w:shd w:val="clear" w:color="auto" w:fill="auto"/>
            <w:vAlign w:val="center"/>
          </w:tcPr>
          <w:p>
            <w:pPr>
              <w:rPr>
                <w:rFonts w:ascii="宋体" w:hAnsi="宋体" w:cs="宋体"/>
                <w:szCs w:val="21"/>
              </w:rPr>
            </w:pPr>
            <w:r>
              <w:rPr>
                <w:rFonts w:hint="eastAsia" w:ascii="宋体" w:hAnsi="宋体"/>
                <w:szCs w:val="21"/>
              </w:rPr>
              <w:t>商品和服务支出</w:t>
            </w:r>
          </w:p>
        </w:tc>
        <w:tc>
          <w:tcPr>
            <w:tcW w:w="1080" w:type="dxa"/>
            <w:shd w:val="clear" w:color="auto" w:fill="auto"/>
            <w:vAlign w:val="center"/>
          </w:tcPr>
          <w:p>
            <w:pPr>
              <w:jc w:val="right"/>
              <w:rPr>
                <w:rFonts w:ascii="宋体" w:hAnsi="宋体" w:cs="宋体"/>
                <w:szCs w:val="21"/>
              </w:rPr>
            </w:pPr>
            <w:r>
              <w:rPr>
                <w:rFonts w:ascii="宋体" w:hAnsi="宋体" w:cs="宋体"/>
                <w:szCs w:val="21"/>
              </w:rPr>
              <w:t>19.64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基本工资</w:t>
            </w:r>
          </w:p>
        </w:tc>
        <w:tc>
          <w:tcPr>
            <w:tcW w:w="1080" w:type="dxa"/>
            <w:shd w:val="clear" w:color="auto" w:fill="auto"/>
            <w:vAlign w:val="center"/>
          </w:tcPr>
          <w:p>
            <w:pPr>
              <w:jc w:val="right"/>
              <w:rPr>
                <w:rFonts w:ascii="宋体" w:hAnsi="宋体" w:cs="宋体"/>
                <w:szCs w:val="21"/>
              </w:rPr>
            </w:pPr>
            <w:r>
              <w:rPr>
                <w:rFonts w:ascii="宋体" w:hAnsi="宋体" w:cs="宋体"/>
                <w:szCs w:val="21"/>
              </w:rPr>
              <w:t>42.15</w:t>
            </w:r>
          </w:p>
        </w:tc>
        <w:tc>
          <w:tcPr>
            <w:tcW w:w="1076" w:type="dxa"/>
            <w:shd w:val="clear" w:color="auto" w:fill="auto"/>
            <w:vAlign w:val="center"/>
          </w:tcPr>
          <w:p>
            <w:pPr>
              <w:rPr>
                <w:rFonts w:ascii="宋体" w:hAnsi="宋体" w:cs="Arial"/>
                <w:szCs w:val="21"/>
              </w:rPr>
            </w:pPr>
            <w:r>
              <w:rPr>
                <w:rFonts w:hint="eastAsia" w:ascii="宋体" w:hAnsi="宋体" w:cs="Arial"/>
                <w:szCs w:val="21"/>
              </w:rPr>
              <w:t>30201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办公费</w:t>
            </w:r>
          </w:p>
        </w:tc>
        <w:tc>
          <w:tcPr>
            <w:tcW w:w="1080" w:type="dxa"/>
            <w:shd w:val="clear" w:color="auto" w:fill="auto"/>
            <w:vAlign w:val="center"/>
          </w:tcPr>
          <w:p>
            <w:pPr>
              <w:jc w:val="right"/>
              <w:rPr>
                <w:rFonts w:ascii="宋体" w:hAnsi="宋体" w:cs="宋体"/>
                <w:szCs w:val="21"/>
              </w:rPr>
            </w:pPr>
            <w:r>
              <w:rPr>
                <w:rFonts w:ascii="宋体" w:hAnsi="宋体" w:cs="宋体"/>
                <w:szCs w:val="21"/>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津贴补贴</w:t>
            </w:r>
          </w:p>
        </w:tc>
        <w:tc>
          <w:tcPr>
            <w:tcW w:w="1080" w:type="dxa"/>
            <w:shd w:val="clear" w:color="auto" w:fill="auto"/>
            <w:vAlign w:val="center"/>
          </w:tcPr>
          <w:p>
            <w:pPr>
              <w:jc w:val="right"/>
              <w:rPr>
                <w:rFonts w:ascii="宋体" w:hAnsi="宋体" w:cs="宋体"/>
                <w:szCs w:val="21"/>
              </w:rPr>
            </w:pPr>
            <w:r>
              <w:rPr>
                <w:rFonts w:ascii="宋体" w:hAnsi="宋体" w:cs="宋体"/>
                <w:szCs w:val="21"/>
              </w:rPr>
              <w:t>99.72</w:t>
            </w:r>
          </w:p>
        </w:tc>
        <w:tc>
          <w:tcPr>
            <w:tcW w:w="1076" w:type="dxa"/>
            <w:shd w:val="clear" w:color="auto" w:fill="auto"/>
            <w:vAlign w:val="center"/>
          </w:tcPr>
          <w:p>
            <w:pPr>
              <w:rPr>
                <w:rFonts w:ascii="宋体" w:hAnsi="宋体" w:cs="Arial"/>
                <w:szCs w:val="21"/>
              </w:rPr>
            </w:pPr>
            <w:r>
              <w:rPr>
                <w:rFonts w:hint="eastAsia" w:ascii="宋体" w:hAnsi="宋体" w:cs="Arial"/>
                <w:szCs w:val="21"/>
              </w:rPr>
              <w:t>30202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印刷费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咨询费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30106</w:t>
            </w:r>
          </w:p>
        </w:tc>
        <w:tc>
          <w:tcPr>
            <w:tcW w:w="2880" w:type="dxa"/>
            <w:shd w:val="clear" w:color="auto" w:fill="auto"/>
            <w:vAlign w:val="center"/>
          </w:tcPr>
          <w:p>
            <w:pPr>
              <w:rPr>
                <w:rFonts w:ascii="宋体" w:hAnsi="宋体" w:cs="宋体"/>
                <w:szCs w:val="21"/>
              </w:rPr>
            </w:pPr>
            <w:r>
              <w:rPr>
                <w:rFonts w:hint="eastAsia" w:ascii="宋体" w:hAnsi="宋体"/>
                <w:szCs w:val="21"/>
              </w:rPr>
              <w:t xml:space="preserve">  伙食补助费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手续费</w:t>
            </w:r>
          </w:p>
        </w:tc>
        <w:tc>
          <w:tcPr>
            <w:tcW w:w="1080" w:type="dxa"/>
            <w:shd w:val="clear" w:color="auto" w:fill="auto"/>
            <w:vAlign w:val="center"/>
          </w:tcPr>
          <w:p>
            <w:pPr>
              <w:jc w:val="right"/>
              <w:rPr>
                <w:rFonts w:ascii="宋体" w:hAnsi="宋体" w:cs="宋体"/>
                <w:szCs w:val="21"/>
              </w:rPr>
            </w:pPr>
            <w:r>
              <w:rPr>
                <w:rFonts w:ascii="宋体" w:hAnsi="宋体" w:cs="宋体"/>
                <w:szCs w:val="21"/>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绩效工资</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水费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30108</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50.30</w:t>
            </w:r>
          </w:p>
        </w:tc>
        <w:tc>
          <w:tcPr>
            <w:tcW w:w="1076" w:type="dxa"/>
            <w:shd w:val="clear" w:color="auto" w:fill="auto"/>
            <w:vAlign w:val="center"/>
          </w:tcPr>
          <w:p>
            <w:pPr>
              <w:rPr>
                <w:rFonts w:ascii="宋体" w:hAnsi="宋体" w:cs="Arial"/>
                <w:szCs w:val="21"/>
              </w:rPr>
            </w:pPr>
            <w:r>
              <w:rPr>
                <w:rFonts w:hint="eastAsia" w:ascii="宋体" w:hAnsi="宋体" w:cs="Arial"/>
                <w:szCs w:val="21"/>
              </w:rPr>
              <w:t>30206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电费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30109</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职业年金缴费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28.54</w:t>
            </w:r>
          </w:p>
        </w:tc>
        <w:tc>
          <w:tcPr>
            <w:tcW w:w="1076" w:type="dxa"/>
            <w:shd w:val="clear" w:color="auto" w:fill="auto"/>
            <w:vAlign w:val="center"/>
          </w:tcPr>
          <w:p>
            <w:pPr>
              <w:rPr>
                <w:rFonts w:ascii="宋体" w:hAnsi="宋体" w:cs="Arial"/>
                <w:szCs w:val="21"/>
              </w:rPr>
            </w:pPr>
            <w:r>
              <w:rPr>
                <w:rFonts w:hint="eastAsia" w:ascii="宋体" w:hAnsi="宋体" w:cs="Arial"/>
                <w:szCs w:val="21"/>
              </w:rPr>
              <w:t>30207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邮电费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30110</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职工基本医疗保险缴费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26.11</w:t>
            </w:r>
          </w:p>
        </w:tc>
        <w:tc>
          <w:tcPr>
            <w:tcW w:w="1076" w:type="dxa"/>
            <w:shd w:val="clear" w:color="auto" w:fill="auto"/>
            <w:vAlign w:val="center"/>
          </w:tcPr>
          <w:p>
            <w:pPr>
              <w:rPr>
                <w:rFonts w:ascii="宋体" w:hAnsi="宋体" w:cs="Arial"/>
                <w:szCs w:val="21"/>
              </w:rPr>
            </w:pPr>
            <w:r>
              <w:rPr>
                <w:rFonts w:hint="eastAsia" w:ascii="宋体" w:hAnsi="宋体" w:cs="Arial"/>
                <w:szCs w:val="21"/>
              </w:rPr>
              <w:t>30208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取暖费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30111</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公务员医疗补助缴费</w:t>
            </w:r>
          </w:p>
        </w:tc>
        <w:tc>
          <w:tcPr>
            <w:tcW w:w="1080" w:type="dxa"/>
            <w:shd w:val="clear" w:color="auto" w:fill="auto"/>
            <w:vAlign w:val="center"/>
          </w:tcPr>
          <w:p>
            <w:pPr>
              <w:ind w:firstLine="210" w:firstLineChars="10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物业管理费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30112</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其他社会保障缴费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5.19</w:t>
            </w:r>
          </w:p>
        </w:tc>
        <w:tc>
          <w:tcPr>
            <w:tcW w:w="1076" w:type="dxa"/>
            <w:shd w:val="clear" w:color="auto" w:fill="auto"/>
            <w:vAlign w:val="center"/>
          </w:tcPr>
          <w:p>
            <w:pPr>
              <w:rPr>
                <w:rFonts w:ascii="宋体" w:hAnsi="宋体" w:cs="Arial"/>
                <w:szCs w:val="21"/>
              </w:rPr>
            </w:pPr>
            <w:r>
              <w:rPr>
                <w:rFonts w:hint="eastAsia" w:ascii="宋体" w:hAnsi="宋体" w:cs="Arial"/>
                <w:szCs w:val="21"/>
              </w:rPr>
              <w:t>30211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差旅费</w:t>
            </w:r>
          </w:p>
        </w:tc>
        <w:tc>
          <w:tcPr>
            <w:tcW w:w="1080" w:type="dxa"/>
            <w:shd w:val="clear" w:color="auto" w:fill="auto"/>
            <w:vAlign w:val="center"/>
          </w:tcPr>
          <w:p>
            <w:pPr>
              <w:jc w:val="right"/>
              <w:rPr>
                <w:rFonts w:ascii="宋体" w:hAnsi="宋体" w:cs="宋体"/>
                <w:szCs w:val="21"/>
              </w:rPr>
            </w:pPr>
            <w:r>
              <w:rPr>
                <w:rFonts w:ascii="宋体" w:hAnsi="宋体" w:cs="宋体"/>
                <w:szCs w:val="21"/>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30113</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住房公积金</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33.41</w:t>
            </w:r>
          </w:p>
        </w:tc>
        <w:tc>
          <w:tcPr>
            <w:tcW w:w="1076" w:type="dxa"/>
            <w:shd w:val="clear" w:color="auto" w:fill="auto"/>
            <w:vAlign w:val="center"/>
          </w:tcPr>
          <w:p>
            <w:pPr>
              <w:rPr>
                <w:rFonts w:ascii="宋体" w:hAnsi="宋体" w:cs="Arial"/>
                <w:szCs w:val="21"/>
              </w:rPr>
            </w:pPr>
            <w:r>
              <w:rPr>
                <w:rFonts w:hint="eastAsia" w:ascii="宋体" w:hAnsi="宋体" w:cs="Arial"/>
                <w:szCs w:val="21"/>
              </w:rPr>
              <w:t>30212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因公出国（境）费用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30114</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医疗费</w:t>
            </w:r>
          </w:p>
        </w:tc>
        <w:tc>
          <w:tcPr>
            <w:tcW w:w="1080" w:type="dxa"/>
            <w:shd w:val="clear" w:color="auto" w:fill="auto"/>
            <w:vAlign w:val="center"/>
          </w:tcPr>
          <w:p>
            <w:pPr>
              <w:ind w:firstLine="210" w:firstLineChars="10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维修（护）费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其他工资福利支出</w:t>
            </w:r>
          </w:p>
        </w:tc>
        <w:tc>
          <w:tcPr>
            <w:tcW w:w="1080" w:type="dxa"/>
            <w:shd w:val="clear" w:color="auto" w:fill="auto"/>
            <w:vAlign w:val="center"/>
          </w:tcPr>
          <w:p>
            <w:pPr>
              <w:jc w:val="right"/>
              <w:rPr>
                <w:rFonts w:ascii="宋体" w:hAnsi="宋体" w:cs="宋体"/>
                <w:szCs w:val="21"/>
              </w:rPr>
            </w:pPr>
            <w:r>
              <w:rPr>
                <w:rFonts w:ascii="宋体" w:hAnsi="宋体" w:cs="宋体"/>
                <w:szCs w:val="21"/>
              </w:rPr>
              <w:t>18.43</w:t>
            </w:r>
          </w:p>
        </w:tc>
        <w:tc>
          <w:tcPr>
            <w:tcW w:w="1076" w:type="dxa"/>
            <w:shd w:val="clear" w:color="auto" w:fill="auto"/>
            <w:vAlign w:val="center"/>
          </w:tcPr>
          <w:p>
            <w:pPr>
              <w:rPr>
                <w:rFonts w:ascii="宋体" w:hAnsi="宋体" w:cs="Arial"/>
                <w:szCs w:val="21"/>
              </w:rPr>
            </w:pPr>
            <w:r>
              <w:rPr>
                <w:rFonts w:hint="eastAsia" w:ascii="宋体" w:hAnsi="宋体" w:cs="Arial"/>
                <w:szCs w:val="21"/>
              </w:rPr>
              <w:t>30214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租赁费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w:t>
            </w:r>
          </w:p>
        </w:tc>
        <w:tc>
          <w:tcPr>
            <w:tcW w:w="2880" w:type="dxa"/>
            <w:shd w:val="clear" w:color="auto" w:fill="auto"/>
            <w:vAlign w:val="center"/>
          </w:tcPr>
          <w:p>
            <w:pPr>
              <w:rPr>
                <w:rFonts w:ascii="宋体" w:hAnsi="宋体" w:cs="宋体"/>
                <w:szCs w:val="21"/>
              </w:rPr>
            </w:pPr>
            <w:r>
              <w:rPr>
                <w:rFonts w:hint="eastAsia" w:ascii="宋体" w:hAnsi="宋体"/>
                <w:szCs w:val="21"/>
              </w:rPr>
              <w:t>对个人和家庭的补助</w:t>
            </w:r>
          </w:p>
        </w:tc>
        <w:tc>
          <w:tcPr>
            <w:tcW w:w="1080" w:type="dxa"/>
            <w:shd w:val="clear" w:color="auto" w:fill="auto"/>
            <w:vAlign w:val="center"/>
          </w:tcPr>
          <w:p>
            <w:pPr>
              <w:jc w:val="right"/>
              <w:rPr>
                <w:rFonts w:ascii="宋体" w:hAnsi="宋体" w:cs="宋体"/>
                <w:szCs w:val="21"/>
              </w:rPr>
            </w:pPr>
            <w:r>
              <w:rPr>
                <w:rFonts w:ascii="宋体" w:hAnsi="宋体" w:cs="宋体"/>
                <w:szCs w:val="21"/>
              </w:rPr>
              <w:t>4.05</w:t>
            </w:r>
          </w:p>
        </w:tc>
        <w:tc>
          <w:tcPr>
            <w:tcW w:w="1076" w:type="dxa"/>
            <w:shd w:val="clear" w:color="auto" w:fill="auto"/>
            <w:vAlign w:val="center"/>
          </w:tcPr>
          <w:p>
            <w:pPr>
              <w:rPr>
                <w:rFonts w:ascii="宋体" w:hAnsi="宋体" w:cs="Arial"/>
                <w:szCs w:val="21"/>
              </w:rPr>
            </w:pPr>
            <w:r>
              <w:rPr>
                <w:rFonts w:hint="eastAsia" w:ascii="宋体" w:hAnsi="宋体" w:cs="Arial"/>
                <w:szCs w:val="21"/>
              </w:rPr>
              <w:t>30215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会议费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离休费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培训费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退休费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公务接待费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退职（役）费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专用材料费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30304</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抚恤金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被装购置费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30305</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生活补助</w:t>
            </w:r>
          </w:p>
        </w:tc>
        <w:tc>
          <w:tcPr>
            <w:tcW w:w="1080" w:type="dxa"/>
            <w:shd w:val="clear" w:color="auto" w:fill="auto"/>
            <w:vAlign w:val="center"/>
          </w:tcPr>
          <w:p>
            <w:pPr>
              <w:jc w:val="right"/>
              <w:rPr>
                <w:rFonts w:ascii="宋体" w:hAnsi="宋体" w:cs="宋体"/>
                <w:szCs w:val="21"/>
              </w:rPr>
            </w:pPr>
            <w:r>
              <w:rPr>
                <w:rFonts w:ascii="宋体" w:hAnsi="宋体" w:cs="宋体"/>
                <w:szCs w:val="21"/>
              </w:rPr>
              <w:t>3.95</w:t>
            </w:r>
          </w:p>
        </w:tc>
        <w:tc>
          <w:tcPr>
            <w:tcW w:w="1076" w:type="dxa"/>
            <w:shd w:val="clear" w:color="auto" w:fill="auto"/>
            <w:vAlign w:val="center"/>
          </w:tcPr>
          <w:p>
            <w:pPr>
              <w:rPr>
                <w:rFonts w:ascii="宋体" w:hAnsi="宋体" w:cs="Arial"/>
                <w:szCs w:val="21"/>
              </w:rPr>
            </w:pPr>
            <w:r>
              <w:rPr>
                <w:rFonts w:hint="eastAsia" w:ascii="宋体" w:hAnsi="宋体" w:cs="Arial"/>
                <w:szCs w:val="21"/>
              </w:rPr>
              <w:t>30225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专用燃料费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30306</w:t>
            </w:r>
          </w:p>
        </w:tc>
        <w:tc>
          <w:tcPr>
            <w:tcW w:w="2880" w:type="dxa"/>
            <w:shd w:val="clear" w:color="auto" w:fill="auto"/>
            <w:vAlign w:val="center"/>
          </w:tcPr>
          <w:p>
            <w:pPr>
              <w:rPr>
                <w:rFonts w:ascii="宋体" w:hAnsi="宋体" w:cs="宋体"/>
                <w:szCs w:val="21"/>
              </w:rPr>
            </w:pPr>
            <w:r>
              <w:rPr>
                <w:rFonts w:hint="eastAsia" w:ascii="宋体" w:hAnsi="宋体" w:cs="宋体"/>
                <w:szCs w:val="21"/>
              </w:rPr>
              <w:t xml:space="preserve">  救济费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劳务费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医疗费补助</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委托业务费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30308</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助学金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工会经费</w:t>
            </w:r>
          </w:p>
        </w:tc>
        <w:tc>
          <w:tcPr>
            <w:tcW w:w="1080" w:type="dxa"/>
            <w:shd w:val="clear" w:color="auto" w:fill="auto"/>
            <w:vAlign w:val="center"/>
          </w:tcPr>
          <w:p>
            <w:pPr>
              <w:jc w:val="right"/>
              <w:rPr>
                <w:rFonts w:ascii="宋体" w:hAnsi="宋体" w:cs="宋体"/>
                <w:szCs w:val="21"/>
              </w:rPr>
            </w:pPr>
            <w:r>
              <w:rPr>
                <w:rFonts w:ascii="宋体" w:hAnsi="宋体" w:cs="宋体"/>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奖励金</w:t>
            </w:r>
          </w:p>
        </w:tc>
        <w:tc>
          <w:tcPr>
            <w:tcW w:w="1080" w:type="dxa"/>
            <w:shd w:val="clear" w:color="auto" w:fill="auto"/>
            <w:vAlign w:val="center"/>
          </w:tcPr>
          <w:p>
            <w:pPr>
              <w:ind w:firstLine="210" w:firstLineChars="100"/>
              <w:jc w:val="right"/>
              <w:rPr>
                <w:rFonts w:ascii="宋体" w:hAnsi="宋体"/>
                <w:szCs w:val="21"/>
              </w:rPr>
            </w:pPr>
            <w:r>
              <w:rPr>
                <w:rFonts w:ascii="宋体" w:hAnsi="宋体" w:cs="宋体"/>
                <w:szCs w:val="21"/>
              </w:rPr>
              <w:t>0.11</w:t>
            </w:r>
          </w:p>
        </w:tc>
        <w:tc>
          <w:tcPr>
            <w:tcW w:w="1076" w:type="dxa"/>
            <w:shd w:val="clear" w:color="auto" w:fill="auto"/>
            <w:vAlign w:val="center"/>
          </w:tcPr>
          <w:p>
            <w:pPr>
              <w:rPr>
                <w:rFonts w:ascii="宋体" w:hAnsi="宋体" w:cs="Arial"/>
                <w:szCs w:val="21"/>
              </w:rPr>
            </w:pPr>
            <w:r>
              <w:rPr>
                <w:rFonts w:hint="eastAsia" w:ascii="宋体" w:hAnsi="宋体" w:cs="Arial"/>
                <w:szCs w:val="21"/>
              </w:rPr>
              <w:t>30229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福利费</w:t>
            </w:r>
          </w:p>
        </w:tc>
        <w:tc>
          <w:tcPr>
            <w:tcW w:w="1080" w:type="dxa"/>
            <w:shd w:val="clear" w:color="auto" w:fill="auto"/>
            <w:vAlign w:val="center"/>
          </w:tcPr>
          <w:p>
            <w:pPr>
              <w:jc w:val="right"/>
              <w:rPr>
                <w:rFonts w:ascii="宋体" w:hAnsi="宋体" w:cs="宋体"/>
                <w:szCs w:val="21"/>
              </w:rPr>
            </w:pPr>
            <w:r>
              <w:rPr>
                <w:rFonts w:ascii="宋体" w:hAnsi="宋体" w:cs="宋体"/>
                <w:szCs w:val="21"/>
              </w:rPr>
              <w:t>12.16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30310</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个人农业生产补贴</w:t>
            </w:r>
          </w:p>
        </w:tc>
        <w:tc>
          <w:tcPr>
            <w:tcW w:w="1080" w:type="dxa"/>
            <w:shd w:val="clear" w:color="auto" w:fill="auto"/>
            <w:vAlign w:val="center"/>
          </w:tcPr>
          <w:p>
            <w:pPr>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30231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公务用车运行维护费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30311</w:t>
            </w:r>
          </w:p>
        </w:tc>
        <w:tc>
          <w:tcPr>
            <w:tcW w:w="2880" w:type="dxa"/>
            <w:shd w:val="clear" w:color="auto" w:fill="auto"/>
            <w:vAlign w:val="center"/>
          </w:tcPr>
          <w:p>
            <w:pPr>
              <w:rPr>
                <w:rFonts w:ascii="宋体" w:hAnsi="宋体"/>
                <w:szCs w:val="21"/>
              </w:rPr>
            </w:pPr>
            <w:r>
              <w:rPr>
                <w:rFonts w:hint="eastAsia" w:ascii="宋体" w:hAnsi="宋体"/>
                <w:szCs w:val="21"/>
              </w:rPr>
              <w:t xml:space="preserve">  代缴社会保险费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30239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其他交通费用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其他对个人和家庭的补助</w:t>
            </w: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30240</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税金及附加费用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其他商品和服务支出</w:t>
            </w:r>
          </w:p>
        </w:tc>
        <w:tc>
          <w:tcPr>
            <w:tcW w:w="1080" w:type="dxa"/>
            <w:shd w:val="clear" w:color="auto" w:fill="auto"/>
            <w:vAlign w:val="center"/>
          </w:tcPr>
          <w:p>
            <w:pPr>
              <w:jc w:val="right"/>
              <w:rPr>
                <w:rFonts w:ascii="宋体" w:hAnsi="宋体" w:cs="宋体"/>
                <w:szCs w:val="21"/>
              </w:rPr>
            </w:pPr>
            <w:r>
              <w:rPr>
                <w:rFonts w:ascii="宋体" w:hAnsi="宋体" w:cs="宋体"/>
                <w:szCs w:val="21"/>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w:t>
            </w:r>
          </w:p>
        </w:tc>
        <w:tc>
          <w:tcPr>
            <w:tcW w:w="2344" w:type="dxa"/>
            <w:shd w:val="clear" w:color="auto" w:fill="auto"/>
            <w:vAlign w:val="center"/>
          </w:tcPr>
          <w:p>
            <w:pPr>
              <w:rPr>
                <w:rFonts w:ascii="宋体" w:hAnsi="宋体" w:cs="宋体"/>
                <w:szCs w:val="21"/>
              </w:rPr>
            </w:pPr>
            <w:r>
              <w:rPr>
                <w:rFonts w:hint="eastAsia" w:ascii="宋体" w:hAnsi="宋体"/>
                <w:szCs w:val="21"/>
              </w:rPr>
              <w:t>资本性支出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31001</w:t>
            </w:r>
          </w:p>
        </w:tc>
        <w:tc>
          <w:tcPr>
            <w:tcW w:w="2344" w:type="dxa"/>
            <w:shd w:val="clear" w:color="auto" w:fill="auto"/>
            <w:vAlign w:val="center"/>
          </w:tcPr>
          <w:p>
            <w:pPr>
              <w:rPr>
                <w:rFonts w:ascii="宋体" w:hAnsi="宋体" w:cs="宋体"/>
                <w:szCs w:val="21"/>
              </w:rPr>
            </w:pPr>
            <w:r>
              <w:rPr>
                <w:rFonts w:hint="eastAsia" w:ascii="宋体" w:hAnsi="宋体" w:cs="宋体"/>
                <w:szCs w:val="21"/>
              </w:rPr>
              <w:t xml:space="preserve">  房屋建筑物购建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办公设备购置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专用设备购置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信息网络及软件购置更新</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31019</w:t>
            </w:r>
          </w:p>
        </w:tc>
        <w:tc>
          <w:tcPr>
            <w:tcW w:w="2344" w:type="dxa"/>
            <w:shd w:val="clear" w:color="auto" w:fill="auto"/>
            <w:vAlign w:val="center"/>
          </w:tcPr>
          <w:p>
            <w:pPr>
              <w:rPr>
                <w:rFonts w:ascii="宋体" w:hAnsi="宋体"/>
                <w:szCs w:val="21"/>
              </w:rPr>
            </w:pPr>
            <w:r>
              <w:rPr>
                <w:rFonts w:hint="eastAsia" w:ascii="宋体" w:hAnsi="宋体"/>
                <w:szCs w:val="21"/>
              </w:rPr>
              <w:t xml:space="preserve">  其他交通工具购置</w:t>
            </w:r>
          </w:p>
        </w:tc>
        <w:tc>
          <w:tcPr>
            <w:tcW w:w="1080" w:type="dxa"/>
            <w:shd w:val="clear" w:color="auto" w:fill="auto"/>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31021</w:t>
            </w:r>
          </w:p>
        </w:tc>
        <w:tc>
          <w:tcPr>
            <w:tcW w:w="2344" w:type="dxa"/>
            <w:shd w:val="clear" w:color="auto" w:fill="auto"/>
            <w:vAlign w:val="center"/>
          </w:tcPr>
          <w:p>
            <w:pPr>
              <w:rPr>
                <w:rFonts w:ascii="宋体" w:hAnsi="宋体"/>
                <w:szCs w:val="21"/>
              </w:rPr>
            </w:pPr>
            <w:r>
              <w:rPr>
                <w:rFonts w:hint="eastAsia" w:ascii="宋体" w:hAnsi="宋体"/>
                <w:szCs w:val="21"/>
              </w:rPr>
              <w:t xml:space="preserve">  文物和陈列品购置</w:t>
            </w:r>
          </w:p>
        </w:tc>
        <w:tc>
          <w:tcPr>
            <w:tcW w:w="1080" w:type="dxa"/>
            <w:shd w:val="clear" w:color="auto" w:fill="auto"/>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31022</w:t>
            </w:r>
          </w:p>
        </w:tc>
        <w:tc>
          <w:tcPr>
            <w:tcW w:w="2344" w:type="dxa"/>
            <w:shd w:val="clear" w:color="auto" w:fill="auto"/>
            <w:vAlign w:val="center"/>
          </w:tcPr>
          <w:p>
            <w:pPr>
              <w:rPr>
                <w:rFonts w:ascii="宋体" w:hAnsi="宋体"/>
                <w:szCs w:val="21"/>
              </w:rPr>
            </w:pPr>
            <w:r>
              <w:rPr>
                <w:rFonts w:hint="eastAsia" w:ascii="宋体" w:hAnsi="宋体"/>
                <w:szCs w:val="21"/>
              </w:rPr>
              <w:t xml:space="preserve">  无形资产购置</w:t>
            </w:r>
          </w:p>
        </w:tc>
        <w:tc>
          <w:tcPr>
            <w:tcW w:w="1080" w:type="dxa"/>
            <w:shd w:val="clear" w:color="auto" w:fill="auto"/>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其他资本性支出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shd w:val="clear" w:color="auto" w:fill="auto"/>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080" w:type="dxa"/>
            <w:shd w:val="clear" w:color="auto" w:fill="auto"/>
            <w:vAlign w:val="center"/>
          </w:tcPr>
          <w:p>
            <w:pPr>
              <w:autoSpaceDE w:val="0"/>
              <w:autoSpaceDN w:val="0"/>
              <w:adjustRightInd w:val="0"/>
              <w:ind w:right="840"/>
              <w:jc w:val="right"/>
              <w:rPr>
                <w:rFonts w:ascii="宋体" w:hAnsi="宋体"/>
                <w:szCs w:val="21"/>
              </w:rPr>
            </w:pPr>
            <w:r>
              <w:rPr>
                <w:rFonts w:ascii="宋体" w:hAnsi="宋体"/>
                <w:szCs w:val="21"/>
              </w:rPr>
              <w:t>307.91</w:t>
            </w:r>
          </w:p>
        </w:tc>
        <w:tc>
          <w:tcPr>
            <w:tcW w:w="3420" w:type="dxa"/>
            <w:gridSpan w:val="2"/>
            <w:shd w:val="clear" w:color="auto" w:fill="auto"/>
            <w:vAlign w:val="center"/>
          </w:tcPr>
          <w:p>
            <w:pPr>
              <w:jc w:val="center"/>
              <w:rPr>
                <w:rFonts w:ascii="宋体" w:hAnsi="宋体"/>
                <w:szCs w:val="21"/>
              </w:rPr>
            </w:pPr>
            <w:r>
              <w:rPr>
                <w:rFonts w:hint="eastAsia" w:ascii="宋体" w:hAnsi="宋体"/>
                <w:szCs w:val="21"/>
              </w:rPr>
              <w:t>公用经费合计</w:t>
            </w:r>
          </w:p>
        </w:tc>
        <w:tc>
          <w:tcPr>
            <w:tcW w:w="1080" w:type="dxa"/>
            <w:shd w:val="clear" w:color="auto" w:fill="auto"/>
            <w:vAlign w:val="center"/>
          </w:tcPr>
          <w:p>
            <w:pPr>
              <w:jc w:val="right"/>
              <w:rPr>
                <w:rFonts w:ascii="宋体" w:hAnsi="宋体" w:cs="宋体"/>
                <w:szCs w:val="21"/>
              </w:rPr>
            </w:pPr>
            <w:r>
              <w:rPr>
                <w:rFonts w:ascii="宋体" w:hAnsi="宋体" w:cs="宋体"/>
                <w:szCs w:val="21"/>
              </w:rPr>
              <w:t>19.64</w:t>
            </w:r>
          </w:p>
        </w:tc>
      </w:tr>
    </w:tbl>
    <w:p>
      <w:pPr>
        <w:autoSpaceDE w:val="0"/>
        <w:autoSpaceDN w:val="0"/>
        <w:adjustRightInd w:val="0"/>
        <w:rPr>
          <w:rFonts w:ascii="宋体" w:hAnsi="宋体"/>
          <w:szCs w:val="21"/>
        </w:rPr>
        <w:sectPr>
          <w:pgSz w:w="11906" w:h="16838"/>
          <w:pgMar w:top="1440" w:right="1797" w:bottom="1440" w:left="1797" w:header="851" w:footer="992" w:gutter="0"/>
          <w:cols w:space="425"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6"/>
        <w:gridCol w:w="1076"/>
        <w:gridCol w:w="1076"/>
        <w:gridCol w:w="1076"/>
        <w:gridCol w:w="1076"/>
        <w:gridCol w:w="1076"/>
        <w:gridCol w:w="1076"/>
        <w:gridCol w:w="1076"/>
        <w:gridCol w:w="1076"/>
        <w:gridCol w:w="1076"/>
        <w:gridCol w:w="1077"/>
        <w:gridCol w:w="107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1134"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13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autoSpaceDE w:val="0"/>
        <w:autoSpaceDN w:val="0"/>
        <w:adjustRightInd w:val="0"/>
        <w:rPr>
          <w:rFonts w:ascii="宋体" w:hAnsi="宋体"/>
          <w:szCs w:val="21"/>
        </w:rPr>
      </w:pPr>
    </w:p>
    <w:p>
      <w:pPr>
        <w:autoSpaceDE w:val="0"/>
        <w:autoSpaceDN w:val="0"/>
        <w:adjustRightInd w:val="0"/>
        <w:rPr>
          <w:rFonts w:ascii="宋体" w:hAnsi="宋体"/>
          <w:b/>
          <w:szCs w:val="21"/>
        </w:rPr>
        <w:sectPr>
          <w:pgSz w:w="16838" w:h="11906" w:orient="landscape"/>
          <w:pgMar w:top="1797" w:right="1440" w:bottom="1797" w:left="1440" w:header="851" w:footer="992" w:gutter="0"/>
          <w:cols w:space="425" w:num="1"/>
          <w:docGrid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shd w:val="clear" w:color="auto" w:fill="auto"/>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小计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440" w:type="dxa"/>
            <w:vAlign w:val="center"/>
          </w:tcPr>
          <w:p>
            <w:pPr>
              <w:widowControl/>
              <w:jc w:val="center"/>
              <w:rPr>
                <w:rFonts w:ascii="宋体" w:hAnsi="宋体" w:cs="宋体"/>
                <w:kern w:val="0"/>
                <w:szCs w:val="21"/>
              </w:rPr>
            </w:pPr>
          </w:p>
        </w:tc>
        <w:tc>
          <w:tcPr>
            <w:tcW w:w="1620" w:type="dxa"/>
            <w:vAlign w:val="center"/>
          </w:tcPr>
          <w:p>
            <w:pPr>
              <w:widowControl/>
              <w:jc w:val="center"/>
              <w:rPr>
                <w:rFonts w:ascii="宋体" w:hAnsi="宋体" w:cs="宋体"/>
                <w:kern w:val="0"/>
                <w:szCs w:val="21"/>
              </w:rPr>
            </w:pPr>
          </w:p>
        </w:tc>
        <w:tc>
          <w:tcPr>
            <w:tcW w:w="1620" w:type="dxa"/>
            <w:vAlign w:val="center"/>
          </w:tcPr>
          <w:p>
            <w:pPr>
              <w:widowControl/>
              <w:jc w:val="center"/>
              <w:rPr>
                <w:rFonts w:ascii="宋体" w:hAnsi="宋体" w:cs="宋体"/>
                <w:kern w:val="0"/>
                <w:szCs w:val="21"/>
              </w:rPr>
            </w:pPr>
          </w:p>
        </w:tc>
        <w:tc>
          <w:tcPr>
            <w:tcW w:w="1416" w:type="dxa"/>
            <w:vAlign w:val="center"/>
          </w:tcPr>
          <w:p>
            <w:pPr>
              <w:widowControl/>
              <w:jc w:val="center"/>
              <w:rPr>
                <w:rFonts w:ascii="宋体" w:hAnsi="宋体" w:cs="宋体"/>
                <w:kern w:val="0"/>
                <w:szCs w:val="21"/>
              </w:rPr>
            </w:pPr>
          </w:p>
        </w:tc>
        <w:tc>
          <w:tcPr>
            <w:tcW w:w="1644" w:type="dxa"/>
            <w:vAlign w:val="center"/>
          </w:tcPr>
          <w:p>
            <w:pPr>
              <w:widowControl/>
              <w:jc w:val="center"/>
              <w:rPr>
                <w:rFonts w:ascii="宋体" w:hAnsi="宋体" w:cs="宋体"/>
                <w:kern w:val="0"/>
                <w:szCs w:val="21"/>
              </w:rPr>
            </w:pPr>
          </w:p>
        </w:tc>
        <w:tc>
          <w:tcPr>
            <w:tcW w:w="1980" w:type="dxa"/>
            <w:shd w:val="clear" w:color="auto" w:fill="auto"/>
            <w:vAlign w:val="center"/>
          </w:tcPr>
          <w:p>
            <w:pPr>
              <w:widowControl/>
              <w:jc w:val="center"/>
              <w:rPr>
                <w:rFonts w:ascii="宋体" w:hAnsi="宋体" w:cs="宋体"/>
                <w:kern w:val="0"/>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bookmarkStart w:id="0" w:name="_GoBack"/>
      <w:bookmarkEnd w:id="0"/>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2136"/>
        <w:gridCol w:w="2328"/>
        <w:gridCol w:w="2352"/>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2136"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2328" w:type="dxa"/>
            <w:vMerge w:val="restart"/>
            <w:vAlign w:val="center"/>
          </w:tcPr>
          <w:p>
            <w:pPr>
              <w:widowControl/>
              <w:jc w:val="center"/>
              <w:rPr>
                <w:rFonts w:ascii="宋体" w:hAnsi="宋体"/>
                <w:szCs w:val="21"/>
              </w:rPr>
            </w:pPr>
            <w:r>
              <w:rPr>
                <w:rFonts w:hint="eastAsia" w:ascii="宋体" w:hAnsi="宋体"/>
                <w:szCs w:val="21"/>
              </w:rPr>
              <w:t>本年收入</w:t>
            </w:r>
          </w:p>
        </w:tc>
        <w:tc>
          <w:tcPr>
            <w:tcW w:w="2352" w:type="dxa"/>
            <w:vMerge w:val="restart"/>
            <w:vAlign w:val="center"/>
          </w:tcPr>
          <w:p>
            <w:pPr>
              <w:jc w:val="center"/>
              <w:rPr>
                <w:rFonts w:ascii="宋体" w:hAnsi="宋体"/>
                <w:szCs w:val="21"/>
              </w:rPr>
            </w:pPr>
            <w:r>
              <w:rPr>
                <w:rFonts w:hint="eastAsia" w:ascii="宋体" w:hAnsi="宋体"/>
                <w:szCs w:val="21"/>
              </w:rPr>
              <w:t>本年支出</w:t>
            </w:r>
          </w:p>
        </w:tc>
        <w:tc>
          <w:tcPr>
            <w:tcW w:w="2520" w:type="dxa"/>
            <w:vMerge w:val="restart"/>
            <w:shd w:val="clear" w:color="auto" w:fill="auto"/>
            <w:vAlign w:val="center"/>
          </w:tcPr>
          <w:p>
            <w:pPr>
              <w:widowControl/>
              <w:jc w:val="center"/>
              <w:rPr>
                <w:rFonts w:ascii="宋体" w:hAnsi="宋体"/>
                <w:szCs w:val="21"/>
              </w:rPr>
            </w:pPr>
            <w:r>
              <w:rPr>
                <w:rFonts w:hint="eastAsia" w:ascii="宋体" w:hAnsi="宋体"/>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2136" w:type="dxa"/>
            <w:vMerge w:val="continue"/>
            <w:vAlign w:val="center"/>
          </w:tcPr>
          <w:p>
            <w:pPr>
              <w:widowControl/>
              <w:jc w:val="center"/>
              <w:rPr>
                <w:rFonts w:ascii="宋体" w:hAnsi="宋体"/>
                <w:szCs w:val="21"/>
              </w:rPr>
            </w:pPr>
          </w:p>
        </w:tc>
        <w:tc>
          <w:tcPr>
            <w:tcW w:w="2328" w:type="dxa"/>
            <w:vMerge w:val="continue"/>
            <w:vAlign w:val="center"/>
          </w:tcPr>
          <w:p>
            <w:pPr>
              <w:widowControl/>
              <w:jc w:val="center"/>
              <w:rPr>
                <w:rFonts w:ascii="宋体" w:hAnsi="宋体"/>
                <w:szCs w:val="21"/>
              </w:rPr>
            </w:pPr>
          </w:p>
        </w:tc>
        <w:tc>
          <w:tcPr>
            <w:tcW w:w="2352" w:type="dxa"/>
            <w:vMerge w:val="continue"/>
            <w:vAlign w:val="center"/>
          </w:tcPr>
          <w:p>
            <w:pPr>
              <w:widowControl/>
              <w:jc w:val="center"/>
              <w:rPr>
                <w:rFonts w:ascii="宋体" w:hAnsi="宋体"/>
                <w:szCs w:val="21"/>
              </w:rPr>
            </w:pPr>
          </w:p>
        </w:tc>
        <w:tc>
          <w:tcPr>
            <w:tcW w:w="2520" w:type="dxa"/>
            <w:vMerge w:val="continue"/>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36" w:type="dxa"/>
            <w:vAlign w:val="center"/>
          </w:tcPr>
          <w:p>
            <w:pPr>
              <w:widowControl/>
              <w:jc w:val="center"/>
              <w:rPr>
                <w:rFonts w:ascii="宋体" w:hAnsi="宋体" w:cs="宋体"/>
                <w:kern w:val="0"/>
                <w:szCs w:val="21"/>
              </w:rPr>
            </w:pPr>
          </w:p>
        </w:tc>
        <w:tc>
          <w:tcPr>
            <w:tcW w:w="2328" w:type="dxa"/>
            <w:vAlign w:val="center"/>
          </w:tcPr>
          <w:p>
            <w:pPr>
              <w:widowControl/>
              <w:jc w:val="center"/>
              <w:rPr>
                <w:rFonts w:ascii="宋体" w:hAnsi="宋体" w:cs="宋体"/>
                <w:kern w:val="0"/>
                <w:szCs w:val="21"/>
              </w:rPr>
            </w:pPr>
          </w:p>
        </w:tc>
        <w:tc>
          <w:tcPr>
            <w:tcW w:w="2352" w:type="dxa"/>
            <w:vAlign w:val="center"/>
          </w:tcPr>
          <w:p>
            <w:pPr>
              <w:widowControl/>
              <w:jc w:val="center"/>
              <w:rPr>
                <w:rFonts w:ascii="宋体" w:hAnsi="宋体" w:cs="宋体"/>
                <w:kern w:val="0"/>
                <w:szCs w:val="21"/>
              </w:rPr>
            </w:pPr>
          </w:p>
        </w:tc>
        <w:tc>
          <w:tcPr>
            <w:tcW w:w="2520" w:type="dxa"/>
            <w:shd w:val="clear" w:color="auto" w:fill="auto"/>
            <w:vAlign w:val="center"/>
          </w:tcPr>
          <w:p>
            <w:pPr>
              <w:widowControl/>
              <w:jc w:val="center"/>
              <w:rPr>
                <w:rFonts w:ascii="宋体" w:hAnsi="宋体" w:cs="宋体"/>
                <w:kern w:val="0"/>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pPr>
      <w:r>
        <w:rPr>
          <w:rFonts w:hint="eastAsia" w:ascii="宋体" w:hAnsi="宋体"/>
          <w:szCs w:val="21"/>
        </w:rPr>
        <w:t>说明：本单位本年度没有国有资本经营预算财政拨款收入和支出，故本表无数据。</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425" w:num="1"/>
          <w:docGrid w:type="linesAndChars" w:linePitch="312" w:charSpace="0"/>
        </w:sectPr>
      </w:pPr>
    </w:p>
    <w:p>
      <w:pPr>
        <w:rPr>
          <w:rFonts w:ascii="宋体" w:hAnsi="宋体"/>
          <w:szCs w:val="21"/>
        </w:rPr>
      </w:pPr>
    </w:p>
    <w:tbl>
      <w:tblPr>
        <w:tblStyle w:val="8"/>
        <w:tblW w:w="10073" w:type="dxa"/>
        <w:jc w:val="center"/>
        <w:tblLayout w:type="autofit"/>
        <w:tblCellMar>
          <w:top w:w="0" w:type="dxa"/>
          <w:left w:w="108" w:type="dxa"/>
          <w:bottom w:w="0" w:type="dxa"/>
          <w:right w:w="108" w:type="dxa"/>
        </w:tblCellMar>
      </w:tblPr>
      <w:tblGrid>
        <w:gridCol w:w="6190"/>
        <w:gridCol w:w="1070"/>
        <w:gridCol w:w="992"/>
        <w:gridCol w:w="851"/>
        <w:gridCol w:w="970"/>
      </w:tblGrid>
      <w:tr>
        <w:tblPrEx>
          <w:tblCellMar>
            <w:top w:w="0" w:type="dxa"/>
            <w:left w:w="108" w:type="dxa"/>
            <w:bottom w:w="0" w:type="dxa"/>
            <w:right w:w="108" w:type="dxa"/>
          </w:tblCellMar>
        </w:tblPrEx>
        <w:trPr>
          <w:trHeight w:val="660" w:hRule="atLeast"/>
          <w:jc w:val="center"/>
        </w:trPr>
        <w:tc>
          <w:tcPr>
            <w:tcW w:w="10073" w:type="dxa"/>
            <w:gridSpan w:val="5"/>
            <w:noWrap/>
            <w:vAlign w:val="center"/>
          </w:tcPr>
          <w:p>
            <w:pPr>
              <w:autoSpaceDE w:val="0"/>
              <w:autoSpaceDN w:val="0"/>
              <w:adjustRightInd w:val="0"/>
              <w:jc w:val="center"/>
              <w:outlineLvl w:val="0"/>
              <w:rPr>
                <w:rFonts w:ascii="宋体" w:hAnsi="宋体"/>
                <w:szCs w:val="21"/>
              </w:rPr>
            </w:pPr>
            <w:r>
              <w:rPr>
                <w:rFonts w:hint="eastAsia" w:ascii="宋体" w:hAnsi="宋体"/>
                <w:szCs w:val="21"/>
              </w:rPr>
              <w:t>资产负债情况表</w:t>
            </w:r>
          </w:p>
        </w:tc>
      </w:tr>
      <w:tr>
        <w:tblPrEx>
          <w:tblCellMar>
            <w:top w:w="0" w:type="dxa"/>
            <w:left w:w="108" w:type="dxa"/>
            <w:bottom w:w="0" w:type="dxa"/>
            <w:right w:w="108" w:type="dxa"/>
          </w:tblCellMar>
        </w:tblPrEx>
        <w:trPr>
          <w:trHeight w:val="435" w:hRule="atLeast"/>
          <w:jc w:val="center"/>
        </w:trPr>
        <w:tc>
          <w:tcPr>
            <w:tcW w:w="6190" w:type="dxa"/>
            <w:tcBorders>
              <w:top w:val="nil"/>
              <w:left w:val="nil"/>
              <w:bottom w:val="single" w:color="000000" w:sz="4" w:space="0"/>
              <w:right w:val="nil"/>
            </w:tcBorders>
            <w:noWrap/>
            <w:vAlign w:val="center"/>
          </w:tcPr>
          <w:p>
            <w:pPr>
              <w:rPr>
                <w:rFonts w:ascii="宋体" w:hAnsi="宋体" w:cs="宋体"/>
                <w:b/>
                <w:bCs/>
                <w:color w:val="000000"/>
                <w:kern w:val="0"/>
                <w:sz w:val="36"/>
                <w:szCs w:val="36"/>
              </w:rPr>
            </w:pPr>
          </w:p>
        </w:tc>
        <w:tc>
          <w:tcPr>
            <w:tcW w:w="2062" w:type="dxa"/>
            <w:gridSpan w:val="2"/>
            <w:tcBorders>
              <w:top w:val="nil"/>
              <w:left w:val="nil"/>
              <w:bottom w:val="single" w:color="auto" w:sz="4" w:space="0"/>
              <w:right w:val="nil"/>
            </w:tcBorders>
            <w:noWrap/>
            <w:vAlign w:val="center"/>
          </w:tcPr>
          <w:p>
            <w:pPr>
              <w:widowControl/>
              <w:jc w:val="left"/>
              <w:rPr>
                <w:rFonts w:ascii="Times New Roman" w:hAnsi="Times New Roman" w:cs="Times New Roman"/>
                <w:kern w:val="0"/>
                <w:sz w:val="20"/>
                <w:szCs w:val="20"/>
              </w:rPr>
            </w:pPr>
          </w:p>
        </w:tc>
        <w:tc>
          <w:tcPr>
            <w:tcW w:w="1821" w:type="dxa"/>
            <w:gridSpan w:val="2"/>
            <w:tcBorders>
              <w:top w:val="nil"/>
              <w:left w:val="nil"/>
              <w:bottom w:val="single" w:color="auto" w:sz="4" w:space="0"/>
              <w:right w:val="nil"/>
            </w:tcBorders>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单位：万元</w:t>
            </w:r>
          </w:p>
        </w:tc>
      </w:tr>
      <w:tr>
        <w:tblPrEx>
          <w:tblCellMar>
            <w:top w:w="0" w:type="dxa"/>
            <w:left w:w="108" w:type="dxa"/>
            <w:bottom w:w="0" w:type="dxa"/>
            <w:right w:w="108" w:type="dxa"/>
          </w:tblCellMar>
        </w:tblPrEx>
        <w:trPr>
          <w:trHeight w:val="435" w:hRule="atLeast"/>
          <w:jc w:val="center"/>
        </w:trPr>
        <w:tc>
          <w:tcPr>
            <w:tcW w:w="6190" w:type="dxa"/>
            <w:vMerge w:val="restart"/>
            <w:tcBorders>
              <w:top w:val="single" w:color="auto" w:sz="4" w:space="0"/>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062"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w:t>
            </w:r>
          </w:p>
        </w:tc>
        <w:tc>
          <w:tcPr>
            <w:tcW w:w="1821"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价值</w:t>
            </w:r>
          </w:p>
        </w:tc>
      </w:tr>
      <w:tr>
        <w:tblPrEx>
          <w:tblCellMar>
            <w:top w:w="0" w:type="dxa"/>
            <w:left w:w="108" w:type="dxa"/>
            <w:bottom w:w="0" w:type="dxa"/>
            <w:right w:w="108" w:type="dxa"/>
          </w:tblCellMar>
        </w:tblPrEx>
        <w:trPr>
          <w:trHeight w:val="405" w:hRule="atLeast"/>
          <w:jc w:val="center"/>
        </w:trPr>
        <w:tc>
          <w:tcPr>
            <w:tcW w:w="0" w:type="auto"/>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年初数</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年末数</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年初数</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年末数</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一、资产合计</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133.31</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87.57</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（一）流动资产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65.51</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ascii="宋体" w:hAnsi="宋体" w:cs="宋体"/>
                <w:color w:val="000000"/>
                <w:kern w:val="0"/>
                <w:sz w:val="22"/>
              </w:rPr>
              <w:t>14.93</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（二）固定资产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108.72</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ascii="宋体" w:hAnsi="宋体" w:cs="宋体"/>
                <w:color w:val="000000"/>
                <w:kern w:val="0"/>
                <w:sz w:val="22"/>
              </w:rPr>
              <w:t>104.97</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其中：1.房屋（平方米）</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44</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38</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37.3</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34.42</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（2）单价50万元以上通用设备（不含车辆）</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3.专用设备（台/套）</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11.67</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其中：单价100万元以上专用设备</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4.其他固定资产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58.92</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58.88</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减：累计折旧及减值准备</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40.9</w:t>
            </w:r>
            <w:r>
              <w:rPr>
                <w:rFonts w:hint="eastAsia" w:ascii="宋体" w:hAnsi="宋体" w:cs="宋体"/>
                <w:kern w:val="0"/>
                <w:sz w:val="20"/>
                <w:szCs w:val="20"/>
              </w:rPr>
              <w:t>2</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ascii="宋体" w:hAnsi="宋体" w:cs="宋体"/>
                <w:color w:val="000000"/>
                <w:kern w:val="0"/>
                <w:sz w:val="22"/>
              </w:rPr>
              <w:t>32.3</w:t>
            </w:r>
            <w:r>
              <w:rPr>
                <w:rFonts w:hint="eastAsia" w:ascii="宋体" w:hAnsi="宋体" w:cs="宋体"/>
                <w:color w:val="000000"/>
                <w:kern w:val="0"/>
                <w:sz w:val="22"/>
              </w:rPr>
              <w:t>4</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二、负债合计</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16.68</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17.17</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三、净资产合计</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116.63</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70.4</w:t>
            </w: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jc w:val="center"/>
        <w:rPr>
          <w:rFonts w:ascii="黑体" w:eastAsia="黑体"/>
          <w:sz w:val="30"/>
          <w:szCs w:val="30"/>
        </w:rPr>
      </w:pPr>
      <w:r>
        <w:rPr>
          <w:rFonts w:ascii="宋体" w:hAnsi="宋体"/>
          <w:szCs w:val="21"/>
        </w:rPr>
        <w:br w:type="page"/>
      </w:r>
      <w:r>
        <w:rPr>
          <w:rFonts w:hint="eastAsia" w:ascii="黑体" w:eastAsia="黑体"/>
          <w:sz w:val="30"/>
          <w:szCs w:val="30"/>
        </w:rPr>
        <w:t>第三部分  上海市崇明区建设镇社区党群服务中心</w:t>
      </w:r>
    </w:p>
    <w:p>
      <w:pPr>
        <w:jc w:val="center"/>
        <w:rPr>
          <w:rFonts w:ascii="黑体" w:eastAsia="黑体"/>
          <w:sz w:val="30"/>
          <w:szCs w:val="30"/>
        </w:rPr>
      </w:pPr>
      <w:r>
        <w:rPr>
          <w:rFonts w:hint="eastAsia" w:ascii="黑体" w:eastAsia="黑体"/>
          <w:sz w:val="30"/>
          <w:szCs w:val="30"/>
        </w:rPr>
        <w:t>2021年度部门决算情况说明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2021年度收入支出总计</w:t>
      </w:r>
      <w:r>
        <w:rPr>
          <w:rFonts w:ascii="仿宋_GB2312" w:eastAsia="仿宋_GB2312"/>
          <w:sz w:val="30"/>
          <w:szCs w:val="30"/>
        </w:rPr>
        <w:t>490.51</w:t>
      </w:r>
      <w:r>
        <w:rPr>
          <w:rFonts w:hint="eastAsia" w:ascii="仿宋_GB2312" w:eastAsia="仿宋_GB2312"/>
          <w:sz w:val="30"/>
          <w:szCs w:val="30"/>
        </w:rPr>
        <w:t>万元。2020年度</w:t>
      </w:r>
      <w:r>
        <w:rPr>
          <w:rFonts w:ascii="仿宋_GB2312" w:eastAsia="仿宋_GB2312"/>
          <w:sz w:val="30"/>
          <w:szCs w:val="30"/>
        </w:rPr>
        <w:t>123.61</w:t>
      </w:r>
      <w:r>
        <w:rPr>
          <w:rFonts w:hint="eastAsia" w:ascii="仿宋_GB2312" w:eastAsia="仿宋_GB2312"/>
          <w:sz w:val="30"/>
          <w:szCs w:val="30"/>
        </w:rPr>
        <w:t>万元，相比收入支出总计增加366.9万元，增长296%。主要原因：单位合并，增加项目。</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w:t>
      </w:r>
      <w:r>
        <w:rPr>
          <w:rFonts w:ascii="仿宋_GB2312" w:eastAsia="仿宋_GB2312"/>
          <w:sz w:val="30"/>
          <w:szCs w:val="30"/>
        </w:rPr>
        <w:t>490.51</w:t>
      </w:r>
      <w:r>
        <w:rPr>
          <w:rFonts w:hint="eastAsia" w:ascii="仿宋_GB2312" w:eastAsia="仿宋_GB2312"/>
          <w:sz w:val="30"/>
          <w:szCs w:val="30"/>
        </w:rPr>
        <w:t>万元，其中：财政拨款收入</w:t>
      </w:r>
      <w:r>
        <w:rPr>
          <w:rFonts w:ascii="仿宋_GB2312" w:eastAsia="仿宋_GB2312"/>
          <w:sz w:val="30"/>
          <w:szCs w:val="30"/>
        </w:rPr>
        <w:t>490.51</w:t>
      </w:r>
      <w:r>
        <w:rPr>
          <w:rFonts w:hint="eastAsia" w:ascii="仿宋_GB2312" w:eastAsia="仿宋_GB2312"/>
          <w:sz w:val="30"/>
          <w:szCs w:val="30"/>
        </w:rPr>
        <w:t>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w:t>
      </w:r>
      <w:r>
        <w:rPr>
          <w:rFonts w:ascii="仿宋_GB2312" w:eastAsia="仿宋_GB2312"/>
          <w:sz w:val="30"/>
          <w:szCs w:val="30"/>
        </w:rPr>
        <w:t>490.51</w:t>
      </w:r>
      <w:r>
        <w:rPr>
          <w:rFonts w:hint="eastAsia" w:ascii="仿宋_GB2312" w:eastAsia="仿宋_GB2312"/>
          <w:sz w:val="30"/>
          <w:szCs w:val="30"/>
        </w:rPr>
        <w:t>万元，其中：基本支出</w:t>
      </w:r>
      <w:r>
        <w:rPr>
          <w:rFonts w:ascii="仿宋_GB2312" w:eastAsia="仿宋_GB2312"/>
          <w:sz w:val="30"/>
          <w:szCs w:val="30"/>
        </w:rPr>
        <w:t>327.55</w:t>
      </w:r>
      <w:r>
        <w:rPr>
          <w:rFonts w:hint="eastAsia" w:ascii="仿宋_GB2312" w:eastAsia="仿宋_GB2312"/>
          <w:sz w:val="30"/>
          <w:szCs w:val="30"/>
        </w:rPr>
        <w:t>万元，占67%；项目支出</w:t>
      </w:r>
      <w:r>
        <w:rPr>
          <w:rFonts w:ascii="仿宋_GB2312" w:eastAsia="仿宋_GB2312"/>
          <w:sz w:val="30"/>
          <w:szCs w:val="30"/>
        </w:rPr>
        <w:t>162.96</w:t>
      </w:r>
      <w:r>
        <w:rPr>
          <w:rFonts w:hint="eastAsia" w:ascii="仿宋_GB2312" w:eastAsia="仿宋_GB2312"/>
          <w:sz w:val="30"/>
          <w:szCs w:val="30"/>
        </w:rPr>
        <w:t>万元，占33%。</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2021年度财政拨款收入支出总计</w:t>
      </w:r>
      <w:r>
        <w:rPr>
          <w:rFonts w:ascii="仿宋_GB2312" w:eastAsia="仿宋_GB2312"/>
          <w:sz w:val="30"/>
          <w:szCs w:val="30"/>
        </w:rPr>
        <w:t>490.51</w:t>
      </w:r>
      <w:r>
        <w:rPr>
          <w:rFonts w:hint="eastAsia" w:ascii="仿宋_GB2312" w:eastAsia="仿宋_GB2312"/>
          <w:sz w:val="30"/>
          <w:szCs w:val="30"/>
        </w:rPr>
        <w:t>万元。与2020年度相比，财政拨款收入支出总计增加366.9万元，增长296%。主要原因：单位合并，增加项目。</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w:t>
      </w:r>
      <w:r>
        <w:rPr>
          <w:rFonts w:ascii="仿宋_GB2312" w:eastAsia="仿宋_GB2312"/>
          <w:sz w:val="30"/>
          <w:szCs w:val="30"/>
        </w:rPr>
        <w:t>490.51</w:t>
      </w:r>
      <w:r>
        <w:rPr>
          <w:rFonts w:hint="eastAsia" w:ascii="仿宋_GB2312" w:eastAsia="仿宋_GB2312"/>
          <w:sz w:val="30"/>
          <w:szCs w:val="30"/>
        </w:rPr>
        <w:t>万元，占本年支出合计的100%。与2020年度相比，一般公共预算财政拨款支出增加366.9万元，增长296%。主要原因：单位合并，增加项目。</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一般公共预算财政拨款支出490.51万元，主要用于以下方面：一般公共服务支出</w:t>
      </w:r>
      <w:r>
        <w:rPr>
          <w:rFonts w:hint="eastAsia" w:ascii="仿宋_GB2312" w:eastAsia="仿宋_GB2312"/>
          <w:color w:val="000000"/>
          <w:sz w:val="30"/>
          <w:szCs w:val="30"/>
        </w:rPr>
        <w:t>（类）</w:t>
      </w:r>
      <w:r>
        <w:rPr>
          <w:rFonts w:ascii="仿宋_GB2312" w:eastAsia="仿宋_GB2312"/>
          <w:sz w:val="30"/>
          <w:szCs w:val="30"/>
        </w:rPr>
        <w:t>144.03</w:t>
      </w:r>
      <w:r>
        <w:rPr>
          <w:rFonts w:hint="eastAsia" w:ascii="仿宋_GB2312" w:eastAsia="仿宋_GB2312"/>
          <w:sz w:val="30"/>
          <w:szCs w:val="30"/>
        </w:rPr>
        <w:t>万元，占29%；文化旅游体育与传媒支出</w:t>
      </w:r>
      <w:r>
        <w:rPr>
          <w:rFonts w:hint="eastAsia" w:ascii="仿宋_GB2312" w:eastAsia="仿宋_GB2312"/>
          <w:color w:val="000000"/>
          <w:sz w:val="30"/>
          <w:szCs w:val="30"/>
        </w:rPr>
        <w:t>（类）</w:t>
      </w:r>
      <w:r>
        <w:rPr>
          <w:rFonts w:ascii="仿宋_GB2312" w:eastAsia="仿宋_GB2312"/>
          <w:color w:val="000000"/>
          <w:sz w:val="30"/>
          <w:szCs w:val="30"/>
        </w:rPr>
        <w:t>204.17</w:t>
      </w:r>
      <w:r>
        <w:rPr>
          <w:rFonts w:hint="eastAsia" w:ascii="仿宋_GB2312" w:eastAsia="仿宋_GB2312"/>
          <w:color w:val="000000"/>
          <w:sz w:val="30"/>
          <w:szCs w:val="30"/>
        </w:rPr>
        <w:t>万元，占42%；</w:t>
      </w:r>
      <w:r>
        <w:rPr>
          <w:rFonts w:hint="eastAsia" w:ascii="仿宋_GB2312" w:eastAsia="仿宋_GB2312"/>
          <w:sz w:val="30"/>
          <w:szCs w:val="30"/>
        </w:rPr>
        <w:t>社会保障和就业支出</w:t>
      </w:r>
      <w:r>
        <w:rPr>
          <w:rFonts w:hint="eastAsia" w:ascii="仿宋_GB2312" w:eastAsia="仿宋_GB2312"/>
          <w:color w:val="000000"/>
          <w:sz w:val="30"/>
          <w:szCs w:val="30"/>
        </w:rPr>
        <w:t>（类）</w:t>
      </w:r>
      <w:r>
        <w:rPr>
          <w:rFonts w:ascii="仿宋_GB2312" w:eastAsia="仿宋_GB2312"/>
          <w:sz w:val="30"/>
          <w:szCs w:val="30"/>
        </w:rPr>
        <w:t>82.78</w:t>
      </w:r>
      <w:r>
        <w:rPr>
          <w:rFonts w:hint="eastAsia" w:ascii="仿宋_GB2312" w:eastAsia="仿宋_GB2312"/>
          <w:sz w:val="30"/>
          <w:szCs w:val="30"/>
        </w:rPr>
        <w:t>万元，占17%;卫生健康支出</w:t>
      </w:r>
      <w:r>
        <w:rPr>
          <w:rFonts w:hint="eastAsia" w:ascii="仿宋_GB2312" w:eastAsia="仿宋_GB2312"/>
          <w:color w:val="000000"/>
          <w:sz w:val="30"/>
          <w:szCs w:val="30"/>
        </w:rPr>
        <w:t>（类）</w:t>
      </w:r>
      <w:r>
        <w:rPr>
          <w:rFonts w:ascii="仿宋_GB2312" w:eastAsia="仿宋_GB2312"/>
          <w:sz w:val="30"/>
          <w:szCs w:val="30"/>
        </w:rPr>
        <w:t>26.11</w:t>
      </w:r>
      <w:r>
        <w:rPr>
          <w:rFonts w:hint="eastAsia" w:ascii="仿宋_GB2312" w:eastAsia="仿宋_GB2312"/>
          <w:sz w:val="30"/>
          <w:szCs w:val="30"/>
        </w:rPr>
        <w:t>万元，占5.3%；住房保障支出</w:t>
      </w:r>
      <w:r>
        <w:rPr>
          <w:rFonts w:hint="eastAsia" w:ascii="仿宋_GB2312" w:eastAsia="仿宋_GB2312"/>
          <w:color w:val="000000"/>
          <w:sz w:val="30"/>
          <w:szCs w:val="30"/>
        </w:rPr>
        <w:t>（类）</w:t>
      </w:r>
      <w:r>
        <w:rPr>
          <w:rFonts w:ascii="仿宋_GB2312" w:eastAsia="仿宋_GB2312"/>
          <w:sz w:val="30"/>
          <w:szCs w:val="30"/>
        </w:rPr>
        <w:t>33.41</w:t>
      </w:r>
      <w:r>
        <w:rPr>
          <w:rFonts w:hint="eastAsia" w:ascii="仿宋_GB2312" w:eastAsia="仿宋_GB2312"/>
          <w:sz w:val="30"/>
          <w:szCs w:val="30"/>
        </w:rPr>
        <w:t>万元，占6.7%。</w:t>
      </w:r>
      <w:r>
        <w:rPr>
          <w:rFonts w:hint="eastAsia" w:ascii="仿宋_GB2312" w:hAnsi="宋体" w:eastAsia="仿宋_GB2312"/>
          <w:sz w:val="30"/>
          <w:szCs w:val="30"/>
        </w:rPr>
        <w:t xml:space="preserve"> </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w:t>
      </w:r>
      <w:r>
        <w:rPr>
          <w:rFonts w:ascii="仿宋_GB2312" w:eastAsia="仿宋_GB2312"/>
          <w:sz w:val="30"/>
          <w:szCs w:val="30"/>
        </w:rPr>
        <w:t>629.84</w:t>
      </w:r>
      <w:r>
        <w:rPr>
          <w:rFonts w:hint="eastAsia" w:ascii="仿宋_GB2312" w:eastAsia="仿宋_GB2312"/>
          <w:sz w:val="30"/>
          <w:szCs w:val="30"/>
        </w:rPr>
        <w:t>万元，支出决算为490.51万元，完成年初预算的78%。决算数小于预算数的主要原因：人员，日常经费及项目经费减少。其中：</w:t>
      </w:r>
    </w:p>
    <w:p>
      <w:pPr>
        <w:ind w:firstLine="600" w:firstLineChars="200"/>
        <w:rPr>
          <w:rFonts w:ascii="仿宋_GB2312" w:eastAsia="仿宋_GB2312"/>
          <w:color w:val="FF0000"/>
          <w:sz w:val="30"/>
          <w:szCs w:val="30"/>
        </w:rPr>
      </w:pPr>
      <w:r>
        <w:rPr>
          <w:rFonts w:hint="eastAsia" w:ascii="仿宋_GB2312" w:eastAsia="仿宋_GB2312"/>
          <w:sz w:val="30"/>
          <w:szCs w:val="30"/>
        </w:rPr>
        <w:t>1、一般公共服务支出（类）其他共产党事务支出（款）: 事业运行（项）</w:t>
      </w:r>
      <w:r>
        <w:rPr>
          <w:rFonts w:ascii="仿宋_GB2312" w:eastAsia="仿宋_GB2312"/>
          <w:sz w:val="30"/>
          <w:szCs w:val="30"/>
        </w:rPr>
        <w:t>114.38</w:t>
      </w:r>
      <w:r>
        <w:rPr>
          <w:rFonts w:hint="eastAsia" w:ascii="仿宋_GB2312" w:eastAsia="仿宋_GB2312"/>
          <w:sz w:val="30"/>
          <w:szCs w:val="30"/>
        </w:rPr>
        <w:t>万元。主要用于：支付单位日常费用。年初预算为65.81万元，支出决算为</w:t>
      </w:r>
      <w:r>
        <w:rPr>
          <w:rFonts w:ascii="仿宋_GB2312" w:eastAsia="仿宋_GB2312"/>
          <w:sz w:val="30"/>
          <w:szCs w:val="30"/>
        </w:rPr>
        <w:t>114.38</w:t>
      </w:r>
      <w:r>
        <w:rPr>
          <w:rFonts w:hint="eastAsia" w:ascii="仿宋_GB2312" w:eastAsia="仿宋_GB2312"/>
          <w:sz w:val="30"/>
          <w:szCs w:val="30"/>
        </w:rPr>
        <w:t>万元，完成年初预算的174%；决算数大于预算数的主要原因：单位合并。</w:t>
      </w:r>
    </w:p>
    <w:p>
      <w:pPr>
        <w:ind w:firstLine="600" w:firstLineChars="200"/>
        <w:rPr>
          <w:rFonts w:ascii="仿宋_GB2312" w:eastAsia="仿宋_GB2312"/>
          <w:sz w:val="30"/>
          <w:szCs w:val="30"/>
        </w:rPr>
      </w:pPr>
      <w:r>
        <w:rPr>
          <w:rFonts w:hint="eastAsia" w:ascii="仿宋_GB2312" w:eastAsia="仿宋_GB2312"/>
          <w:sz w:val="30"/>
          <w:szCs w:val="30"/>
        </w:rPr>
        <w:t>2、一般公共服务支出（类）其他共产党事务支出（款）其他共产党事务支出（项）</w:t>
      </w:r>
      <w:r>
        <w:rPr>
          <w:rFonts w:ascii="仿宋_GB2312" w:eastAsia="仿宋_GB2312"/>
          <w:sz w:val="30"/>
          <w:szCs w:val="30"/>
        </w:rPr>
        <w:t>29.65</w:t>
      </w:r>
      <w:r>
        <w:rPr>
          <w:rFonts w:hint="eastAsia" w:ascii="仿宋_GB2312" w:eastAsia="仿宋_GB2312"/>
          <w:sz w:val="30"/>
          <w:szCs w:val="30"/>
        </w:rPr>
        <w:t>万元。主要用于：支付项目费用。年初预算为39.63万元，支出决算为</w:t>
      </w:r>
      <w:r>
        <w:rPr>
          <w:rFonts w:ascii="仿宋_GB2312" w:eastAsia="仿宋_GB2312"/>
          <w:sz w:val="30"/>
          <w:szCs w:val="30"/>
        </w:rPr>
        <w:t>29.65</w:t>
      </w:r>
      <w:r>
        <w:rPr>
          <w:rFonts w:hint="eastAsia" w:ascii="仿宋_GB2312" w:eastAsia="仿宋_GB2312"/>
          <w:sz w:val="30"/>
          <w:szCs w:val="30"/>
        </w:rPr>
        <w:t>万元，完成年初预算的75%,决算数小于预算数的主要原因：项目减少。</w:t>
      </w:r>
    </w:p>
    <w:p>
      <w:pPr>
        <w:ind w:firstLine="600" w:firstLineChars="200"/>
        <w:rPr>
          <w:rFonts w:ascii="仿宋_GB2312" w:eastAsia="仿宋_GB2312"/>
          <w:sz w:val="30"/>
          <w:szCs w:val="30"/>
        </w:rPr>
      </w:pPr>
      <w:r>
        <w:rPr>
          <w:rFonts w:hint="eastAsia" w:ascii="仿宋_GB2312" w:eastAsia="仿宋_GB2312"/>
          <w:sz w:val="30"/>
          <w:szCs w:val="30"/>
        </w:rPr>
        <w:t>3、文化旅游体育与传媒支出（类）文化和旅游（款）文化活动（项）</w:t>
      </w:r>
      <w:r>
        <w:rPr>
          <w:rFonts w:ascii="仿宋_GB2312" w:eastAsia="仿宋_GB2312"/>
          <w:sz w:val="30"/>
          <w:szCs w:val="30"/>
        </w:rPr>
        <w:t>69.56</w:t>
      </w:r>
      <w:r>
        <w:rPr>
          <w:rFonts w:hint="eastAsia" w:ascii="仿宋_GB2312" w:eastAsia="仿宋_GB2312"/>
          <w:sz w:val="30"/>
          <w:szCs w:val="30"/>
        </w:rPr>
        <w:t>万元。主要用于：文体活动支出。年初预算为73.58万元，支出决算为：69.56万元，完成年初预算的94.54%，决算数小于预算数的主要原因：项目减少。</w:t>
      </w:r>
    </w:p>
    <w:p>
      <w:pPr>
        <w:ind w:firstLine="600" w:firstLineChars="200"/>
        <w:rPr>
          <w:rFonts w:ascii="仿宋_GB2312" w:eastAsia="仿宋_GB2312"/>
          <w:sz w:val="30"/>
          <w:szCs w:val="30"/>
        </w:rPr>
      </w:pPr>
      <w:r>
        <w:rPr>
          <w:rFonts w:hint="eastAsia" w:ascii="仿宋_GB2312" w:eastAsia="仿宋_GB2312"/>
          <w:sz w:val="30"/>
          <w:szCs w:val="30"/>
        </w:rPr>
        <w:t>4、文化旅游体育与传媒支出（类）文化和旅游（款）群众文化（项）</w:t>
      </w:r>
      <w:r>
        <w:rPr>
          <w:rFonts w:ascii="仿宋_GB2312" w:eastAsia="仿宋_GB2312"/>
          <w:sz w:val="30"/>
          <w:szCs w:val="30"/>
        </w:rPr>
        <w:t>1</w:t>
      </w:r>
      <w:r>
        <w:rPr>
          <w:rFonts w:hint="eastAsia" w:ascii="仿宋_GB2312" w:eastAsia="仿宋_GB2312"/>
          <w:sz w:val="30"/>
          <w:szCs w:val="30"/>
        </w:rPr>
        <w:t>万元，主要用于：文体活动支出。</w:t>
      </w:r>
    </w:p>
    <w:p>
      <w:pPr>
        <w:ind w:firstLine="600" w:firstLineChars="200"/>
        <w:rPr>
          <w:rFonts w:ascii="仿宋_GB2312" w:eastAsia="仿宋_GB2312"/>
          <w:sz w:val="30"/>
          <w:szCs w:val="30"/>
        </w:rPr>
      </w:pPr>
      <w:r>
        <w:rPr>
          <w:rFonts w:hint="eastAsia" w:ascii="仿宋_GB2312" w:eastAsia="仿宋_GB2312"/>
          <w:sz w:val="30"/>
          <w:szCs w:val="30"/>
        </w:rPr>
        <w:t>5、文化旅游体育与传媒支出（类）其他文化旅游体育与传媒支出（款）其他文化旅游体育与传媒支出（项）</w:t>
      </w:r>
      <w:r>
        <w:rPr>
          <w:rFonts w:ascii="仿宋_GB2312" w:eastAsia="仿宋_GB2312"/>
          <w:sz w:val="30"/>
          <w:szCs w:val="30"/>
        </w:rPr>
        <w:t>133.61</w:t>
      </w:r>
      <w:r>
        <w:rPr>
          <w:rFonts w:hint="eastAsia" w:ascii="仿宋_GB2312" w:eastAsia="仿宋_GB2312"/>
          <w:sz w:val="30"/>
          <w:szCs w:val="30"/>
        </w:rPr>
        <w:t>万元，主要用于：文体活动支出。年初预算为292.75万元，支出决算为133.61万元，完成年初预算的46%,决算数小于预算数的主要原因：项目减少。</w:t>
      </w:r>
    </w:p>
    <w:p>
      <w:pPr>
        <w:ind w:firstLine="600" w:firstLineChars="200"/>
        <w:rPr>
          <w:rFonts w:ascii="仿宋_GB2312" w:eastAsia="仿宋_GB2312"/>
          <w:sz w:val="30"/>
          <w:szCs w:val="30"/>
        </w:rPr>
      </w:pPr>
      <w:r>
        <w:rPr>
          <w:rFonts w:hint="eastAsia" w:ascii="仿宋_GB2312" w:eastAsia="仿宋_GB2312"/>
          <w:sz w:val="30"/>
          <w:szCs w:val="30"/>
        </w:rPr>
        <w:t>6、社会保障和就业支出（类）行政事业单位养老支出（款）事业单位离退休（项）</w:t>
      </w:r>
      <w:r>
        <w:rPr>
          <w:rFonts w:ascii="仿宋_GB2312" w:eastAsia="仿宋_GB2312"/>
          <w:sz w:val="30"/>
          <w:szCs w:val="30"/>
        </w:rPr>
        <w:t>3.95</w:t>
      </w:r>
      <w:r>
        <w:rPr>
          <w:rFonts w:hint="eastAsia" w:ascii="仿宋_GB2312" w:eastAsia="仿宋_GB2312"/>
          <w:sz w:val="30"/>
          <w:szCs w:val="30"/>
        </w:rPr>
        <w:t>万元，主要用于：单位退休支出。年初预算为8.5万元，支出决算为3.95万元，完成年初预算的46%,决算数小于预算数的主要原因：经费减少。</w:t>
      </w:r>
    </w:p>
    <w:p>
      <w:pPr>
        <w:ind w:firstLine="600" w:firstLineChars="200"/>
        <w:rPr>
          <w:rFonts w:ascii="仿宋_GB2312" w:eastAsia="仿宋_GB2312"/>
          <w:sz w:val="30"/>
          <w:szCs w:val="30"/>
        </w:rPr>
      </w:pPr>
      <w:r>
        <w:rPr>
          <w:rFonts w:hint="eastAsia" w:ascii="仿宋_GB2312" w:eastAsia="仿宋_GB2312"/>
          <w:sz w:val="30"/>
          <w:szCs w:val="30"/>
        </w:rPr>
        <w:t>7、社会保障和就业支出（类）行政事业单位养老支出（款）  机关事业单位基本养老保险缴费支出（项）50.3万元。主要用于：支付单位养老保险费用，年初预算为54.4万元，支出决算为50.3万元，完成年初预算的92.5%。决算数小于预算数的主要原因：人员变动。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8、社会保障和就业支出（类）行政事业单位养老支出（款）  机关事业单位职业年金缴费支出（项）28.54万元。主要用于：支付单位职业年金费用。年初预算为29.4万元，支出决算为28.54万元，完成年初预算的97%。决算数小于预算数的主要原因：人员变动。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9、卫生健康支出（类）行政事业单位医疗（款）  事业单位医疗（项）</w:t>
      </w:r>
      <w:r>
        <w:rPr>
          <w:rFonts w:ascii="仿宋_GB2312" w:eastAsia="仿宋_GB2312"/>
          <w:sz w:val="30"/>
          <w:szCs w:val="30"/>
        </w:rPr>
        <w:t>26.11</w:t>
      </w:r>
      <w:r>
        <w:rPr>
          <w:rFonts w:hint="eastAsia" w:ascii="仿宋_GB2312" w:eastAsia="仿宋_GB2312"/>
          <w:sz w:val="30"/>
          <w:szCs w:val="30"/>
        </w:rPr>
        <w:t>万元。主要用于：支付单位医疗保险费用。年初预算为28.2万元，支出决算为</w:t>
      </w:r>
      <w:r>
        <w:rPr>
          <w:rFonts w:ascii="仿宋_GB2312" w:eastAsia="仿宋_GB2312"/>
          <w:sz w:val="30"/>
          <w:szCs w:val="30"/>
        </w:rPr>
        <w:t>26.11</w:t>
      </w:r>
      <w:r>
        <w:rPr>
          <w:rFonts w:hint="eastAsia" w:ascii="仿宋_GB2312" w:eastAsia="仿宋_GB2312"/>
          <w:sz w:val="30"/>
          <w:szCs w:val="30"/>
        </w:rPr>
        <w:t>万元，完成年初预算的92.6%，决算数小于预算数的主要原因：人员变动。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10、住房保障支出（类）住房改革支出（款）住房公积金（项）</w:t>
      </w:r>
      <w:r>
        <w:rPr>
          <w:rFonts w:ascii="仿宋_GB2312" w:eastAsia="仿宋_GB2312"/>
          <w:sz w:val="30"/>
          <w:szCs w:val="30"/>
        </w:rPr>
        <w:t>33.41</w:t>
      </w:r>
      <w:r>
        <w:rPr>
          <w:rFonts w:hint="eastAsia" w:ascii="仿宋_GB2312" w:eastAsia="仿宋_GB2312"/>
          <w:sz w:val="30"/>
          <w:szCs w:val="30"/>
        </w:rPr>
        <w:t>万元。主要用于：支付单位住房公积金费用。年初预算为37.6万元，支出决算为</w:t>
      </w:r>
      <w:r>
        <w:rPr>
          <w:rFonts w:ascii="仿宋_GB2312" w:eastAsia="仿宋_GB2312"/>
          <w:sz w:val="30"/>
          <w:szCs w:val="30"/>
        </w:rPr>
        <w:t>33.41</w:t>
      </w:r>
      <w:r>
        <w:rPr>
          <w:rFonts w:hint="eastAsia" w:ascii="仿宋_GB2312" w:eastAsia="仿宋_GB2312"/>
          <w:sz w:val="30"/>
          <w:szCs w:val="30"/>
        </w:rPr>
        <w:t>万元，完成年初预算的89%。决算数小于预算数的主要原因：人员变动。</w:t>
      </w:r>
    </w:p>
    <w:p>
      <w:pPr>
        <w:rPr>
          <w:rFonts w:ascii="仿宋_GB2312" w:eastAsia="仿宋_GB2312"/>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rPr>
          <w:rFonts w:ascii="仿宋_GB2312" w:eastAsia="仿宋_GB2312"/>
          <w:sz w:val="30"/>
          <w:szCs w:val="30"/>
        </w:rPr>
      </w:pPr>
      <w:r>
        <w:rPr>
          <w:rFonts w:hint="eastAsia" w:ascii="仿宋_GB2312" w:eastAsia="仿宋_GB2312"/>
          <w:sz w:val="30"/>
          <w:szCs w:val="30"/>
        </w:rPr>
        <w:t>一般公共预算财政拨款基本支出490.51万元。其中：人员经费</w:t>
      </w:r>
      <w:r>
        <w:rPr>
          <w:rFonts w:ascii="仿宋_GB2312" w:eastAsia="仿宋_GB2312"/>
          <w:sz w:val="30"/>
          <w:szCs w:val="30"/>
        </w:rPr>
        <w:t>307.91</w:t>
      </w:r>
      <w:r>
        <w:rPr>
          <w:rFonts w:hint="eastAsia" w:ascii="仿宋_GB2312" w:eastAsia="仿宋_GB2312"/>
          <w:sz w:val="30"/>
          <w:szCs w:val="30"/>
        </w:rPr>
        <w:t>万元，主要包括：基本工资:</w:t>
      </w:r>
      <w:r>
        <w:t xml:space="preserve"> </w:t>
      </w:r>
      <w:r>
        <w:rPr>
          <w:rFonts w:ascii="仿宋_GB2312" w:eastAsia="仿宋_GB2312"/>
          <w:sz w:val="30"/>
          <w:szCs w:val="30"/>
        </w:rPr>
        <w:t>42.15</w:t>
      </w:r>
      <w:r>
        <w:rPr>
          <w:rFonts w:hint="eastAsia" w:ascii="仿宋_GB2312" w:eastAsia="仿宋_GB2312"/>
          <w:sz w:val="30"/>
          <w:szCs w:val="30"/>
        </w:rPr>
        <w:t>万元、津贴补贴：</w:t>
      </w:r>
      <w:r>
        <w:rPr>
          <w:rFonts w:ascii="仿宋_GB2312" w:eastAsia="仿宋_GB2312"/>
          <w:sz w:val="30"/>
          <w:szCs w:val="30"/>
        </w:rPr>
        <w:t>99.72</w:t>
      </w:r>
      <w:r>
        <w:rPr>
          <w:rFonts w:hint="eastAsia" w:ascii="仿宋_GB2312" w:eastAsia="仿宋_GB2312"/>
          <w:sz w:val="30"/>
          <w:szCs w:val="30"/>
        </w:rPr>
        <w:t>万元、基本养老保险缴费支出：</w:t>
      </w:r>
      <w:r>
        <w:rPr>
          <w:rFonts w:ascii="仿宋_GB2312" w:eastAsia="仿宋_GB2312"/>
          <w:sz w:val="30"/>
          <w:szCs w:val="30"/>
        </w:rPr>
        <w:t>50.30</w:t>
      </w:r>
      <w:r>
        <w:rPr>
          <w:rFonts w:hint="eastAsia" w:ascii="仿宋_GB2312" w:eastAsia="仿宋_GB2312"/>
          <w:sz w:val="30"/>
          <w:szCs w:val="30"/>
        </w:rPr>
        <w:t>万元；职业年金缴费支出：</w:t>
      </w:r>
      <w:r>
        <w:rPr>
          <w:rFonts w:ascii="仿宋_GB2312" w:eastAsia="仿宋_GB2312"/>
          <w:sz w:val="30"/>
          <w:szCs w:val="30"/>
        </w:rPr>
        <w:t>28.54</w:t>
      </w:r>
      <w:r>
        <w:rPr>
          <w:rFonts w:hint="eastAsia" w:ascii="仿宋_GB2312" w:eastAsia="仿宋_GB2312"/>
          <w:sz w:val="30"/>
          <w:szCs w:val="30"/>
        </w:rPr>
        <w:t>万元、事业单位医疗支出：</w:t>
      </w:r>
      <w:r>
        <w:rPr>
          <w:rFonts w:ascii="仿宋_GB2312" w:eastAsia="仿宋_GB2312"/>
          <w:sz w:val="30"/>
          <w:szCs w:val="30"/>
        </w:rPr>
        <w:t>26.11</w:t>
      </w:r>
      <w:r>
        <w:rPr>
          <w:rFonts w:hint="eastAsia" w:ascii="仿宋_GB2312" w:eastAsia="仿宋_GB2312"/>
          <w:sz w:val="30"/>
          <w:szCs w:val="30"/>
        </w:rPr>
        <w:t>万元、其他社会保障缴费：</w:t>
      </w:r>
      <w:r>
        <w:rPr>
          <w:rFonts w:ascii="仿宋_GB2312" w:eastAsia="仿宋_GB2312"/>
          <w:sz w:val="30"/>
          <w:szCs w:val="30"/>
        </w:rPr>
        <w:t>5.19</w:t>
      </w:r>
      <w:r>
        <w:rPr>
          <w:rFonts w:hint="eastAsia" w:ascii="仿宋_GB2312" w:eastAsia="仿宋_GB2312"/>
          <w:sz w:val="30"/>
          <w:szCs w:val="30"/>
        </w:rPr>
        <w:t>万元，住房公积金支出：</w:t>
      </w:r>
      <w:r>
        <w:rPr>
          <w:rFonts w:ascii="仿宋_GB2312" w:eastAsia="仿宋_GB2312"/>
          <w:sz w:val="30"/>
          <w:szCs w:val="30"/>
        </w:rPr>
        <w:t>33.41</w:t>
      </w:r>
      <w:r>
        <w:rPr>
          <w:rFonts w:hint="eastAsia" w:ascii="仿宋_GB2312" w:eastAsia="仿宋_GB2312"/>
          <w:sz w:val="30"/>
          <w:szCs w:val="30"/>
        </w:rPr>
        <w:t>万元，其他工资福利支出：</w:t>
      </w:r>
      <w:r>
        <w:rPr>
          <w:rFonts w:ascii="仿宋_GB2312" w:eastAsia="仿宋_GB2312"/>
          <w:sz w:val="30"/>
          <w:szCs w:val="30"/>
        </w:rPr>
        <w:t>18.43</w:t>
      </w:r>
      <w:r>
        <w:rPr>
          <w:rFonts w:hint="eastAsia" w:ascii="仿宋_GB2312" w:eastAsia="仿宋_GB2312"/>
          <w:sz w:val="30"/>
          <w:szCs w:val="30"/>
        </w:rPr>
        <w:t>万元，对个人和家庭的补助</w:t>
      </w:r>
      <w:r>
        <w:rPr>
          <w:rFonts w:ascii="仿宋_GB2312" w:eastAsia="仿宋_GB2312"/>
          <w:sz w:val="30"/>
          <w:szCs w:val="30"/>
        </w:rPr>
        <w:t>4.0</w:t>
      </w:r>
      <w:r>
        <w:rPr>
          <w:rFonts w:hint="eastAsia" w:ascii="仿宋_GB2312" w:eastAsia="仿宋_GB2312"/>
          <w:sz w:val="30"/>
          <w:szCs w:val="30"/>
        </w:rPr>
        <w:t>5万元，主要包括：生活补助：</w:t>
      </w:r>
      <w:r>
        <w:rPr>
          <w:rFonts w:ascii="仿宋_GB2312" w:eastAsia="仿宋_GB2312"/>
          <w:sz w:val="30"/>
          <w:szCs w:val="30"/>
        </w:rPr>
        <w:t>3.95</w:t>
      </w:r>
      <w:r>
        <w:rPr>
          <w:rFonts w:hint="eastAsia" w:ascii="仿宋_GB2312" w:eastAsia="仿宋_GB2312"/>
          <w:sz w:val="30"/>
          <w:szCs w:val="30"/>
        </w:rPr>
        <w:t>万元，奖励金：</w:t>
      </w:r>
      <w:r>
        <w:rPr>
          <w:rFonts w:ascii="仿宋_GB2312" w:eastAsia="仿宋_GB2312"/>
          <w:sz w:val="30"/>
          <w:szCs w:val="30"/>
        </w:rPr>
        <w:t>0.11</w:t>
      </w:r>
      <w:r>
        <w:rPr>
          <w:rFonts w:hint="eastAsia" w:ascii="仿宋_GB2312" w:eastAsia="仿宋_GB2312"/>
          <w:sz w:val="30"/>
          <w:szCs w:val="30"/>
        </w:rPr>
        <w:t>万元；公用经费</w:t>
      </w:r>
      <w:r>
        <w:rPr>
          <w:rFonts w:ascii="仿宋_GB2312" w:eastAsia="仿宋_GB2312"/>
          <w:sz w:val="30"/>
          <w:szCs w:val="30"/>
        </w:rPr>
        <w:t>19.64</w:t>
      </w:r>
      <w:r>
        <w:rPr>
          <w:rFonts w:hint="eastAsia" w:ascii="仿宋_GB2312" w:eastAsia="仿宋_GB2312"/>
          <w:sz w:val="30"/>
          <w:szCs w:val="30"/>
        </w:rPr>
        <w:t>万元，主要包括：办公费：</w:t>
      </w:r>
      <w:r>
        <w:rPr>
          <w:rFonts w:ascii="仿宋_GB2312" w:eastAsia="仿宋_GB2312"/>
          <w:sz w:val="30"/>
          <w:szCs w:val="30"/>
        </w:rPr>
        <w:t>2.67</w:t>
      </w:r>
      <w:r>
        <w:rPr>
          <w:rFonts w:hint="eastAsia" w:ascii="仿宋_GB2312" w:eastAsia="仿宋_GB2312"/>
          <w:sz w:val="30"/>
          <w:szCs w:val="30"/>
        </w:rPr>
        <w:t>万元、手续费：</w:t>
      </w:r>
      <w:r>
        <w:rPr>
          <w:rFonts w:ascii="仿宋_GB2312" w:eastAsia="仿宋_GB2312"/>
          <w:sz w:val="30"/>
          <w:szCs w:val="30"/>
        </w:rPr>
        <w:t>0.13</w:t>
      </w:r>
      <w:r>
        <w:rPr>
          <w:rFonts w:hint="eastAsia" w:ascii="仿宋_GB2312" w:eastAsia="仿宋_GB2312"/>
          <w:sz w:val="30"/>
          <w:szCs w:val="30"/>
        </w:rPr>
        <w:t>万元、差旅费：</w:t>
      </w:r>
      <w:r>
        <w:rPr>
          <w:rFonts w:ascii="仿宋_GB2312" w:eastAsia="仿宋_GB2312"/>
          <w:sz w:val="30"/>
          <w:szCs w:val="30"/>
        </w:rPr>
        <w:t>0.62</w:t>
      </w:r>
      <w:r>
        <w:rPr>
          <w:rFonts w:hint="eastAsia" w:ascii="仿宋_GB2312" w:eastAsia="仿宋_GB2312"/>
          <w:sz w:val="30"/>
          <w:szCs w:val="30"/>
        </w:rPr>
        <w:t>万元、工会经费：</w:t>
      </w:r>
      <w:r>
        <w:rPr>
          <w:rFonts w:ascii="仿宋_GB2312" w:eastAsia="仿宋_GB2312"/>
          <w:sz w:val="30"/>
          <w:szCs w:val="30"/>
        </w:rPr>
        <w:t>4</w:t>
      </w:r>
      <w:r>
        <w:rPr>
          <w:rFonts w:hint="eastAsia" w:ascii="仿宋_GB2312" w:eastAsia="仿宋_GB2312"/>
          <w:sz w:val="30"/>
          <w:szCs w:val="30"/>
        </w:rPr>
        <w:t>万元、福利费：</w:t>
      </w:r>
      <w:r>
        <w:rPr>
          <w:rFonts w:ascii="仿宋_GB2312" w:eastAsia="仿宋_GB2312"/>
          <w:sz w:val="30"/>
          <w:szCs w:val="30"/>
        </w:rPr>
        <w:t>12.16</w:t>
      </w:r>
      <w:r>
        <w:rPr>
          <w:rFonts w:hint="eastAsia" w:ascii="仿宋_GB2312" w:eastAsia="仿宋_GB2312"/>
          <w:sz w:val="30"/>
          <w:szCs w:val="30"/>
        </w:rPr>
        <w:t>万元、其他商品和服务支出：</w:t>
      </w:r>
      <w:r>
        <w:rPr>
          <w:rFonts w:ascii="仿宋_GB2312" w:eastAsia="仿宋_GB2312"/>
          <w:sz w:val="30"/>
          <w:szCs w:val="30"/>
        </w:rPr>
        <w:t>0.06</w:t>
      </w:r>
      <w:r>
        <w:rPr>
          <w:rFonts w:hint="eastAsia" w:ascii="仿宋_GB2312" w:eastAsia="仿宋_GB2312"/>
          <w:sz w:val="30"/>
          <w:szCs w:val="30"/>
        </w:rPr>
        <w:t>万元；。</w:t>
      </w:r>
    </w:p>
    <w:p>
      <w:pPr>
        <w:ind w:firstLine="602" w:firstLineChars="200"/>
        <w:outlineLvl w:val="0"/>
        <w:rPr>
          <w:rFonts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2021年度无“三公”经费财政拨款支出。</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6"/>
        <w:ind w:firstLine="600" w:firstLineChars="200"/>
        <w:jc w:val="both"/>
        <w:rPr>
          <w:rFonts w:hint="eastAsia" w:ascii="仿宋_GB2312" w:eastAsia="仿宋_GB2312"/>
          <w:sz w:val="30"/>
          <w:szCs w:val="30"/>
        </w:rPr>
      </w:pPr>
      <w:r>
        <w:rPr>
          <w:rFonts w:hint="eastAsia" w:ascii="仿宋_GB2312" w:eastAsia="仿宋_GB2312"/>
          <w:sz w:val="30"/>
          <w:szCs w:val="30"/>
        </w:rPr>
        <w:t>本单位2021年度预算绩效管理工作开展情况如下：</w:t>
      </w:r>
      <w:r>
        <w:rPr>
          <w:rFonts w:hint="eastAsia" w:ascii="仿宋_GB2312" w:hAnsi="宋体" w:eastAsia="仿宋_GB2312"/>
          <w:sz w:val="30"/>
          <w:szCs w:val="30"/>
        </w:rPr>
        <w:t>本单位尚未建立预算绩效管理制度和预算绩效管理工作机制</w:t>
      </w:r>
      <w:r>
        <w:rPr>
          <w:rFonts w:hint="eastAsia" w:ascii="仿宋_GB2312" w:eastAsia="仿宋_GB2312"/>
          <w:sz w:val="30"/>
          <w:szCs w:val="30"/>
        </w:rPr>
        <w:t>；全过程绩效管理实施情况：编报绩效目标的2021年度项目</w:t>
      </w:r>
      <w:r>
        <w:rPr>
          <w:rFonts w:hint="eastAsia" w:ascii="仿宋_GB2312" w:eastAsia="仿宋_GB2312"/>
          <w:color w:val="auto"/>
          <w:sz w:val="30"/>
          <w:szCs w:val="30"/>
        </w:rPr>
        <w:t>3个，</w:t>
      </w:r>
      <w:r>
        <w:rPr>
          <w:rFonts w:hint="eastAsia" w:ascii="仿宋_GB2312" w:eastAsia="仿宋_GB2312"/>
          <w:sz w:val="30"/>
          <w:szCs w:val="30"/>
        </w:rPr>
        <w:t>涉及预算金额162.96万元；</w:t>
      </w:r>
      <w:r>
        <w:rPr>
          <w:rFonts w:hint="eastAsia" w:ascii="仿宋_GB2312" w:eastAsia="仿宋_GB2312"/>
          <w:color w:val="auto"/>
          <w:sz w:val="30"/>
          <w:szCs w:val="30"/>
        </w:rPr>
        <w:t>绩效跟踪评价的2021年度项目3个</w:t>
      </w:r>
      <w:r>
        <w:rPr>
          <w:rFonts w:hint="eastAsia" w:ascii="仿宋_GB2312" w:eastAsia="仿宋_GB2312"/>
          <w:sz w:val="30"/>
          <w:szCs w:val="30"/>
        </w:rPr>
        <w:t>，涉及预算金额162.96万元；</w:t>
      </w:r>
      <w:r>
        <w:rPr>
          <w:rFonts w:hint="eastAsia" w:ascii="仿宋_GB2312" w:eastAsia="仿宋_GB2312"/>
          <w:color w:val="auto"/>
          <w:sz w:val="30"/>
          <w:szCs w:val="30"/>
        </w:rPr>
        <w:t>绩效自评的2021年度项目3个</w:t>
      </w:r>
      <w:r>
        <w:rPr>
          <w:rFonts w:hint="eastAsia" w:ascii="仿宋_GB2312" w:eastAsia="仿宋_GB2312"/>
          <w:sz w:val="30"/>
          <w:szCs w:val="30"/>
        </w:rPr>
        <w:t>，涉及预算金额162.96万元，平均得分98.8分（其中，绩效评级为“优”的项目3个；绩效评级为“良”的项目0个；绩效评级为“合格”的项目0个；绩效评级为“不合格”的项目0个。绩效自评中共发现问题0个，已经完成整改的0个，正在整改的0个）。</w:t>
      </w:r>
    </w:p>
    <w:p>
      <w:pPr>
        <w:pStyle w:val="16"/>
        <w:ind w:firstLine="602" w:firstLineChars="200"/>
        <w:jc w:val="both"/>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2021年度政府采购金额（以合同签订为准）为0万元，其中：货物采购金额0万元、工程采购金额0万元、服务采购金额0万元。</w:t>
      </w:r>
    </w:p>
    <w:p>
      <w:pPr>
        <w:widowControl/>
        <w:ind w:firstLine="602" w:firstLineChars="200"/>
        <w:jc w:val="left"/>
        <w:outlineLvl w:val="0"/>
        <w:rPr>
          <w:rFonts w:ascii="楷体_GB2312" w:hAnsi="宋体" w:eastAsia="楷体_GB2312" w:cs="楷体"/>
          <w:b/>
          <w:bCs/>
          <w:kern w:val="0"/>
          <w:sz w:val="30"/>
          <w:szCs w:val="30"/>
        </w:rPr>
      </w:pPr>
      <w:r>
        <w:rPr>
          <w:rFonts w:hint="eastAsia" w:ascii="楷体_GB2312" w:hAnsi="宋体" w:eastAsia="楷体_GB2312" w:cs="楷体"/>
          <w:b/>
          <w:bCs/>
          <w:kern w:val="0"/>
          <w:sz w:val="30"/>
          <w:szCs w:val="30"/>
        </w:rPr>
        <w:t>（三）车辆、房屋特殊占用情况</w:t>
      </w:r>
    </w:p>
    <w:p>
      <w:pPr>
        <w:spacing w:line="570" w:lineRule="exact"/>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2021年度无车辆/房屋特殊占用情况说明。</w:t>
      </w:r>
    </w:p>
    <w:p>
      <w:pPr>
        <w:jc w:val="center"/>
        <w:rPr>
          <w:rFonts w:ascii="黑体" w:eastAsia="黑体"/>
          <w:sz w:val="30"/>
          <w:szCs w:val="30"/>
        </w:rPr>
      </w:pPr>
      <w: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b/>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b/>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b/>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OGIzNTdmYmQwNGMyNmYxN2UwM2E4NzUyYTlkYWMifQ=="/>
  </w:docVars>
  <w:rsids>
    <w:rsidRoot w:val="00C16F9C"/>
    <w:rsid w:val="000010A2"/>
    <w:rsid w:val="00002988"/>
    <w:rsid w:val="00002ED2"/>
    <w:rsid w:val="00003679"/>
    <w:rsid w:val="00005E98"/>
    <w:rsid w:val="000064FD"/>
    <w:rsid w:val="00006C3B"/>
    <w:rsid w:val="00007041"/>
    <w:rsid w:val="000101D4"/>
    <w:rsid w:val="00012850"/>
    <w:rsid w:val="000165D1"/>
    <w:rsid w:val="00020097"/>
    <w:rsid w:val="000208A2"/>
    <w:rsid w:val="00021C1B"/>
    <w:rsid w:val="00023598"/>
    <w:rsid w:val="00031247"/>
    <w:rsid w:val="0003212E"/>
    <w:rsid w:val="00033C55"/>
    <w:rsid w:val="00033FFE"/>
    <w:rsid w:val="00035D35"/>
    <w:rsid w:val="00035E5A"/>
    <w:rsid w:val="0003612C"/>
    <w:rsid w:val="00037B07"/>
    <w:rsid w:val="00041AC9"/>
    <w:rsid w:val="00043425"/>
    <w:rsid w:val="0004364F"/>
    <w:rsid w:val="0004551F"/>
    <w:rsid w:val="00047570"/>
    <w:rsid w:val="00050078"/>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2B83"/>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5606"/>
    <w:rsid w:val="00156432"/>
    <w:rsid w:val="0016209F"/>
    <w:rsid w:val="0016220D"/>
    <w:rsid w:val="00164147"/>
    <w:rsid w:val="001656C0"/>
    <w:rsid w:val="00172F09"/>
    <w:rsid w:val="00173DA6"/>
    <w:rsid w:val="001766FA"/>
    <w:rsid w:val="001769B1"/>
    <w:rsid w:val="00176A90"/>
    <w:rsid w:val="00180D9A"/>
    <w:rsid w:val="00183ED7"/>
    <w:rsid w:val="00185638"/>
    <w:rsid w:val="00186F8E"/>
    <w:rsid w:val="00187137"/>
    <w:rsid w:val="001872EB"/>
    <w:rsid w:val="00191774"/>
    <w:rsid w:val="00191A67"/>
    <w:rsid w:val="00194642"/>
    <w:rsid w:val="00195455"/>
    <w:rsid w:val="0019579F"/>
    <w:rsid w:val="00196405"/>
    <w:rsid w:val="001968DB"/>
    <w:rsid w:val="00196B33"/>
    <w:rsid w:val="001A07BB"/>
    <w:rsid w:val="001A104B"/>
    <w:rsid w:val="001A1F2C"/>
    <w:rsid w:val="001A230F"/>
    <w:rsid w:val="001A2F3B"/>
    <w:rsid w:val="001A33AD"/>
    <w:rsid w:val="001A3BE8"/>
    <w:rsid w:val="001A5EFD"/>
    <w:rsid w:val="001B11F6"/>
    <w:rsid w:val="001B2041"/>
    <w:rsid w:val="001B26E7"/>
    <w:rsid w:val="001B3D4C"/>
    <w:rsid w:val="001B4775"/>
    <w:rsid w:val="001B7C79"/>
    <w:rsid w:val="001C1F26"/>
    <w:rsid w:val="001C3948"/>
    <w:rsid w:val="001C47B5"/>
    <w:rsid w:val="001C62E9"/>
    <w:rsid w:val="001D3BE1"/>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2536"/>
    <w:rsid w:val="0024300B"/>
    <w:rsid w:val="0024343A"/>
    <w:rsid w:val="00245D8A"/>
    <w:rsid w:val="00245EFC"/>
    <w:rsid w:val="00247373"/>
    <w:rsid w:val="002479C8"/>
    <w:rsid w:val="00253A2A"/>
    <w:rsid w:val="00254711"/>
    <w:rsid w:val="00254B2C"/>
    <w:rsid w:val="002553C4"/>
    <w:rsid w:val="0025636D"/>
    <w:rsid w:val="0026183C"/>
    <w:rsid w:val="002619FB"/>
    <w:rsid w:val="00262C38"/>
    <w:rsid w:val="00263261"/>
    <w:rsid w:val="002634CF"/>
    <w:rsid w:val="00270260"/>
    <w:rsid w:val="002704C9"/>
    <w:rsid w:val="00272684"/>
    <w:rsid w:val="00273C49"/>
    <w:rsid w:val="0027491C"/>
    <w:rsid w:val="002749DA"/>
    <w:rsid w:val="00276C4D"/>
    <w:rsid w:val="00277371"/>
    <w:rsid w:val="00280B87"/>
    <w:rsid w:val="0028405E"/>
    <w:rsid w:val="00285D63"/>
    <w:rsid w:val="0028633A"/>
    <w:rsid w:val="00286DC8"/>
    <w:rsid w:val="00290047"/>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E76E6"/>
    <w:rsid w:val="002F26C5"/>
    <w:rsid w:val="002F38C1"/>
    <w:rsid w:val="002F4CC6"/>
    <w:rsid w:val="002F6A75"/>
    <w:rsid w:val="002F6F58"/>
    <w:rsid w:val="003011BA"/>
    <w:rsid w:val="00301C60"/>
    <w:rsid w:val="00301E02"/>
    <w:rsid w:val="0030375D"/>
    <w:rsid w:val="003050E9"/>
    <w:rsid w:val="0030523D"/>
    <w:rsid w:val="003064AF"/>
    <w:rsid w:val="00306C92"/>
    <w:rsid w:val="00307829"/>
    <w:rsid w:val="00310BF7"/>
    <w:rsid w:val="00311EDB"/>
    <w:rsid w:val="00311EFE"/>
    <w:rsid w:val="00312442"/>
    <w:rsid w:val="0031266F"/>
    <w:rsid w:val="003225E3"/>
    <w:rsid w:val="00322C22"/>
    <w:rsid w:val="003251C0"/>
    <w:rsid w:val="00325745"/>
    <w:rsid w:val="00335376"/>
    <w:rsid w:val="00336006"/>
    <w:rsid w:val="00340316"/>
    <w:rsid w:val="00341AF7"/>
    <w:rsid w:val="00344132"/>
    <w:rsid w:val="00345385"/>
    <w:rsid w:val="003459F6"/>
    <w:rsid w:val="00345F2B"/>
    <w:rsid w:val="00346621"/>
    <w:rsid w:val="003509C9"/>
    <w:rsid w:val="00351D77"/>
    <w:rsid w:val="0035377F"/>
    <w:rsid w:val="003544FF"/>
    <w:rsid w:val="00354B78"/>
    <w:rsid w:val="0036051D"/>
    <w:rsid w:val="00360A40"/>
    <w:rsid w:val="003618C7"/>
    <w:rsid w:val="00361DE7"/>
    <w:rsid w:val="00363F02"/>
    <w:rsid w:val="00364532"/>
    <w:rsid w:val="00365CAA"/>
    <w:rsid w:val="00374A62"/>
    <w:rsid w:val="00376E08"/>
    <w:rsid w:val="00380C62"/>
    <w:rsid w:val="00380D67"/>
    <w:rsid w:val="003816B7"/>
    <w:rsid w:val="00382637"/>
    <w:rsid w:val="0038380C"/>
    <w:rsid w:val="003854B6"/>
    <w:rsid w:val="0038750C"/>
    <w:rsid w:val="00387CF1"/>
    <w:rsid w:val="00393705"/>
    <w:rsid w:val="00395102"/>
    <w:rsid w:val="00395F27"/>
    <w:rsid w:val="00397453"/>
    <w:rsid w:val="0039774D"/>
    <w:rsid w:val="003A01E9"/>
    <w:rsid w:val="003A124D"/>
    <w:rsid w:val="003A233F"/>
    <w:rsid w:val="003A2371"/>
    <w:rsid w:val="003A27A9"/>
    <w:rsid w:val="003A374B"/>
    <w:rsid w:val="003A3E6F"/>
    <w:rsid w:val="003A4F06"/>
    <w:rsid w:val="003A5D6A"/>
    <w:rsid w:val="003A5F20"/>
    <w:rsid w:val="003B0643"/>
    <w:rsid w:val="003B0BFE"/>
    <w:rsid w:val="003B30B1"/>
    <w:rsid w:val="003B4921"/>
    <w:rsid w:val="003B5A5E"/>
    <w:rsid w:val="003B60AE"/>
    <w:rsid w:val="003B7339"/>
    <w:rsid w:val="003C1187"/>
    <w:rsid w:val="003C154D"/>
    <w:rsid w:val="003C20C4"/>
    <w:rsid w:val="003C22A3"/>
    <w:rsid w:val="003C25E6"/>
    <w:rsid w:val="003C3510"/>
    <w:rsid w:val="003C4E34"/>
    <w:rsid w:val="003C5D5A"/>
    <w:rsid w:val="003C7382"/>
    <w:rsid w:val="003D01C5"/>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8A5"/>
    <w:rsid w:val="00402F78"/>
    <w:rsid w:val="0040327A"/>
    <w:rsid w:val="0040496A"/>
    <w:rsid w:val="00404AA8"/>
    <w:rsid w:val="00404C24"/>
    <w:rsid w:val="0041179B"/>
    <w:rsid w:val="004120F9"/>
    <w:rsid w:val="004137D5"/>
    <w:rsid w:val="00413BA4"/>
    <w:rsid w:val="00413BD6"/>
    <w:rsid w:val="00414CCC"/>
    <w:rsid w:val="00415C3B"/>
    <w:rsid w:val="004207EA"/>
    <w:rsid w:val="00425053"/>
    <w:rsid w:val="00427FED"/>
    <w:rsid w:val="004302CC"/>
    <w:rsid w:val="00433AF4"/>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133"/>
    <w:rsid w:val="00483358"/>
    <w:rsid w:val="00483D82"/>
    <w:rsid w:val="0048515D"/>
    <w:rsid w:val="00485D5A"/>
    <w:rsid w:val="00487460"/>
    <w:rsid w:val="00487BEB"/>
    <w:rsid w:val="00492643"/>
    <w:rsid w:val="00493622"/>
    <w:rsid w:val="004A0B67"/>
    <w:rsid w:val="004A1499"/>
    <w:rsid w:val="004A3478"/>
    <w:rsid w:val="004A470F"/>
    <w:rsid w:val="004A4DAA"/>
    <w:rsid w:val="004B292F"/>
    <w:rsid w:val="004B4186"/>
    <w:rsid w:val="004B5BEE"/>
    <w:rsid w:val="004B6C28"/>
    <w:rsid w:val="004C0988"/>
    <w:rsid w:val="004C0EF4"/>
    <w:rsid w:val="004C1E66"/>
    <w:rsid w:val="004C3858"/>
    <w:rsid w:val="004C546F"/>
    <w:rsid w:val="004D2C36"/>
    <w:rsid w:val="004D2E66"/>
    <w:rsid w:val="004D48D2"/>
    <w:rsid w:val="004D4B0D"/>
    <w:rsid w:val="004D6F06"/>
    <w:rsid w:val="004E025D"/>
    <w:rsid w:val="004E4347"/>
    <w:rsid w:val="004E4443"/>
    <w:rsid w:val="004E4FFC"/>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4A5"/>
    <w:rsid w:val="00517756"/>
    <w:rsid w:val="00520884"/>
    <w:rsid w:val="00520BE3"/>
    <w:rsid w:val="00524E6D"/>
    <w:rsid w:val="00532241"/>
    <w:rsid w:val="0053378E"/>
    <w:rsid w:val="005357B4"/>
    <w:rsid w:val="00535A17"/>
    <w:rsid w:val="00535F61"/>
    <w:rsid w:val="005408B6"/>
    <w:rsid w:val="00542E35"/>
    <w:rsid w:val="005446B5"/>
    <w:rsid w:val="00544BF2"/>
    <w:rsid w:val="00545F63"/>
    <w:rsid w:val="00553F8F"/>
    <w:rsid w:val="00555346"/>
    <w:rsid w:val="005557F3"/>
    <w:rsid w:val="005560DA"/>
    <w:rsid w:val="00556A72"/>
    <w:rsid w:val="00556B86"/>
    <w:rsid w:val="005571D0"/>
    <w:rsid w:val="00560667"/>
    <w:rsid w:val="00562767"/>
    <w:rsid w:val="0056370D"/>
    <w:rsid w:val="005644D5"/>
    <w:rsid w:val="0056655A"/>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0E02"/>
    <w:rsid w:val="005B1441"/>
    <w:rsid w:val="005B46B8"/>
    <w:rsid w:val="005B4833"/>
    <w:rsid w:val="005C1A05"/>
    <w:rsid w:val="005C1CA3"/>
    <w:rsid w:val="005C46F6"/>
    <w:rsid w:val="005C64CC"/>
    <w:rsid w:val="005C7D06"/>
    <w:rsid w:val="005D4C55"/>
    <w:rsid w:val="005D67C5"/>
    <w:rsid w:val="005E0BCB"/>
    <w:rsid w:val="005E10A1"/>
    <w:rsid w:val="005E14D1"/>
    <w:rsid w:val="005E4687"/>
    <w:rsid w:val="005E4B94"/>
    <w:rsid w:val="005E4E24"/>
    <w:rsid w:val="005F0A33"/>
    <w:rsid w:val="005F1AED"/>
    <w:rsid w:val="005F6248"/>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6B5B"/>
    <w:rsid w:val="00677858"/>
    <w:rsid w:val="006811DF"/>
    <w:rsid w:val="00684933"/>
    <w:rsid w:val="006863B9"/>
    <w:rsid w:val="00686771"/>
    <w:rsid w:val="0068711A"/>
    <w:rsid w:val="00690628"/>
    <w:rsid w:val="006955D4"/>
    <w:rsid w:val="00696236"/>
    <w:rsid w:val="00697C41"/>
    <w:rsid w:val="006A12B3"/>
    <w:rsid w:val="006A14EA"/>
    <w:rsid w:val="006A1E39"/>
    <w:rsid w:val="006A2541"/>
    <w:rsid w:val="006B164F"/>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330F"/>
    <w:rsid w:val="006E477E"/>
    <w:rsid w:val="006E5C32"/>
    <w:rsid w:val="006E6E2C"/>
    <w:rsid w:val="006E72AD"/>
    <w:rsid w:val="006E7B8B"/>
    <w:rsid w:val="006F0253"/>
    <w:rsid w:val="006F099C"/>
    <w:rsid w:val="006F19A0"/>
    <w:rsid w:val="006F1B15"/>
    <w:rsid w:val="006F2704"/>
    <w:rsid w:val="006F7034"/>
    <w:rsid w:val="00701E27"/>
    <w:rsid w:val="00701E32"/>
    <w:rsid w:val="00706E08"/>
    <w:rsid w:val="00711701"/>
    <w:rsid w:val="00713CB1"/>
    <w:rsid w:val="00717003"/>
    <w:rsid w:val="0072067E"/>
    <w:rsid w:val="00723235"/>
    <w:rsid w:val="00726857"/>
    <w:rsid w:val="00730B0B"/>
    <w:rsid w:val="00732A02"/>
    <w:rsid w:val="00735856"/>
    <w:rsid w:val="0073637A"/>
    <w:rsid w:val="00736F34"/>
    <w:rsid w:val="00737FFA"/>
    <w:rsid w:val="00740376"/>
    <w:rsid w:val="00743163"/>
    <w:rsid w:val="0074470D"/>
    <w:rsid w:val="00746343"/>
    <w:rsid w:val="007476FC"/>
    <w:rsid w:val="00747D81"/>
    <w:rsid w:val="00750890"/>
    <w:rsid w:val="00751BDD"/>
    <w:rsid w:val="00754673"/>
    <w:rsid w:val="00760A80"/>
    <w:rsid w:val="00763ED7"/>
    <w:rsid w:val="00764471"/>
    <w:rsid w:val="007648BB"/>
    <w:rsid w:val="00765002"/>
    <w:rsid w:val="007660CD"/>
    <w:rsid w:val="00766DD3"/>
    <w:rsid w:val="007673FF"/>
    <w:rsid w:val="007706CB"/>
    <w:rsid w:val="007721FB"/>
    <w:rsid w:val="00772D07"/>
    <w:rsid w:val="00773C26"/>
    <w:rsid w:val="00775230"/>
    <w:rsid w:val="007755E0"/>
    <w:rsid w:val="007772D8"/>
    <w:rsid w:val="007775C0"/>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97889"/>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E7E43"/>
    <w:rsid w:val="007F237D"/>
    <w:rsid w:val="007F2847"/>
    <w:rsid w:val="007F4412"/>
    <w:rsid w:val="007F4549"/>
    <w:rsid w:val="007F5F6A"/>
    <w:rsid w:val="00802FD7"/>
    <w:rsid w:val="00803654"/>
    <w:rsid w:val="008074D9"/>
    <w:rsid w:val="008118BE"/>
    <w:rsid w:val="00811912"/>
    <w:rsid w:val="00812348"/>
    <w:rsid w:val="00813884"/>
    <w:rsid w:val="008142F2"/>
    <w:rsid w:val="00814DC3"/>
    <w:rsid w:val="0081504F"/>
    <w:rsid w:val="008157B8"/>
    <w:rsid w:val="00817F2F"/>
    <w:rsid w:val="00821538"/>
    <w:rsid w:val="0082303D"/>
    <w:rsid w:val="00823D1F"/>
    <w:rsid w:val="00826175"/>
    <w:rsid w:val="008263C8"/>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3273"/>
    <w:rsid w:val="008B5871"/>
    <w:rsid w:val="008B58B0"/>
    <w:rsid w:val="008C06C0"/>
    <w:rsid w:val="008C20DC"/>
    <w:rsid w:val="008C5680"/>
    <w:rsid w:val="008C6E1D"/>
    <w:rsid w:val="008C720F"/>
    <w:rsid w:val="008D026A"/>
    <w:rsid w:val="008D07E3"/>
    <w:rsid w:val="008D385C"/>
    <w:rsid w:val="008E058C"/>
    <w:rsid w:val="008E3365"/>
    <w:rsid w:val="008E4209"/>
    <w:rsid w:val="008E4602"/>
    <w:rsid w:val="008E532E"/>
    <w:rsid w:val="008E5E12"/>
    <w:rsid w:val="008E6027"/>
    <w:rsid w:val="008E7A60"/>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4889"/>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1F78"/>
    <w:rsid w:val="0096374E"/>
    <w:rsid w:val="00964857"/>
    <w:rsid w:val="0096578D"/>
    <w:rsid w:val="00970741"/>
    <w:rsid w:val="00971353"/>
    <w:rsid w:val="009720A1"/>
    <w:rsid w:val="009758FE"/>
    <w:rsid w:val="0097670C"/>
    <w:rsid w:val="0098128D"/>
    <w:rsid w:val="00983565"/>
    <w:rsid w:val="00984E70"/>
    <w:rsid w:val="009868C1"/>
    <w:rsid w:val="00986A09"/>
    <w:rsid w:val="00986B56"/>
    <w:rsid w:val="00987371"/>
    <w:rsid w:val="00987F3D"/>
    <w:rsid w:val="00992A59"/>
    <w:rsid w:val="00992B45"/>
    <w:rsid w:val="00992E3C"/>
    <w:rsid w:val="00993CE7"/>
    <w:rsid w:val="0099474C"/>
    <w:rsid w:val="00994907"/>
    <w:rsid w:val="00994E1A"/>
    <w:rsid w:val="009951C0"/>
    <w:rsid w:val="0099571E"/>
    <w:rsid w:val="0099686B"/>
    <w:rsid w:val="009973E0"/>
    <w:rsid w:val="009A3DB8"/>
    <w:rsid w:val="009B11CA"/>
    <w:rsid w:val="009B3814"/>
    <w:rsid w:val="009B3ECF"/>
    <w:rsid w:val="009B6F9F"/>
    <w:rsid w:val="009B7A61"/>
    <w:rsid w:val="009B7F6F"/>
    <w:rsid w:val="009C3894"/>
    <w:rsid w:val="009C693E"/>
    <w:rsid w:val="009D1777"/>
    <w:rsid w:val="009D17DE"/>
    <w:rsid w:val="009D2A9C"/>
    <w:rsid w:val="009D5EDF"/>
    <w:rsid w:val="009D6B9C"/>
    <w:rsid w:val="009D71B7"/>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110A"/>
    <w:rsid w:val="00A12D46"/>
    <w:rsid w:val="00A12E42"/>
    <w:rsid w:val="00A12FBE"/>
    <w:rsid w:val="00A13CA0"/>
    <w:rsid w:val="00A15C67"/>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69AC"/>
    <w:rsid w:val="00A47BDA"/>
    <w:rsid w:val="00A5091C"/>
    <w:rsid w:val="00A51602"/>
    <w:rsid w:val="00A52D73"/>
    <w:rsid w:val="00A52E7A"/>
    <w:rsid w:val="00A53D7A"/>
    <w:rsid w:val="00A575B6"/>
    <w:rsid w:val="00A60061"/>
    <w:rsid w:val="00A60229"/>
    <w:rsid w:val="00A60A1E"/>
    <w:rsid w:val="00A6250B"/>
    <w:rsid w:val="00A63795"/>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68A"/>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47D0"/>
    <w:rsid w:val="00AB53F6"/>
    <w:rsid w:val="00AC13D0"/>
    <w:rsid w:val="00AC1B90"/>
    <w:rsid w:val="00AC24C6"/>
    <w:rsid w:val="00AC2B05"/>
    <w:rsid w:val="00AC2DB7"/>
    <w:rsid w:val="00AC34F9"/>
    <w:rsid w:val="00AC3D0C"/>
    <w:rsid w:val="00AC46DF"/>
    <w:rsid w:val="00AD3D7B"/>
    <w:rsid w:val="00AD5158"/>
    <w:rsid w:val="00AD552A"/>
    <w:rsid w:val="00AD77E2"/>
    <w:rsid w:val="00AE0B41"/>
    <w:rsid w:val="00AE35CD"/>
    <w:rsid w:val="00AE6937"/>
    <w:rsid w:val="00AE70CA"/>
    <w:rsid w:val="00AE725B"/>
    <w:rsid w:val="00AE7584"/>
    <w:rsid w:val="00AF199A"/>
    <w:rsid w:val="00AF1AD0"/>
    <w:rsid w:val="00AF27C6"/>
    <w:rsid w:val="00B00B01"/>
    <w:rsid w:val="00B014FD"/>
    <w:rsid w:val="00B036C7"/>
    <w:rsid w:val="00B068A3"/>
    <w:rsid w:val="00B06A41"/>
    <w:rsid w:val="00B1067D"/>
    <w:rsid w:val="00B11312"/>
    <w:rsid w:val="00B11417"/>
    <w:rsid w:val="00B11C7C"/>
    <w:rsid w:val="00B11D95"/>
    <w:rsid w:val="00B11EAB"/>
    <w:rsid w:val="00B12422"/>
    <w:rsid w:val="00B131AC"/>
    <w:rsid w:val="00B13ECC"/>
    <w:rsid w:val="00B175C9"/>
    <w:rsid w:val="00B21760"/>
    <w:rsid w:val="00B25DC6"/>
    <w:rsid w:val="00B34F56"/>
    <w:rsid w:val="00B35DA3"/>
    <w:rsid w:val="00B35DE7"/>
    <w:rsid w:val="00B405D1"/>
    <w:rsid w:val="00B45EA2"/>
    <w:rsid w:val="00B46FD5"/>
    <w:rsid w:val="00B47395"/>
    <w:rsid w:val="00B508E6"/>
    <w:rsid w:val="00B510FF"/>
    <w:rsid w:val="00B51417"/>
    <w:rsid w:val="00B52BFD"/>
    <w:rsid w:val="00B53022"/>
    <w:rsid w:val="00B53834"/>
    <w:rsid w:val="00B55ADD"/>
    <w:rsid w:val="00B60700"/>
    <w:rsid w:val="00B648B0"/>
    <w:rsid w:val="00B64C37"/>
    <w:rsid w:val="00B65288"/>
    <w:rsid w:val="00B65E6D"/>
    <w:rsid w:val="00B66E4F"/>
    <w:rsid w:val="00B67090"/>
    <w:rsid w:val="00B72149"/>
    <w:rsid w:val="00B8070D"/>
    <w:rsid w:val="00B81164"/>
    <w:rsid w:val="00B81637"/>
    <w:rsid w:val="00B84181"/>
    <w:rsid w:val="00B85EC2"/>
    <w:rsid w:val="00B85F14"/>
    <w:rsid w:val="00B86999"/>
    <w:rsid w:val="00B91C7A"/>
    <w:rsid w:val="00B9259A"/>
    <w:rsid w:val="00B9259F"/>
    <w:rsid w:val="00B92EC9"/>
    <w:rsid w:val="00B954A7"/>
    <w:rsid w:val="00B95E1D"/>
    <w:rsid w:val="00B95E25"/>
    <w:rsid w:val="00B96D76"/>
    <w:rsid w:val="00BA0C80"/>
    <w:rsid w:val="00BA2283"/>
    <w:rsid w:val="00BA2AF1"/>
    <w:rsid w:val="00BA3C47"/>
    <w:rsid w:val="00BA7A21"/>
    <w:rsid w:val="00BB0656"/>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BF693A"/>
    <w:rsid w:val="00C005F4"/>
    <w:rsid w:val="00C019E1"/>
    <w:rsid w:val="00C044B3"/>
    <w:rsid w:val="00C04580"/>
    <w:rsid w:val="00C05D2A"/>
    <w:rsid w:val="00C06A05"/>
    <w:rsid w:val="00C10E14"/>
    <w:rsid w:val="00C134E5"/>
    <w:rsid w:val="00C140BE"/>
    <w:rsid w:val="00C14451"/>
    <w:rsid w:val="00C14D35"/>
    <w:rsid w:val="00C16F9C"/>
    <w:rsid w:val="00C20635"/>
    <w:rsid w:val="00C209BD"/>
    <w:rsid w:val="00C221E9"/>
    <w:rsid w:val="00C22BCE"/>
    <w:rsid w:val="00C245D7"/>
    <w:rsid w:val="00C24ECC"/>
    <w:rsid w:val="00C266D5"/>
    <w:rsid w:val="00C26832"/>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2479"/>
    <w:rsid w:val="00C86D24"/>
    <w:rsid w:val="00C90434"/>
    <w:rsid w:val="00C944E4"/>
    <w:rsid w:val="00C95048"/>
    <w:rsid w:val="00C959DA"/>
    <w:rsid w:val="00C96A79"/>
    <w:rsid w:val="00CA285D"/>
    <w:rsid w:val="00CA3796"/>
    <w:rsid w:val="00CA56D0"/>
    <w:rsid w:val="00CA5797"/>
    <w:rsid w:val="00CB0D20"/>
    <w:rsid w:val="00CB1D8E"/>
    <w:rsid w:val="00CB4B59"/>
    <w:rsid w:val="00CB7159"/>
    <w:rsid w:val="00CC0B86"/>
    <w:rsid w:val="00CC0F41"/>
    <w:rsid w:val="00CC2105"/>
    <w:rsid w:val="00CC2945"/>
    <w:rsid w:val="00CC3999"/>
    <w:rsid w:val="00CC46F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2A10"/>
    <w:rsid w:val="00CF3C29"/>
    <w:rsid w:val="00CF4508"/>
    <w:rsid w:val="00CF632D"/>
    <w:rsid w:val="00CF73EB"/>
    <w:rsid w:val="00CF7AF6"/>
    <w:rsid w:val="00CF7E94"/>
    <w:rsid w:val="00D00D06"/>
    <w:rsid w:val="00D01FA9"/>
    <w:rsid w:val="00D03123"/>
    <w:rsid w:val="00D03D5E"/>
    <w:rsid w:val="00D1159B"/>
    <w:rsid w:val="00D11CAB"/>
    <w:rsid w:val="00D11D37"/>
    <w:rsid w:val="00D14EC3"/>
    <w:rsid w:val="00D150E8"/>
    <w:rsid w:val="00D17431"/>
    <w:rsid w:val="00D17E00"/>
    <w:rsid w:val="00D2045F"/>
    <w:rsid w:val="00D213AF"/>
    <w:rsid w:val="00D22F35"/>
    <w:rsid w:val="00D246EB"/>
    <w:rsid w:val="00D25F1F"/>
    <w:rsid w:val="00D27621"/>
    <w:rsid w:val="00D303E6"/>
    <w:rsid w:val="00D3203C"/>
    <w:rsid w:val="00D331F9"/>
    <w:rsid w:val="00D37014"/>
    <w:rsid w:val="00D409F5"/>
    <w:rsid w:val="00D40CD3"/>
    <w:rsid w:val="00D420B1"/>
    <w:rsid w:val="00D43462"/>
    <w:rsid w:val="00D4762B"/>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13"/>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C680D"/>
    <w:rsid w:val="00DD0334"/>
    <w:rsid w:val="00DD0440"/>
    <w:rsid w:val="00DD0CE1"/>
    <w:rsid w:val="00DD101C"/>
    <w:rsid w:val="00DD545F"/>
    <w:rsid w:val="00DD7EB6"/>
    <w:rsid w:val="00DD7FD5"/>
    <w:rsid w:val="00DE0D1E"/>
    <w:rsid w:val="00DE1AE2"/>
    <w:rsid w:val="00DE21F4"/>
    <w:rsid w:val="00DE2886"/>
    <w:rsid w:val="00DE2D3F"/>
    <w:rsid w:val="00DE30C2"/>
    <w:rsid w:val="00DE68B8"/>
    <w:rsid w:val="00DF00FC"/>
    <w:rsid w:val="00DF0701"/>
    <w:rsid w:val="00DF1C03"/>
    <w:rsid w:val="00DF4C73"/>
    <w:rsid w:val="00DF667A"/>
    <w:rsid w:val="00DF689D"/>
    <w:rsid w:val="00DF788F"/>
    <w:rsid w:val="00DF7C2B"/>
    <w:rsid w:val="00E02B51"/>
    <w:rsid w:val="00E02CB5"/>
    <w:rsid w:val="00E03A90"/>
    <w:rsid w:val="00E065DC"/>
    <w:rsid w:val="00E07F05"/>
    <w:rsid w:val="00E10666"/>
    <w:rsid w:val="00E10689"/>
    <w:rsid w:val="00E10814"/>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2CD6"/>
    <w:rsid w:val="00E332EE"/>
    <w:rsid w:val="00E33A2C"/>
    <w:rsid w:val="00E348BE"/>
    <w:rsid w:val="00E374AB"/>
    <w:rsid w:val="00E40790"/>
    <w:rsid w:val="00E40C8C"/>
    <w:rsid w:val="00E41DBE"/>
    <w:rsid w:val="00E420DC"/>
    <w:rsid w:val="00E5053E"/>
    <w:rsid w:val="00E51493"/>
    <w:rsid w:val="00E5267F"/>
    <w:rsid w:val="00E53EEB"/>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4723"/>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EF725D"/>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8B2"/>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758"/>
    <w:rsid w:val="00F86CA4"/>
    <w:rsid w:val="00F87DB5"/>
    <w:rsid w:val="00F91DDC"/>
    <w:rsid w:val="00F92196"/>
    <w:rsid w:val="00F92AB2"/>
    <w:rsid w:val="00F9535F"/>
    <w:rsid w:val="00F978D0"/>
    <w:rsid w:val="00F97F73"/>
    <w:rsid w:val="00FA1DFC"/>
    <w:rsid w:val="00FA1EFA"/>
    <w:rsid w:val="00FA3BB1"/>
    <w:rsid w:val="00FA4EE1"/>
    <w:rsid w:val="00FA4FB5"/>
    <w:rsid w:val="00FA54D8"/>
    <w:rsid w:val="00FB0B8D"/>
    <w:rsid w:val="00FB1178"/>
    <w:rsid w:val="00FB3DD0"/>
    <w:rsid w:val="00FB4F33"/>
    <w:rsid w:val="00FB763B"/>
    <w:rsid w:val="00FC166E"/>
    <w:rsid w:val="00FC1FA0"/>
    <w:rsid w:val="00FC20B4"/>
    <w:rsid w:val="00FD023D"/>
    <w:rsid w:val="00FD198A"/>
    <w:rsid w:val="00FD1A76"/>
    <w:rsid w:val="00FD45B0"/>
    <w:rsid w:val="00FD4F80"/>
    <w:rsid w:val="00FD5A4F"/>
    <w:rsid w:val="00FD63C9"/>
    <w:rsid w:val="00FD6BED"/>
    <w:rsid w:val="00FD71FA"/>
    <w:rsid w:val="00FE0543"/>
    <w:rsid w:val="00FE119C"/>
    <w:rsid w:val="00FE1233"/>
    <w:rsid w:val="00FE1245"/>
    <w:rsid w:val="00FE1F2A"/>
    <w:rsid w:val="00FE657B"/>
    <w:rsid w:val="00FE6801"/>
    <w:rsid w:val="00FE6F11"/>
    <w:rsid w:val="00FF0693"/>
    <w:rsid w:val="00FF0BFC"/>
    <w:rsid w:val="00FF1296"/>
    <w:rsid w:val="00FF1503"/>
    <w:rsid w:val="00FF1EC0"/>
    <w:rsid w:val="00FF4A5C"/>
    <w:rsid w:val="00FF4CB6"/>
    <w:rsid w:val="00FF5494"/>
    <w:rsid w:val="00FF61ED"/>
    <w:rsid w:val="00FF64B0"/>
    <w:rsid w:val="00FF74F8"/>
    <w:rsid w:val="560F3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7"/>
    <w:uiPriority w:val="0"/>
    <w:rPr>
      <w:rFonts w:ascii="宋体"/>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uiPriority w:val="0"/>
  </w:style>
  <w:style w:type="character" w:customStyle="1" w:styleId="12">
    <w:name w:val="标题 1 Char"/>
    <w:link w:val="2"/>
    <w:uiPriority w:val="0"/>
    <w:rPr>
      <w:b/>
      <w:bCs/>
      <w:kern w:val="44"/>
      <w:sz w:val="44"/>
      <w:szCs w:val="44"/>
    </w:rPr>
  </w:style>
  <w:style w:type="character" w:customStyle="1" w:styleId="13">
    <w:name w:val="标题 2 Char"/>
    <w:link w:val="3"/>
    <w:uiPriority w:val="0"/>
    <w:rPr>
      <w:rFonts w:ascii="Arial" w:hAnsi="Arial" w:eastAsia="黑体"/>
      <w:b/>
      <w:bCs/>
      <w:kern w:val="2"/>
      <w:sz w:val="32"/>
      <w:szCs w:val="32"/>
    </w:rPr>
  </w:style>
  <w:style w:type="character" w:customStyle="1" w:styleId="14">
    <w:name w:val="jq4图片注释 Char"/>
    <w:link w:val="15"/>
    <w:uiPriority w:val="0"/>
    <w:rPr>
      <w:rFonts w:eastAsia="Times New Roman"/>
      <w:sz w:val="18"/>
      <w:szCs w:val="24"/>
      <w:lang w:val="en-US" w:eastAsia="zh-CN" w:bidi="ar-SA"/>
    </w:rPr>
  </w:style>
  <w:style w:type="paragraph" w:customStyle="1" w:styleId="15">
    <w:name w:val="jq4图片注释"/>
    <w:next w:val="1"/>
    <w:link w:val="14"/>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6">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7">
    <w:name w:val="文档结构图 Char"/>
    <w:link w:val="4"/>
    <w:uiPriority w:val="0"/>
    <w:rPr>
      <w:rFonts w:ascii="宋体" w:hAnsi="Calibri" w:cs="黑体"/>
      <w:kern w:val="2"/>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E2D9C-8305-4A99-95D4-2850B9CFD6C4}">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26</Pages>
  <Words>6853</Words>
  <Characters>8688</Characters>
  <Lines>78</Lines>
  <Paragraphs>22</Paragraphs>
  <TotalTime>1595</TotalTime>
  <ScaleCrop>false</ScaleCrop>
  <LinksUpToDate>false</LinksUpToDate>
  <CharactersWithSpaces>9291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2022-08-17T07:11:00Z</dcterms:created>
  <dc:creator>user</dc:creator>
  <cp:lastModifiedBy>WPS_1666503683</cp:lastModifiedBy>
  <cp:lastPrinted>2021-08-16T02:26:00Z</cp:lastPrinted>
  <dcterms:modified xsi:type="dcterms:W3CDTF">2022-08-25T03:11:30Z</dcterms:modified>
  <dc:title>附件2：预算主管部门公开样张</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BB3DB8EDD80E4F2896C3BB5F709D6149</vt:lpwstr>
  </property>
</Properties>
</file>