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rPr>
          <w:rFonts w:ascii="黑体" w:eastAsia="黑体"/>
          <w:sz w:val="28"/>
          <w:szCs w:val="32"/>
        </w:rPr>
      </w:pPr>
    </w:p>
    <w:p>
      <w:pPr>
        <w:adjustRightInd w:val="0"/>
        <w:snapToGrid w:val="0"/>
        <w:spacing w:line="336" w:lineRule="auto"/>
        <w:rPr>
          <w:rFonts w:ascii="黑体" w:eastAsia="黑体"/>
          <w:sz w:val="28"/>
          <w:szCs w:val="32"/>
        </w:rPr>
      </w:pPr>
    </w:p>
    <w:p>
      <w:pPr>
        <w:adjustRightInd w:val="0"/>
        <w:snapToGrid w:val="0"/>
        <w:spacing w:line="336" w:lineRule="auto"/>
        <w:rPr>
          <w:rFonts w:ascii="黑体" w:eastAsia="黑体"/>
          <w:sz w:val="28"/>
          <w:szCs w:val="32"/>
        </w:rPr>
      </w:pPr>
    </w:p>
    <w:p>
      <w:pPr>
        <w:adjustRightInd w:val="0"/>
        <w:snapToGrid w:val="0"/>
        <w:spacing w:line="336" w:lineRule="auto"/>
        <w:rPr>
          <w:rFonts w:ascii="黑体" w:eastAsia="黑体"/>
          <w:sz w:val="18"/>
          <w:szCs w:val="18"/>
        </w:rPr>
      </w:pPr>
    </w:p>
    <w:p>
      <w:pPr>
        <w:adjustRightInd w:val="0"/>
        <w:snapToGrid w:val="0"/>
        <w:spacing w:line="100" w:lineRule="exact"/>
        <w:rPr>
          <w:rFonts w:ascii="黑体" w:eastAsia="黑体"/>
          <w:sz w:val="28"/>
          <w:szCs w:val="32"/>
        </w:rPr>
      </w:pPr>
    </w:p>
    <w:p>
      <w:pPr>
        <w:jc w:val="center"/>
        <w:rPr>
          <w:rFonts w:ascii="方正小标宋简体" w:hAnsi="宋体" w:eastAsia="方正小标宋简体"/>
          <w:color w:val="FF0000"/>
          <w:spacing w:val="-20"/>
          <w:sz w:val="60"/>
          <w:szCs w:val="60"/>
        </w:rPr>
      </w:pPr>
      <w:r>
        <w:rPr>
          <w:rFonts w:hint="eastAsia" w:ascii="方正小标宋简体" w:hAnsi="宋体" w:eastAsia="方正小标宋简体"/>
          <w:color w:val="FF0000"/>
          <w:spacing w:val="-20"/>
          <w:sz w:val="60"/>
          <w:szCs w:val="60"/>
        </w:rPr>
        <w:t>上海市崇明区市场监督管理局文件</w:t>
      </w:r>
    </w:p>
    <w:p>
      <w:pPr>
        <w:tabs>
          <w:tab w:val="left" w:pos="790"/>
        </w:tabs>
        <w:adjustRightInd w:val="0"/>
        <w:snapToGrid w:val="0"/>
        <w:spacing w:line="252" w:lineRule="auto"/>
        <w:rPr>
          <w:rFonts w:ascii="黑体" w:eastAsia="黑体"/>
          <w:sz w:val="28"/>
          <w:szCs w:val="32"/>
        </w:rPr>
      </w:pPr>
    </w:p>
    <w:p>
      <w:pPr>
        <w:tabs>
          <w:tab w:val="left" w:pos="790"/>
        </w:tabs>
        <w:adjustRightInd w:val="0"/>
        <w:snapToGrid w:val="0"/>
        <w:spacing w:line="252" w:lineRule="auto"/>
        <w:jc w:val="center"/>
        <w:rPr>
          <w:rFonts w:ascii="黑体" w:eastAsia="黑体"/>
          <w:sz w:val="28"/>
          <w:szCs w:val="32"/>
        </w:rPr>
      </w:pPr>
    </w:p>
    <w:p>
      <w:pPr>
        <w:tabs>
          <w:tab w:val="left" w:pos="790"/>
        </w:tabs>
        <w:adjustRightInd w:val="0"/>
        <w:snapToGrid w:val="0"/>
        <w:spacing w:line="336" w:lineRule="auto"/>
        <w:jc w:val="center"/>
        <w:rPr>
          <w:szCs w:val="32"/>
        </w:rPr>
      </w:pPr>
      <w:bookmarkStart w:id="0" w:name="_GoBack"/>
      <w:r>
        <w:rPr>
          <w:rFonts w:hint="eastAsia"/>
          <w:szCs w:val="32"/>
        </w:rPr>
        <w:t>沪崇市监信用〔</w:t>
      </w:r>
      <w:r>
        <w:rPr>
          <w:szCs w:val="32"/>
        </w:rPr>
        <w:t>20</w:t>
      </w:r>
      <w:r>
        <w:rPr>
          <w:rFonts w:hint="eastAsia"/>
          <w:szCs w:val="32"/>
        </w:rPr>
        <w:t>22〕36号</w:t>
      </w:r>
    </w:p>
    <w:bookmarkEnd w:id="0"/>
    <w:p>
      <w:pPr>
        <w:tabs>
          <w:tab w:val="left" w:pos="790"/>
        </w:tabs>
        <w:adjustRightInd w:val="0"/>
        <w:snapToGrid w:val="0"/>
        <w:spacing w:line="336" w:lineRule="auto"/>
        <w:jc w:val="center"/>
        <w:rPr>
          <w:szCs w:val="30"/>
        </w:rPr>
      </w:pPr>
      <w:r>
        <w:rPr>
          <w:rFonts w:ascii="Calibri" w:eastAsia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17145</wp:posOffset>
                </wp:positionV>
                <wp:extent cx="5615940" cy="0"/>
                <wp:effectExtent l="0" t="9525" r="3810" b="952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05pt;margin-top:1.35pt;height:0pt;width:442.2pt;z-index:251660288;mso-width-relative:page;mso-height-relative:page;" filled="f" stroked="t" coordsize="21600,21600" o:gfxdata="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JiJjAPTAAAABAEA&#10;AA8AAAAAAAAAAQAgAAAAOAAAAGRycy9kb3ducmV2LnhtbFBLAQIUABQAAAAIAIdO4kD6Ka4k0AEA&#10;AJEDAAAOAAAAAAAAAAEAIAAAADgBAABkcnMvZTJvRG9jLnhtbFBLBQYAAAAABgAGAFkBAAB6BQAA&#10;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790"/>
        </w:tabs>
        <w:adjustRightInd w:val="0"/>
        <w:snapToGrid w:val="0"/>
        <w:spacing w:line="336" w:lineRule="auto"/>
        <w:jc w:val="center"/>
        <w:rPr>
          <w:szCs w:val="30"/>
        </w:rPr>
      </w:pPr>
    </w:p>
    <w:p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上海市崇明区市场监督管理局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关于2021年度年报公示进展情况的通报</w:t>
      </w:r>
    </w:p>
    <w:p>
      <w:pPr>
        <w:spacing w:line="560" w:lineRule="exact"/>
        <w:jc w:val="center"/>
        <w:rPr>
          <w:szCs w:val="32"/>
        </w:rPr>
      </w:pPr>
    </w:p>
    <w:p>
      <w:pPr>
        <w:adjustRightInd w:val="0"/>
        <w:snapToGrid w:val="0"/>
        <w:spacing w:line="560" w:lineRule="exact"/>
        <w:rPr>
          <w:rFonts w:hAnsi="宋体"/>
          <w:szCs w:val="32"/>
        </w:rPr>
      </w:pPr>
      <w:r>
        <w:rPr>
          <w:rFonts w:hint="eastAsia" w:hAnsi="宋体"/>
          <w:szCs w:val="32"/>
        </w:rPr>
        <w:t>各乡、镇人民政府，各经济园区：</w:t>
      </w:r>
    </w:p>
    <w:p>
      <w:pPr>
        <w:adjustRightInd w:val="0"/>
        <w:snapToGrid w:val="0"/>
        <w:spacing w:line="560" w:lineRule="exact"/>
        <w:ind w:firstLine="624"/>
        <w:rPr>
          <w:rFonts w:hAnsi="宋体"/>
          <w:szCs w:val="32"/>
        </w:rPr>
      </w:pPr>
      <w:r>
        <w:rPr>
          <w:rFonts w:hint="eastAsia"/>
          <w:szCs w:val="32"/>
        </w:rPr>
        <w:t>截至7月31日，全区共有</w:t>
      </w:r>
      <w:r>
        <w:rPr>
          <w:szCs w:val="32"/>
        </w:rPr>
        <w:t>234327</w:t>
      </w:r>
      <w:r>
        <w:rPr>
          <w:rFonts w:hint="eastAsia" w:hAnsi="宋体"/>
          <w:szCs w:val="32"/>
        </w:rPr>
        <w:t>户企业完成了年报公示，公示率为</w:t>
      </w:r>
      <w:r>
        <w:rPr>
          <w:rFonts w:hAnsi="宋体"/>
          <w:szCs w:val="32"/>
        </w:rPr>
        <w:t>86.99%</w:t>
      </w:r>
      <w:r>
        <w:rPr>
          <w:rFonts w:hint="eastAsia" w:hAnsi="宋体"/>
          <w:szCs w:val="32"/>
        </w:rPr>
        <w:t>,比全市平均公示率高2.33个百分点。其中供销经济开发区、中兴镇、东平镇、新村乡</w:t>
      </w:r>
      <w:r>
        <w:rPr>
          <w:rFonts w:hint="eastAsia" w:hAnsi="宋体"/>
          <w:color w:val="000000"/>
          <w:szCs w:val="32"/>
        </w:rPr>
        <w:t>工作推进较好，年报公示率已达90%以上。7月份企业年报公示率仅增长</w:t>
      </w:r>
      <w:r>
        <w:rPr>
          <w:rFonts w:hint="eastAsia"/>
          <w:szCs w:val="32"/>
        </w:rPr>
        <w:t>5.14%，总体推进较缓慢</w:t>
      </w:r>
      <w:r>
        <w:rPr>
          <w:rFonts w:hint="eastAsia" w:hAnsi="宋体"/>
          <w:color w:val="000000"/>
          <w:szCs w:val="32"/>
        </w:rPr>
        <w:t>，</w:t>
      </w:r>
      <w:r>
        <w:rPr>
          <w:rFonts w:hint="eastAsia"/>
          <w:szCs w:val="32"/>
        </w:rPr>
        <w:t>目前尚有34017户企业未完成年报申报，距离去年年报公示率有较大差距，</w:t>
      </w:r>
      <w:r>
        <w:rPr>
          <w:rFonts w:hint="eastAsia" w:hAnsi="宋体"/>
          <w:color w:val="000000"/>
          <w:szCs w:val="32"/>
        </w:rPr>
        <w:t>望进一步加大工作力度。</w:t>
      </w:r>
    </w:p>
    <w:p>
      <w:pPr>
        <w:adjustRightInd w:val="0"/>
        <w:snapToGrid w:val="0"/>
        <w:spacing w:line="560" w:lineRule="exact"/>
        <w:ind w:firstLine="624"/>
        <w:rPr>
          <w:rFonts w:hAnsi="宋体"/>
          <w:szCs w:val="32"/>
        </w:rPr>
      </w:pPr>
      <w:r>
        <w:rPr>
          <w:rFonts w:hint="eastAsia" w:hAnsi="宋体"/>
          <w:szCs w:val="32"/>
        </w:rPr>
        <w:t>同时有</w:t>
      </w:r>
      <w:r>
        <w:rPr>
          <w:rFonts w:hAnsi="宋体"/>
          <w:szCs w:val="32"/>
        </w:rPr>
        <w:t>1959</w:t>
      </w:r>
      <w:r>
        <w:rPr>
          <w:rFonts w:hint="eastAsia" w:hAnsi="宋体"/>
          <w:color w:val="000000"/>
          <w:szCs w:val="32"/>
        </w:rPr>
        <w:t>户</w:t>
      </w:r>
      <w:r>
        <w:rPr>
          <w:rFonts w:hint="eastAsia" w:hAnsi="宋体"/>
          <w:szCs w:val="32"/>
        </w:rPr>
        <w:t>农民专业合作社完成了年报公示，公示率为</w:t>
      </w:r>
      <w:r>
        <w:rPr>
          <w:rFonts w:hAnsi="宋体"/>
          <w:szCs w:val="32"/>
        </w:rPr>
        <w:t>93.78%</w:t>
      </w:r>
      <w:r>
        <w:rPr>
          <w:rFonts w:hint="eastAsia" w:hAnsi="宋体"/>
          <w:szCs w:val="32"/>
        </w:rPr>
        <w:t>；</w:t>
      </w:r>
      <w:r>
        <w:rPr>
          <w:rFonts w:hAnsi="宋体"/>
          <w:szCs w:val="32"/>
        </w:rPr>
        <w:t>24459</w:t>
      </w:r>
      <w:r>
        <w:rPr>
          <w:rFonts w:hint="eastAsia" w:hAnsi="宋体"/>
          <w:szCs w:val="32"/>
        </w:rPr>
        <w:t>户个体工商户提交了年度报告，年报率为</w:t>
      </w:r>
      <w:r>
        <w:rPr>
          <w:rFonts w:hAnsi="宋体"/>
          <w:szCs w:val="32"/>
        </w:rPr>
        <w:t>85.87%</w:t>
      </w:r>
      <w:r>
        <w:rPr>
          <w:rFonts w:hint="eastAsia" w:hAnsi="宋体"/>
          <w:szCs w:val="32"/>
        </w:rPr>
        <w:t>。</w:t>
      </w:r>
    </w:p>
    <w:p>
      <w:pPr>
        <w:adjustRightInd w:val="0"/>
        <w:snapToGrid w:val="0"/>
        <w:spacing w:line="560" w:lineRule="exact"/>
        <w:ind w:firstLine="624"/>
        <w:rPr>
          <w:szCs w:val="32"/>
        </w:rPr>
      </w:pPr>
      <w:r>
        <w:rPr>
          <w:rFonts w:hint="eastAsia" w:hAnsi="宋体"/>
          <w:szCs w:val="32"/>
        </w:rPr>
        <w:t>现将截至2022年7月31日本区年报公示情况进行通报，请继续抓好相关工作。</w:t>
      </w:r>
    </w:p>
    <w:p>
      <w:pPr>
        <w:adjustRightInd w:val="0"/>
        <w:snapToGrid w:val="0"/>
        <w:spacing w:line="560" w:lineRule="exact"/>
        <w:ind w:firstLine="624"/>
        <w:rPr>
          <w:szCs w:val="32"/>
        </w:rPr>
      </w:pPr>
    </w:p>
    <w:p>
      <w:pPr>
        <w:tabs>
          <w:tab w:val="left" w:pos="790"/>
          <w:tab w:val="left" w:pos="948"/>
        </w:tabs>
        <w:adjustRightInd w:val="0"/>
        <w:snapToGrid w:val="0"/>
        <w:spacing w:line="560" w:lineRule="exact"/>
        <w:ind w:firstLine="640" w:firstLineChars="200"/>
        <w:rPr>
          <w:rFonts w:hAnsi="宋体"/>
          <w:szCs w:val="30"/>
        </w:rPr>
      </w:pPr>
      <w:r>
        <w:rPr>
          <w:rFonts w:hint="eastAsia" w:hAnsi="宋体"/>
          <w:szCs w:val="32"/>
        </w:rPr>
        <w:t>附件：</w:t>
      </w:r>
      <w:r>
        <w:rPr>
          <w:rFonts w:hint="eastAsia" w:hAnsi="宋体"/>
          <w:szCs w:val="30"/>
        </w:rPr>
        <w:t>1.各乡镇2021年度企业年报公示率统计</w:t>
      </w:r>
    </w:p>
    <w:p>
      <w:pPr>
        <w:tabs>
          <w:tab w:val="left" w:pos="790"/>
          <w:tab w:val="left" w:pos="948"/>
        </w:tabs>
        <w:adjustRightInd w:val="0"/>
        <w:snapToGrid w:val="0"/>
        <w:spacing w:line="560" w:lineRule="exact"/>
        <w:ind w:firstLine="1600" w:firstLineChars="500"/>
        <w:rPr>
          <w:rFonts w:hAnsi="宋体"/>
          <w:szCs w:val="30"/>
        </w:rPr>
      </w:pPr>
      <w:r>
        <w:rPr>
          <w:rFonts w:hint="eastAsia" w:hAnsi="宋体"/>
          <w:szCs w:val="30"/>
        </w:rPr>
        <w:t>2.各招商主体2021年度企业年报公示率统计</w:t>
      </w:r>
    </w:p>
    <w:p>
      <w:pPr>
        <w:tabs>
          <w:tab w:val="left" w:pos="790"/>
          <w:tab w:val="left" w:pos="948"/>
        </w:tabs>
        <w:adjustRightInd w:val="0"/>
        <w:snapToGrid w:val="0"/>
        <w:spacing w:line="560" w:lineRule="exact"/>
        <w:ind w:firstLine="1600" w:firstLineChars="500"/>
        <w:rPr>
          <w:rFonts w:hAnsi="宋体"/>
          <w:szCs w:val="30"/>
        </w:rPr>
      </w:pPr>
      <w:r>
        <w:rPr>
          <w:rFonts w:hint="eastAsia" w:hAnsi="宋体"/>
          <w:szCs w:val="30"/>
        </w:rPr>
        <w:t>3.2021年度农民专业合作社年报公示率统计</w:t>
      </w:r>
    </w:p>
    <w:p>
      <w:pPr>
        <w:tabs>
          <w:tab w:val="left" w:pos="790"/>
          <w:tab w:val="left" w:pos="948"/>
        </w:tabs>
        <w:adjustRightInd w:val="0"/>
        <w:snapToGrid w:val="0"/>
        <w:spacing w:line="560" w:lineRule="exact"/>
        <w:ind w:firstLine="1600" w:firstLineChars="500"/>
        <w:rPr>
          <w:rFonts w:hAnsi="宋体"/>
          <w:szCs w:val="30"/>
        </w:rPr>
      </w:pPr>
      <w:r>
        <w:rPr>
          <w:rFonts w:hint="eastAsia" w:hAnsi="宋体"/>
          <w:szCs w:val="30"/>
        </w:rPr>
        <w:t>4.2021年度个体工商户年报率统计</w:t>
      </w:r>
    </w:p>
    <w:p>
      <w:pPr>
        <w:tabs>
          <w:tab w:val="left" w:pos="790"/>
          <w:tab w:val="left" w:pos="948"/>
        </w:tabs>
        <w:adjustRightInd w:val="0"/>
        <w:snapToGrid w:val="0"/>
        <w:spacing w:line="560" w:lineRule="exact"/>
        <w:ind w:firstLine="1600" w:firstLineChars="500"/>
        <w:rPr>
          <w:rFonts w:hAnsi="宋体"/>
          <w:szCs w:val="30"/>
        </w:rPr>
      </w:pPr>
    </w:p>
    <w:p>
      <w:pPr>
        <w:tabs>
          <w:tab w:val="left" w:pos="790"/>
          <w:tab w:val="left" w:pos="948"/>
        </w:tabs>
        <w:adjustRightInd w:val="0"/>
        <w:snapToGrid w:val="0"/>
        <w:spacing w:line="560" w:lineRule="exact"/>
        <w:ind w:firstLine="1600" w:firstLineChars="500"/>
        <w:rPr>
          <w:rFonts w:hAnsi="宋体"/>
          <w:szCs w:val="30"/>
        </w:rPr>
      </w:pPr>
    </w:p>
    <w:p>
      <w:pPr>
        <w:tabs>
          <w:tab w:val="left" w:pos="790"/>
          <w:tab w:val="left" w:pos="948"/>
        </w:tabs>
        <w:adjustRightInd w:val="0"/>
        <w:snapToGrid w:val="0"/>
        <w:spacing w:line="560" w:lineRule="exact"/>
        <w:ind w:firstLine="1600" w:firstLineChars="500"/>
        <w:rPr>
          <w:rFonts w:hAnsi="宋体"/>
          <w:szCs w:val="30"/>
        </w:rPr>
      </w:pPr>
    </w:p>
    <w:p>
      <w:pPr>
        <w:tabs>
          <w:tab w:val="left" w:pos="790"/>
          <w:tab w:val="left" w:pos="948"/>
        </w:tabs>
        <w:adjustRightInd w:val="0"/>
        <w:snapToGrid w:val="0"/>
        <w:spacing w:line="560" w:lineRule="exact"/>
        <w:ind w:firstLine="1600" w:firstLineChars="500"/>
        <w:jc w:val="right"/>
        <w:rPr>
          <w:rFonts w:hAnsi="宋体"/>
          <w:szCs w:val="30"/>
        </w:rPr>
      </w:pPr>
      <w:r>
        <w:rPr>
          <w:rFonts w:hint="eastAsia" w:hAnsi="宋体"/>
          <w:szCs w:val="30"/>
        </w:rPr>
        <w:t>上海市崇明区市场监督管理局</w:t>
      </w:r>
    </w:p>
    <w:p>
      <w:pPr>
        <w:tabs>
          <w:tab w:val="left" w:pos="790"/>
          <w:tab w:val="left" w:pos="948"/>
        </w:tabs>
        <w:adjustRightInd w:val="0"/>
        <w:snapToGrid w:val="0"/>
        <w:spacing w:line="560" w:lineRule="exact"/>
        <w:ind w:right="640" w:firstLine="1600" w:firstLineChars="500"/>
        <w:jc w:val="right"/>
        <w:rPr>
          <w:rFonts w:hAnsi="宋体"/>
          <w:szCs w:val="30"/>
        </w:rPr>
      </w:pPr>
      <w:r>
        <w:rPr>
          <w:rFonts w:hint="eastAsia" w:hAnsi="宋体"/>
          <w:szCs w:val="30"/>
        </w:rPr>
        <w:t>2022年8月1日</w:t>
      </w:r>
    </w:p>
    <w:p>
      <w:pPr>
        <w:widowControl/>
        <w:jc w:val="left"/>
        <w:rPr>
          <w:rFonts w:hAnsi="宋体"/>
          <w:szCs w:val="32"/>
        </w:rPr>
      </w:pPr>
      <w:r>
        <w:rPr>
          <w:rFonts w:hAnsi="宋体"/>
          <w:szCs w:val="32"/>
        </w:rPr>
        <w:br w:type="page"/>
      </w:r>
    </w:p>
    <w:p>
      <w:pPr>
        <w:widowControl/>
        <w:adjustRightInd w:val="0"/>
        <w:snapToGrid w:val="0"/>
        <w:spacing w:line="340" w:lineRule="exact"/>
        <w:jc w:val="left"/>
        <w:rPr>
          <w:sz w:val="28"/>
          <w:szCs w:val="28"/>
        </w:rPr>
      </w:pPr>
      <w:r>
        <w:rPr>
          <w:rFonts w:hint="eastAsia" w:ascii="黑体" w:hAnsi="宋体" w:eastAsia="黑体"/>
          <w:szCs w:val="30"/>
        </w:rPr>
        <w:t>附件1</w:t>
      </w:r>
    </w:p>
    <w:p>
      <w:pPr>
        <w:tabs>
          <w:tab w:val="left" w:pos="790"/>
        </w:tabs>
        <w:adjustRightInd w:val="0"/>
        <w:snapToGrid w:val="0"/>
        <w:spacing w:beforeLines="50" w:line="3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各乡镇</w:t>
      </w:r>
      <w:r>
        <w:rPr>
          <w:rFonts w:ascii="方正小标宋简体" w:hAnsi="宋体" w:eastAsia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sz w:val="44"/>
          <w:szCs w:val="44"/>
        </w:rPr>
        <w:t>21年度企业年报公示率统计</w:t>
      </w:r>
    </w:p>
    <w:p>
      <w:pPr>
        <w:widowControl/>
        <w:adjustRightInd w:val="0"/>
        <w:snapToGrid w:val="0"/>
        <w:jc w:val="center"/>
        <w:rPr>
          <w:rFonts w:ascii="楷体_GB2312" w:hAnsi="宋体" w:eastAsia="楷体_GB2312"/>
          <w:szCs w:val="30"/>
        </w:rPr>
      </w:pPr>
      <w:r>
        <w:rPr>
          <w:rFonts w:hint="eastAsia" w:ascii="楷体_GB2312" w:hAnsi="宋体" w:eastAsia="楷体_GB2312"/>
          <w:szCs w:val="30"/>
        </w:rPr>
        <w:t>（截至2022年7月31日）</w:t>
      </w:r>
    </w:p>
    <w:tbl>
      <w:tblPr>
        <w:tblStyle w:val="5"/>
        <w:tblW w:w="896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17"/>
        <w:gridCol w:w="1843"/>
        <w:gridCol w:w="1701"/>
        <w:gridCol w:w="1559"/>
        <w:gridCol w:w="15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顺次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乡  镇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应公示数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（户）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已公示数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（户）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公示率</w:t>
            </w: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2020年度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公示率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中兴镇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6328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5762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91.06%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97.20%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东平镇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2732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2477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90.67%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92.64%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新村乡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7325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6622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90.40%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96.95%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港西镇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3572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3185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89.17%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97.65%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港沿镇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8620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7681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89.11%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97.62%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横沙乡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42644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37886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88.84%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97.37%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陈家镇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5318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4678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87.97%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95.65%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向化镇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5760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5014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87.05%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97.42%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全区平均公示率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kern w:val="0"/>
                <w:sz w:val="28"/>
                <w:szCs w:val="28"/>
              </w:rPr>
              <w:t>269377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kern w:val="0"/>
                <w:sz w:val="28"/>
                <w:szCs w:val="28"/>
              </w:rPr>
              <w:t>234327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kern w:val="0"/>
                <w:sz w:val="28"/>
                <w:szCs w:val="28"/>
              </w:rPr>
              <w:t>86.99%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8"/>
                <w:szCs w:val="28"/>
              </w:rPr>
            </w:pPr>
            <w:r>
              <w:rPr>
                <w:rFonts w:hAnsi="宋体" w:cs="宋体"/>
                <w:b/>
                <w:kern w:val="0"/>
                <w:sz w:val="28"/>
                <w:szCs w:val="28"/>
              </w:rPr>
              <w:t>96.81%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长兴镇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58206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50458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86.69%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97.46%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城桥镇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7453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6441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86.42%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95.25%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新河镇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5676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4893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86.21%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95.72%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绿华镇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6910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5936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85.90%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96.42%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三星镇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12106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10393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85.85%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95.77%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竖新镇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7793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6679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85.71%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96.23%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堡  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9947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8392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84.37%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96.45%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庙  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6357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5301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83.39%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96.69%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建设镇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4885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4042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82.74%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95.58%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新海镇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3202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2643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82.54%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96.05%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其他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64543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55844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86.52%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96.49%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6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注：“其他”为10个非乡镇招商主体所含企业总数，不参与乡镇排名。</w:t>
            </w:r>
          </w:p>
        </w:tc>
      </w:tr>
    </w:tbl>
    <w:p>
      <w:pPr>
        <w:widowControl/>
        <w:jc w:val="left"/>
        <w:rPr>
          <w:rFonts w:ascii="黑体" w:hAnsi="宋体" w:eastAsia="黑体"/>
          <w:szCs w:val="30"/>
        </w:rPr>
      </w:pPr>
      <w:r>
        <w:rPr>
          <w:rFonts w:ascii="黑体" w:hAnsi="宋体" w:eastAsia="黑体"/>
          <w:szCs w:val="30"/>
        </w:rPr>
        <w:br w:type="page"/>
      </w:r>
    </w:p>
    <w:p>
      <w:pPr>
        <w:widowControl/>
        <w:jc w:val="left"/>
        <w:rPr>
          <w:rFonts w:ascii="黑体" w:hAnsi="宋体" w:eastAsia="黑体"/>
          <w:szCs w:val="30"/>
        </w:rPr>
      </w:pPr>
      <w:r>
        <w:rPr>
          <w:rFonts w:hint="eastAsia" w:ascii="黑体" w:hAnsi="宋体" w:eastAsia="黑体"/>
          <w:szCs w:val="30"/>
        </w:rPr>
        <w:t>附件2</w:t>
      </w:r>
    </w:p>
    <w:p>
      <w:pPr>
        <w:tabs>
          <w:tab w:val="left" w:pos="790"/>
        </w:tabs>
        <w:adjustRightInd w:val="0"/>
        <w:snapToGrid w:val="0"/>
        <w:spacing w:line="5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各招商主体2021年度企业年报公示率统计</w:t>
      </w:r>
    </w:p>
    <w:p>
      <w:pPr>
        <w:widowControl/>
        <w:jc w:val="center"/>
        <w:rPr>
          <w:rFonts w:ascii="楷体_GB2312" w:hAnsi="宋体" w:eastAsia="楷体_GB2312"/>
          <w:szCs w:val="30"/>
        </w:rPr>
      </w:pPr>
      <w:r>
        <w:rPr>
          <w:rFonts w:hint="eastAsia" w:ascii="楷体_GB2312" w:hAnsi="宋体" w:eastAsia="楷体_GB2312"/>
          <w:szCs w:val="30"/>
        </w:rPr>
        <w:t>（截至2022年7月31日）</w:t>
      </w:r>
    </w:p>
    <w:tbl>
      <w:tblPr>
        <w:tblStyle w:val="5"/>
        <w:tblW w:w="908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119"/>
        <w:gridCol w:w="1275"/>
        <w:gridCol w:w="1276"/>
        <w:gridCol w:w="1418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顺次</w:t>
            </w:r>
          </w:p>
        </w:tc>
        <w:tc>
          <w:tcPr>
            <w:tcW w:w="3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招商主体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应公示数（户）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已公示数（户）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公示率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2020年度</w:t>
            </w:r>
          </w:p>
          <w:p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公示率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上海崇明供销经济开发区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3198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2999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93.78%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98.46%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上海广福经济开发区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6088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5550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91.16%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97.31%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上海新村经济小区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7158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6477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90.49%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96.98%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上海东平经济小区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2613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2364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90.47%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92.70%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光明米业经济园区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5827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5220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89.58%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98.69%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上海港沿经济小区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8256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7345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88.97%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97.61%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上海津桥经济开发区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3352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2982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88.96%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97.70%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上海市崇明工业园区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11022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9801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88.92%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96.17%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上海横泰经济开发区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42058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37385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88.89%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97.41%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上海裕安经济小区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4782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4211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88.06%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95.75%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上海长江经济园区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4574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3988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87.19%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96.88%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上海永冠经济开发区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5549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4834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87.11%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97.36%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  <w:t>全区平均公示率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261370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227353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  <w:t>86.99%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96.86%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上海泰和经济发展区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57120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49579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86.80%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97.48%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上海智慧岛数据产业园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4911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4237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86.28%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92.66%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上海新河经济小区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5146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4436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86.20%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95.79%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上海市崇明现代农业园区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1493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1286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86.14%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92.58%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上海绿华经济开发区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6799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5842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85.92%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96.45%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上海三星经济小区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11839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10162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85.83%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95.89%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上海竖新经济开发区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7467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6395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85.64%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96.36%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上海富盛经济开发区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5412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4615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85.27%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96.26%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上海城桥经济开发区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6026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5135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85.21%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95.32%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上海崇明森林旅游园区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13516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11480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84.94%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95.71%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临港长兴科技园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10958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9222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84.16%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98.16%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上海堡镇经济小区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9265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7782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83.99%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96.57%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上海庙镇经济开发区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6028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5018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83.24%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96.92%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上海建设经济小区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4477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3710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82.87%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95.73%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上海长兴海洋装备产业基地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3632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2996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82.49%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96.73%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上海新海经济开发区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2804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2302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82.10%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96.33%</w:t>
            </w:r>
          </w:p>
        </w:tc>
      </w:tr>
    </w:tbl>
    <w:p>
      <w:pPr>
        <w:widowControl/>
        <w:jc w:val="left"/>
        <w:rPr>
          <w:rFonts w:ascii="黑体" w:hAnsi="宋体" w:eastAsia="黑体"/>
          <w:szCs w:val="30"/>
        </w:rPr>
      </w:pPr>
      <w:r>
        <w:rPr>
          <w:rFonts w:ascii="黑体" w:hAnsi="宋体" w:eastAsia="黑体"/>
          <w:szCs w:val="30"/>
        </w:rPr>
        <w:br w:type="page"/>
      </w:r>
    </w:p>
    <w:p>
      <w:pPr>
        <w:widowControl/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黑体" w:hAnsi="宋体" w:eastAsia="黑体"/>
          <w:szCs w:val="30"/>
        </w:rPr>
        <w:t>附件3</w:t>
      </w:r>
    </w:p>
    <w:p>
      <w:pPr>
        <w:tabs>
          <w:tab w:val="left" w:pos="790"/>
        </w:tabs>
        <w:adjustRightInd w:val="0"/>
        <w:snapToGrid w:val="0"/>
        <w:spacing w:beforeLines="5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sz w:val="44"/>
          <w:szCs w:val="44"/>
        </w:rPr>
        <w:t>21年度农民专业合作社年报公示率统计</w:t>
      </w:r>
    </w:p>
    <w:p>
      <w:pPr>
        <w:widowControl/>
        <w:jc w:val="center"/>
        <w:rPr>
          <w:rFonts w:ascii="楷体_GB2312" w:hAnsi="宋体" w:eastAsia="楷体_GB2312"/>
          <w:szCs w:val="30"/>
        </w:rPr>
      </w:pPr>
      <w:r>
        <w:rPr>
          <w:rFonts w:hint="eastAsia" w:ascii="楷体_GB2312" w:hAnsi="宋体" w:eastAsia="楷体_GB2312"/>
          <w:szCs w:val="30"/>
        </w:rPr>
        <w:t>（截至2022年7月31日）</w:t>
      </w:r>
    </w:p>
    <w:tbl>
      <w:tblPr>
        <w:tblStyle w:val="5"/>
        <w:tblW w:w="8805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76"/>
        <w:gridCol w:w="1701"/>
        <w:gridCol w:w="1842"/>
        <w:gridCol w:w="1560"/>
        <w:gridCol w:w="15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顺次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乡  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应公示数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（户）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已公示数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（户）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公示率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2020年度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公示率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新海镇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100.00%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100.00%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东平镇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100.00%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100.00%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建设镇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100.00%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100.00%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城桥镇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112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111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99.11%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98.15%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横沙乡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98.46%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100.00%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长兴镇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91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96.70%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97.65%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竖新镇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161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155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96.27%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95.86%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三星镇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97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95.88%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96.91%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绿华镇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112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107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95.54%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99.10%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新村乡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94.92%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94.74%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4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全区平均公示率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2089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1959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93.78%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97.21%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新河镇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109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102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93.58%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97.35%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堡  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144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134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93.06%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97.87%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向化镇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172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93.02%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97.19%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陈家镇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291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269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92.44%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96.96%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庙  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129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119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92.25%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93.60%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中兴镇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156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142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91.03%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97.63%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港沿镇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202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89.11%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97.58%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港西镇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86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76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88.37%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95.45%</w:t>
            </w:r>
          </w:p>
        </w:tc>
      </w:tr>
    </w:tbl>
    <w:p>
      <w:pPr>
        <w:widowControl/>
        <w:jc w:val="left"/>
      </w:pPr>
      <w:r>
        <w:br w:type="page"/>
      </w:r>
      <w:r>
        <w:rPr>
          <w:rFonts w:hint="eastAsia" w:ascii="黑体" w:hAnsi="宋体" w:eastAsia="黑体"/>
          <w:szCs w:val="30"/>
        </w:rPr>
        <w:t>附件4</w:t>
      </w:r>
    </w:p>
    <w:p>
      <w:pPr>
        <w:tabs>
          <w:tab w:val="left" w:pos="790"/>
        </w:tabs>
        <w:adjustRightInd w:val="0"/>
        <w:snapToGrid w:val="0"/>
        <w:spacing w:beforeLines="5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2021年度个体工商户年报率统计</w:t>
      </w:r>
    </w:p>
    <w:p>
      <w:pPr>
        <w:widowControl/>
        <w:jc w:val="center"/>
        <w:rPr>
          <w:rFonts w:ascii="宋体" w:hAnsi="宋体" w:eastAsia="宋体" w:cs="宋体"/>
          <w:kern w:val="0"/>
          <w:sz w:val="22"/>
        </w:rPr>
      </w:pPr>
      <w:r>
        <w:rPr>
          <w:rFonts w:hint="eastAsia" w:ascii="楷体_GB2312" w:hAnsi="宋体" w:eastAsia="楷体_GB2312"/>
          <w:szCs w:val="30"/>
        </w:rPr>
        <w:t>（截至2022年7月31日）</w:t>
      </w:r>
    </w:p>
    <w:tbl>
      <w:tblPr>
        <w:tblStyle w:val="5"/>
        <w:tblW w:w="8805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76"/>
        <w:gridCol w:w="1701"/>
        <w:gridCol w:w="1842"/>
        <w:gridCol w:w="1560"/>
        <w:gridCol w:w="15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顺次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乡  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应年报数（户）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已年报数（户）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年报率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2020年度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公示率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横沙乡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687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668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97.23%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97.95%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向化镇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1102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1067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96.82%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96.57%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三星镇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862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813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94.32%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92.56%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新海镇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340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312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91.76%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93.18%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港西镇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776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702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90.46%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92.45%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庙  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1589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1434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90.25%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93.18%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港沿镇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1441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1286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89.24%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95.56%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新村乡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172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153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88.95%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97.18%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绿华镇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312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276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88.46%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94.10%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中兴镇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1338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1171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87.52%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90.92%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城桥镇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5707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4965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87.00%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89.70%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4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全区平均年报率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28483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24459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85.87%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</w:rPr>
              <w:t>92.02%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堡  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2546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2184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85.78%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95.53%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陈家镇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3559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3015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84.71%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94.75%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建设镇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1422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1199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84.32%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91.93%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东平镇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475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396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83.37%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90.27%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新河镇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2016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1659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82.29%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91.17%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竖新镇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1689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1377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81.53%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92.07%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长兴镇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2450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1782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72.73%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83.96%</w:t>
            </w:r>
          </w:p>
        </w:tc>
      </w:tr>
    </w:tbl>
    <w:p>
      <w:pPr>
        <w:spacing w:line="560" w:lineRule="exact"/>
        <w:ind w:firstLine="640" w:firstLineChars="200"/>
      </w:pPr>
      <w:r>
        <w:rPr>
          <w:rFonts w:hint="eastAsia"/>
        </w:rPr>
        <w:t>（此页无正文）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tabs>
          <w:tab w:val="left" w:pos="1920"/>
        </w:tabs>
        <w:adjustRightInd w:val="0"/>
        <w:snapToGrid w:val="0"/>
        <w:spacing w:line="400" w:lineRule="exact"/>
        <w:ind w:right="641"/>
        <w:jc w:val="left"/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247015</wp:posOffset>
                </wp:positionV>
                <wp:extent cx="561594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0.6pt;margin-top:19.45pt;height:0pt;width:442.2pt;z-index:251662336;mso-width-relative:page;mso-height-relative:page;" filled="f" stroked="t" coordsize="21600,21600" o:gfxdata="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PqNTCdYAAAAI&#10;AQAADwAAAAAAAAABACAAAAA4AAAAZHJzL2Rvd25yZXYueG1sUEsBAhQAFAAAAAgAh07iQBLViWvP&#10;AQAAkQMAAA4AAAAAAAAAAQAgAAAAOw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20" w:lineRule="exact"/>
        <w:ind w:right="1280" w:firstLine="268" w:firstLineChars="100"/>
        <w:jc w:val="left"/>
        <w:rPr>
          <w:w w:val="96"/>
          <w:sz w:val="28"/>
          <w:szCs w:val="28"/>
        </w:rPr>
      </w:pPr>
      <w:r>
        <w:rPr>
          <w:rFonts w:hint="eastAsia"/>
          <w:w w:val="96"/>
          <w:sz w:val="28"/>
          <w:szCs w:val="28"/>
        </w:rPr>
        <w:t>抄送：区政府办公室、区生态产业办</w:t>
      </w:r>
    </w:p>
    <w:p>
      <w:pPr>
        <w:spacing w:line="520" w:lineRule="exact"/>
        <w:ind w:right="55" w:firstLine="280" w:firstLineChars="100"/>
        <w:jc w:val="left"/>
        <w:rPr>
          <w:rFonts w:hAnsi="宋体"/>
          <w:sz w:val="28"/>
          <w:szCs w:val="28"/>
        </w:rPr>
      </w:pPr>
      <w:r>
        <w:rPr>
          <w:rFonts w:hAnsiTheme="minorHAns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561594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2.05pt;height:0pt;width:442.2pt;z-index:251663360;mso-width-relative:page;mso-height-relative:page;" filled="f" stroked="t" coordsize="21600,21600" o:gfxdata="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GGKFkjUAAAABAEA&#10;AA8AAAAAAAAAAQAgAAAAOAAAAGRycy9kb3ducmV2LnhtbFBLAQIUABQAAAAIAIdO4kC0VBb6zwEA&#10;AJEDAAAOAAAAAAAAAAEAIAAAADkBAABkcnMvZTJvRG9jLnhtbFBLBQYAAAAABgAGAFkBAAB6BQAA&#10;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Theme="minorHAns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615940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30pt;height:0pt;width:442.2pt;z-index:251664384;mso-width-relative:page;mso-height-relative:page;" filled="f" stroked="t" coordsize="21600,21600" o:gfxdata="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DjJRMh1gAAAAYB&#10;AAAPAAAAAAAAAAEAIAAAADgAAABkcnMvZG93bnJldi54bWxQSwECFAAUAAAACACHTuJA16qzTM4B&#10;AACRAwAADgAAAAAAAAABACAAAAA7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w w:val="96"/>
          <w:sz w:val="28"/>
          <w:szCs w:val="28"/>
        </w:rPr>
        <w:t>上海市崇明区市场监督管理局办公室           2022年8月3日印发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3788172"/>
      <w:docPartObj>
        <w:docPartGallery w:val="AutoText"/>
      </w:docPartObj>
    </w:sdtPr>
    <w:sdtContent>
      <w:sdt>
        <w:sdtPr>
          <w:id w:val="19628904"/>
        </w:sdtPr>
        <w:sdtEndPr>
          <w:rPr>
            <w:rFonts w:asciiTheme="majorEastAsia" w:hAnsiTheme="majorEastAsia" w:eastAsiaTheme="majorEastAsia"/>
            <w:sz w:val="28"/>
            <w:szCs w:val="28"/>
          </w:rPr>
        </w:sdtEndPr>
        <w:sdtContent>
          <w:p>
            <w:pPr>
              <w:pStyle w:val="3"/>
              <w:jc w:val="righ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—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fldChar w:fldCharType="begin"/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instrText xml:space="preserve"> PAGE   \* MERGEFORMAT </w:instrTex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fldChar w:fldCharType="separate"/>
            </w:r>
            <w:r>
              <w:rPr>
                <w:rFonts w:asciiTheme="majorEastAsia" w:hAnsiTheme="majorEastAsia" w:eastAsiaTheme="majorEastAsia"/>
                <w:sz w:val="28"/>
                <w:szCs w:val="28"/>
                <w:lang w:val="zh-CN"/>
              </w:rPr>
              <w:t>1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 —</w:t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3788215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4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evenAndOddHeaders w:val="true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BA"/>
    <w:rsid w:val="0000120B"/>
    <w:rsid w:val="0000386E"/>
    <w:rsid w:val="000100D8"/>
    <w:rsid w:val="0003268B"/>
    <w:rsid w:val="000454B2"/>
    <w:rsid w:val="00050A32"/>
    <w:rsid w:val="00051B44"/>
    <w:rsid w:val="00054085"/>
    <w:rsid w:val="00054AF4"/>
    <w:rsid w:val="0005508F"/>
    <w:rsid w:val="000554B2"/>
    <w:rsid w:val="00064E08"/>
    <w:rsid w:val="0007190E"/>
    <w:rsid w:val="00077763"/>
    <w:rsid w:val="0008757F"/>
    <w:rsid w:val="000C6E31"/>
    <w:rsid w:val="000D0388"/>
    <w:rsid w:val="000E4D15"/>
    <w:rsid w:val="000F59F6"/>
    <w:rsid w:val="0010725D"/>
    <w:rsid w:val="001120F4"/>
    <w:rsid w:val="00135578"/>
    <w:rsid w:val="001447AC"/>
    <w:rsid w:val="001477B8"/>
    <w:rsid w:val="00183768"/>
    <w:rsid w:val="001B005D"/>
    <w:rsid w:val="001E322B"/>
    <w:rsid w:val="001E3D68"/>
    <w:rsid w:val="001F11D2"/>
    <w:rsid w:val="001F3365"/>
    <w:rsid w:val="00247720"/>
    <w:rsid w:val="00250DA3"/>
    <w:rsid w:val="00252F60"/>
    <w:rsid w:val="002552B2"/>
    <w:rsid w:val="00277B18"/>
    <w:rsid w:val="00281A76"/>
    <w:rsid w:val="002A2B55"/>
    <w:rsid w:val="002A49CF"/>
    <w:rsid w:val="002A6003"/>
    <w:rsid w:val="002B10D5"/>
    <w:rsid w:val="002B4602"/>
    <w:rsid w:val="002B4D86"/>
    <w:rsid w:val="002B6811"/>
    <w:rsid w:val="002D3F6F"/>
    <w:rsid w:val="002F3861"/>
    <w:rsid w:val="00300CFF"/>
    <w:rsid w:val="00302793"/>
    <w:rsid w:val="00302E61"/>
    <w:rsid w:val="003035F6"/>
    <w:rsid w:val="00310DB6"/>
    <w:rsid w:val="0032108D"/>
    <w:rsid w:val="003240E7"/>
    <w:rsid w:val="0032411B"/>
    <w:rsid w:val="00327D28"/>
    <w:rsid w:val="00345C3F"/>
    <w:rsid w:val="003466A8"/>
    <w:rsid w:val="003523BA"/>
    <w:rsid w:val="003568FF"/>
    <w:rsid w:val="00383651"/>
    <w:rsid w:val="00385E33"/>
    <w:rsid w:val="003B2B32"/>
    <w:rsid w:val="003D0378"/>
    <w:rsid w:val="00406A49"/>
    <w:rsid w:val="00412B44"/>
    <w:rsid w:val="00431DFE"/>
    <w:rsid w:val="004710A7"/>
    <w:rsid w:val="00476637"/>
    <w:rsid w:val="00477FD2"/>
    <w:rsid w:val="00486F9C"/>
    <w:rsid w:val="004C489C"/>
    <w:rsid w:val="004D7DCA"/>
    <w:rsid w:val="004F5C4F"/>
    <w:rsid w:val="00506FDA"/>
    <w:rsid w:val="00513AC8"/>
    <w:rsid w:val="00525FDB"/>
    <w:rsid w:val="00526512"/>
    <w:rsid w:val="00531D09"/>
    <w:rsid w:val="00534928"/>
    <w:rsid w:val="00555456"/>
    <w:rsid w:val="00557E75"/>
    <w:rsid w:val="00560DA9"/>
    <w:rsid w:val="0056307A"/>
    <w:rsid w:val="0057051E"/>
    <w:rsid w:val="0057168D"/>
    <w:rsid w:val="005735AB"/>
    <w:rsid w:val="00573BCC"/>
    <w:rsid w:val="005A57E8"/>
    <w:rsid w:val="005C7D1F"/>
    <w:rsid w:val="005D5742"/>
    <w:rsid w:val="005F1DE9"/>
    <w:rsid w:val="00604068"/>
    <w:rsid w:val="006136CB"/>
    <w:rsid w:val="0062696D"/>
    <w:rsid w:val="00635746"/>
    <w:rsid w:val="006358D2"/>
    <w:rsid w:val="006374B7"/>
    <w:rsid w:val="00637D4D"/>
    <w:rsid w:val="00641E3F"/>
    <w:rsid w:val="00650CFA"/>
    <w:rsid w:val="00652099"/>
    <w:rsid w:val="00654F7A"/>
    <w:rsid w:val="006578BB"/>
    <w:rsid w:val="00664A6F"/>
    <w:rsid w:val="006817E2"/>
    <w:rsid w:val="00681CFE"/>
    <w:rsid w:val="00697B84"/>
    <w:rsid w:val="006A045D"/>
    <w:rsid w:val="006B00A1"/>
    <w:rsid w:val="006B43BB"/>
    <w:rsid w:val="006C7C1B"/>
    <w:rsid w:val="006D496F"/>
    <w:rsid w:val="006D6450"/>
    <w:rsid w:val="006F3361"/>
    <w:rsid w:val="00714D12"/>
    <w:rsid w:val="0072257F"/>
    <w:rsid w:val="00724007"/>
    <w:rsid w:val="00734026"/>
    <w:rsid w:val="007401D9"/>
    <w:rsid w:val="00750502"/>
    <w:rsid w:val="007542C2"/>
    <w:rsid w:val="007769FD"/>
    <w:rsid w:val="00792EEE"/>
    <w:rsid w:val="007A3AEC"/>
    <w:rsid w:val="007C5D30"/>
    <w:rsid w:val="007C5E1A"/>
    <w:rsid w:val="007D6E2C"/>
    <w:rsid w:val="007E283F"/>
    <w:rsid w:val="007E6CE2"/>
    <w:rsid w:val="007F360F"/>
    <w:rsid w:val="007F6435"/>
    <w:rsid w:val="00801920"/>
    <w:rsid w:val="008058FF"/>
    <w:rsid w:val="00806471"/>
    <w:rsid w:val="008100DA"/>
    <w:rsid w:val="008113BB"/>
    <w:rsid w:val="0081719E"/>
    <w:rsid w:val="00820BE2"/>
    <w:rsid w:val="0083213B"/>
    <w:rsid w:val="0083684C"/>
    <w:rsid w:val="00836D34"/>
    <w:rsid w:val="008534FC"/>
    <w:rsid w:val="00867A1F"/>
    <w:rsid w:val="0089502C"/>
    <w:rsid w:val="00897968"/>
    <w:rsid w:val="008D59EF"/>
    <w:rsid w:val="008E35AB"/>
    <w:rsid w:val="00914E47"/>
    <w:rsid w:val="0093065E"/>
    <w:rsid w:val="009379A5"/>
    <w:rsid w:val="00954146"/>
    <w:rsid w:val="00966F87"/>
    <w:rsid w:val="00972597"/>
    <w:rsid w:val="0098156C"/>
    <w:rsid w:val="00981DF4"/>
    <w:rsid w:val="009900F3"/>
    <w:rsid w:val="009C7C4D"/>
    <w:rsid w:val="009E734D"/>
    <w:rsid w:val="009F364B"/>
    <w:rsid w:val="00A011E9"/>
    <w:rsid w:val="00A02898"/>
    <w:rsid w:val="00A055C6"/>
    <w:rsid w:val="00A11BAA"/>
    <w:rsid w:val="00A22CF3"/>
    <w:rsid w:val="00A23BF7"/>
    <w:rsid w:val="00A24D20"/>
    <w:rsid w:val="00A27CD9"/>
    <w:rsid w:val="00A421FD"/>
    <w:rsid w:val="00A54044"/>
    <w:rsid w:val="00A705D2"/>
    <w:rsid w:val="00A75430"/>
    <w:rsid w:val="00A80817"/>
    <w:rsid w:val="00A81EB2"/>
    <w:rsid w:val="00A84EE1"/>
    <w:rsid w:val="00A92DCB"/>
    <w:rsid w:val="00AA1961"/>
    <w:rsid w:val="00AA65FB"/>
    <w:rsid w:val="00AB7FCD"/>
    <w:rsid w:val="00AC2F06"/>
    <w:rsid w:val="00AF577C"/>
    <w:rsid w:val="00B163F6"/>
    <w:rsid w:val="00B17213"/>
    <w:rsid w:val="00B25DE5"/>
    <w:rsid w:val="00B45C7F"/>
    <w:rsid w:val="00B560F2"/>
    <w:rsid w:val="00B630C4"/>
    <w:rsid w:val="00B66D32"/>
    <w:rsid w:val="00B67D49"/>
    <w:rsid w:val="00B96281"/>
    <w:rsid w:val="00BA5E41"/>
    <w:rsid w:val="00BC5A91"/>
    <w:rsid w:val="00BD655E"/>
    <w:rsid w:val="00BD73EC"/>
    <w:rsid w:val="00BE16AB"/>
    <w:rsid w:val="00BE321D"/>
    <w:rsid w:val="00C45719"/>
    <w:rsid w:val="00C46AB1"/>
    <w:rsid w:val="00C509DD"/>
    <w:rsid w:val="00C606CC"/>
    <w:rsid w:val="00C667D9"/>
    <w:rsid w:val="00C70C05"/>
    <w:rsid w:val="00C8133A"/>
    <w:rsid w:val="00C903FA"/>
    <w:rsid w:val="00C95913"/>
    <w:rsid w:val="00CB001C"/>
    <w:rsid w:val="00CB56A0"/>
    <w:rsid w:val="00CB5BE5"/>
    <w:rsid w:val="00D4361C"/>
    <w:rsid w:val="00D54DA3"/>
    <w:rsid w:val="00D56C65"/>
    <w:rsid w:val="00D57A9C"/>
    <w:rsid w:val="00D63912"/>
    <w:rsid w:val="00D74B3B"/>
    <w:rsid w:val="00D81461"/>
    <w:rsid w:val="00D96F1A"/>
    <w:rsid w:val="00DA100D"/>
    <w:rsid w:val="00DA33FD"/>
    <w:rsid w:val="00DB29B8"/>
    <w:rsid w:val="00DB3A2D"/>
    <w:rsid w:val="00DB49FA"/>
    <w:rsid w:val="00DC5AB1"/>
    <w:rsid w:val="00DE1BD5"/>
    <w:rsid w:val="00DF79EC"/>
    <w:rsid w:val="00E20EFB"/>
    <w:rsid w:val="00E26ADE"/>
    <w:rsid w:val="00E300D6"/>
    <w:rsid w:val="00E316C0"/>
    <w:rsid w:val="00E5101A"/>
    <w:rsid w:val="00E5641B"/>
    <w:rsid w:val="00E63D0F"/>
    <w:rsid w:val="00E674B0"/>
    <w:rsid w:val="00E744FA"/>
    <w:rsid w:val="00E7600D"/>
    <w:rsid w:val="00E76CA3"/>
    <w:rsid w:val="00E80113"/>
    <w:rsid w:val="00E874A8"/>
    <w:rsid w:val="00E91F3F"/>
    <w:rsid w:val="00E925CA"/>
    <w:rsid w:val="00EB239E"/>
    <w:rsid w:val="00ED0776"/>
    <w:rsid w:val="00ED1140"/>
    <w:rsid w:val="00ED7DBC"/>
    <w:rsid w:val="00EF3D2A"/>
    <w:rsid w:val="00EF4673"/>
    <w:rsid w:val="00F16B86"/>
    <w:rsid w:val="00F26815"/>
    <w:rsid w:val="00F3055D"/>
    <w:rsid w:val="00F331AA"/>
    <w:rsid w:val="00F36F78"/>
    <w:rsid w:val="00F72B40"/>
    <w:rsid w:val="00FA1B45"/>
    <w:rsid w:val="00FA2EBB"/>
    <w:rsid w:val="00FC55EC"/>
    <w:rsid w:val="00FC6956"/>
    <w:rsid w:val="00FD6AD4"/>
    <w:rsid w:val="00FD7521"/>
    <w:rsid w:val="00FE4638"/>
    <w:rsid w:val="00FF0170"/>
    <w:rsid w:val="00FF0FDD"/>
    <w:rsid w:val="BCFEF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仿宋_GB2312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chongming.com</Company>
  <Pages>7</Pages>
  <Words>570</Words>
  <Characters>3254</Characters>
  <Lines>27</Lines>
  <Paragraphs>7</Paragraphs>
  <TotalTime>101</TotalTime>
  <ScaleCrop>false</ScaleCrop>
  <LinksUpToDate>false</LinksUpToDate>
  <CharactersWithSpaces>3817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2022-08-01T09:07:00Z</dcterms:created>
  <dc:creator>金格科技</dc:creator>
  <cp:lastModifiedBy>user</cp:lastModifiedBy>
  <dcterms:modified xsi:type="dcterms:W3CDTF">2022-10-26T16:52:12Z</dcterms:modified>
  <dc:title>上海市崇明区市场监督管理局文件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