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sz w:val="32"/>
          <w:szCs w:val="32"/>
        </w:rPr>
      </w:pPr>
    </w:p>
    <w:p>
      <w:pPr>
        <w:spacing w:line="540" w:lineRule="exact"/>
        <w:rPr>
          <w:sz w:val="32"/>
          <w:szCs w:val="32"/>
        </w:rPr>
      </w:pPr>
    </w:p>
    <w:p>
      <w:pPr>
        <w:spacing w:line="540" w:lineRule="exact"/>
        <w:rPr>
          <w:sz w:val="32"/>
          <w:szCs w:val="32"/>
        </w:rPr>
      </w:pPr>
    </w:p>
    <w:p>
      <w:pPr>
        <w:spacing w:line="880" w:lineRule="exact"/>
        <w:jc w:val="distribute"/>
        <w:rPr>
          <w:rFonts w:ascii="方正小标宋简体" w:eastAsia="方正小标宋简体"/>
          <w:color w:val="FF0000"/>
          <w:spacing w:val="-11"/>
          <w:w w:val="75"/>
          <w:sz w:val="80"/>
          <w:szCs w:val="80"/>
        </w:rPr>
      </w:pPr>
      <w:r>
        <w:rPr>
          <w:rFonts w:hint="eastAsia" w:ascii="方正小标宋简体" w:eastAsia="方正小标宋简体"/>
          <w:color w:val="FF0000"/>
          <w:spacing w:val="-11"/>
          <w:w w:val="75"/>
          <w:sz w:val="80"/>
          <w:szCs w:val="80"/>
        </w:rPr>
        <w:t>上海市崇明区农业</w:t>
      </w:r>
      <w:r>
        <w:rPr>
          <w:rFonts w:hint="eastAsia" w:ascii="方正小标宋简体" w:eastAsia="方正小标宋简体"/>
          <w:color w:val="FF0000"/>
          <w:spacing w:val="-11"/>
          <w:w w:val="75"/>
          <w:sz w:val="80"/>
          <w:szCs w:val="80"/>
          <w:lang w:val="en-US" w:eastAsia="zh-CN"/>
        </w:rPr>
        <w:t>农村</w:t>
      </w:r>
      <w:r>
        <w:rPr>
          <w:rFonts w:hint="eastAsia" w:ascii="方正小标宋简体" w:eastAsia="方正小标宋简体"/>
          <w:color w:val="FF0000"/>
          <w:spacing w:val="-11"/>
          <w:w w:val="75"/>
          <w:sz w:val="80"/>
          <w:szCs w:val="80"/>
        </w:rPr>
        <w:t>委员会文件</w:t>
      </w:r>
    </w:p>
    <w:p>
      <w:pPr>
        <w:spacing w:line="560" w:lineRule="exact"/>
        <w:rPr>
          <w:szCs w:val="21"/>
        </w:rPr>
      </w:pPr>
    </w:p>
    <w:p>
      <w:pPr>
        <w:spacing w:line="560" w:lineRule="exact"/>
        <w:rPr>
          <w:szCs w:val="21"/>
        </w:rPr>
      </w:pPr>
    </w:p>
    <w:p>
      <w:pPr>
        <w:spacing w:line="560" w:lineRule="exact"/>
        <w:jc w:val="center"/>
        <w:rPr>
          <w:rFonts w:hint="eastAsia" w:ascii="楷体_GB2312" w:eastAsia="仿宋_GB2312"/>
          <w:sz w:val="32"/>
          <w:lang w:val="en-US" w:eastAsia="zh-CN"/>
        </w:rPr>
      </w:pPr>
      <w:r>
        <w:rPr>
          <w:rFonts w:hint="eastAsia" w:ascii="仿宋_GB2312" w:eastAsia="仿宋_GB2312"/>
          <w:sz w:val="32"/>
        </w:rPr>
        <w:t>沪崇农发〔20</w:t>
      </w:r>
      <w:r>
        <w:rPr>
          <w:rFonts w:hint="eastAsia" w:ascii="仿宋_GB2312" w:eastAsia="仿宋_GB2312"/>
          <w:sz w:val="32"/>
          <w:lang w:val="en-US" w:eastAsia="zh-CN"/>
        </w:rPr>
        <w:t>23</w:t>
      </w:r>
      <w:r>
        <w:rPr>
          <w:rFonts w:hint="eastAsia" w:ascii="仿宋_GB2312" w:eastAsia="仿宋_GB2312"/>
          <w:sz w:val="32"/>
        </w:rPr>
        <w:t>〕</w:t>
      </w:r>
      <w:r>
        <w:rPr>
          <w:rFonts w:hint="eastAsia" w:ascii="仿宋_GB2312" w:eastAsia="仿宋_GB2312"/>
          <w:sz w:val="32"/>
          <w:lang w:val="en-US" w:eastAsia="zh-CN"/>
        </w:rPr>
        <w:t>36</w:t>
      </w:r>
      <w:bookmarkStart w:id="0" w:name="_GoBack"/>
      <w:bookmarkEnd w:id="0"/>
      <w:r>
        <w:rPr>
          <w:rFonts w:hint="eastAsia" w:ascii="仿宋_GB2312" w:eastAsia="仿宋_GB2312"/>
          <w:sz w:val="32"/>
        </w:rPr>
        <w:t>号</w:t>
      </w:r>
    </w:p>
    <w:p>
      <w:pPr>
        <w:spacing w:line="160" w:lineRule="exact"/>
        <w:rPr>
          <w:color w:val="FF0000"/>
          <w:szCs w:val="21"/>
          <w:u w:val="thick"/>
        </w:rPr>
      </w:pPr>
      <w:r>
        <w:rPr>
          <w:rFonts w:hint="eastAsia"/>
          <w:color w:val="FF0000"/>
          <w:szCs w:val="21"/>
          <w:u w:val="thick"/>
        </w:rPr>
        <w:t xml:space="preserve">                                                                                       </w:t>
      </w:r>
    </w:p>
    <w:p>
      <w:pPr>
        <w:keepNext w:val="0"/>
        <w:keepLines w:val="0"/>
        <w:pageBreakBefore w:val="0"/>
        <w:widowControl w:val="0"/>
        <w:kinsoku/>
        <w:wordWrap/>
        <w:overflowPunct/>
        <w:topLinePunct w:val="0"/>
        <w:autoSpaceDE/>
        <w:autoSpaceDN/>
        <w:bidi w:val="0"/>
        <w:adjustRightInd/>
        <w:snapToGrid/>
        <w:spacing w:line="620" w:lineRule="exact"/>
        <w:textAlignment w:val="auto"/>
        <w:outlineLvl w:val="9"/>
        <w:rPr>
          <w:color w:val="FF0000"/>
          <w:sz w:val="32"/>
          <w:szCs w:val="32"/>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outlineLvl w:val="9"/>
        <w:rPr>
          <w:rFonts w:hint="eastAsia" w:ascii="方正小标宋简体" w:hAnsi="方正小标宋简体" w:eastAsia="方正小标宋简体" w:cs="方正小标宋简体"/>
          <w:w w:val="90"/>
          <w:sz w:val="40"/>
          <w:szCs w:val="40"/>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关于印发崇明区2023年蔬菜水溶肥推广</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工作实施方案的通知</w:t>
      </w:r>
    </w:p>
    <w:p>
      <w:pPr>
        <w:keepNext w:val="0"/>
        <w:keepLines w:val="0"/>
        <w:pageBreakBefore w:val="0"/>
        <w:widowControl w:val="0"/>
        <w:kinsoku/>
        <w:wordWrap/>
        <w:overflowPunct/>
        <w:topLinePunct w:val="0"/>
        <w:autoSpaceDE/>
        <w:autoSpaceDN/>
        <w:bidi w:val="0"/>
        <w:adjustRightInd/>
        <w:snapToGrid/>
        <w:spacing w:line="620" w:lineRule="exact"/>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各有关乡镇、现代农业园区开发公司：</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市农业农村委每年下达任务要求，为提高规模化蔬菜基地科学生产水平，推广水溶肥的应用，实现水肥均衡、节水节肥、改善土壤结构的效果，区农业农村委制定了《2023年崇明区蔬菜水溶肥推广工作实施方案》。请各相关单位按照方案要求，落实好相关工作。</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特此通知。</w:t>
      </w:r>
    </w:p>
    <w:p>
      <w:pPr>
        <w:keepNext w:val="0"/>
        <w:keepLines w:val="0"/>
        <w:pageBreakBefore w:val="0"/>
        <w:widowControl w:val="0"/>
        <w:kinsoku/>
        <w:wordWrap/>
        <w:overflowPunct/>
        <w:topLinePunct w:val="0"/>
        <w:autoSpaceDE/>
        <w:autoSpaceDN/>
        <w:bidi w:val="0"/>
        <w:adjustRightInd/>
        <w:snapToGrid/>
        <w:spacing w:line="620" w:lineRule="exact"/>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附件：2023年崇明区蔬菜水溶肥推广工作实施方案</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3200" w:firstLineChars="1000"/>
        <w:jc w:val="center"/>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上海市崇明区农业农村委员会 </w:t>
      </w:r>
    </w:p>
    <w:p>
      <w:pPr>
        <w:keepNext w:val="0"/>
        <w:keepLines w:val="0"/>
        <w:pageBreakBefore w:val="0"/>
        <w:widowControl w:val="0"/>
        <w:kinsoku/>
        <w:wordWrap/>
        <w:overflowPunct/>
        <w:topLinePunct w:val="0"/>
        <w:autoSpaceDE/>
        <w:autoSpaceDN/>
        <w:bidi w:val="0"/>
        <w:adjustRightInd/>
        <w:snapToGrid/>
        <w:spacing w:line="560" w:lineRule="exact"/>
        <w:ind w:firstLine="4800" w:firstLineChars="15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2023年5月16日</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sz w:val="32"/>
          <w:szCs w:val="32"/>
          <w:lang w:val="en-US" w:eastAsia="zh-CN"/>
        </w:rPr>
        <w:sectPr>
          <w:footerReference r:id="rId3" w:type="default"/>
          <w:pgSz w:w="11906" w:h="16838"/>
          <w:pgMar w:top="2098" w:right="1474" w:bottom="1984" w:left="1587" w:header="851" w:footer="992" w:gutter="0"/>
          <w:pgNumType w:fmt="numberInDash"/>
          <w:cols w:space="425" w:num="1"/>
          <w:docGrid w:type="lines" w:linePitch="312" w:charSpace="0"/>
        </w:sect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topLinePunct w:val="0"/>
        <w:autoSpaceDE/>
        <w:autoSpaceDN/>
        <w:bidi w:val="0"/>
        <w:adjustRightInd/>
        <w:snapToGrid/>
        <w:spacing w:line="560" w:lineRule="exact"/>
        <w:jc w:val="both"/>
        <w:textAlignment w:val="auto"/>
        <w:outlineLvl w:val="9"/>
        <w:rPr>
          <w:rFonts w:hint="eastAsia" w:ascii="黑体" w:hAnsi="黑体" w:eastAsia="黑体" w:cs="黑体"/>
          <w:color w:val="000000"/>
          <w:kern w:val="0"/>
          <w:sz w:val="32"/>
          <w:szCs w:val="32"/>
          <w:lang w:val="en-US" w:eastAsia="zh-CN"/>
        </w:rPr>
      </w:pPr>
      <w:r>
        <w:rPr>
          <w:rFonts w:hint="eastAsia" w:ascii="黑体" w:hAnsi="黑体" w:eastAsia="黑体" w:cs="黑体"/>
          <w:color w:val="000000"/>
          <w:kern w:val="0"/>
          <w:sz w:val="32"/>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000000"/>
          <w:kern w:val="0"/>
          <w:sz w:val="44"/>
          <w:szCs w:val="44"/>
        </w:rPr>
      </w:pPr>
      <w:r>
        <w:rPr>
          <w:rFonts w:hint="eastAsia" w:ascii="方正小标宋简体" w:hAnsi="方正小标宋简体" w:eastAsia="方正小标宋简体" w:cs="方正小标宋简体"/>
          <w:color w:val="000000"/>
          <w:kern w:val="0"/>
          <w:sz w:val="44"/>
          <w:szCs w:val="44"/>
          <w:lang w:val="en-US" w:eastAsia="zh-CN"/>
        </w:rPr>
        <w:t>2023年</w:t>
      </w:r>
      <w:r>
        <w:rPr>
          <w:rFonts w:hint="eastAsia" w:ascii="方正小标宋简体" w:hAnsi="方正小标宋简体" w:eastAsia="方正小标宋简体" w:cs="方正小标宋简体"/>
          <w:color w:val="000000"/>
          <w:kern w:val="0"/>
          <w:sz w:val="44"/>
          <w:szCs w:val="44"/>
        </w:rPr>
        <w:t>崇明区蔬菜</w:t>
      </w:r>
      <w:r>
        <w:rPr>
          <w:rFonts w:hint="eastAsia" w:ascii="方正小标宋简体" w:hAnsi="方正小标宋简体" w:eastAsia="方正小标宋简体" w:cs="方正小标宋简体"/>
          <w:color w:val="000000"/>
          <w:kern w:val="0"/>
          <w:sz w:val="44"/>
          <w:szCs w:val="44"/>
          <w:lang w:eastAsia="zh-CN"/>
        </w:rPr>
        <w:t>水溶肥</w:t>
      </w:r>
      <w:r>
        <w:rPr>
          <w:rFonts w:hint="eastAsia" w:ascii="方正小标宋简体" w:hAnsi="方正小标宋简体" w:eastAsia="方正小标宋简体" w:cs="方正小标宋简体"/>
          <w:color w:val="000000"/>
          <w:kern w:val="0"/>
          <w:sz w:val="44"/>
          <w:szCs w:val="44"/>
        </w:rPr>
        <w:t>推广</w:t>
      </w:r>
      <w:r>
        <w:rPr>
          <w:rFonts w:hint="eastAsia" w:ascii="方正小标宋简体" w:hAnsi="方正小标宋简体" w:eastAsia="方正小标宋简体" w:cs="方正小标宋简体"/>
          <w:color w:val="000000"/>
          <w:kern w:val="0"/>
          <w:sz w:val="44"/>
          <w:szCs w:val="44"/>
          <w:lang w:eastAsia="zh-CN"/>
        </w:rPr>
        <w:t>工作</w:t>
      </w:r>
      <w:r>
        <w:rPr>
          <w:rFonts w:hint="eastAsia" w:ascii="方正小标宋简体" w:hAnsi="方正小标宋简体" w:eastAsia="方正小标宋简体" w:cs="方正小标宋简体"/>
          <w:color w:val="000000"/>
          <w:kern w:val="0"/>
          <w:sz w:val="44"/>
          <w:szCs w:val="44"/>
        </w:rPr>
        <w:t>实施方案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仿宋_GB2312" w:hAnsi="仿宋_GB2312" w:eastAsia="仿宋_GB2312" w:cs="Times New Roman"/>
          <w:sz w:val="32"/>
          <w:szCs w:val="32"/>
        </w:rPr>
      </w:pPr>
      <w:r>
        <w:rPr>
          <w:rFonts w:hint="eastAsia" w:ascii="仿宋_GB2312" w:hAnsi="仿宋_GB2312" w:eastAsia="仿宋_GB2312" w:cs="仿宋_GB2312"/>
          <w:kern w:val="0"/>
          <w:sz w:val="32"/>
          <w:szCs w:val="32"/>
        </w:rPr>
        <w:t>随着农业现代化快速发展，上海设施菜田建设稳步推进，生产水平不断提升，蔬菜质量</w:t>
      </w:r>
      <w:r>
        <w:rPr>
          <w:rFonts w:hint="eastAsia" w:ascii="仿宋_GB2312" w:hAnsi="仿宋_GB2312" w:eastAsia="仿宋_GB2312" w:cs="仿宋_GB2312"/>
          <w:sz w:val="32"/>
          <w:szCs w:val="32"/>
        </w:rPr>
        <w:t>要求不断提高。</w:t>
      </w:r>
      <w:r>
        <w:rPr>
          <w:rFonts w:hint="eastAsia" w:ascii="仿宋_GB2312" w:hAnsi="仿宋_GB2312" w:eastAsia="仿宋_GB2312" w:cs="仿宋_GB2312"/>
          <w:kern w:val="0"/>
          <w:sz w:val="32"/>
          <w:szCs w:val="32"/>
        </w:rPr>
        <w:t>根据</w:t>
      </w:r>
      <w:r>
        <w:rPr>
          <w:rFonts w:hint="eastAsia" w:ascii="仿宋_GB2312" w:hAnsi="仿宋_GB2312" w:eastAsia="仿宋_GB2312" w:cs="仿宋_GB2312"/>
          <w:kern w:val="0"/>
          <w:sz w:val="32"/>
          <w:szCs w:val="32"/>
          <w:lang w:val="en-US" w:eastAsia="zh-CN"/>
        </w:rPr>
        <w:t>沪农委</w:t>
      </w:r>
      <w:r>
        <w:rPr>
          <w:rFonts w:hint="eastAsia" w:ascii="仿宋_GB2312" w:eastAsia="仿宋_GB2312"/>
          <w:color w:val="auto"/>
          <w:w w:val="100"/>
          <w:sz w:val="32"/>
          <w:szCs w:val="32"/>
          <w:highlight w:val="none"/>
        </w:rPr>
        <w:t>〔20</w:t>
      </w:r>
      <w:r>
        <w:rPr>
          <w:rFonts w:hint="eastAsia" w:ascii="仿宋_GB2312" w:eastAsia="仿宋_GB2312"/>
          <w:color w:val="auto"/>
          <w:w w:val="100"/>
          <w:sz w:val="32"/>
          <w:szCs w:val="32"/>
          <w:highlight w:val="none"/>
          <w:lang w:val="en-US" w:eastAsia="zh-CN"/>
        </w:rPr>
        <w:t>23</w:t>
      </w:r>
      <w:r>
        <w:rPr>
          <w:rFonts w:hint="eastAsia" w:ascii="仿宋_GB2312" w:eastAsia="仿宋_GB2312"/>
          <w:color w:val="auto"/>
          <w:w w:val="100"/>
          <w:sz w:val="32"/>
          <w:szCs w:val="32"/>
          <w:highlight w:val="none"/>
        </w:rPr>
        <w:t>〕</w:t>
      </w:r>
      <w:r>
        <w:rPr>
          <w:rFonts w:hint="eastAsia" w:ascii="仿宋_GB2312" w:eastAsia="仿宋_GB2312"/>
          <w:color w:val="auto"/>
          <w:w w:val="100"/>
          <w:sz w:val="32"/>
          <w:szCs w:val="32"/>
          <w:highlight w:val="none"/>
          <w:lang w:val="en-US" w:eastAsia="zh-CN"/>
        </w:rPr>
        <w:t>25号、沪崇农规</w:t>
      </w:r>
      <w:r>
        <w:rPr>
          <w:rFonts w:hint="eastAsia" w:ascii="仿宋_GB2312" w:eastAsia="仿宋_GB2312"/>
          <w:color w:val="auto"/>
          <w:w w:val="100"/>
          <w:sz w:val="32"/>
          <w:szCs w:val="32"/>
          <w:highlight w:val="none"/>
        </w:rPr>
        <w:t>〔20</w:t>
      </w:r>
      <w:r>
        <w:rPr>
          <w:rFonts w:hint="eastAsia" w:ascii="仿宋_GB2312" w:eastAsia="仿宋_GB2312"/>
          <w:color w:val="auto"/>
          <w:w w:val="100"/>
          <w:sz w:val="32"/>
          <w:szCs w:val="32"/>
          <w:highlight w:val="none"/>
          <w:lang w:val="en-US" w:eastAsia="zh-CN"/>
        </w:rPr>
        <w:t>22</w:t>
      </w:r>
      <w:r>
        <w:rPr>
          <w:rFonts w:hint="eastAsia" w:ascii="仿宋_GB2312" w:eastAsia="仿宋_GB2312"/>
          <w:color w:val="auto"/>
          <w:w w:val="100"/>
          <w:sz w:val="32"/>
          <w:szCs w:val="32"/>
          <w:highlight w:val="none"/>
        </w:rPr>
        <w:t>〕</w:t>
      </w:r>
      <w:r>
        <w:rPr>
          <w:rFonts w:hint="eastAsia" w:ascii="仿宋_GB2312" w:eastAsia="仿宋_GB2312"/>
          <w:color w:val="auto"/>
          <w:w w:val="100"/>
          <w:sz w:val="32"/>
          <w:szCs w:val="32"/>
          <w:highlight w:val="none"/>
          <w:lang w:val="en-US" w:eastAsia="zh-CN"/>
        </w:rPr>
        <w:t>3号、沪崇农规</w:t>
      </w:r>
      <w:r>
        <w:rPr>
          <w:rFonts w:hint="eastAsia" w:ascii="仿宋_GB2312" w:eastAsia="仿宋_GB2312"/>
          <w:color w:val="auto"/>
          <w:w w:val="100"/>
          <w:sz w:val="32"/>
          <w:szCs w:val="32"/>
          <w:highlight w:val="none"/>
        </w:rPr>
        <w:t>〔20</w:t>
      </w:r>
      <w:r>
        <w:rPr>
          <w:rFonts w:hint="eastAsia" w:ascii="仿宋_GB2312" w:eastAsia="仿宋_GB2312"/>
          <w:color w:val="auto"/>
          <w:w w:val="100"/>
          <w:sz w:val="32"/>
          <w:szCs w:val="32"/>
          <w:highlight w:val="none"/>
          <w:lang w:val="en-US" w:eastAsia="zh-CN"/>
        </w:rPr>
        <w:t>23</w:t>
      </w:r>
      <w:r>
        <w:rPr>
          <w:rFonts w:hint="eastAsia" w:ascii="仿宋_GB2312" w:eastAsia="仿宋_GB2312"/>
          <w:color w:val="auto"/>
          <w:w w:val="100"/>
          <w:sz w:val="32"/>
          <w:szCs w:val="32"/>
          <w:highlight w:val="none"/>
        </w:rPr>
        <w:t>〕</w:t>
      </w:r>
      <w:r>
        <w:rPr>
          <w:rFonts w:hint="eastAsia" w:ascii="仿宋_GB2312" w:eastAsia="仿宋_GB2312"/>
          <w:color w:val="auto"/>
          <w:w w:val="100"/>
          <w:sz w:val="32"/>
          <w:szCs w:val="32"/>
          <w:highlight w:val="none"/>
          <w:lang w:val="en-US" w:eastAsia="zh-CN"/>
        </w:rPr>
        <w:t>1号文件</w:t>
      </w:r>
      <w:r>
        <w:rPr>
          <w:rFonts w:hint="eastAsia" w:ascii="仿宋_GB2312" w:hAnsi="仿宋_GB2312" w:eastAsia="仿宋_GB2312" w:cs="仿宋_GB2312"/>
          <w:kern w:val="0"/>
          <w:sz w:val="32"/>
          <w:szCs w:val="32"/>
          <w:lang w:eastAsia="zh-CN"/>
        </w:rPr>
        <w:t>要求</w:t>
      </w:r>
      <w:r>
        <w:rPr>
          <w:rFonts w:hint="eastAsia" w:ascii="仿宋_GB2312" w:hAnsi="仿宋_GB2312" w:eastAsia="仿宋_GB2312" w:cs="仿宋_GB2312"/>
          <w:kern w:val="0"/>
          <w:sz w:val="32"/>
          <w:szCs w:val="32"/>
        </w:rPr>
        <w:t>，</w:t>
      </w:r>
      <w:r>
        <w:rPr>
          <w:rFonts w:hint="eastAsia" w:ascii="仿宋_GB2312" w:hAnsi="仿宋_GB2312" w:eastAsia="仿宋_GB2312" w:cs="仿宋_GB2312"/>
          <w:sz w:val="32"/>
          <w:szCs w:val="32"/>
        </w:rPr>
        <w:t>为提高规模化蔬菜基地科学生产水平，推广水溶肥的应用，实现水肥均衡、节水省肥、改善土壤结构的效果，特制定本实施方案。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黑体" w:hAnsi="黑体" w:eastAsia="黑体" w:cs="Times New Roman"/>
          <w:sz w:val="32"/>
          <w:szCs w:val="32"/>
        </w:rPr>
      </w:pPr>
      <w:r>
        <w:rPr>
          <w:rFonts w:hint="eastAsia" w:ascii="黑体" w:hAnsi="黑体" w:eastAsia="黑体" w:cs="黑体"/>
          <w:sz w:val="32"/>
          <w:szCs w:val="32"/>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仿宋_GB2312" w:hAnsi="仿宋_GB2312" w:eastAsia="仿宋_GB2312" w:cs="Times New Roman"/>
          <w:sz w:val="32"/>
          <w:szCs w:val="32"/>
        </w:rPr>
      </w:pPr>
      <w:r>
        <w:rPr>
          <w:rFonts w:hint="eastAsia" w:ascii="仿宋_GB2312" w:hAnsi="仿宋_GB2312" w:eastAsia="仿宋_GB2312" w:cs="仿宋_GB2312"/>
          <w:sz w:val="32"/>
          <w:szCs w:val="32"/>
        </w:rPr>
        <w:t>以保障蔬菜安全和有效供给为目标，以农业绿色发展为主线，以现代生态农业产业化为总抓手，依靠科技进步，推进工程与农艺相结合、水分与养分相耦合，推进蔬菜水肥一体化水溶肥使用的普及化、规模化，节约水资源，减少化肥用量，实现蔬菜产业的节本增效、提质增效、绿色增效，促进可持续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黑体" w:hAnsi="黑体" w:eastAsia="黑体" w:cs="Times New Roman"/>
          <w:color w:val="000000"/>
          <w:kern w:val="0"/>
          <w:sz w:val="32"/>
          <w:szCs w:val="32"/>
        </w:rPr>
      </w:pPr>
      <w:r>
        <w:rPr>
          <w:rFonts w:hint="eastAsia" w:ascii="黑体" w:hAnsi="黑体" w:eastAsia="黑体" w:cs="黑体"/>
          <w:color w:val="000000"/>
          <w:kern w:val="0"/>
          <w:sz w:val="32"/>
          <w:szCs w:val="32"/>
        </w:rPr>
        <w:t>二、目标任务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推广应用水溶肥5280亩，</w:t>
      </w:r>
      <w:r>
        <w:rPr>
          <w:rFonts w:hint="eastAsia" w:ascii="仿宋_GB2312" w:hAnsi="仿宋_GB2312" w:eastAsia="仿宋_GB2312" w:cs="仿宋_GB2312"/>
          <w:color w:val="000000"/>
          <w:sz w:val="32"/>
          <w:szCs w:val="32"/>
        </w:rPr>
        <w:t>技术应用示范区</w:t>
      </w:r>
      <w:r>
        <w:rPr>
          <w:rFonts w:hint="eastAsia" w:ascii="仿宋_GB2312" w:hAnsi="仿宋_GB2312" w:eastAsia="仿宋_GB2312" w:cs="仿宋_GB2312"/>
          <w:color w:val="000000"/>
          <w:sz w:val="32"/>
          <w:szCs w:val="32"/>
          <w:lang w:val="en-US" w:eastAsia="zh-CN"/>
        </w:rPr>
        <w:t>实现</w:t>
      </w:r>
      <w:r>
        <w:rPr>
          <w:rFonts w:hint="eastAsia" w:ascii="仿宋_GB2312" w:hAnsi="仿宋_GB2312" w:eastAsia="仿宋_GB2312" w:cs="仿宋_GB2312"/>
          <w:sz w:val="32"/>
          <w:szCs w:val="32"/>
        </w:rPr>
        <w:t>节水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节肥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省工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增效，</w:t>
      </w:r>
      <w:r>
        <w:rPr>
          <w:rFonts w:hint="eastAsia" w:ascii="仿宋_GB2312" w:hAnsi="仿宋_GB2312" w:eastAsia="仿宋_GB2312" w:cs="仿宋_GB2312"/>
          <w:sz w:val="32"/>
          <w:szCs w:val="32"/>
        </w:rPr>
        <w:t>有效防止土壤次生盐渍化。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三、实施范围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仿宋_GB2312" w:hAnsi="仿宋_GB2312" w:eastAsia="仿宋_GB2312" w:cs="Times New Roman"/>
          <w:sz w:val="32"/>
          <w:szCs w:val="32"/>
          <w:lang w:val="en-US" w:eastAsia="zh-CN"/>
        </w:rPr>
      </w:pPr>
      <w:r>
        <w:rPr>
          <w:rFonts w:hint="eastAsia" w:ascii="仿宋_GB2312" w:hAnsi="仿宋_GB2312" w:eastAsia="仿宋_GB2312" w:cs="Times New Roman"/>
          <w:sz w:val="32"/>
          <w:szCs w:val="32"/>
          <w:lang w:val="en-US" w:eastAsia="zh-CN"/>
        </w:rPr>
        <w:t>2023年上海市绿叶菜生产核心基地创建单位和崇明区高品质蔬菜规模化生产签约基地。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黑体" w:hAnsi="黑体" w:eastAsia="黑体" w:cs="Times New Roman"/>
          <w:color w:val="000000"/>
          <w:kern w:val="0"/>
          <w:sz w:val="32"/>
          <w:szCs w:val="32"/>
        </w:rPr>
      </w:pPr>
      <w:r>
        <w:rPr>
          <w:rFonts w:hint="eastAsia" w:ascii="黑体" w:hAnsi="黑体" w:eastAsia="黑体" w:cs="黑体"/>
          <w:color w:val="000000"/>
          <w:kern w:val="0"/>
          <w:sz w:val="32"/>
          <w:szCs w:val="32"/>
        </w:rPr>
        <w:t>四、实施内容</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jc w:val="both"/>
        <w:textAlignment w:val="auto"/>
        <w:outlineLvl w:val="9"/>
        <w:rPr>
          <w:rFonts w:ascii="楷体_GB2312" w:hAnsi="楷体_GB2312" w:eastAsia="楷体_GB2312" w:cs="Times New Roman"/>
          <w:color w:val="auto"/>
          <w:spacing w:val="8"/>
          <w:sz w:val="32"/>
          <w:szCs w:val="32"/>
          <w:shd w:val="clear" w:color="auto" w:fill="FFFFFF"/>
        </w:rPr>
      </w:pPr>
      <w:r>
        <w:rPr>
          <w:rFonts w:hint="eastAsia" w:ascii="楷体_GB2312" w:hAnsi="楷体_GB2312" w:eastAsia="楷体_GB2312" w:cs="楷体_GB2312"/>
          <w:color w:val="auto"/>
          <w:spacing w:val="8"/>
          <w:sz w:val="32"/>
          <w:szCs w:val="32"/>
          <w:shd w:val="clear" w:color="auto" w:fill="FFFFFF"/>
        </w:rPr>
        <w:t>（一）遴选实施基地，开展技术示范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仿宋_GB2312" w:hAnsi="仿宋_GB2312" w:eastAsia="仿宋_GB2312" w:cs="Times New Roman"/>
          <w:color w:val="auto"/>
          <w:sz w:val="32"/>
          <w:szCs w:val="32"/>
        </w:rPr>
      </w:pPr>
      <w:r>
        <w:rPr>
          <w:rFonts w:ascii="仿宋_GB2312" w:hAnsi="仿宋_GB2312" w:eastAsia="仿宋_GB2312" w:cs="Times New Roman"/>
          <w:color w:val="auto"/>
          <w:sz w:val="32"/>
          <w:szCs w:val="32"/>
        </w:rPr>
        <w:t>在</w:t>
      </w:r>
      <w:r>
        <w:rPr>
          <w:rFonts w:hint="eastAsia" w:ascii="仿宋_GB2312" w:hAnsi="仿宋_GB2312" w:eastAsia="仿宋_GB2312" w:cs="Times New Roman"/>
          <w:color w:val="auto"/>
          <w:sz w:val="32"/>
          <w:szCs w:val="32"/>
          <w:lang w:val="en-US" w:eastAsia="zh-CN"/>
        </w:rPr>
        <w:t>绿叶菜生产核心基地创建单位及高品质</w:t>
      </w:r>
      <w:r>
        <w:rPr>
          <w:rFonts w:hint="eastAsia" w:ascii="仿宋_GB2312" w:hAnsi="仿宋_GB2312" w:eastAsia="仿宋_GB2312" w:cs="Times New Roman"/>
          <w:color w:val="auto"/>
          <w:sz w:val="32"/>
          <w:szCs w:val="32"/>
        </w:rPr>
        <w:t>蔬菜规模化签约基地</w:t>
      </w:r>
      <w:r>
        <w:rPr>
          <w:rFonts w:ascii="仿宋_GB2312" w:hAnsi="仿宋_GB2312" w:eastAsia="仿宋_GB2312" w:cs="Times New Roman"/>
          <w:color w:val="auto"/>
          <w:sz w:val="32"/>
          <w:szCs w:val="32"/>
        </w:rPr>
        <w:t>中具有能正常运行的水肥一体化设施设备的</w:t>
      </w:r>
      <w:r>
        <w:rPr>
          <w:rFonts w:hint="eastAsia" w:ascii="仿宋_GB2312" w:hAnsi="仿宋_GB2312" w:eastAsia="仿宋_GB2312" w:cs="Times New Roman"/>
          <w:color w:val="auto"/>
          <w:sz w:val="32"/>
          <w:szCs w:val="32"/>
          <w:lang w:eastAsia="zh-CN"/>
        </w:rPr>
        <w:t>蔬菜</w:t>
      </w:r>
      <w:r>
        <w:rPr>
          <w:rFonts w:ascii="仿宋_GB2312" w:hAnsi="仿宋_GB2312" w:eastAsia="仿宋_GB2312" w:cs="Times New Roman"/>
          <w:color w:val="auto"/>
          <w:sz w:val="32"/>
          <w:szCs w:val="32"/>
        </w:rPr>
        <w:t>种植面积中遴选技术</w:t>
      </w:r>
      <w:r>
        <w:rPr>
          <w:rFonts w:hint="eastAsia" w:ascii="仿宋_GB2312" w:hAnsi="仿宋_GB2312" w:eastAsia="仿宋_GB2312" w:cs="仿宋_GB2312"/>
          <w:color w:val="auto"/>
          <w:sz w:val="32"/>
          <w:szCs w:val="32"/>
        </w:rPr>
        <w:t>应用示范</w:t>
      </w:r>
      <w:r>
        <w:rPr>
          <w:rFonts w:hint="eastAsia" w:ascii="仿宋_GB2312" w:hAnsi="仿宋_GB2312" w:eastAsia="仿宋_GB2312" w:cs="仿宋_GB2312"/>
          <w:color w:val="auto"/>
          <w:sz w:val="32"/>
          <w:szCs w:val="32"/>
          <w:lang w:val="en-US" w:eastAsia="zh-CN"/>
        </w:rPr>
        <w:t>面积</w:t>
      </w:r>
      <w:r>
        <w:rPr>
          <w:rFonts w:hint="eastAsia" w:ascii="仿宋_GB2312" w:hAnsi="仿宋_GB2312" w:eastAsia="仿宋_GB2312" w:cs="仿宋_GB2312"/>
          <w:color w:val="auto"/>
          <w:sz w:val="32"/>
          <w:szCs w:val="32"/>
        </w:rPr>
        <w:t>，发挥示范带动作用，推进绿色蔬菜水溶肥推广应用。</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jc w:val="both"/>
        <w:textAlignment w:val="auto"/>
        <w:outlineLvl w:val="9"/>
        <w:rPr>
          <w:rFonts w:hint="eastAsia" w:ascii="楷体_GB2312" w:hAnsi="楷体_GB2312" w:eastAsia="楷体_GB2312" w:cs="Times New Roman"/>
          <w:color w:val="auto"/>
          <w:spacing w:val="8"/>
          <w:sz w:val="32"/>
          <w:szCs w:val="32"/>
          <w:shd w:val="clear" w:color="auto" w:fill="FFFFFF"/>
        </w:rPr>
      </w:pPr>
      <w:r>
        <w:rPr>
          <w:rFonts w:hint="eastAsia" w:ascii="楷体_GB2312" w:hAnsi="楷体_GB2312" w:eastAsia="楷体_GB2312" w:cs="楷体_GB2312"/>
          <w:color w:val="auto"/>
          <w:spacing w:val="8"/>
          <w:sz w:val="32"/>
          <w:szCs w:val="32"/>
          <w:shd w:val="clear" w:color="auto" w:fill="FFFFFF"/>
        </w:rPr>
        <w:t>（二）按照生产需求，科学应用水溶肥</w:t>
      </w:r>
    </w:p>
    <w:p>
      <w:pPr>
        <w:keepNext w:val="0"/>
        <w:keepLines w:val="0"/>
        <w:pageBreakBefore w:val="0"/>
        <w:widowControl w:val="0"/>
        <w:kinsoku/>
        <w:wordWrap/>
        <w:overflowPunct/>
        <w:topLinePunct w:val="0"/>
        <w:autoSpaceDE/>
        <w:autoSpaceDN/>
        <w:bidi w:val="0"/>
        <w:adjustRightInd/>
        <w:snapToGrid/>
        <w:spacing w:line="560" w:lineRule="exact"/>
        <w:ind w:firstLine="675" w:firstLineChars="200"/>
        <w:jc w:val="both"/>
        <w:textAlignment w:val="auto"/>
        <w:outlineLvl w:val="9"/>
        <w:rPr>
          <w:rFonts w:ascii="仿宋_GB2312" w:hAnsi="仿宋_GB2312" w:eastAsia="仿宋_GB2312" w:cs="Times New Roman"/>
          <w:b/>
          <w:bCs/>
          <w:color w:val="auto"/>
          <w:spacing w:val="8"/>
          <w:sz w:val="32"/>
          <w:szCs w:val="32"/>
          <w:shd w:val="clear" w:color="auto" w:fill="FFFFFF"/>
        </w:rPr>
      </w:pPr>
      <w:r>
        <w:rPr>
          <w:rFonts w:hint="eastAsia" w:ascii="仿宋_GB2312" w:hAnsi="仿宋_GB2312" w:eastAsia="仿宋_GB2312" w:cs="仿宋_GB2312"/>
          <w:b/>
          <w:bCs/>
          <w:color w:val="auto"/>
          <w:spacing w:val="8"/>
          <w:sz w:val="32"/>
          <w:szCs w:val="32"/>
          <w:shd w:val="clear" w:color="auto" w:fill="FFFFFF"/>
          <w:lang w:val="en-US" w:eastAsia="zh-CN"/>
        </w:rPr>
        <w:t>1.</w:t>
      </w:r>
      <w:r>
        <w:rPr>
          <w:rFonts w:hint="eastAsia" w:ascii="仿宋_GB2312" w:hAnsi="仿宋_GB2312" w:eastAsia="仿宋_GB2312" w:cs="仿宋_GB2312"/>
          <w:b/>
          <w:bCs/>
          <w:color w:val="auto"/>
          <w:spacing w:val="8"/>
          <w:sz w:val="32"/>
          <w:szCs w:val="32"/>
          <w:shd w:val="clear" w:color="auto" w:fill="FFFFFF"/>
        </w:rPr>
        <w:t>水分管理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仿宋_GB2312" w:hAnsi="仿宋_GB2312" w:eastAsia="仿宋_GB2312" w:cs="Times New Roman"/>
          <w:color w:val="000000"/>
          <w:sz w:val="32"/>
          <w:szCs w:val="32"/>
        </w:rPr>
      </w:pPr>
      <w:r>
        <w:rPr>
          <w:rFonts w:hint="eastAsia" w:ascii="仿宋_GB2312" w:hAnsi="仿宋_GB2312" w:eastAsia="仿宋_GB2312" w:cs="仿宋_GB2312"/>
          <w:color w:val="000000"/>
          <w:sz w:val="32"/>
          <w:szCs w:val="32"/>
        </w:rPr>
        <w:t>根据不同蔬菜品种根系分布、需水规律、土壤墒情、土壤理化性状、设施条件和技术措施，制定灌溉制度，内容包括作物全生育期的灌水量、灌水次数、灌溉时间和单次灌水量等。</w:t>
      </w:r>
    </w:p>
    <w:p>
      <w:pPr>
        <w:keepNext w:val="0"/>
        <w:keepLines w:val="0"/>
        <w:pageBreakBefore w:val="0"/>
        <w:widowControl w:val="0"/>
        <w:kinsoku/>
        <w:wordWrap/>
        <w:overflowPunct/>
        <w:topLinePunct w:val="0"/>
        <w:autoSpaceDE/>
        <w:autoSpaceDN/>
        <w:bidi w:val="0"/>
        <w:adjustRightInd/>
        <w:snapToGrid/>
        <w:spacing w:line="560" w:lineRule="exact"/>
        <w:ind w:firstLine="675" w:firstLineChars="200"/>
        <w:jc w:val="both"/>
        <w:textAlignment w:val="auto"/>
        <w:outlineLvl w:val="9"/>
        <w:rPr>
          <w:rFonts w:ascii="仿宋_GB2312" w:hAnsi="仿宋_GB2312" w:eastAsia="仿宋_GB2312" w:cs="Times New Roman"/>
          <w:b/>
          <w:bCs/>
          <w:color w:val="auto"/>
          <w:spacing w:val="8"/>
          <w:sz w:val="32"/>
          <w:szCs w:val="32"/>
          <w:shd w:val="clear" w:color="auto" w:fill="FFFFFF"/>
        </w:rPr>
      </w:pPr>
      <w:r>
        <w:rPr>
          <w:rFonts w:hint="eastAsia" w:ascii="仿宋_GB2312" w:hAnsi="仿宋_GB2312" w:eastAsia="仿宋_GB2312" w:cs="仿宋_GB2312"/>
          <w:b/>
          <w:bCs/>
          <w:color w:val="auto"/>
          <w:spacing w:val="8"/>
          <w:sz w:val="32"/>
          <w:szCs w:val="32"/>
          <w:shd w:val="clear" w:color="auto" w:fill="FFFFFF"/>
          <w:lang w:val="en-US" w:eastAsia="zh-CN"/>
        </w:rPr>
        <w:t>2.</w:t>
      </w:r>
      <w:r>
        <w:rPr>
          <w:rFonts w:hint="eastAsia" w:ascii="仿宋_GB2312" w:hAnsi="仿宋_GB2312" w:eastAsia="仿宋_GB2312" w:cs="仿宋_GB2312"/>
          <w:b/>
          <w:bCs/>
          <w:color w:val="auto"/>
          <w:spacing w:val="8"/>
          <w:sz w:val="32"/>
          <w:szCs w:val="32"/>
          <w:shd w:val="clear" w:color="auto" w:fill="FFFFFF"/>
        </w:rPr>
        <w:t>养分管理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仿宋_GB2312" w:hAnsi="仿宋_GB2312" w:eastAsia="仿宋_GB2312" w:cs="Times New Roman"/>
          <w:color w:val="000000"/>
          <w:sz w:val="32"/>
          <w:szCs w:val="32"/>
        </w:rPr>
      </w:pPr>
      <w:r>
        <w:rPr>
          <w:rFonts w:hint="eastAsia" w:ascii="仿宋_GB2312" w:hAnsi="仿宋_GB2312" w:eastAsia="仿宋_GB2312" w:cs="仿宋_GB2312"/>
          <w:color w:val="000000"/>
          <w:sz w:val="32"/>
          <w:szCs w:val="32"/>
        </w:rPr>
        <w:t>选择溶解度高、溶解速度较快、腐蚀性小、与灌溉水相互作用小、满足蔬菜不同生育期养分需求的水溶性肥料。包括有机水溶肥、氨基酸肥料、腐殖酸肥料等。按照蔬菜作物目标产量、需肥规律、土壤养分含量和灌溉特点制定施肥制度，确定施肥总量、施肥次数、施肥时间和单次施肥量。</w:t>
      </w:r>
    </w:p>
    <w:p>
      <w:pPr>
        <w:keepNext w:val="0"/>
        <w:keepLines w:val="0"/>
        <w:pageBreakBefore w:val="0"/>
        <w:widowControl w:val="0"/>
        <w:kinsoku/>
        <w:wordWrap/>
        <w:overflowPunct/>
        <w:topLinePunct w:val="0"/>
        <w:autoSpaceDE/>
        <w:autoSpaceDN/>
        <w:bidi w:val="0"/>
        <w:adjustRightInd/>
        <w:snapToGrid/>
        <w:spacing w:line="560" w:lineRule="exact"/>
        <w:ind w:firstLine="675" w:firstLineChars="200"/>
        <w:jc w:val="both"/>
        <w:textAlignment w:val="auto"/>
        <w:outlineLvl w:val="9"/>
        <w:rPr>
          <w:rFonts w:ascii="仿宋_GB2312" w:hAnsi="仿宋_GB2312" w:eastAsia="仿宋_GB2312" w:cs="Times New Roman"/>
          <w:b/>
          <w:bCs/>
          <w:color w:val="auto"/>
          <w:spacing w:val="8"/>
          <w:sz w:val="32"/>
          <w:szCs w:val="32"/>
          <w:shd w:val="clear" w:color="auto" w:fill="FFFFFF"/>
        </w:rPr>
      </w:pPr>
      <w:r>
        <w:rPr>
          <w:rFonts w:hint="eastAsia" w:ascii="仿宋_GB2312" w:hAnsi="仿宋_GB2312" w:eastAsia="仿宋_GB2312" w:cs="仿宋_GB2312"/>
          <w:b/>
          <w:bCs/>
          <w:color w:val="auto"/>
          <w:spacing w:val="8"/>
          <w:sz w:val="32"/>
          <w:szCs w:val="32"/>
          <w:shd w:val="clear" w:color="auto" w:fill="FFFFFF"/>
          <w:lang w:val="en-US" w:eastAsia="zh-CN"/>
        </w:rPr>
        <w:t>3.</w:t>
      </w:r>
      <w:r>
        <w:rPr>
          <w:rFonts w:hint="eastAsia" w:ascii="仿宋_GB2312" w:hAnsi="仿宋_GB2312" w:eastAsia="仿宋_GB2312" w:cs="仿宋_GB2312"/>
          <w:b/>
          <w:bCs/>
          <w:color w:val="auto"/>
          <w:spacing w:val="8"/>
          <w:sz w:val="32"/>
          <w:szCs w:val="32"/>
          <w:shd w:val="clear" w:color="auto" w:fill="FFFFFF"/>
        </w:rPr>
        <w:t>水肥耦合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按照肥随水走、少量多次、分阶段拟合的原则，将作物总灌溉水量和总施肥量根据不同的生育阶段分配，制定灌溉施肥制度，包括基肥与追肥比例、不同生育期的灌溉施肥的次数、时间、灌水量、施肥量等，以满足作物不同生育期水分和养分需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五、</w:t>
      </w:r>
      <w:r>
        <w:rPr>
          <w:rFonts w:hint="eastAsia" w:ascii="黑体" w:hAnsi="黑体" w:eastAsia="黑体" w:cs="黑体"/>
          <w:color w:val="000000"/>
          <w:kern w:val="0"/>
          <w:sz w:val="32"/>
          <w:szCs w:val="32"/>
          <w:lang w:eastAsia="zh-CN"/>
        </w:rPr>
        <w:t>采购方式</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outlineLvl w:val="9"/>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区农业农村委与区供销社签订委托合同，由区供销社组织采购。</w:t>
      </w:r>
      <w:r>
        <w:rPr>
          <w:rFonts w:hint="eastAsia" w:ascii="仿宋_GB2312" w:hAnsi="仿宋_GB2312" w:eastAsia="仿宋_GB2312" w:cs="仿宋_GB2312"/>
          <w:kern w:val="0"/>
          <w:sz w:val="30"/>
          <w:szCs w:val="30"/>
        </w:rPr>
        <w:t>实施面积5280亩，补贴标准</w:t>
      </w:r>
      <w:r>
        <w:rPr>
          <w:rFonts w:ascii="仿宋_GB2312" w:hAnsi="仿宋_GB2312" w:eastAsia="仿宋_GB2312" w:cs="仿宋_GB2312"/>
          <w:kern w:val="0"/>
          <w:sz w:val="30"/>
          <w:szCs w:val="30"/>
        </w:rPr>
        <w:t>240</w:t>
      </w:r>
      <w:r>
        <w:rPr>
          <w:rFonts w:hint="eastAsia" w:ascii="仿宋_GB2312" w:hAnsi="仿宋_GB2312" w:eastAsia="仿宋_GB2312" w:cs="仿宋_GB2312"/>
          <w:kern w:val="0"/>
          <w:sz w:val="30"/>
          <w:szCs w:val="30"/>
        </w:rPr>
        <w:t>元</w:t>
      </w:r>
      <w:r>
        <w:rPr>
          <w:rFonts w:ascii="仿宋_GB2312" w:hAnsi="仿宋_GB2312" w:eastAsia="仿宋_GB2312" w:cs="仿宋_GB2312"/>
          <w:kern w:val="0"/>
          <w:sz w:val="30"/>
          <w:szCs w:val="30"/>
        </w:rPr>
        <w:t>/</w:t>
      </w:r>
      <w:r>
        <w:rPr>
          <w:rFonts w:hint="eastAsia" w:ascii="仿宋_GB2312" w:hAnsi="仿宋_GB2312" w:eastAsia="仿宋_GB2312" w:cs="仿宋_GB2312"/>
          <w:kern w:val="0"/>
          <w:sz w:val="30"/>
          <w:szCs w:val="30"/>
        </w:rPr>
        <w:t>亩，补贴资金126.72万元</w:t>
      </w:r>
      <w:r>
        <w:rPr>
          <w:rFonts w:hint="eastAsia" w:ascii="仿宋_GB2312" w:hAnsi="仿宋_GB2312" w:eastAsia="仿宋_GB2312" w:cs="仿宋_GB2312"/>
          <w:kern w:val="0"/>
          <w:sz w:val="30"/>
          <w:szCs w:val="30"/>
          <w:lang w:eastAsia="zh-CN"/>
        </w:rPr>
        <w:t>。</w:t>
      </w:r>
      <w:r>
        <w:rPr>
          <w:rFonts w:hint="eastAsia" w:ascii="仿宋_GB2312" w:hAnsi="仿宋_GB2312" w:eastAsia="仿宋_GB2312" w:cs="仿宋_GB2312"/>
          <w:sz w:val="30"/>
          <w:szCs w:val="30"/>
        </w:rPr>
        <w:t>其中，区级以上财政</w:t>
      </w:r>
      <w:r>
        <w:rPr>
          <w:rFonts w:hint="eastAsia" w:ascii="仿宋_GB2312" w:hAnsi="仿宋_GB2312" w:eastAsia="仿宋_GB2312" w:cs="仿宋_GB2312"/>
          <w:sz w:val="30"/>
          <w:szCs w:val="30"/>
          <w:lang w:val="en-US" w:eastAsia="zh-CN"/>
        </w:rPr>
        <w:t>9</w:t>
      </w:r>
      <w:r>
        <w:rPr>
          <w:rFonts w:hint="eastAsia" w:ascii="仿宋_GB2312" w:hAnsi="仿宋_GB2312" w:eastAsia="仿宋_GB2312" w:cs="仿宋_GB2312"/>
          <w:sz w:val="30"/>
          <w:szCs w:val="30"/>
        </w:rPr>
        <w:t>0%，镇级（园区）财政</w:t>
      </w:r>
      <w:r>
        <w:rPr>
          <w:rFonts w:hint="eastAsia" w:ascii="仿宋_GB2312" w:hAnsi="仿宋_GB2312" w:eastAsia="仿宋_GB2312" w:cs="仿宋_GB2312"/>
          <w:sz w:val="30"/>
          <w:szCs w:val="30"/>
          <w:lang w:val="en-US" w:eastAsia="zh-CN"/>
        </w:rPr>
        <w:t>1</w:t>
      </w:r>
      <w:r>
        <w:rPr>
          <w:rFonts w:hint="eastAsia" w:ascii="仿宋_GB2312" w:hAnsi="仿宋_GB2312" w:eastAsia="仿宋_GB2312" w:cs="仿宋_GB2312"/>
          <w:sz w:val="30"/>
          <w:szCs w:val="30"/>
        </w:rPr>
        <w:t>0%。</w:t>
      </w:r>
      <w:r>
        <w:rPr>
          <w:rFonts w:hint="eastAsia" w:ascii="仿宋_GB2312" w:hAnsi="仿宋_GB2312" w:eastAsia="仿宋_GB2312" w:cs="仿宋_GB2312"/>
          <w:sz w:val="30"/>
          <w:szCs w:val="30"/>
          <w:lang w:val="en-US" w:eastAsia="zh-CN"/>
        </w:rPr>
        <w:t>区农业农村委按照“预拨+清算”的方式进行资金拨付，合同签订后30天内将预算资金的30%拨付至区供销社，采购事项完成后根据区供销社申请拨付至合同金额的70%, 剩余30%部分按审计结果清算拨付。</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jc w:val="both"/>
        <w:textAlignment w:val="auto"/>
        <w:outlineLvl w:val="9"/>
        <w:rPr>
          <w:rFonts w:ascii="黑体" w:hAnsi="黑体" w:eastAsia="黑体" w:cs="Times New Roman"/>
          <w:color w:val="auto"/>
          <w:spacing w:val="8"/>
          <w:sz w:val="32"/>
          <w:szCs w:val="32"/>
          <w:shd w:val="clear" w:color="auto" w:fill="FFFFFF"/>
        </w:rPr>
      </w:pPr>
      <w:r>
        <w:rPr>
          <w:rFonts w:hint="eastAsia" w:ascii="黑体" w:hAnsi="黑体" w:eastAsia="黑体" w:cs="黑体"/>
          <w:color w:val="auto"/>
          <w:spacing w:val="8"/>
          <w:sz w:val="32"/>
          <w:szCs w:val="32"/>
          <w:shd w:val="clear" w:color="auto" w:fill="FFFFFF"/>
        </w:rPr>
        <w:t>六、保障措施</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jc w:val="both"/>
        <w:textAlignment w:val="auto"/>
        <w:outlineLvl w:val="9"/>
        <w:rPr>
          <w:rFonts w:hint="eastAsia" w:ascii="楷体_GB2312" w:hAnsi="楷体_GB2312" w:eastAsia="楷体_GB2312" w:cs="Times New Roman"/>
          <w:color w:val="auto"/>
          <w:spacing w:val="8"/>
          <w:sz w:val="32"/>
          <w:szCs w:val="32"/>
          <w:shd w:val="clear" w:color="auto" w:fill="FFFFFF"/>
        </w:rPr>
      </w:pPr>
      <w:r>
        <w:rPr>
          <w:rFonts w:hint="eastAsia" w:ascii="楷体_GB2312" w:hAnsi="楷体_GB2312" w:eastAsia="楷体_GB2312" w:cs="楷体_GB2312"/>
          <w:color w:val="auto"/>
          <w:spacing w:val="8"/>
          <w:sz w:val="32"/>
          <w:szCs w:val="32"/>
          <w:shd w:val="clear" w:color="auto" w:fill="FFFFFF"/>
        </w:rPr>
        <w:t>（一）加强组织领导，落实资金保障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ascii="仿宋_GB2312" w:hAnsi="仿宋_GB2312" w:eastAsia="仿宋_GB2312" w:cs="Times New Roman"/>
          <w:color w:val="000000"/>
          <w:sz w:val="32"/>
          <w:szCs w:val="32"/>
        </w:rPr>
      </w:pPr>
      <w:r>
        <w:rPr>
          <w:rFonts w:hint="eastAsia" w:ascii="仿宋_GB2312" w:hAnsi="仿宋_GB2312" w:eastAsia="仿宋_GB2312" w:cs="仿宋_GB2312"/>
          <w:sz w:val="32"/>
          <w:szCs w:val="32"/>
          <w:lang w:val="en-US" w:eastAsia="zh-CN"/>
        </w:rPr>
        <w:t>区农业农村委负责统筹协调工作，区农业技术部门提前做好</w:t>
      </w:r>
      <w:r>
        <w:rPr>
          <w:rFonts w:hint="eastAsia" w:ascii="仿宋_GB2312" w:hAnsi="仿宋_GB2312" w:eastAsia="仿宋_GB2312" w:cs="仿宋_GB2312"/>
          <w:color w:val="000000"/>
          <w:sz w:val="32"/>
          <w:szCs w:val="32"/>
        </w:rPr>
        <w:t>强化技术指导服务，把</w:t>
      </w:r>
      <w:r>
        <w:rPr>
          <w:rFonts w:hint="eastAsia" w:ascii="仿宋_GB2312" w:hAnsi="仿宋_GB2312" w:eastAsia="仿宋_GB2312" w:cs="仿宋_GB2312"/>
          <w:color w:val="000000"/>
          <w:sz w:val="32"/>
          <w:szCs w:val="32"/>
          <w:lang w:val="en-US" w:eastAsia="zh-CN"/>
        </w:rPr>
        <w:t>水肥一体化</w:t>
      </w:r>
      <w:r>
        <w:rPr>
          <w:rFonts w:hint="eastAsia" w:ascii="仿宋_GB2312" w:hAnsi="仿宋_GB2312" w:eastAsia="仿宋_GB2312" w:cs="仿宋_GB2312"/>
          <w:color w:val="000000"/>
          <w:sz w:val="32"/>
          <w:szCs w:val="32"/>
        </w:rPr>
        <w:t>技术各项工作落到实处。各乡镇</w:t>
      </w:r>
      <w:r>
        <w:rPr>
          <w:rFonts w:hint="eastAsia" w:ascii="仿宋_GB2312" w:hAnsi="仿宋_GB2312" w:eastAsia="仿宋_GB2312" w:cs="仿宋_GB2312"/>
          <w:color w:val="000000"/>
          <w:sz w:val="32"/>
          <w:szCs w:val="32"/>
          <w:lang w:eastAsia="zh-CN"/>
        </w:rPr>
        <w:t>（园区）</w:t>
      </w:r>
      <w:r>
        <w:rPr>
          <w:rFonts w:hint="eastAsia" w:ascii="仿宋_GB2312" w:hAnsi="仿宋_GB2312" w:eastAsia="仿宋_GB2312" w:cs="仿宋_GB2312"/>
          <w:sz w:val="32"/>
          <w:szCs w:val="32"/>
          <w:lang w:val="en-US" w:eastAsia="zh-CN"/>
        </w:rPr>
        <w:t>及时掌握种植主体的生产需求，加强与区农业技术部门、区供销社沟通协作，</w:t>
      </w:r>
      <w:r>
        <w:rPr>
          <w:rFonts w:hint="eastAsia" w:ascii="仿宋_GB2312" w:hAnsi="仿宋_GB2312" w:eastAsia="仿宋_GB2312" w:cs="仿宋_GB2312"/>
          <w:color w:val="000000"/>
          <w:sz w:val="32"/>
          <w:szCs w:val="32"/>
        </w:rPr>
        <w:t>确保各项工作有效落实。</w:t>
      </w:r>
      <w:r>
        <w:rPr>
          <w:rFonts w:hint="eastAsia" w:ascii="仿宋_GB2312" w:hAnsi="仿宋_GB2312" w:eastAsia="仿宋_GB2312" w:cs="仿宋_GB2312"/>
          <w:sz w:val="32"/>
          <w:szCs w:val="32"/>
          <w:lang w:val="en-US" w:eastAsia="zh-CN"/>
        </w:rPr>
        <w:t>区供销社切实发挥好供销系统资源优势，提升农资供应的管控和服务能力，确保供应及时、有效。</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jc w:val="both"/>
        <w:textAlignment w:val="auto"/>
        <w:outlineLvl w:val="9"/>
        <w:rPr>
          <w:rFonts w:ascii="楷体_GB2312" w:hAnsi="楷体_GB2312" w:eastAsia="楷体_GB2312" w:cs="Times New Roman"/>
          <w:color w:val="333333"/>
          <w:spacing w:val="8"/>
          <w:sz w:val="32"/>
          <w:szCs w:val="32"/>
          <w:shd w:val="clear" w:color="auto" w:fill="FFFFFF"/>
        </w:rPr>
      </w:pPr>
      <w:r>
        <w:rPr>
          <w:rFonts w:hint="eastAsia" w:ascii="楷体_GB2312" w:hAnsi="楷体_GB2312" w:eastAsia="楷体_GB2312" w:cs="楷体_GB2312"/>
          <w:color w:val="auto"/>
          <w:spacing w:val="8"/>
          <w:sz w:val="32"/>
          <w:szCs w:val="32"/>
          <w:shd w:val="clear" w:color="auto" w:fill="FFFFFF"/>
        </w:rPr>
        <w:t>（二）完善技术指导，确保推广效果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成立由区技术部门、乡镇（园区）、肥料生产企业等单位参加的工作组和技术专家组，加强技术指导和服务，结合当地实际，开展水肥一体化技术试验、示范、培训、指导、绩效评价等工作，提高水肥一体化技术推广的效果、效率和效益。</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72" w:firstLineChars="200"/>
        <w:jc w:val="both"/>
        <w:textAlignment w:val="auto"/>
        <w:outlineLvl w:val="9"/>
        <w:rPr>
          <w:rFonts w:hint="eastAsia" w:ascii="楷体_GB2312" w:hAnsi="楷体_GB2312" w:eastAsia="楷体_GB2312" w:cs="楷体_GB2312"/>
          <w:color w:val="auto"/>
          <w:spacing w:val="8"/>
          <w:sz w:val="32"/>
          <w:szCs w:val="32"/>
          <w:shd w:val="clear" w:color="auto" w:fill="FFFFFF"/>
        </w:rPr>
      </w:pPr>
      <w:r>
        <w:rPr>
          <w:rFonts w:hint="eastAsia" w:ascii="楷体_GB2312" w:hAnsi="楷体_GB2312" w:eastAsia="楷体_GB2312" w:cs="楷体_GB2312"/>
          <w:color w:val="auto"/>
          <w:spacing w:val="8"/>
          <w:sz w:val="32"/>
          <w:szCs w:val="32"/>
          <w:shd w:val="clear" w:color="auto" w:fill="FFFFFF"/>
        </w:rPr>
        <w:t>做好现场抽查，加强验收考核</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区农业农村委和区</w:t>
      </w:r>
      <w:r>
        <w:rPr>
          <w:rFonts w:hint="eastAsia" w:ascii="仿宋_GB2312" w:hAnsi="仿宋_GB2312" w:eastAsia="仿宋_GB2312" w:cs="仿宋_GB2312"/>
          <w:color w:val="000000"/>
          <w:sz w:val="32"/>
          <w:szCs w:val="32"/>
          <w:lang w:eastAsia="zh-CN"/>
        </w:rPr>
        <w:t>农业</w:t>
      </w:r>
      <w:r>
        <w:rPr>
          <w:rFonts w:hint="eastAsia" w:ascii="仿宋_GB2312" w:hAnsi="仿宋_GB2312" w:eastAsia="仿宋_GB2312" w:cs="仿宋_GB2312"/>
          <w:color w:val="000000"/>
          <w:sz w:val="32"/>
          <w:szCs w:val="32"/>
        </w:rPr>
        <w:t>技术部门对乡镇（园区）开展验收工作，并抽取一定比例进行现场核查，确保水肥一体化技术推广工作有效落实。</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72" w:firstLineChars="200"/>
        <w:jc w:val="both"/>
        <w:textAlignment w:val="auto"/>
        <w:outlineLvl w:val="9"/>
        <w:rPr>
          <w:rFonts w:ascii="楷体_GB2312" w:hAnsi="楷体_GB2312" w:eastAsia="楷体_GB2312" w:cs="Times New Roman"/>
          <w:color w:val="auto"/>
          <w:spacing w:val="8"/>
          <w:sz w:val="32"/>
          <w:szCs w:val="32"/>
          <w:shd w:val="clear" w:color="auto" w:fill="FFFFFF"/>
        </w:rPr>
      </w:pPr>
      <w:r>
        <w:rPr>
          <w:rFonts w:hint="eastAsia" w:ascii="楷体_GB2312" w:hAnsi="楷体_GB2312" w:eastAsia="楷体_GB2312" w:cs="楷体_GB2312"/>
          <w:color w:val="auto"/>
          <w:spacing w:val="8"/>
          <w:sz w:val="32"/>
          <w:szCs w:val="32"/>
          <w:shd w:val="clear" w:color="auto" w:fill="FFFFFF"/>
        </w:rPr>
        <w:t>（四）严格电子档案记录，加强档案管理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各实施基地在推广应用过程中及时、精准做好“神农口袋”数据录入，并加强原始数据档案记录，特别是记录台账要做到基地全覆盖，所有档案确保真实、完整。要建立严格的项目资金管理制度，严格执行相关财政纪律，确保专款专用。</w:t>
      </w: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outlineLvl w:val="9"/>
        <w:rPr>
          <w:rFonts w:hint="eastAsia" w:ascii="仿宋_GB2312" w:hAnsi="仿宋_GB2312" w:eastAsia="仿宋_GB2312" w:cs="Times New Roman"/>
          <w:spacing w:val="8"/>
          <w:sz w:val="32"/>
          <w:szCs w:val="32"/>
          <w:shd w:val="clear" w:color="auto" w:fill="FFFFFF"/>
          <w:lang w:eastAsia="zh-CN"/>
        </w:rPr>
      </w:pPr>
    </w:p>
    <w:p>
      <w:pPr>
        <w:keepNext w:val="0"/>
        <w:keepLines w:val="0"/>
        <w:pageBreakBefore w:val="0"/>
        <w:widowControl w:val="0"/>
        <w:tabs>
          <w:tab w:val="center" w:pos="4422"/>
        </w:tabs>
        <w:kinsoku/>
        <w:wordWrap/>
        <w:topLinePunct w:val="0"/>
        <w:autoSpaceDE/>
        <w:autoSpaceDN/>
        <w:bidi w:val="0"/>
        <w:adjustRightInd/>
        <w:snapToGrid/>
        <w:spacing w:line="560" w:lineRule="exact"/>
        <w:ind w:firstLine="672" w:firstLineChars="200"/>
        <w:jc w:val="left"/>
        <w:textAlignment w:val="auto"/>
        <w:outlineLvl w:val="9"/>
        <w:rPr>
          <w:rFonts w:hint="eastAsia" w:ascii="仿宋_GB2312" w:hAnsi="仿宋_GB2312" w:eastAsia="仿宋_GB2312" w:cs="Times New Roman"/>
          <w:spacing w:val="8"/>
          <w:sz w:val="32"/>
          <w:szCs w:val="32"/>
          <w:shd w:val="clear" w:color="auto" w:fill="FFFFFF"/>
        </w:rPr>
      </w:pPr>
      <w:r>
        <w:rPr>
          <w:rFonts w:hint="eastAsia" w:ascii="仿宋_GB2312" w:hAnsi="仿宋_GB2312" w:eastAsia="仿宋_GB2312" w:cs="Times New Roman"/>
          <w:spacing w:val="8"/>
          <w:sz w:val="32"/>
          <w:szCs w:val="32"/>
          <w:shd w:val="clear" w:color="auto" w:fill="FFFFFF"/>
          <w:lang w:eastAsia="zh-CN"/>
        </w:rPr>
        <w:t>附件</w:t>
      </w:r>
      <w:r>
        <w:rPr>
          <w:rFonts w:hint="eastAsia" w:ascii="仿宋_GB2312" w:hAnsi="仿宋_GB2312" w:eastAsia="仿宋_GB2312" w:cs="Times New Roman"/>
          <w:spacing w:val="8"/>
          <w:sz w:val="32"/>
          <w:szCs w:val="32"/>
          <w:shd w:val="clear" w:color="auto" w:fill="FFFFFF"/>
        </w:rPr>
        <w:t>：202</w:t>
      </w:r>
      <w:r>
        <w:rPr>
          <w:rFonts w:hint="eastAsia" w:ascii="仿宋_GB2312" w:hAnsi="仿宋_GB2312" w:eastAsia="仿宋_GB2312" w:cs="Times New Roman"/>
          <w:spacing w:val="8"/>
          <w:sz w:val="32"/>
          <w:szCs w:val="32"/>
          <w:shd w:val="clear" w:color="auto" w:fill="FFFFFF"/>
          <w:lang w:val="en-US" w:eastAsia="zh-CN"/>
        </w:rPr>
        <w:t>3</w:t>
      </w:r>
      <w:r>
        <w:rPr>
          <w:rFonts w:hint="eastAsia" w:ascii="仿宋_GB2312" w:hAnsi="仿宋_GB2312" w:eastAsia="仿宋_GB2312" w:cs="Times New Roman"/>
          <w:spacing w:val="8"/>
          <w:sz w:val="32"/>
          <w:szCs w:val="32"/>
          <w:shd w:val="clear" w:color="auto" w:fill="FFFFFF"/>
        </w:rPr>
        <w:t>年</w:t>
      </w:r>
      <w:r>
        <w:rPr>
          <w:rFonts w:hint="eastAsia" w:ascii="仿宋_GB2312" w:hAnsi="仿宋_GB2312" w:eastAsia="仿宋_GB2312" w:cs="Times New Roman"/>
          <w:spacing w:val="8"/>
          <w:sz w:val="32"/>
          <w:szCs w:val="32"/>
          <w:shd w:val="clear" w:color="auto" w:fill="FFFFFF"/>
          <w:lang w:eastAsia="zh-CN"/>
        </w:rPr>
        <w:t>崇明区</w:t>
      </w:r>
      <w:r>
        <w:rPr>
          <w:rFonts w:hint="eastAsia" w:ascii="仿宋_GB2312" w:hAnsi="仿宋_GB2312" w:eastAsia="仿宋_GB2312" w:cs="Times New Roman"/>
          <w:spacing w:val="8"/>
          <w:sz w:val="32"/>
          <w:szCs w:val="32"/>
          <w:shd w:val="clear" w:color="auto" w:fill="FFFFFF"/>
        </w:rPr>
        <w:t>水肥一体化技术推广应用明细表</w:t>
      </w:r>
    </w:p>
    <w:p>
      <w:pPr>
        <w:keepNext w:val="0"/>
        <w:keepLines w:val="0"/>
        <w:pageBreakBefore w:val="0"/>
        <w:widowControl w:val="0"/>
        <w:tabs>
          <w:tab w:val="center" w:pos="4422"/>
        </w:tabs>
        <w:kinsoku/>
        <w:wordWrap/>
        <w:topLinePunct w:val="0"/>
        <w:autoSpaceDE/>
        <w:autoSpaceDN/>
        <w:bidi w:val="0"/>
        <w:adjustRightInd/>
        <w:snapToGrid/>
        <w:spacing w:line="560" w:lineRule="exact"/>
        <w:ind w:firstLine="672" w:firstLineChars="200"/>
        <w:jc w:val="left"/>
        <w:textAlignment w:val="auto"/>
        <w:outlineLvl w:val="9"/>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tabs>
          <w:tab w:val="center" w:pos="4422"/>
        </w:tabs>
        <w:kinsoku/>
        <w:wordWrap/>
        <w:topLinePunct w:val="0"/>
        <w:autoSpaceDE/>
        <w:autoSpaceDN/>
        <w:bidi w:val="0"/>
        <w:adjustRightInd/>
        <w:snapToGrid/>
        <w:spacing w:line="560" w:lineRule="exact"/>
        <w:ind w:firstLine="672" w:firstLineChars="200"/>
        <w:jc w:val="left"/>
        <w:textAlignment w:val="auto"/>
        <w:outlineLvl w:val="9"/>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kinsoku/>
        <w:wordWrap w:val="0"/>
        <w:overflowPunct w:val="0"/>
        <w:topLinePunct w:val="0"/>
        <w:autoSpaceDE/>
        <w:autoSpaceDN/>
        <w:bidi w:val="0"/>
        <w:adjustRightInd/>
        <w:snapToGrid/>
        <w:spacing w:line="560" w:lineRule="exact"/>
        <w:ind w:firstLine="3200" w:firstLineChars="1000"/>
        <w:jc w:val="right"/>
        <w:textAlignment w:val="auto"/>
        <w:outlineLvl w:val="9"/>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上海市崇明区农业农村委员会</w:t>
      </w:r>
      <w:r>
        <w:rPr>
          <w:rFonts w:hint="eastAsia" w:ascii="仿宋_GB2312" w:hAnsi="仿宋_GB2312" w:eastAsia="仿宋_GB2312" w:cs="仿宋_GB2312"/>
          <w:kern w:val="0"/>
          <w:sz w:val="32"/>
          <w:szCs w:val="32"/>
          <w:lang w:val="en-US" w:eastAsia="zh-CN"/>
        </w:rPr>
        <w:t xml:space="preserve">    </w:t>
      </w:r>
    </w:p>
    <w:p>
      <w:pPr>
        <w:keepNext w:val="0"/>
        <w:keepLines w:val="0"/>
        <w:pageBreakBefore w:val="0"/>
        <w:widowControl w:val="0"/>
        <w:kinsoku/>
        <w:wordWrap/>
        <w:overflowPunct w:val="0"/>
        <w:topLinePunct w:val="0"/>
        <w:autoSpaceDE/>
        <w:autoSpaceDN/>
        <w:bidi w:val="0"/>
        <w:adjustRightInd/>
        <w:snapToGrid/>
        <w:spacing w:line="560" w:lineRule="exact"/>
        <w:jc w:val="center"/>
        <w:textAlignment w:val="auto"/>
        <w:outlineLvl w:val="9"/>
        <w:rPr>
          <w:rFonts w:ascii="仿宋_GB2312" w:hAnsi="仿宋_GB2312" w:eastAsia="仿宋_GB2312" w:cs="Times New Roman"/>
          <w:color w:val="333333"/>
          <w:sz w:val="32"/>
          <w:szCs w:val="32"/>
          <w:shd w:val="clear" w:color="auto" w:fill="FFFFFF"/>
        </w:rPr>
      </w:pPr>
      <w:r>
        <w:rPr>
          <w:rFonts w:hint="eastAsia" w:ascii="仿宋_GB2312" w:hAnsi="仿宋_GB2312" w:eastAsia="仿宋_GB2312" w:cs="仿宋_GB2312"/>
          <w:kern w:val="0"/>
          <w:sz w:val="32"/>
          <w:szCs w:val="32"/>
          <w:lang w:val="en-US" w:eastAsia="zh-CN"/>
        </w:rPr>
        <w:t xml:space="preserve">                     </w:t>
      </w:r>
      <w:r>
        <w:rPr>
          <w:rFonts w:ascii="仿宋_GB2312" w:hAnsi="仿宋_GB2312" w:eastAsia="仿宋_GB2312" w:cs="仿宋_GB2312"/>
          <w:kern w:val="0"/>
          <w:sz w:val="32"/>
          <w:szCs w:val="32"/>
        </w:rPr>
        <w:t>20</w:t>
      </w:r>
      <w:r>
        <w:rPr>
          <w:rFonts w:hint="eastAsia" w:ascii="仿宋_GB2312" w:hAnsi="仿宋_GB2312" w:eastAsia="仿宋_GB2312" w:cs="仿宋_GB2312"/>
          <w:kern w:val="0"/>
          <w:sz w:val="32"/>
          <w:szCs w:val="32"/>
        </w:rPr>
        <w:t>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w:t>
      </w:r>
      <w:r>
        <w:rPr>
          <w:rFonts w:hint="eastAsia" w:ascii="仿宋_GB2312" w:hAnsi="仿宋_GB2312" w:eastAsia="仿宋_GB2312" w:cs="仿宋_GB2312"/>
          <w:kern w:val="0"/>
          <w:sz w:val="32"/>
          <w:szCs w:val="32"/>
          <w:lang w:val="en-US" w:eastAsia="zh-CN"/>
        </w:rPr>
        <w:t>5</w:t>
      </w:r>
      <w:r>
        <w:rPr>
          <w:rFonts w:hint="eastAsia" w:ascii="仿宋_GB2312" w:hAnsi="仿宋_GB2312" w:eastAsia="仿宋_GB2312" w:cs="仿宋_GB2312"/>
          <w:kern w:val="0"/>
          <w:sz w:val="32"/>
          <w:szCs w:val="32"/>
        </w:rPr>
        <w:t>月</w:t>
      </w:r>
      <w:r>
        <w:rPr>
          <w:rFonts w:hint="eastAsia" w:ascii="仿宋_GB2312" w:hAnsi="仿宋_GB2312" w:eastAsia="仿宋_GB2312" w:cs="仿宋_GB2312"/>
          <w:kern w:val="0"/>
          <w:sz w:val="32"/>
          <w:szCs w:val="32"/>
          <w:lang w:val="en-US" w:eastAsia="zh-CN"/>
        </w:rPr>
        <w:t>16</w:t>
      </w:r>
      <w:r>
        <w:rPr>
          <w:rFonts w:hint="eastAsia" w:ascii="仿宋_GB2312" w:hAnsi="仿宋_GB2312" w:eastAsia="仿宋_GB2312" w:cs="仿宋_GB2312"/>
          <w:kern w:val="0"/>
          <w:sz w:val="32"/>
          <w:szCs w:val="32"/>
        </w:rPr>
        <w:t>日</w:t>
      </w: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仿宋_GB2312" w:hAnsi="仿宋_GB2312" w:eastAsia="仿宋_GB2312" w:cs="Times New Roman"/>
          <w:spacing w:val="8"/>
          <w:sz w:val="32"/>
          <w:szCs w:val="32"/>
          <w:shd w:val="clear" w:color="auto" w:fill="FFFFFF"/>
        </w:rPr>
      </w:pP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仿宋_GB2312" w:hAnsi="仿宋_GB2312" w:eastAsia="仿宋_GB2312" w:cs="Times New Roman"/>
          <w:spacing w:val="8"/>
          <w:sz w:val="32"/>
          <w:szCs w:val="32"/>
          <w:shd w:val="clear" w:color="auto" w:fill="FFFFFF"/>
        </w:rPr>
        <w:sectPr>
          <w:headerReference r:id="rId4" w:type="default"/>
          <w:footerReference r:id="rId5" w:type="default"/>
          <w:pgSz w:w="11850" w:h="16783"/>
          <w:pgMar w:top="2098" w:right="1474" w:bottom="1984" w:left="1587" w:header="851" w:footer="992" w:gutter="0"/>
          <w:pgNumType w:fmt="numberInDash"/>
          <w:cols w:space="720" w:num="1"/>
          <w:docGrid w:type="lines" w:linePitch="312" w:charSpace="0"/>
        </w:sectPr>
      </w:pPr>
    </w:p>
    <w:p>
      <w:pPr>
        <w:keepNext w:val="0"/>
        <w:keepLines w:val="0"/>
        <w:pageBreakBefore w:val="0"/>
        <w:widowControl w:val="0"/>
        <w:tabs>
          <w:tab w:val="center" w:pos="4422"/>
        </w:tabs>
        <w:kinsoku/>
        <w:wordWrap/>
        <w:topLinePunct w:val="0"/>
        <w:autoSpaceDE/>
        <w:autoSpaceDN/>
        <w:bidi w:val="0"/>
        <w:adjustRightInd/>
        <w:snapToGrid/>
        <w:spacing w:line="560" w:lineRule="exact"/>
        <w:jc w:val="left"/>
        <w:textAlignment w:val="auto"/>
        <w:rPr>
          <w:rFonts w:hint="eastAsia" w:ascii="黑体" w:hAnsi="黑体" w:eastAsia="黑体" w:cs="黑体"/>
          <w:spacing w:val="8"/>
          <w:sz w:val="32"/>
          <w:szCs w:val="32"/>
          <w:shd w:val="clear" w:color="auto" w:fill="FFFFFF"/>
          <w:lang w:val="en-US" w:eastAsia="zh-CN"/>
        </w:rPr>
      </w:pPr>
      <w:r>
        <w:rPr>
          <w:rFonts w:hint="eastAsia" w:ascii="黑体" w:hAnsi="黑体" w:eastAsia="黑体" w:cs="黑体"/>
          <w:spacing w:val="8"/>
          <w:sz w:val="32"/>
          <w:szCs w:val="32"/>
          <w:shd w:val="clear" w:color="auto" w:fill="FFFFFF"/>
          <w:lang w:val="en-US" w:eastAsia="zh-CN"/>
        </w:rPr>
        <w:t>附件</w:t>
      </w:r>
    </w:p>
    <w:p>
      <w:pPr>
        <w:keepNext w:val="0"/>
        <w:keepLines w:val="0"/>
        <w:pageBreakBefore w:val="0"/>
        <w:widowControl w:val="0"/>
        <w:tabs>
          <w:tab w:val="center" w:pos="4422"/>
        </w:tabs>
        <w:kinsoku/>
        <w:wordWrap/>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pacing w:val="8"/>
          <w:sz w:val="36"/>
          <w:szCs w:val="36"/>
          <w:shd w:val="clear" w:color="auto" w:fill="FFFFFF"/>
          <w:lang w:eastAsia="zh-CN"/>
        </w:rPr>
      </w:pPr>
      <w:r>
        <w:rPr>
          <w:rFonts w:hint="eastAsia" w:ascii="方正小标宋简体" w:hAnsi="方正小标宋简体" w:eastAsia="方正小标宋简体" w:cs="方正小标宋简体"/>
          <w:spacing w:val="8"/>
          <w:sz w:val="36"/>
          <w:szCs w:val="36"/>
          <w:shd w:val="clear" w:color="auto" w:fill="FFFFFF"/>
          <w:lang w:eastAsia="zh-CN"/>
        </w:rPr>
        <w:t>2023年崇明区水肥一体化技术推广应用明细表</w:t>
      </w:r>
    </w:p>
    <w:p>
      <w:pPr>
        <w:keepNext w:val="0"/>
        <w:keepLines w:val="0"/>
        <w:pageBreakBefore w:val="0"/>
        <w:widowControl w:val="0"/>
        <w:tabs>
          <w:tab w:val="center" w:pos="4422"/>
        </w:tabs>
        <w:kinsoku/>
        <w:wordWrap/>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pacing w:val="8"/>
          <w:sz w:val="32"/>
          <w:szCs w:val="32"/>
          <w:shd w:val="clear" w:color="auto" w:fill="FFFFFF"/>
          <w:lang w:eastAsia="zh-CN"/>
        </w:rPr>
      </w:pPr>
    </w:p>
    <w:tbl>
      <w:tblPr>
        <w:tblStyle w:val="7"/>
        <w:tblW w:w="8871" w:type="dxa"/>
        <w:jc w:val="center"/>
        <w:tblInd w:w="0" w:type="dxa"/>
        <w:tblLayout w:type="fixed"/>
        <w:tblCellMar>
          <w:top w:w="0" w:type="dxa"/>
          <w:left w:w="0" w:type="dxa"/>
          <w:bottom w:w="0" w:type="dxa"/>
          <w:right w:w="0" w:type="dxa"/>
        </w:tblCellMar>
      </w:tblPr>
      <w:tblGrid>
        <w:gridCol w:w="760"/>
        <w:gridCol w:w="843"/>
        <w:gridCol w:w="4922"/>
        <w:gridCol w:w="1102"/>
        <w:gridCol w:w="1244"/>
      </w:tblGrid>
      <w:tr>
        <w:tblPrEx>
          <w:tblLayout w:type="fixed"/>
          <w:tblCellMar>
            <w:top w:w="0" w:type="dxa"/>
            <w:left w:w="0" w:type="dxa"/>
            <w:bottom w:w="0" w:type="dxa"/>
            <w:right w:w="0" w:type="dxa"/>
          </w:tblCellMar>
        </w:tblPrEx>
        <w:trPr>
          <w:trHeight w:val="593" w:hRule="atLeast"/>
          <w:tblHeader/>
          <w:jc w:val="center"/>
        </w:trPr>
        <w:tc>
          <w:tcPr>
            <w:tcW w:w="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4"/>
                <w:szCs w:val="24"/>
                <w:u w:val="none"/>
              </w:rPr>
            </w:pPr>
            <w:r>
              <w:rPr>
                <w:rFonts w:hint="eastAsia" w:ascii="黑体" w:hAnsi="黑体" w:eastAsia="黑体" w:cs="黑体"/>
                <w:i w:val="0"/>
                <w:color w:val="000000"/>
                <w:kern w:val="0"/>
                <w:sz w:val="24"/>
                <w:szCs w:val="24"/>
                <w:u w:val="none"/>
                <w:lang w:val="en-US" w:eastAsia="zh-CN" w:bidi="ar"/>
              </w:rPr>
              <w:t>序号</w:t>
            </w:r>
          </w:p>
        </w:tc>
        <w:tc>
          <w:tcPr>
            <w:tcW w:w="8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4"/>
                <w:szCs w:val="24"/>
                <w:u w:val="none"/>
              </w:rPr>
            </w:pPr>
            <w:r>
              <w:rPr>
                <w:rFonts w:hint="eastAsia" w:ascii="黑体" w:hAnsi="黑体" w:eastAsia="黑体" w:cs="黑体"/>
                <w:i w:val="0"/>
                <w:color w:val="000000"/>
                <w:kern w:val="0"/>
                <w:sz w:val="24"/>
                <w:szCs w:val="24"/>
                <w:u w:val="none"/>
                <w:lang w:val="en-US" w:eastAsia="zh-CN" w:bidi="ar"/>
              </w:rPr>
              <w:t>乡镇</w:t>
            </w:r>
          </w:p>
        </w:tc>
        <w:tc>
          <w:tcPr>
            <w:tcW w:w="49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4"/>
                <w:szCs w:val="24"/>
                <w:u w:val="none"/>
              </w:rPr>
            </w:pPr>
            <w:r>
              <w:rPr>
                <w:rFonts w:hint="eastAsia" w:ascii="黑体" w:hAnsi="黑体" w:eastAsia="黑体" w:cs="黑体"/>
                <w:i w:val="0"/>
                <w:color w:val="000000"/>
                <w:kern w:val="0"/>
                <w:sz w:val="24"/>
                <w:szCs w:val="24"/>
                <w:u w:val="none"/>
                <w:lang w:val="en-US" w:eastAsia="zh-CN" w:bidi="ar"/>
              </w:rPr>
              <w:t>实施单位</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4"/>
                <w:szCs w:val="24"/>
                <w:u w:val="none"/>
              </w:rPr>
            </w:pPr>
            <w:r>
              <w:rPr>
                <w:rFonts w:hint="eastAsia" w:ascii="黑体" w:hAnsi="黑体" w:eastAsia="黑体" w:cs="黑体"/>
                <w:i w:val="0"/>
                <w:color w:val="000000"/>
                <w:kern w:val="0"/>
                <w:sz w:val="24"/>
                <w:szCs w:val="24"/>
                <w:u w:val="none"/>
                <w:lang w:val="en-US" w:eastAsia="zh-CN" w:bidi="ar"/>
              </w:rPr>
              <w:t>面积（亩）</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4"/>
                <w:szCs w:val="24"/>
                <w:u w:val="none"/>
              </w:rPr>
            </w:pPr>
            <w:r>
              <w:rPr>
                <w:rFonts w:hint="eastAsia" w:ascii="黑体" w:hAnsi="黑体" w:eastAsia="黑体" w:cs="黑体"/>
                <w:i w:val="0"/>
                <w:color w:val="000000"/>
                <w:kern w:val="0"/>
                <w:sz w:val="24"/>
                <w:szCs w:val="24"/>
                <w:u w:val="none"/>
                <w:lang w:val="en-US" w:eastAsia="zh-CN" w:bidi="ar"/>
              </w:rPr>
              <w:t>金额（元）</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长兴</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上海净达蔬菜专业合作社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长兴</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上海正泰农业科技有限公司</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45600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三星</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上海绿瑞蔬果专业合作社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三星</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上海长清农业种植专业合作社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28800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三星</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上海瀛西果蔬专业合作社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庙镇</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上海好客农业科技发展有限公司</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庙镇</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上海致臻生态农业专业合作社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40800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庙镇</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上海崇明金瓜种植专业合作联社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上海王波果园专业合作社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28800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上海玉英蔬果专业合作社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上海冠华粮食专业合作社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上海泛信农业种植专业合作社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21600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上海崇尚中药材种植专业合作社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建设</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上海文祥蔬菜专业合作社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建设</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上海建星蔬菜专业合作社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建设</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上海谷伯果蔬种植专业合作社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建设</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上海高泽祥园生态农业有限公司</w:t>
            </w:r>
          </w:p>
        </w:tc>
        <w:tc>
          <w:tcPr>
            <w:tcW w:w="110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新河</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上海雅趣果蔬专业合作社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新河</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上海欣苑葡萄专业合作社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21600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新河</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上海健禾果蔬专业合作社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新河</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上海国超粮食种植专业合作社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新河</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上海瀛旭蔬果专业合作社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竖新</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上海静捷蔬菜专业合作社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竖新</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上海兴胜蔬菜专业合作社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16800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竖新</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上海岛丰蔬果专业合作社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堡镇</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上海锦英果蔬专业合作社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67200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堡镇</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上海怡思田蔬菜专业合作社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堡镇</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上海春河果蔬专业合作社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堡镇</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上海宜加粮食专业合作社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4800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上海日鑫农业种植专业合作社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上海小生蔬菜专业合作社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52800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港沿</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上海清伟蔬果种植专业合作社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向化</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上海享农果蔬专业合作社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向化</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上海日当午实业有限公司</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向化</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上海壹亩田果蔬专业合作社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中兴</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上海霁雨蔬菜专业合作社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中兴</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上海丰绿粮食专业合作社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中兴</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上海汤商大葱专业合作社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中兴</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上海万禾农业科技发展有限公司</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72000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中兴</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上海乡风园果蔬专业合作社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陈家</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上海杨氏蔬果专业合作社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16800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42</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园区</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上海健绿花菜专业合作社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19200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园区</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上海晟槟果蔬专业合作社</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36" w:hRule="atLeast"/>
          <w:jc w:val="center"/>
        </w:trPr>
        <w:tc>
          <w:tcPr>
            <w:tcW w:w="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w:t>
            </w:r>
          </w:p>
        </w:tc>
        <w:tc>
          <w:tcPr>
            <w:tcW w:w="84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园区</w:t>
            </w:r>
          </w:p>
        </w:tc>
        <w:tc>
          <w:tcPr>
            <w:tcW w:w="49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上海中新农业有限公司</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14400</w:t>
            </w:r>
          </w:p>
        </w:tc>
      </w:tr>
      <w:tr>
        <w:tblPrEx>
          <w:tblLayout w:type="fixed"/>
          <w:tblCellMar>
            <w:top w:w="0" w:type="dxa"/>
            <w:left w:w="0" w:type="dxa"/>
            <w:bottom w:w="0" w:type="dxa"/>
            <w:right w:w="0" w:type="dxa"/>
          </w:tblCellMar>
        </w:tblPrEx>
        <w:trPr>
          <w:trHeight w:val="459" w:hRule="atLeast"/>
          <w:jc w:val="center"/>
        </w:trPr>
        <w:tc>
          <w:tcPr>
            <w:tcW w:w="6525"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仿宋_GB2312" w:hAnsi="仿宋_GB2312" w:eastAsia="仿宋_GB2312" w:cs="仿宋_GB2312"/>
                <w:b/>
                <w:bCs/>
                <w:i w:val="0"/>
                <w:color w:val="000000"/>
                <w:kern w:val="0"/>
                <w:sz w:val="21"/>
                <w:szCs w:val="21"/>
                <w:u w:val="none"/>
                <w:lang w:val="en-US" w:eastAsia="zh-CN" w:bidi="ar"/>
              </w:rPr>
              <w:t>合计</w:t>
            </w:r>
          </w:p>
        </w:tc>
        <w:tc>
          <w:tcPr>
            <w:tcW w:w="110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5280</w:t>
            </w:r>
          </w:p>
        </w:tc>
        <w:tc>
          <w:tcPr>
            <w:tcW w:w="124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1267200</w:t>
            </w:r>
          </w:p>
        </w:tc>
      </w:tr>
    </w:tbl>
    <w:p>
      <w:pPr>
        <w:keepNext w:val="0"/>
        <w:keepLines w:val="0"/>
        <w:pageBreakBefore w:val="0"/>
        <w:widowControl w:val="0"/>
        <w:kinsoku/>
        <w:wordWrap/>
        <w:overflowPunct/>
        <w:topLinePunct w:val="0"/>
        <w:autoSpaceDE/>
        <w:autoSpaceDN/>
        <w:bidi w:val="0"/>
        <w:spacing w:line="540" w:lineRule="exact"/>
        <w:jc w:val="both"/>
        <w:textAlignment w:val="auto"/>
        <w:outlineLvl w:val="9"/>
        <w:rPr>
          <w:rFonts w:hint="eastAsia" w:ascii="方正小标宋简体" w:hAnsi="方正小标宋简体" w:eastAsia="方正小标宋简体" w:cs="方正小标宋简体"/>
          <w:b/>
          <w:sz w:val="40"/>
          <w:szCs w:val="44"/>
        </w:rPr>
      </w:pPr>
    </w:p>
    <w:p>
      <w:pPr>
        <w:pStyle w:val="2"/>
        <w:keepNext w:val="0"/>
        <w:keepLines w:val="0"/>
        <w:pageBreakBefore w:val="0"/>
        <w:widowControl w:val="0"/>
        <w:kinsoku/>
        <w:wordWrap/>
        <w:overflowPunct/>
        <w:topLinePunct w:val="0"/>
        <w:autoSpaceDE/>
        <w:autoSpaceDN/>
        <w:bidi w:val="0"/>
        <w:adjustRightInd/>
        <w:snapToGrid w:val="0"/>
        <w:spacing w:line="300" w:lineRule="exact"/>
        <w:textAlignment w:val="auto"/>
        <w:outlineLvl w:val="9"/>
        <w:rPr>
          <w:rFonts w:hint="eastAsia"/>
        </w:rPr>
      </w:pPr>
    </w:p>
    <w:tbl>
      <w:tblPr>
        <w:tblStyle w:val="7"/>
        <w:tblW w:w="9060" w:type="dxa"/>
        <w:jc w:val="center"/>
        <w:tblInd w:w="0" w:type="dxa"/>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906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500" w:lineRule="exact"/>
              <w:ind w:right="28"/>
              <w:textAlignment w:val="auto"/>
              <w:outlineLvl w:val="9"/>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28"/>
                <w:szCs w:val="28"/>
              </w:rPr>
              <w:t>上海市崇明区农业</w:t>
            </w:r>
            <w:r>
              <w:rPr>
                <w:rFonts w:hint="eastAsia" w:ascii="仿宋_GB2312" w:eastAsia="仿宋_GB2312"/>
                <w:sz w:val="28"/>
                <w:szCs w:val="28"/>
                <w:lang w:eastAsia="zh-CN"/>
              </w:rPr>
              <w:t>农村</w:t>
            </w:r>
            <w:r>
              <w:rPr>
                <w:rFonts w:hint="eastAsia" w:ascii="仿宋_GB2312" w:eastAsia="仿宋_GB2312"/>
                <w:sz w:val="28"/>
                <w:szCs w:val="28"/>
              </w:rPr>
              <w:t xml:space="preserve">委员会办公室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20</w:t>
            </w:r>
            <w:r>
              <w:rPr>
                <w:rFonts w:hint="eastAsia" w:ascii="仿宋_GB2312" w:eastAsia="仿宋_GB2312"/>
                <w:sz w:val="28"/>
                <w:szCs w:val="28"/>
                <w:lang w:val="en-US" w:eastAsia="zh-CN"/>
              </w:rPr>
              <w:t>23</w:t>
            </w:r>
            <w:r>
              <w:rPr>
                <w:rFonts w:hint="eastAsia" w:ascii="仿宋_GB2312" w:eastAsia="仿宋_GB2312"/>
                <w:sz w:val="28"/>
                <w:szCs w:val="28"/>
              </w:rPr>
              <w:t>年</w:t>
            </w:r>
            <w:r>
              <w:rPr>
                <w:rFonts w:hint="eastAsia" w:ascii="仿宋_GB2312" w:eastAsia="仿宋_GB2312"/>
                <w:sz w:val="28"/>
                <w:szCs w:val="28"/>
                <w:lang w:val="en-US" w:eastAsia="zh-CN"/>
              </w:rPr>
              <w:t>5</w:t>
            </w:r>
            <w:r>
              <w:rPr>
                <w:rFonts w:hint="eastAsia" w:ascii="仿宋_GB2312" w:eastAsia="仿宋_GB2312"/>
                <w:sz w:val="28"/>
                <w:szCs w:val="28"/>
              </w:rPr>
              <w:t>月</w:t>
            </w:r>
            <w:r>
              <w:rPr>
                <w:rFonts w:hint="eastAsia" w:ascii="仿宋_GB2312" w:eastAsia="仿宋_GB2312"/>
                <w:sz w:val="28"/>
                <w:szCs w:val="28"/>
                <w:lang w:val="en-US" w:eastAsia="zh-CN"/>
              </w:rPr>
              <w:t>16</w:t>
            </w:r>
            <w:r>
              <w:rPr>
                <w:rFonts w:hint="eastAsia" w:ascii="仿宋_GB2312" w:eastAsia="仿宋_GB2312"/>
                <w:sz w:val="28"/>
                <w:szCs w:val="28"/>
              </w:rPr>
              <w:t>日印发</w:t>
            </w:r>
          </w:p>
        </w:tc>
      </w:tr>
    </w:tbl>
    <w:p>
      <w:pPr>
        <w:pStyle w:val="2"/>
        <w:keepNext w:val="0"/>
        <w:keepLines w:val="0"/>
        <w:pageBreakBefore w:val="0"/>
        <w:widowControl w:val="0"/>
        <w:kinsoku/>
        <w:wordWrap/>
        <w:overflowPunct/>
        <w:topLinePunct w:val="0"/>
        <w:autoSpaceDE/>
        <w:autoSpaceDN/>
        <w:bidi w:val="0"/>
        <w:adjustRightInd/>
        <w:snapToGrid w:val="0"/>
        <w:spacing w:line="20" w:lineRule="exact"/>
        <w:textAlignment w:val="auto"/>
        <w:outlineLvl w:val="9"/>
        <w:rPr>
          <w:lang w:val="en-US" w:eastAsia="zh-CN"/>
        </w:rPr>
      </w:pPr>
    </w:p>
    <w:sectPr>
      <w:headerReference r:id="rId7" w:type="first"/>
      <w:footerReference r:id="rId10" w:type="first"/>
      <w:footerReference r:id="rId8" w:type="default"/>
      <w:headerReference r:id="rId6" w:type="even"/>
      <w:footerReference r:id="rId9" w:type="even"/>
      <w:pgSz w:w="11906" w:h="16838"/>
      <w:pgMar w:top="2098" w:right="1474" w:bottom="1984" w:left="1587" w:header="851" w:footer="1247"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decorative"/>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cs="Times New Roman"/>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2"/>
                            <w:rPr>
                              <w:rFonts w:cs="Times New Roma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m35X67IB&#10;AABZAwAADgAAAAAAAAABACAAAAAeAQAAZHJzL2Uyb0RvYy54bWxQSwUGAAAAAAYABgBZAQAAQgUA&#10;AAAA&#10;">
              <v:fill on="f" focussize="0,0"/>
              <v:stroke on="f"/>
              <v:imagedata o:title=""/>
              <o:lock v:ext="edit" aspectratio="f"/>
              <v:textbox inset="0mm,0mm,0mm,0mm" style="mso-fit-shape-to-text:t;">
                <w:txbxContent>
                  <w:p>
                    <w:pPr>
                      <w:pStyle w:val="2"/>
                      <w:rPr>
                        <w:rFonts w:cs="Times New Roma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right"/>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639632"/>
    </w:sdtPr>
    <w:sdtContent>
      <w:p>
        <w:pPr>
          <w:pStyle w:val="2"/>
          <w:ind w:firstLine="180" w:firstLineChars="100"/>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pPr>
      <w:pStyle w:val="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rPr>
        <w:rFonts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9F912CF"/>
    <w:multiLevelType w:val="singleLevel"/>
    <w:tmpl w:val="E9F912C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045"/>
    <w:rsid w:val="00002667"/>
    <w:rsid w:val="0004504A"/>
    <w:rsid w:val="00052038"/>
    <w:rsid w:val="000A30C9"/>
    <w:rsid w:val="0013714C"/>
    <w:rsid w:val="001562E9"/>
    <w:rsid w:val="00180A71"/>
    <w:rsid w:val="001E1D35"/>
    <w:rsid w:val="001F39D8"/>
    <w:rsid w:val="0022312E"/>
    <w:rsid w:val="00232F36"/>
    <w:rsid w:val="0026506F"/>
    <w:rsid w:val="00270770"/>
    <w:rsid w:val="002A1834"/>
    <w:rsid w:val="00364AFB"/>
    <w:rsid w:val="00395936"/>
    <w:rsid w:val="00466422"/>
    <w:rsid w:val="004A652C"/>
    <w:rsid w:val="00512A54"/>
    <w:rsid w:val="00545AC5"/>
    <w:rsid w:val="005463E7"/>
    <w:rsid w:val="005670B4"/>
    <w:rsid w:val="005E13CB"/>
    <w:rsid w:val="005E2E11"/>
    <w:rsid w:val="006326A2"/>
    <w:rsid w:val="00641D88"/>
    <w:rsid w:val="006A4FFB"/>
    <w:rsid w:val="00717904"/>
    <w:rsid w:val="00721C46"/>
    <w:rsid w:val="00763E67"/>
    <w:rsid w:val="00775EF0"/>
    <w:rsid w:val="00785641"/>
    <w:rsid w:val="00796975"/>
    <w:rsid w:val="007F599C"/>
    <w:rsid w:val="008C5D06"/>
    <w:rsid w:val="009133B7"/>
    <w:rsid w:val="009421D7"/>
    <w:rsid w:val="00986EBD"/>
    <w:rsid w:val="0099392C"/>
    <w:rsid w:val="009A1E79"/>
    <w:rsid w:val="009A38E0"/>
    <w:rsid w:val="009B0560"/>
    <w:rsid w:val="009E5E2F"/>
    <w:rsid w:val="00AF7AE8"/>
    <w:rsid w:val="00BA4B06"/>
    <w:rsid w:val="00BA5C14"/>
    <w:rsid w:val="00BB5814"/>
    <w:rsid w:val="00BD591D"/>
    <w:rsid w:val="00BF1105"/>
    <w:rsid w:val="00C11B56"/>
    <w:rsid w:val="00C219BD"/>
    <w:rsid w:val="00C372DC"/>
    <w:rsid w:val="00C85251"/>
    <w:rsid w:val="00C945AA"/>
    <w:rsid w:val="00CB6736"/>
    <w:rsid w:val="00D57723"/>
    <w:rsid w:val="00D93834"/>
    <w:rsid w:val="00E13CAF"/>
    <w:rsid w:val="00E30AC2"/>
    <w:rsid w:val="00E748FD"/>
    <w:rsid w:val="00E76BAF"/>
    <w:rsid w:val="00ED5A2E"/>
    <w:rsid w:val="00F207B9"/>
    <w:rsid w:val="00F25488"/>
    <w:rsid w:val="00F31E6B"/>
    <w:rsid w:val="00FB10D2"/>
    <w:rsid w:val="00FC5045"/>
    <w:rsid w:val="074B6C7D"/>
    <w:rsid w:val="07986C27"/>
    <w:rsid w:val="085C75CA"/>
    <w:rsid w:val="088C3BBA"/>
    <w:rsid w:val="0E1B71D9"/>
    <w:rsid w:val="125F0E4A"/>
    <w:rsid w:val="12C25BF5"/>
    <w:rsid w:val="145B5532"/>
    <w:rsid w:val="1D8A7DF3"/>
    <w:rsid w:val="22DE6C8D"/>
    <w:rsid w:val="2ABB21C3"/>
    <w:rsid w:val="2C2964FF"/>
    <w:rsid w:val="3171476F"/>
    <w:rsid w:val="34F77DF8"/>
    <w:rsid w:val="39E61519"/>
    <w:rsid w:val="3BF0012E"/>
    <w:rsid w:val="3C881EC8"/>
    <w:rsid w:val="401F40F2"/>
    <w:rsid w:val="42E43A3B"/>
    <w:rsid w:val="430D4C6B"/>
    <w:rsid w:val="491D5280"/>
    <w:rsid w:val="4B93267E"/>
    <w:rsid w:val="4E2A219E"/>
    <w:rsid w:val="52313438"/>
    <w:rsid w:val="523A6313"/>
    <w:rsid w:val="5363107C"/>
    <w:rsid w:val="5A9F69C2"/>
    <w:rsid w:val="60FD3817"/>
    <w:rsid w:val="61F32D38"/>
    <w:rsid w:val="62314B77"/>
    <w:rsid w:val="63404068"/>
    <w:rsid w:val="650F2AEB"/>
    <w:rsid w:val="67E93CEF"/>
    <w:rsid w:val="6A9D79F0"/>
    <w:rsid w:val="6B755BB7"/>
    <w:rsid w:val="7002039C"/>
    <w:rsid w:val="71A8161F"/>
    <w:rsid w:val="74A0466C"/>
    <w:rsid w:val="75BE5E21"/>
    <w:rsid w:val="78E66175"/>
    <w:rsid w:val="78E94955"/>
    <w:rsid w:val="79D67AD5"/>
    <w:rsid w:val="7A3361A8"/>
    <w:rsid w:val="7C00503C"/>
    <w:rsid w:val="7FDE034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0" w:line="240" w:lineRule="auto"/>
      <w:ind w:firstLine="0" w:firstLineChars="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next w:val="1"/>
    <w:link w:val="10"/>
    <w:unhideWhenUsed/>
    <w:qFormat/>
    <w:uiPriority w:val="99"/>
    <w:pPr>
      <w:tabs>
        <w:tab w:val="center" w:pos="4153"/>
        <w:tab w:val="right" w:pos="8306"/>
      </w:tabs>
      <w:snapToGrid w:val="0"/>
      <w:jc w:val="left"/>
    </w:pPr>
    <w:rPr>
      <w:sz w:val="18"/>
      <w:szCs w:val="18"/>
    </w:rPr>
  </w:style>
  <w:style w:type="paragraph" w:styleId="3">
    <w:name w:val="Balloon Text"/>
    <w:basedOn w:val="1"/>
    <w:link w:val="11"/>
    <w:unhideWhenUsed/>
    <w:qFormat/>
    <w:uiPriority w:val="99"/>
    <w:rPr>
      <w:sz w:val="18"/>
      <w:szCs w:val="18"/>
    </w:rPr>
  </w:style>
  <w:style w:type="paragraph" w:styleId="4">
    <w:name w:val="header"/>
    <w:basedOn w:val="1"/>
    <w:link w:val="9"/>
    <w:unhideWhenUsed/>
    <w:qFormat/>
    <w:uiPriority w:val="99"/>
    <w:pPr>
      <w:tabs>
        <w:tab w:val="center" w:pos="4153"/>
        <w:tab w:val="right" w:pos="8306"/>
      </w:tabs>
      <w:snapToGrid w:val="0"/>
      <w:jc w:val="center"/>
    </w:pPr>
    <w:rPr>
      <w:sz w:val="18"/>
      <w:szCs w:val="18"/>
    </w:rPr>
  </w:style>
  <w:style w:type="character" w:styleId="6">
    <w:name w:val="page number"/>
    <w:basedOn w:val="5"/>
    <w:qFormat/>
    <w:uiPriority w:val="0"/>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
    <w:name w:val="页眉 Char"/>
    <w:basedOn w:val="5"/>
    <w:link w:val="4"/>
    <w:qFormat/>
    <w:uiPriority w:val="99"/>
    <w:rPr>
      <w:kern w:val="2"/>
      <w:sz w:val="18"/>
      <w:szCs w:val="18"/>
    </w:rPr>
  </w:style>
  <w:style w:type="character" w:customStyle="1" w:styleId="10">
    <w:name w:val="页脚 Char"/>
    <w:basedOn w:val="5"/>
    <w:link w:val="2"/>
    <w:qFormat/>
    <w:uiPriority w:val="99"/>
    <w:rPr>
      <w:kern w:val="2"/>
      <w:sz w:val="18"/>
      <w:szCs w:val="18"/>
    </w:rPr>
  </w:style>
  <w:style w:type="character" w:customStyle="1" w:styleId="11">
    <w:name w:val="批注框文本 Char"/>
    <w:basedOn w:val="5"/>
    <w:link w:val="3"/>
    <w:semiHidden/>
    <w:qFormat/>
    <w:uiPriority w:val="99"/>
    <w:rPr>
      <w:kern w:val="2"/>
      <w:sz w:val="18"/>
      <w:szCs w:val="18"/>
    </w:rPr>
  </w:style>
  <w:style w:type="character" w:customStyle="1" w:styleId="12">
    <w:name w:val="font11"/>
    <w:basedOn w:val="5"/>
    <w:qFormat/>
    <w:uiPriority w:val="0"/>
    <w:rPr>
      <w:rFonts w:hint="default" w:ascii="Times New Roman" w:hAnsi="Times New Roman" w:cs="Times New Roman"/>
      <w:color w:val="000000"/>
      <w:sz w:val="22"/>
      <w:szCs w:val="22"/>
      <w:u w:val="none"/>
    </w:rPr>
  </w:style>
  <w:style w:type="character" w:customStyle="1" w:styleId="13">
    <w:name w:val="font21"/>
    <w:basedOn w:val="5"/>
    <w:qFormat/>
    <w:uiPriority w:val="0"/>
    <w:rPr>
      <w:rFonts w:hint="eastAsia" w:ascii="宋体" w:hAnsi="宋体" w:eastAsia="宋体" w:cs="宋体"/>
      <w:color w:val="000000"/>
      <w:sz w:val="22"/>
      <w:szCs w:val="22"/>
      <w:u w:val="none"/>
    </w:rPr>
  </w:style>
  <w:style w:type="paragraph" w:customStyle="1" w:styleId="14">
    <w:name w:val="列出段落1"/>
    <w:basedOn w:val="1"/>
    <w:qFormat/>
    <w:uiPriority w:val="0"/>
    <w:pPr>
      <w:ind w:firstLine="420" w:firstLineChars="200"/>
    </w:pPr>
    <w:rPr>
      <w:rFonts w:ascii="Calibri" w:hAnsi="Calibri" w:eastAsia="宋体" w:cs="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C.Y.H(201411)</Company>
  <Pages>2</Pages>
  <Words>30</Words>
  <Characters>175</Characters>
  <Lines>1</Lines>
  <Paragraphs>1</Paragraphs>
  <TotalTime>13</TotalTime>
  <ScaleCrop>false</ScaleCrop>
  <LinksUpToDate>false</LinksUpToDate>
  <CharactersWithSpaces>204</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2017-08-14T09:04:00Z</dcterms:created>
  <dc:creator>cm</dc:creator>
  <cp:lastModifiedBy>THE NEXT</cp:lastModifiedBy>
  <cp:lastPrinted>2022-11-22T01:11:00Z</cp:lastPrinted>
  <dcterms:modified xsi:type="dcterms:W3CDTF">2023-05-18T07:37:52Z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