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sz w:val="32"/>
          <w:szCs w:val="32"/>
        </w:rPr>
      </w:pPr>
    </w:p>
    <w:p>
      <w:pPr>
        <w:spacing w:line="540" w:lineRule="exact"/>
        <w:rPr>
          <w:sz w:val="32"/>
          <w:szCs w:val="32"/>
        </w:rPr>
      </w:pPr>
    </w:p>
    <w:p>
      <w:pPr>
        <w:spacing w:line="540" w:lineRule="exact"/>
        <w:rPr>
          <w:sz w:val="32"/>
          <w:szCs w:val="32"/>
        </w:rPr>
      </w:pPr>
    </w:p>
    <w:p>
      <w:pPr>
        <w:spacing w:line="880" w:lineRule="exact"/>
        <w:jc w:val="distribute"/>
        <w:rPr>
          <w:rFonts w:ascii="方正小标宋简体" w:eastAsia="方正小标宋简体"/>
          <w:color w:val="FF0000"/>
          <w:spacing w:val="-11"/>
          <w:w w:val="75"/>
          <w:sz w:val="80"/>
          <w:szCs w:val="80"/>
        </w:rPr>
      </w:pPr>
      <w:r>
        <w:rPr>
          <w:rFonts w:hint="eastAsia" w:ascii="方正小标宋简体" w:eastAsia="方正小标宋简体"/>
          <w:color w:val="FF0000"/>
          <w:spacing w:val="-11"/>
          <w:w w:val="75"/>
          <w:sz w:val="80"/>
          <w:szCs w:val="80"/>
        </w:rPr>
        <w:t>上海市崇明区农业</w:t>
      </w:r>
      <w:r>
        <w:rPr>
          <w:rFonts w:hint="eastAsia" w:ascii="方正小标宋简体" w:eastAsia="方正小标宋简体"/>
          <w:color w:val="FF0000"/>
          <w:spacing w:val="-11"/>
          <w:w w:val="75"/>
          <w:sz w:val="80"/>
          <w:szCs w:val="80"/>
          <w:lang w:val="en-US" w:eastAsia="zh-CN"/>
        </w:rPr>
        <w:t>农村</w:t>
      </w:r>
      <w:r>
        <w:rPr>
          <w:rFonts w:hint="eastAsia" w:ascii="方正小标宋简体" w:eastAsia="方正小标宋简体"/>
          <w:color w:val="FF0000"/>
          <w:spacing w:val="-11"/>
          <w:w w:val="75"/>
          <w:sz w:val="80"/>
          <w:szCs w:val="80"/>
        </w:rPr>
        <w:t>委员会文件</w:t>
      </w:r>
    </w:p>
    <w:p>
      <w:pPr>
        <w:spacing w:line="560" w:lineRule="exact"/>
        <w:rPr>
          <w:szCs w:val="21"/>
        </w:rPr>
      </w:pPr>
    </w:p>
    <w:p>
      <w:pPr>
        <w:spacing w:line="560" w:lineRule="exact"/>
        <w:rPr>
          <w:szCs w:val="21"/>
        </w:rPr>
      </w:pPr>
    </w:p>
    <w:p>
      <w:pPr>
        <w:spacing w:line="560" w:lineRule="exact"/>
        <w:jc w:val="center"/>
        <w:rPr>
          <w:rFonts w:hint="eastAsia" w:ascii="楷体_GB2312" w:eastAsia="仿宋_GB2312"/>
          <w:sz w:val="32"/>
          <w:lang w:val="en-US" w:eastAsia="zh-CN"/>
        </w:rPr>
      </w:pPr>
      <w:r>
        <w:rPr>
          <w:rFonts w:hint="eastAsia" w:ascii="仿宋_GB2312" w:eastAsia="仿宋_GB2312"/>
          <w:sz w:val="32"/>
        </w:rPr>
        <w:t>沪崇农发〔20</w:t>
      </w:r>
      <w:r>
        <w:rPr>
          <w:rFonts w:hint="eastAsia" w:ascii="仿宋_GB2312" w:eastAsia="仿宋_GB2312"/>
          <w:sz w:val="32"/>
          <w:lang w:val="en-US" w:eastAsia="zh-CN"/>
        </w:rPr>
        <w:t>23</w:t>
      </w:r>
      <w:r>
        <w:rPr>
          <w:rFonts w:hint="eastAsia" w:ascii="仿宋_GB2312" w:eastAsia="仿宋_GB2312"/>
          <w:sz w:val="32"/>
        </w:rPr>
        <w:t>〕</w:t>
      </w:r>
      <w:r>
        <w:rPr>
          <w:rFonts w:hint="eastAsia" w:ascii="仿宋_GB2312" w:eastAsia="仿宋_GB2312"/>
          <w:sz w:val="32"/>
          <w:lang w:val="en-US" w:eastAsia="zh-CN"/>
        </w:rPr>
        <w:t>37</w:t>
      </w:r>
      <w:bookmarkStart w:id="0" w:name="_GoBack"/>
      <w:bookmarkEnd w:id="0"/>
      <w:r>
        <w:rPr>
          <w:rFonts w:hint="eastAsia" w:ascii="仿宋_GB2312" w:eastAsia="仿宋_GB2312"/>
          <w:sz w:val="32"/>
        </w:rPr>
        <w:t>号</w:t>
      </w:r>
    </w:p>
    <w:p>
      <w:pPr>
        <w:spacing w:line="160" w:lineRule="exact"/>
        <w:rPr>
          <w:color w:val="FF0000"/>
          <w:szCs w:val="21"/>
          <w:u w:val="thick"/>
        </w:rPr>
      </w:pPr>
      <w:r>
        <w:rPr>
          <w:rFonts w:hint="eastAsia"/>
          <w:color w:val="FF0000"/>
          <w:szCs w:val="21"/>
          <w:u w:val="thick"/>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color w:val="FF0000"/>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w w:val="90"/>
          <w:sz w:val="40"/>
          <w:szCs w:val="40"/>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关于印发崇明区2023年设施菜田土壤保育</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工作实施方案的通知</w:t>
      </w: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各有关乡镇、现代农业园区开发公司：</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有效改善提升蔬菜设施耕地的土壤肥力，进一步提高绿色发展水平，保障绿色蔬菜产品品质，根据市农业农村委每年下达任务要求，结合生产实际，推广设施菜田土壤保育技术，区农业农村委制定了《2023年崇明区设施菜田土壤保育工作实施方案》。请各相关单位按照方案要求，落实好相关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特此通知。</w:t>
      </w:r>
    </w:p>
    <w:p>
      <w:pPr>
        <w:keepNext w:val="0"/>
        <w:keepLines w:val="0"/>
        <w:pageBreakBefore w:val="0"/>
        <w:widowControl w:val="0"/>
        <w:kinsoku/>
        <w:wordWrap/>
        <w:overflowPunct/>
        <w:topLinePunct w:val="0"/>
        <w:autoSpaceDE/>
        <w:autoSpaceDN/>
        <w:bidi w:val="0"/>
        <w:adjustRightInd/>
        <w:snapToGrid/>
        <w:spacing w:line="620" w:lineRule="exac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附件：2023年崇明区设施菜田土壤保育工作实施方案</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3840" w:firstLineChars="1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上海市崇明区农业农村委员会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2023年5月16日</w:t>
      </w: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lang w:val="en-US" w:eastAsia="zh-CN"/>
        </w:rPr>
        <w:sectPr>
          <w:footerReference r:id="rId3" w:type="default"/>
          <w:pgSz w:w="11906" w:h="16838"/>
          <w:pgMar w:top="2098" w:right="1474" w:bottom="1984" w:left="1587" w:header="851" w:footer="992" w:gutter="0"/>
          <w:pgNumType w:fmt="numberInDash"/>
          <w:cols w:space="425" w:num="1"/>
          <w:docGrid w:type="lines" w:linePitch="312" w:charSpace="0"/>
        </w:sectPr>
      </w:pP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topLinePunct w:val="0"/>
        <w:autoSpaceDE/>
        <w:autoSpaceDN/>
        <w:bidi w:val="0"/>
        <w:adjustRightInd/>
        <w:snapToGrid/>
        <w:spacing w:line="560" w:lineRule="exact"/>
        <w:jc w:val="both"/>
        <w:textAlignment w:val="auto"/>
        <w:outlineLvl w:val="9"/>
        <w:rPr>
          <w:rFonts w:hint="eastAsia" w:ascii="黑体" w:hAnsi="黑体" w:eastAsia="黑体" w:cs="黑体"/>
          <w:color w:val="000000"/>
          <w:kern w:val="0"/>
          <w:sz w:val="32"/>
          <w:szCs w:val="32"/>
          <w:lang w:val="en-US" w:eastAsia="zh-CN"/>
        </w:rPr>
      </w:pPr>
      <w:r>
        <w:rPr>
          <w:rFonts w:hint="eastAsia" w:ascii="黑体" w:hAnsi="黑体" w:eastAsia="黑体" w:cs="黑体"/>
          <w:color w:val="000000"/>
          <w:kern w:val="0"/>
          <w:sz w:val="32"/>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color w:val="000000"/>
          <w:kern w:val="0"/>
          <w:sz w:val="44"/>
          <w:szCs w:val="44"/>
        </w:rPr>
      </w:pPr>
      <w:r>
        <w:rPr>
          <w:rFonts w:hint="eastAsia" w:ascii="方正小标宋简体" w:hAnsi="方正小标宋简体" w:eastAsia="方正小标宋简体" w:cs="方正小标宋简体"/>
          <w:color w:val="000000"/>
          <w:kern w:val="0"/>
          <w:sz w:val="44"/>
          <w:szCs w:val="44"/>
          <w:lang w:val="en-US" w:eastAsia="zh-CN"/>
        </w:rPr>
        <w:t>2023年</w:t>
      </w:r>
      <w:r>
        <w:rPr>
          <w:rFonts w:hint="eastAsia" w:ascii="方正小标宋简体" w:hAnsi="方正小标宋简体" w:eastAsia="方正小标宋简体" w:cs="方正小标宋简体"/>
          <w:color w:val="000000"/>
          <w:kern w:val="0"/>
          <w:sz w:val="44"/>
          <w:szCs w:val="44"/>
        </w:rPr>
        <w:t>崇明区</w:t>
      </w:r>
      <w:r>
        <w:rPr>
          <w:rFonts w:hint="eastAsia" w:ascii="方正小标宋简体" w:hAnsi="方正小标宋简体" w:eastAsia="方正小标宋简体" w:cs="方正小标宋简体"/>
          <w:color w:val="000000"/>
          <w:kern w:val="0"/>
          <w:sz w:val="44"/>
          <w:szCs w:val="44"/>
          <w:lang w:eastAsia="zh-CN"/>
        </w:rPr>
        <w:t>设施</w:t>
      </w:r>
      <w:r>
        <w:rPr>
          <w:rFonts w:hint="eastAsia" w:ascii="方正小标宋简体" w:hAnsi="方正小标宋简体" w:eastAsia="方正小标宋简体" w:cs="方正小标宋简体"/>
          <w:color w:val="000000"/>
          <w:kern w:val="0"/>
          <w:sz w:val="44"/>
          <w:szCs w:val="44"/>
        </w:rPr>
        <w:t>菜田土壤保育</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仿宋_GB2312" w:hAnsi="仿宋_GB2312" w:eastAsia="仿宋_GB2312" w:cs="仿宋_GB2312"/>
          <w:sz w:val="44"/>
          <w:szCs w:val="44"/>
        </w:rPr>
      </w:pPr>
      <w:r>
        <w:rPr>
          <w:rFonts w:hint="eastAsia" w:ascii="方正小标宋简体" w:hAnsi="方正小标宋简体" w:eastAsia="方正小标宋简体" w:cs="方正小标宋简体"/>
          <w:color w:val="000000"/>
          <w:kern w:val="0"/>
          <w:sz w:val="44"/>
          <w:szCs w:val="44"/>
          <w:lang w:eastAsia="zh-CN"/>
        </w:rPr>
        <w:t>工作</w:t>
      </w:r>
      <w:r>
        <w:rPr>
          <w:rFonts w:hint="eastAsia" w:ascii="方正小标宋简体" w:hAnsi="方正小标宋简体" w:eastAsia="方正小标宋简体" w:cs="方正小标宋简体"/>
          <w:color w:val="000000"/>
          <w:kern w:val="0"/>
          <w:sz w:val="44"/>
          <w:szCs w:val="44"/>
        </w:rPr>
        <w:t>实施方案</w:t>
      </w:r>
    </w:p>
    <w:p>
      <w:pPr>
        <w:keepNext w:val="0"/>
        <w:keepLines w:val="0"/>
        <w:pageBreakBefore w:val="0"/>
        <w:widowControl w:val="0"/>
        <w:kinsoku/>
        <w:wordWrap/>
        <w:overflowPunct/>
        <w:topLinePunct w:val="0"/>
        <w:autoSpaceDE/>
        <w:autoSpaceDN/>
        <w:bidi w:val="0"/>
        <w:adjustRightInd/>
        <w:snapToGrid/>
        <w:spacing w:line="560" w:lineRule="exact"/>
        <w:ind w:firstLine="3520" w:firstLineChars="1100"/>
        <w:jc w:val="both"/>
        <w:textAlignment w:val="auto"/>
        <w:outlineLvl w:val="9"/>
        <w:rPr>
          <w:rFonts w:hint="eastAsia" w:ascii="仿宋_GB2312" w:hAnsi="仿宋_GB2312" w:eastAsia="仿宋_GB2312" w:cs="仿宋_GB2312"/>
          <w:kern w:val="0"/>
          <w:sz w:val="32"/>
          <w:szCs w:val="32"/>
          <w:lang w:eastAsia="zh-CN"/>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Times New Roman"/>
          <w:color w:val="000000"/>
          <w:spacing w:val="8"/>
          <w:sz w:val="32"/>
          <w:szCs w:val="32"/>
          <w:shd w:val="clear" w:color="auto" w:fill="FFFFFF"/>
        </w:rPr>
      </w:pPr>
      <w:r>
        <w:rPr>
          <w:rFonts w:hint="eastAsia" w:ascii="仿宋_GB2312" w:hAnsi="仿宋_GB2312" w:eastAsia="仿宋_GB2312" w:cs="仿宋_GB2312"/>
          <w:color w:val="000000"/>
          <w:kern w:val="0"/>
          <w:sz w:val="32"/>
          <w:szCs w:val="32"/>
        </w:rPr>
        <w:t>为有效改善提</w:t>
      </w:r>
      <w:r>
        <w:rPr>
          <w:rFonts w:hint="eastAsia" w:ascii="仿宋_GB2312" w:hAnsi="仿宋_GB2312" w:eastAsia="仿宋_GB2312" w:cs="仿宋_GB2312"/>
          <w:color w:val="000000"/>
          <w:sz w:val="32"/>
          <w:szCs w:val="32"/>
        </w:rPr>
        <w:t>升蔬菜耕地的土壤肥力，进一步提高绿色发展水平，保障绿色蔬菜产品品质，</w:t>
      </w:r>
      <w:r>
        <w:rPr>
          <w:rFonts w:hint="eastAsia" w:ascii="仿宋_GB2312" w:hAnsi="仿宋_GB2312" w:eastAsia="仿宋_GB2312" w:cs="仿宋_GB2312"/>
          <w:color w:val="000000"/>
          <w:kern w:val="0"/>
          <w:sz w:val="32"/>
          <w:szCs w:val="32"/>
        </w:rPr>
        <w:t>根据</w:t>
      </w:r>
      <w:r>
        <w:rPr>
          <w:rFonts w:hint="eastAsia" w:ascii="仿宋_GB2312" w:hAnsi="仿宋_GB2312" w:eastAsia="仿宋_GB2312" w:cs="仿宋_GB2312"/>
          <w:color w:val="000000"/>
          <w:kern w:val="0"/>
          <w:sz w:val="32"/>
          <w:szCs w:val="32"/>
          <w:lang w:val="en-US" w:eastAsia="zh-CN"/>
        </w:rPr>
        <w:t>沪农委</w:t>
      </w:r>
      <w:r>
        <w:rPr>
          <w:rFonts w:hint="eastAsia" w:ascii="仿宋_GB2312" w:eastAsia="仿宋_GB2312"/>
          <w:color w:val="000000"/>
          <w:w w:val="100"/>
          <w:sz w:val="32"/>
          <w:szCs w:val="32"/>
          <w:highlight w:val="none"/>
        </w:rPr>
        <w:t>〔20</w:t>
      </w:r>
      <w:r>
        <w:rPr>
          <w:rFonts w:hint="eastAsia" w:ascii="仿宋_GB2312" w:eastAsia="仿宋_GB2312"/>
          <w:color w:val="000000"/>
          <w:w w:val="100"/>
          <w:sz w:val="32"/>
          <w:szCs w:val="32"/>
          <w:highlight w:val="none"/>
          <w:lang w:val="en-US" w:eastAsia="zh-CN"/>
        </w:rPr>
        <w:t>23</w:t>
      </w:r>
      <w:r>
        <w:rPr>
          <w:rFonts w:hint="eastAsia" w:ascii="仿宋_GB2312" w:eastAsia="仿宋_GB2312"/>
          <w:color w:val="000000"/>
          <w:w w:val="100"/>
          <w:sz w:val="32"/>
          <w:szCs w:val="32"/>
          <w:highlight w:val="none"/>
        </w:rPr>
        <w:t>〕</w:t>
      </w:r>
      <w:r>
        <w:rPr>
          <w:rFonts w:hint="eastAsia" w:ascii="仿宋_GB2312" w:eastAsia="仿宋_GB2312"/>
          <w:color w:val="000000"/>
          <w:w w:val="100"/>
          <w:sz w:val="32"/>
          <w:szCs w:val="32"/>
          <w:highlight w:val="none"/>
          <w:lang w:val="en-US" w:eastAsia="zh-CN"/>
        </w:rPr>
        <w:t>25号、沪崇农规</w:t>
      </w:r>
      <w:r>
        <w:rPr>
          <w:rFonts w:hint="eastAsia" w:ascii="仿宋_GB2312" w:eastAsia="仿宋_GB2312"/>
          <w:color w:val="000000"/>
          <w:w w:val="100"/>
          <w:sz w:val="32"/>
          <w:szCs w:val="32"/>
          <w:highlight w:val="none"/>
        </w:rPr>
        <w:t>〔20</w:t>
      </w:r>
      <w:r>
        <w:rPr>
          <w:rFonts w:hint="eastAsia" w:ascii="仿宋_GB2312" w:eastAsia="仿宋_GB2312"/>
          <w:color w:val="000000"/>
          <w:w w:val="100"/>
          <w:sz w:val="32"/>
          <w:szCs w:val="32"/>
          <w:highlight w:val="none"/>
          <w:lang w:val="en-US" w:eastAsia="zh-CN"/>
        </w:rPr>
        <w:t>22</w:t>
      </w:r>
      <w:r>
        <w:rPr>
          <w:rFonts w:hint="eastAsia" w:ascii="仿宋_GB2312" w:eastAsia="仿宋_GB2312"/>
          <w:color w:val="000000"/>
          <w:w w:val="100"/>
          <w:sz w:val="32"/>
          <w:szCs w:val="32"/>
          <w:highlight w:val="none"/>
        </w:rPr>
        <w:t>〕</w:t>
      </w:r>
      <w:r>
        <w:rPr>
          <w:rFonts w:hint="eastAsia" w:ascii="仿宋_GB2312" w:eastAsia="仿宋_GB2312"/>
          <w:color w:val="000000"/>
          <w:w w:val="100"/>
          <w:sz w:val="32"/>
          <w:szCs w:val="32"/>
          <w:highlight w:val="none"/>
          <w:lang w:val="en-US" w:eastAsia="zh-CN"/>
        </w:rPr>
        <w:t>3号、沪崇农规</w:t>
      </w:r>
      <w:r>
        <w:rPr>
          <w:rFonts w:hint="eastAsia" w:ascii="仿宋_GB2312" w:eastAsia="仿宋_GB2312"/>
          <w:color w:val="000000"/>
          <w:w w:val="100"/>
          <w:sz w:val="32"/>
          <w:szCs w:val="32"/>
          <w:highlight w:val="none"/>
        </w:rPr>
        <w:t>〔20</w:t>
      </w:r>
      <w:r>
        <w:rPr>
          <w:rFonts w:hint="eastAsia" w:ascii="仿宋_GB2312" w:eastAsia="仿宋_GB2312"/>
          <w:color w:val="000000"/>
          <w:w w:val="100"/>
          <w:sz w:val="32"/>
          <w:szCs w:val="32"/>
          <w:highlight w:val="none"/>
          <w:lang w:val="en-US" w:eastAsia="zh-CN"/>
        </w:rPr>
        <w:t>23</w:t>
      </w:r>
      <w:r>
        <w:rPr>
          <w:rFonts w:hint="eastAsia" w:ascii="仿宋_GB2312" w:eastAsia="仿宋_GB2312"/>
          <w:color w:val="000000"/>
          <w:w w:val="100"/>
          <w:sz w:val="32"/>
          <w:szCs w:val="32"/>
          <w:highlight w:val="none"/>
        </w:rPr>
        <w:t>〕</w:t>
      </w:r>
      <w:r>
        <w:rPr>
          <w:rFonts w:hint="eastAsia" w:ascii="仿宋_GB2312" w:eastAsia="仿宋_GB2312"/>
          <w:color w:val="000000"/>
          <w:w w:val="100"/>
          <w:sz w:val="32"/>
          <w:szCs w:val="32"/>
          <w:highlight w:val="none"/>
          <w:lang w:val="en-US" w:eastAsia="zh-CN"/>
        </w:rPr>
        <w:t>1号文件</w:t>
      </w:r>
      <w:r>
        <w:rPr>
          <w:rFonts w:hint="eastAsia" w:ascii="仿宋_GB2312" w:hAnsi="仿宋_GB2312" w:eastAsia="仿宋_GB2312" w:cs="仿宋_GB2312"/>
          <w:color w:val="000000"/>
          <w:kern w:val="0"/>
          <w:sz w:val="32"/>
          <w:szCs w:val="32"/>
          <w:lang w:eastAsia="zh-CN"/>
        </w:rPr>
        <w:t>要求</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color w:val="000000"/>
          <w:sz w:val="32"/>
          <w:szCs w:val="32"/>
        </w:rPr>
        <w:t>结合生产实际，推广菜田土壤保育技术，制定如下指导方案。</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黑体" w:hAnsi="黑体" w:eastAsia="黑体" w:cs="Times New Roman"/>
          <w:sz w:val="32"/>
          <w:szCs w:val="32"/>
        </w:rPr>
      </w:pPr>
      <w:r>
        <w:rPr>
          <w:rFonts w:hint="eastAsia" w:ascii="黑体" w:hAnsi="黑体" w:eastAsia="黑体" w:cs="黑体"/>
          <w:sz w:val="32"/>
          <w:szCs w:val="32"/>
        </w:rPr>
        <w:t>一、指导思想</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黑体" w:hAnsi="黑体" w:eastAsia="黑体" w:cs="Times New Roman"/>
          <w:color w:val="000000"/>
          <w:kern w:val="0"/>
          <w:sz w:val="32"/>
          <w:szCs w:val="32"/>
        </w:rPr>
      </w:pPr>
      <w:r>
        <w:rPr>
          <w:rFonts w:hint="eastAsia" w:ascii="仿宋_GB2312" w:hAnsi="仿宋_GB2312" w:eastAsia="仿宋_GB2312" w:cs="仿宋_GB2312"/>
          <w:color w:val="000000"/>
          <w:sz w:val="32"/>
          <w:szCs w:val="32"/>
        </w:rPr>
        <w:t>运用有机肥增施替代化肥、微生物菌肥土壤改良、</w:t>
      </w:r>
      <w:r>
        <w:rPr>
          <w:rFonts w:hint="eastAsia" w:ascii="仿宋_GB2312" w:hAnsi="仿宋_GB2312" w:eastAsia="仿宋_GB2312" w:cs="仿宋_GB2312"/>
          <w:color w:val="000000"/>
          <w:kern w:val="0"/>
          <w:sz w:val="32"/>
          <w:szCs w:val="32"/>
        </w:rPr>
        <w:t>土壤调理剂改良土壤、</w:t>
      </w:r>
      <w:r>
        <w:rPr>
          <w:rFonts w:hint="eastAsia" w:ascii="仿宋_GB2312" w:hAnsi="仿宋_GB2312" w:eastAsia="仿宋_GB2312" w:cs="仿宋_GB2312"/>
          <w:color w:val="000000"/>
          <w:sz w:val="32"/>
          <w:szCs w:val="32"/>
        </w:rPr>
        <w:t>季节性（旺季）轮作休耕等新技术，来</w:t>
      </w:r>
      <w:r>
        <w:rPr>
          <w:rFonts w:hint="eastAsia" w:ascii="仿宋_GB2312" w:hAnsi="仿宋" w:eastAsia="仿宋_GB2312" w:cs="仿宋_GB2312"/>
          <w:color w:val="000000"/>
          <w:sz w:val="32"/>
          <w:szCs w:val="32"/>
        </w:rPr>
        <w:t>改善菜田土壤结构，</w:t>
      </w:r>
      <w:r>
        <w:rPr>
          <w:rFonts w:hint="eastAsia" w:ascii="仿宋_GB2312" w:hAnsi="仿宋_GB2312" w:eastAsia="仿宋_GB2312" w:cs="仿宋_GB2312"/>
          <w:color w:val="000000"/>
          <w:kern w:val="0"/>
          <w:sz w:val="32"/>
          <w:szCs w:val="32"/>
        </w:rPr>
        <w:t>实现化肥用量显著降低</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土壤质量</w:t>
      </w:r>
      <w:r>
        <w:rPr>
          <w:rFonts w:hint="eastAsia" w:ascii="仿宋_GB2312" w:hAnsi="仿宋_GB2312" w:eastAsia="仿宋_GB2312" w:cs="仿宋_GB2312"/>
          <w:color w:val="000000"/>
          <w:kern w:val="0"/>
          <w:sz w:val="32"/>
          <w:szCs w:val="32"/>
          <w:lang w:val="en-US" w:eastAsia="zh-CN"/>
        </w:rPr>
        <w:t>与</w:t>
      </w:r>
      <w:r>
        <w:rPr>
          <w:rFonts w:hint="eastAsia" w:ascii="仿宋_GB2312" w:hAnsi="仿宋_GB2312" w:eastAsia="仿宋_GB2312" w:cs="仿宋_GB2312"/>
          <w:color w:val="000000"/>
          <w:kern w:val="0"/>
          <w:sz w:val="32"/>
          <w:szCs w:val="32"/>
        </w:rPr>
        <w:t>产品质量水平不断提升</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菜田土壤生态环境安全</w:t>
      </w:r>
      <w:r>
        <w:rPr>
          <w:rFonts w:hint="eastAsia" w:ascii="仿宋_GB2312" w:hAnsi="仿宋" w:eastAsia="仿宋_GB2312" w:cs="仿宋_GB2312"/>
          <w:color w:val="000000"/>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黑体" w:hAnsi="黑体" w:eastAsia="黑体" w:cs="Times New Roman"/>
          <w:color w:val="000000"/>
          <w:kern w:val="0"/>
          <w:sz w:val="32"/>
          <w:szCs w:val="32"/>
        </w:rPr>
      </w:pPr>
      <w:r>
        <w:rPr>
          <w:rFonts w:hint="eastAsia" w:ascii="黑体" w:hAnsi="黑体" w:eastAsia="黑体" w:cs="黑体"/>
          <w:color w:val="000000"/>
          <w:kern w:val="0"/>
          <w:sz w:val="32"/>
          <w:szCs w:val="32"/>
        </w:rPr>
        <w:t>二、目标任务</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菜田土壤保育</w:t>
      </w:r>
      <w:r>
        <w:rPr>
          <w:rFonts w:hint="eastAsia" w:ascii="仿宋_GB2312" w:hAnsi="仿宋_GB2312" w:eastAsia="仿宋_GB2312" w:cs="仿宋_GB2312"/>
          <w:color w:val="000000"/>
          <w:sz w:val="32"/>
          <w:szCs w:val="32"/>
        </w:rPr>
        <w:t>技术</w:t>
      </w:r>
      <w:r>
        <w:rPr>
          <w:rFonts w:hint="eastAsia" w:ascii="仿宋_GB2312" w:hAnsi="仿宋_GB2312" w:eastAsia="仿宋_GB2312" w:cs="仿宋_GB2312"/>
          <w:color w:val="333333"/>
          <w:spacing w:val="8"/>
          <w:sz w:val="32"/>
          <w:szCs w:val="32"/>
          <w:shd w:val="clear" w:color="auto" w:fill="FFFFFF"/>
        </w:rPr>
        <w:t>推广3800亩，</w:t>
      </w:r>
      <w:r>
        <w:rPr>
          <w:rFonts w:hint="eastAsia" w:ascii="仿宋_GB2312" w:hAnsi="仿宋_GB2312" w:eastAsia="仿宋_GB2312" w:cs="仿宋_GB2312"/>
          <w:color w:val="000000"/>
          <w:sz w:val="32"/>
          <w:szCs w:val="32"/>
        </w:rPr>
        <w:t>技术应用示范区主要蔬菜作物化肥用量</w:t>
      </w:r>
      <w:r>
        <w:rPr>
          <w:rFonts w:hint="eastAsia" w:ascii="仿宋_GB2312" w:hAnsi="仿宋_GB2312" w:eastAsia="仿宋_GB2312" w:cs="仿宋_GB2312"/>
          <w:color w:val="000000"/>
          <w:sz w:val="32"/>
          <w:szCs w:val="32"/>
          <w:lang w:val="en-US" w:eastAsia="zh-CN"/>
        </w:rPr>
        <w:t>有效减少</w:t>
      </w:r>
      <w:r>
        <w:rPr>
          <w:rFonts w:hint="eastAsia" w:ascii="仿宋_GB2312" w:hAnsi="仿宋_GB2312" w:eastAsia="仿宋_GB2312" w:cs="仿宋_GB2312"/>
          <w:color w:val="000000"/>
          <w:sz w:val="32"/>
          <w:szCs w:val="32"/>
        </w:rPr>
        <w:t>，土壤理化性状</w:t>
      </w:r>
      <w:r>
        <w:rPr>
          <w:rFonts w:hint="eastAsia" w:ascii="仿宋_GB2312" w:hAnsi="仿宋_GB2312" w:eastAsia="仿宋_GB2312" w:cs="仿宋_GB2312"/>
          <w:color w:val="000000"/>
          <w:sz w:val="32"/>
          <w:szCs w:val="32"/>
          <w:lang w:val="en-US" w:eastAsia="zh-CN"/>
        </w:rPr>
        <w:t>得到</w:t>
      </w:r>
      <w:r>
        <w:rPr>
          <w:rFonts w:hint="eastAsia" w:ascii="仿宋_GB2312" w:hAnsi="仿宋_GB2312" w:eastAsia="仿宋_GB2312" w:cs="仿宋_GB2312"/>
          <w:color w:val="000000"/>
          <w:sz w:val="32"/>
          <w:szCs w:val="32"/>
        </w:rPr>
        <w:t>有效改善，土壤质量</w:t>
      </w:r>
      <w:r>
        <w:rPr>
          <w:rFonts w:hint="eastAsia" w:ascii="仿宋_GB2312" w:hAnsi="仿宋_GB2312" w:eastAsia="仿宋_GB2312" w:cs="仿宋_GB2312"/>
          <w:color w:val="000000"/>
          <w:sz w:val="32"/>
          <w:szCs w:val="32"/>
          <w:lang w:val="en-US" w:eastAsia="zh-CN"/>
        </w:rPr>
        <w:t>有效</w:t>
      </w:r>
      <w:r>
        <w:rPr>
          <w:rFonts w:hint="eastAsia" w:ascii="仿宋_GB2312" w:hAnsi="仿宋_GB2312" w:eastAsia="仿宋_GB2312" w:cs="仿宋_GB2312"/>
          <w:color w:val="000000"/>
          <w:sz w:val="32"/>
          <w:szCs w:val="32"/>
        </w:rPr>
        <w:t>提升。</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三、实施范围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default" w:ascii="仿宋_GB2312" w:hAnsi="仿宋_GB2312" w:eastAsia="仿宋_GB2312" w:cs="Times New Roman"/>
          <w:sz w:val="32"/>
          <w:szCs w:val="32"/>
          <w:lang w:val="en-US" w:eastAsia="zh-CN"/>
        </w:rPr>
      </w:pPr>
      <w:r>
        <w:rPr>
          <w:rFonts w:hint="eastAsia" w:ascii="仿宋_GB2312" w:hAnsi="仿宋_GB2312" w:eastAsia="仿宋_GB2312" w:cs="Times New Roman"/>
          <w:sz w:val="32"/>
          <w:szCs w:val="32"/>
          <w:lang w:val="en-US" w:eastAsia="zh-CN"/>
        </w:rPr>
        <w:t>2023年上海市绿叶菜生产核心基地创建单位和崇明区高品质蔬菜规模化生产签约基地。</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黑体" w:hAnsi="黑体" w:eastAsia="黑体" w:cs="Times New Roman"/>
          <w:color w:val="000000"/>
          <w:kern w:val="0"/>
          <w:sz w:val="32"/>
          <w:szCs w:val="32"/>
        </w:rPr>
      </w:pPr>
      <w:r>
        <w:rPr>
          <w:rFonts w:hint="eastAsia" w:ascii="黑体" w:hAnsi="黑体" w:eastAsia="黑体" w:cs="黑体"/>
          <w:color w:val="000000"/>
          <w:kern w:val="0"/>
          <w:sz w:val="32"/>
          <w:szCs w:val="32"/>
        </w:rPr>
        <w:t>四、实施内容</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outlineLvl w:val="9"/>
        <w:rPr>
          <w:rFonts w:ascii="仿宋_GB2312" w:hAnsi="仿宋_GB2312" w:eastAsia="仿宋_GB2312" w:cs="Times New Roman"/>
          <w:color w:val="000000"/>
          <w:spacing w:val="8"/>
          <w:sz w:val="32"/>
          <w:szCs w:val="32"/>
          <w:shd w:val="clear" w:color="auto" w:fill="FFFFFF"/>
        </w:rPr>
      </w:pPr>
      <w:r>
        <w:rPr>
          <w:rFonts w:hint="eastAsia" w:ascii="楷体_GB2312" w:hAnsi="楷体_GB2312" w:eastAsia="楷体_GB2312" w:cs="楷体_GB2312"/>
          <w:color w:val="000000"/>
          <w:spacing w:val="8"/>
          <w:sz w:val="32"/>
          <w:szCs w:val="32"/>
          <w:shd w:val="clear" w:color="auto" w:fill="FFFFFF"/>
        </w:rPr>
        <w:t>（一）遴选实施基地，开展技术示范</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Times New Roman"/>
          <w:color w:val="000000"/>
          <w:sz w:val="32"/>
          <w:szCs w:val="32"/>
        </w:rPr>
      </w:pPr>
      <w:r>
        <w:rPr>
          <w:rFonts w:ascii="仿宋_GB2312" w:hAnsi="仿宋_GB2312" w:eastAsia="仿宋_GB2312" w:cs="Times New Roman"/>
          <w:sz w:val="32"/>
          <w:szCs w:val="32"/>
        </w:rPr>
        <w:t>在</w:t>
      </w:r>
      <w:r>
        <w:rPr>
          <w:rFonts w:hint="eastAsia" w:ascii="仿宋_GB2312" w:hAnsi="仿宋_GB2312" w:eastAsia="仿宋_GB2312" w:cs="Times New Roman"/>
          <w:sz w:val="32"/>
          <w:szCs w:val="32"/>
          <w:lang w:val="en-US" w:eastAsia="zh-CN"/>
        </w:rPr>
        <w:t>绿叶菜生产核心基地创建单位及高品质</w:t>
      </w:r>
      <w:r>
        <w:rPr>
          <w:rFonts w:hint="eastAsia" w:ascii="仿宋_GB2312" w:hAnsi="仿宋_GB2312" w:eastAsia="仿宋_GB2312" w:cs="Times New Roman"/>
          <w:sz w:val="32"/>
          <w:szCs w:val="32"/>
        </w:rPr>
        <w:t>蔬菜规模化签约基地</w:t>
      </w:r>
      <w:r>
        <w:rPr>
          <w:rFonts w:ascii="仿宋_GB2312" w:hAnsi="仿宋_GB2312" w:eastAsia="仿宋_GB2312" w:cs="Times New Roman"/>
          <w:sz w:val="32"/>
          <w:szCs w:val="32"/>
        </w:rPr>
        <w:t>中遴选技术应用示范</w:t>
      </w:r>
      <w:r>
        <w:rPr>
          <w:rFonts w:hint="eastAsia" w:ascii="仿宋_GB2312" w:hAnsi="仿宋_GB2312" w:eastAsia="仿宋_GB2312" w:cs="Times New Roman"/>
          <w:sz w:val="32"/>
          <w:szCs w:val="32"/>
          <w:lang w:val="en-US" w:eastAsia="zh-CN"/>
        </w:rPr>
        <w:t>面积</w:t>
      </w:r>
      <w:r>
        <w:rPr>
          <w:rFonts w:hint="eastAsia" w:ascii="仿宋_GB2312" w:hAnsi="仿宋_GB2312" w:eastAsia="仿宋_GB2312" w:cs="Times New Roman"/>
          <w:sz w:val="32"/>
          <w:szCs w:val="32"/>
        </w:rPr>
        <w:t>，</w:t>
      </w:r>
      <w:r>
        <w:rPr>
          <w:rFonts w:hint="eastAsia" w:ascii="仿宋_GB2312" w:hAnsi="仿宋_GB2312" w:eastAsia="仿宋_GB2312" w:cs="仿宋_GB2312"/>
          <w:color w:val="000000"/>
          <w:sz w:val="32"/>
          <w:szCs w:val="32"/>
        </w:rPr>
        <w:t>通过技术辐射，以点带面，推动菜田土壤保育技术推广应用。</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outlineLvl w:val="9"/>
        <w:rPr>
          <w:rFonts w:hint="eastAsia" w:ascii="楷体_GB2312" w:hAnsi="楷体_GB2312" w:eastAsia="楷体_GB2312" w:cs="楷体_GB2312"/>
          <w:color w:val="000000"/>
          <w:spacing w:val="8"/>
          <w:sz w:val="32"/>
          <w:szCs w:val="32"/>
          <w:shd w:val="clear" w:color="auto" w:fill="FFFFFF"/>
        </w:rPr>
      </w:pPr>
      <w:r>
        <w:rPr>
          <w:rFonts w:hint="eastAsia" w:ascii="楷体_GB2312" w:hAnsi="楷体_GB2312" w:eastAsia="楷体_GB2312" w:cs="楷体_GB2312"/>
          <w:color w:val="000000"/>
          <w:spacing w:val="8"/>
          <w:sz w:val="32"/>
          <w:szCs w:val="32"/>
          <w:shd w:val="clear" w:color="auto" w:fill="FFFFFF"/>
        </w:rPr>
        <w:t>（二）开展</w:t>
      </w:r>
      <w:r>
        <w:rPr>
          <w:rFonts w:hint="eastAsia" w:ascii="楷体_GB2312" w:hAnsi="楷体_GB2312" w:eastAsia="楷体_GB2312" w:cs="楷体_GB2312"/>
          <w:color w:val="000000"/>
          <w:sz w:val="32"/>
          <w:szCs w:val="32"/>
        </w:rPr>
        <w:t>微生物肥增施增效技术</w:t>
      </w:r>
      <w:r>
        <w:rPr>
          <w:rFonts w:hint="eastAsia" w:ascii="楷体_GB2312" w:hAnsi="楷体_GB2312" w:eastAsia="楷体_GB2312" w:cs="楷体_GB2312"/>
          <w:color w:val="000000"/>
          <w:spacing w:val="8"/>
          <w:sz w:val="32"/>
          <w:szCs w:val="32"/>
          <w:shd w:val="clear" w:color="auto" w:fill="FFFFFF"/>
        </w:rPr>
        <w:t>推广应用</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color w:val="000000"/>
          <w:sz w:val="32"/>
          <w:szCs w:val="32"/>
          <w:lang w:eastAsia="zh-CN"/>
        </w:rPr>
        <w:t>在</w:t>
      </w:r>
      <w:r>
        <w:rPr>
          <w:rFonts w:hint="eastAsia" w:ascii="仿宋_GB2312" w:hAnsi="仿宋_GB2312" w:eastAsia="仿宋_GB2312" w:cs="仿宋_GB2312"/>
          <w:color w:val="000000"/>
          <w:sz w:val="32"/>
          <w:szCs w:val="32"/>
        </w:rPr>
        <w:t>蔬菜生产春秋两季，筛选高效微生物肥料进行增施，</w:t>
      </w:r>
      <w:r>
        <w:rPr>
          <w:rFonts w:hint="eastAsia" w:ascii="仿宋_GB2312" w:hAnsi="仿宋_GB2312" w:eastAsia="仿宋_GB2312" w:cs="仿宋_GB2312"/>
          <w:kern w:val="0"/>
          <w:sz w:val="32"/>
          <w:szCs w:val="32"/>
        </w:rPr>
        <w:t>通过增施微生物菌肥，不断改善土壤理化性状，有效解决土壤次生盐渍化和土传病害的发生，有效提高土壤地力和可持续生产能力，促进蔬菜正常生长和改善蔬菜品质。</w:t>
      </w:r>
      <w:r>
        <w:rPr>
          <w:rFonts w:hint="eastAsia" w:ascii="仿宋_GB2312" w:hAnsi="仿宋" w:eastAsia="仿宋_GB2312" w:cs="仿宋"/>
          <w:sz w:val="32"/>
          <w:szCs w:val="32"/>
        </w:rPr>
        <w:t>通过</w:t>
      </w:r>
      <w:r>
        <w:rPr>
          <w:rFonts w:hint="eastAsia" w:ascii="仿宋_GB2312" w:hAnsi="仿宋_GB2312" w:eastAsia="仿宋_GB2312" w:cs="仿宋_GB2312"/>
          <w:kern w:val="0"/>
          <w:sz w:val="32"/>
          <w:szCs w:val="32"/>
        </w:rPr>
        <w:t>增施微生物菌肥</w:t>
      </w:r>
      <w:r>
        <w:rPr>
          <w:rFonts w:hint="eastAsia" w:ascii="仿宋_GB2312" w:hAnsi="仿宋" w:eastAsia="仿宋_GB2312" w:cs="仿宋"/>
          <w:sz w:val="32"/>
          <w:szCs w:val="32"/>
        </w:rPr>
        <w:t>改良土壤，使</w:t>
      </w:r>
      <w:r>
        <w:rPr>
          <w:rFonts w:hint="eastAsia" w:ascii="仿宋_GB2312" w:hAnsi="仿宋" w:eastAsia="仿宋_GB2312" w:cs="仿宋"/>
          <w:sz w:val="32"/>
          <w:szCs w:val="32"/>
          <w:lang w:val="en-US" w:eastAsia="zh-CN"/>
        </w:rPr>
        <w:t>菜田</w:t>
      </w:r>
      <w:r>
        <w:rPr>
          <w:rFonts w:hint="eastAsia" w:ascii="仿宋_GB2312" w:hAnsi="仿宋" w:eastAsia="仿宋_GB2312" w:cs="仿宋"/>
          <w:sz w:val="32"/>
          <w:szCs w:val="32"/>
        </w:rPr>
        <w:t>土壤肥力明显提高，土壤有机质、水解氮、有效磷、速效钾含量有所增加，土壤蓄水保墒能力有所增强。通过</w:t>
      </w:r>
      <w:r>
        <w:rPr>
          <w:rFonts w:hint="eastAsia" w:ascii="仿宋_GB2312" w:hAnsi="仿宋_GB2312" w:eastAsia="仿宋_GB2312" w:cs="仿宋_GB2312"/>
          <w:kern w:val="0"/>
          <w:sz w:val="32"/>
          <w:szCs w:val="32"/>
        </w:rPr>
        <w:t>增施微生物菌肥</w:t>
      </w:r>
      <w:r>
        <w:rPr>
          <w:rFonts w:hint="eastAsia" w:ascii="仿宋_GB2312" w:hAnsi="仿宋" w:eastAsia="仿宋_GB2312" w:cs="仿宋"/>
          <w:sz w:val="32"/>
          <w:szCs w:val="32"/>
        </w:rPr>
        <w:t>改变传统施肥观念，提高肥料利用率，减少化肥用量，降低肥料污染，改善生态环境。</w:t>
      </w:r>
      <w:r>
        <w:rPr>
          <w:rFonts w:hint="eastAsia" w:ascii="仿宋_GB2312" w:hAnsi="仿宋_GB2312" w:eastAsia="仿宋_GB2312" w:cs="仿宋_GB2312"/>
          <w:kern w:val="0"/>
          <w:sz w:val="32"/>
          <w:szCs w:val="32"/>
        </w:rPr>
        <w:t>微生物菌肥包括含有地衣芽孢杆菌、巨大芽孢杆菌、胶冻样芽胞杆菌、侧孢短芽孢杆菌、解淀粉芽孢杆菌、枯草芽孢杆菌、细黄链霉菌、酿酒酵母以及木霉菌等生物肥。具体品种、菌剂和施用方法应严格按市农业技术部门推荐的技术规范使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color w:val="000000"/>
          <w:kern w:val="0"/>
          <w:sz w:val="32"/>
          <w:szCs w:val="32"/>
        </w:rPr>
      </w:pPr>
      <w:r>
        <w:rPr>
          <w:rFonts w:hint="eastAsia" w:ascii="黑体" w:hAnsi="黑体" w:eastAsia="黑体" w:cs="黑体"/>
          <w:color w:val="000000"/>
          <w:kern w:val="0"/>
          <w:sz w:val="32"/>
          <w:szCs w:val="32"/>
        </w:rPr>
        <w:t>五、</w:t>
      </w:r>
      <w:r>
        <w:rPr>
          <w:rFonts w:hint="eastAsia" w:ascii="黑体" w:hAnsi="黑体" w:eastAsia="黑体" w:cs="黑体"/>
          <w:color w:val="000000"/>
          <w:kern w:val="0"/>
          <w:sz w:val="32"/>
          <w:szCs w:val="32"/>
          <w:lang w:eastAsia="zh-CN"/>
        </w:rPr>
        <w:t>采购方式</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区农业农村委与区供销社签订委托合同，由区供销社组织采购。</w:t>
      </w:r>
      <w:r>
        <w:rPr>
          <w:rFonts w:hint="eastAsia" w:ascii="仿宋_GB2312" w:hAnsi="仿宋_GB2312" w:eastAsia="仿宋_GB2312" w:cs="仿宋_GB2312"/>
          <w:kern w:val="0"/>
          <w:sz w:val="32"/>
          <w:szCs w:val="32"/>
        </w:rPr>
        <w:t>实施面积3800亩，补贴标准</w:t>
      </w:r>
      <w:r>
        <w:rPr>
          <w:rFonts w:ascii="仿宋_GB2312" w:hAnsi="仿宋_GB2312" w:eastAsia="仿宋_GB2312" w:cs="仿宋_GB2312"/>
          <w:kern w:val="0"/>
          <w:sz w:val="32"/>
          <w:szCs w:val="32"/>
        </w:rPr>
        <w:t>5</w:t>
      </w:r>
      <w:r>
        <w:rPr>
          <w:rFonts w:hint="eastAsia" w:ascii="仿宋_GB2312" w:hAnsi="仿宋_GB2312" w:eastAsia="仿宋_GB2312" w:cs="仿宋_GB2312"/>
          <w:kern w:val="0"/>
          <w:sz w:val="32"/>
          <w:szCs w:val="32"/>
        </w:rPr>
        <w:t>0</w:t>
      </w:r>
      <w:r>
        <w:rPr>
          <w:rFonts w:ascii="仿宋_GB2312" w:hAnsi="仿宋_GB2312" w:eastAsia="仿宋_GB2312" w:cs="仿宋_GB2312"/>
          <w:kern w:val="0"/>
          <w:sz w:val="32"/>
          <w:szCs w:val="32"/>
        </w:rPr>
        <w:t>0</w:t>
      </w:r>
      <w:r>
        <w:rPr>
          <w:rFonts w:hint="eastAsia" w:ascii="仿宋_GB2312" w:hAnsi="仿宋_GB2312" w:eastAsia="仿宋_GB2312" w:cs="仿宋_GB2312"/>
          <w:kern w:val="0"/>
          <w:sz w:val="32"/>
          <w:szCs w:val="32"/>
        </w:rPr>
        <w:t>元</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亩，补贴资金190万元。其中，区级以上财政90%，乡镇（园区）</w:t>
      </w:r>
      <w:r>
        <w:rPr>
          <w:rFonts w:hint="eastAsia" w:ascii="仿宋_GB2312" w:hAnsi="仿宋_GB2312" w:eastAsia="仿宋_GB2312" w:cs="仿宋_GB2312"/>
          <w:kern w:val="0"/>
          <w:sz w:val="32"/>
          <w:szCs w:val="32"/>
          <w:lang w:eastAsia="zh-CN"/>
        </w:rPr>
        <w:t>财政</w:t>
      </w:r>
      <w:r>
        <w:rPr>
          <w:rFonts w:hint="eastAsia" w:ascii="仿宋_GB2312" w:hAnsi="仿宋_GB2312" w:eastAsia="仿宋_GB2312" w:cs="仿宋_GB2312"/>
          <w:kern w:val="0"/>
          <w:sz w:val="32"/>
          <w:szCs w:val="32"/>
        </w:rPr>
        <w:t>10%。</w:t>
      </w:r>
      <w:r>
        <w:rPr>
          <w:rFonts w:hint="eastAsia" w:ascii="仿宋_GB2312" w:hAnsi="仿宋_GB2312" w:eastAsia="仿宋_GB2312" w:cs="仿宋_GB2312"/>
          <w:sz w:val="32"/>
          <w:szCs w:val="32"/>
          <w:lang w:val="en-US" w:eastAsia="zh-CN"/>
        </w:rPr>
        <w:t>区农业农村委按照“预拨+清算”的方式进行资金拨付，合同签订后30天内将预算资金的30%拨付至区供销社，采购事项完成后根据区供销社申请拨付至合同金额的70%, 剩余30%部分按审计结果清算拨付。</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color w:val="000000"/>
          <w:sz w:val="32"/>
          <w:szCs w:val="32"/>
        </w:rPr>
      </w:pPr>
      <w:r>
        <w:rPr>
          <w:rFonts w:hint="eastAsia" w:ascii="黑体" w:hAnsi="黑体" w:eastAsia="黑体" w:cs="黑体"/>
          <w:color w:val="000000"/>
          <w:sz w:val="32"/>
          <w:szCs w:val="32"/>
        </w:rPr>
        <w:t>六、保障措施</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outlineLvl w:val="9"/>
        <w:rPr>
          <w:rFonts w:hint="eastAsia" w:ascii="楷体_GB2312" w:hAnsi="楷体_GB2312" w:eastAsia="楷体_GB2312" w:cs="Times New Roman"/>
          <w:color w:val="000000"/>
          <w:spacing w:val="8"/>
          <w:sz w:val="32"/>
          <w:szCs w:val="32"/>
          <w:shd w:val="clear" w:color="auto" w:fill="FFFFFF"/>
        </w:rPr>
      </w:pPr>
      <w:r>
        <w:rPr>
          <w:rFonts w:hint="eastAsia" w:ascii="楷体_GB2312" w:hAnsi="楷体_GB2312" w:eastAsia="楷体_GB2312" w:cs="楷体_GB2312"/>
          <w:color w:val="000000"/>
          <w:spacing w:val="8"/>
          <w:sz w:val="32"/>
          <w:szCs w:val="32"/>
          <w:shd w:val="clear" w:color="auto" w:fill="FFFFFF"/>
        </w:rPr>
        <w:t>（一）加强组织领导，落实资金保障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区农业农村委负责统筹协调工作，区农业技术部门提前做好</w:t>
      </w:r>
      <w:r>
        <w:rPr>
          <w:rFonts w:hint="eastAsia" w:ascii="仿宋_GB2312" w:hAnsi="仿宋_GB2312" w:eastAsia="仿宋_GB2312" w:cs="仿宋_GB2312"/>
          <w:color w:val="000000"/>
          <w:sz w:val="32"/>
          <w:szCs w:val="32"/>
        </w:rPr>
        <w:t>强化技术指导服务，把</w:t>
      </w:r>
      <w:r>
        <w:rPr>
          <w:rFonts w:hint="eastAsia" w:ascii="仿宋_GB2312" w:hAnsi="仿宋_GB2312" w:eastAsia="仿宋_GB2312" w:cs="仿宋_GB2312"/>
          <w:color w:val="000000"/>
          <w:sz w:val="32"/>
          <w:szCs w:val="32"/>
          <w:lang w:eastAsia="zh-CN"/>
        </w:rPr>
        <w:t>土壤保育</w:t>
      </w:r>
      <w:r>
        <w:rPr>
          <w:rFonts w:hint="eastAsia" w:ascii="仿宋_GB2312" w:hAnsi="仿宋_GB2312" w:eastAsia="仿宋_GB2312" w:cs="仿宋_GB2312"/>
          <w:color w:val="000000"/>
          <w:sz w:val="32"/>
          <w:szCs w:val="32"/>
        </w:rPr>
        <w:t>技术各项工作落到实处。各乡镇</w:t>
      </w:r>
      <w:r>
        <w:rPr>
          <w:rFonts w:hint="eastAsia" w:ascii="仿宋_GB2312" w:hAnsi="仿宋_GB2312" w:eastAsia="仿宋_GB2312" w:cs="仿宋_GB2312"/>
          <w:color w:val="000000"/>
          <w:sz w:val="32"/>
          <w:szCs w:val="32"/>
          <w:lang w:eastAsia="zh-CN"/>
        </w:rPr>
        <w:t>（园区）</w:t>
      </w:r>
      <w:r>
        <w:rPr>
          <w:rFonts w:hint="eastAsia" w:ascii="仿宋_GB2312" w:hAnsi="仿宋_GB2312" w:eastAsia="仿宋_GB2312" w:cs="仿宋_GB2312"/>
          <w:sz w:val="32"/>
          <w:szCs w:val="32"/>
          <w:lang w:val="en-US" w:eastAsia="zh-CN"/>
        </w:rPr>
        <w:t>及时掌握种植主体的生产需求，加强与区农业技术部门、区供销社沟通协作，</w:t>
      </w:r>
      <w:r>
        <w:rPr>
          <w:rFonts w:hint="eastAsia" w:ascii="仿宋_GB2312" w:hAnsi="仿宋_GB2312" w:eastAsia="仿宋_GB2312" w:cs="仿宋_GB2312"/>
          <w:color w:val="000000"/>
          <w:sz w:val="32"/>
          <w:szCs w:val="32"/>
        </w:rPr>
        <w:t>积极落实配套资金，确保各项工作有效落实。</w:t>
      </w:r>
      <w:r>
        <w:rPr>
          <w:rFonts w:hint="eastAsia" w:ascii="仿宋_GB2312" w:hAnsi="仿宋_GB2312" w:eastAsia="仿宋_GB2312" w:cs="仿宋_GB2312"/>
          <w:sz w:val="32"/>
          <w:szCs w:val="32"/>
          <w:lang w:val="en-US" w:eastAsia="zh-CN"/>
        </w:rPr>
        <w:t>区供销社切实发挥好供销系统资源优势，提升农资供应的管控和服务能力，确保供应及时、有效。</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outlineLvl w:val="9"/>
        <w:rPr>
          <w:rFonts w:hint="eastAsia" w:ascii="楷体_GB2312" w:hAnsi="楷体_GB2312" w:eastAsia="楷体_GB2312" w:cs="楷体_GB2312"/>
          <w:color w:val="000000"/>
          <w:spacing w:val="8"/>
          <w:sz w:val="32"/>
          <w:szCs w:val="32"/>
          <w:shd w:val="clear" w:color="auto" w:fill="FFFFFF"/>
        </w:rPr>
      </w:pPr>
      <w:r>
        <w:rPr>
          <w:rFonts w:hint="eastAsia" w:ascii="楷体_GB2312" w:hAnsi="楷体_GB2312" w:eastAsia="楷体_GB2312" w:cs="楷体_GB2312"/>
          <w:color w:val="000000"/>
          <w:spacing w:val="8"/>
          <w:sz w:val="32"/>
          <w:szCs w:val="32"/>
          <w:shd w:val="clear" w:color="auto" w:fill="FFFFFF"/>
        </w:rPr>
        <w:t>（二）完善技术指导，确保推广效果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成立由区技术部门、乡镇（园区）、生产企业等单位参加的工作组和技术专家组，加强技术指导和服务，结合当地实际，制定土壤保育技术推广工作方案，开展土壤保育技术试验、示范、培训、指导、绩效评价等工作，努力提高土壤保育技术推广的效果、效率和效益。</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outlineLvl w:val="9"/>
        <w:rPr>
          <w:rFonts w:hint="eastAsia" w:ascii="楷体_GB2312" w:hAnsi="楷体_GB2312" w:eastAsia="楷体_GB2312" w:cs="楷体_GB2312"/>
          <w:color w:val="000000"/>
          <w:spacing w:val="8"/>
          <w:sz w:val="32"/>
          <w:szCs w:val="32"/>
          <w:shd w:val="clear" w:color="auto" w:fill="FFFFFF"/>
        </w:rPr>
      </w:pPr>
      <w:r>
        <w:rPr>
          <w:rFonts w:hint="eastAsia" w:ascii="楷体_GB2312" w:hAnsi="楷体_GB2312" w:eastAsia="楷体_GB2312" w:cs="楷体_GB2312"/>
          <w:color w:val="000000"/>
          <w:spacing w:val="8"/>
          <w:sz w:val="32"/>
          <w:szCs w:val="32"/>
          <w:shd w:val="clear" w:color="auto" w:fill="FFFFFF"/>
          <w:lang w:eastAsia="zh-CN"/>
        </w:rPr>
        <w:t>（三）</w:t>
      </w:r>
      <w:r>
        <w:rPr>
          <w:rFonts w:hint="eastAsia" w:ascii="楷体_GB2312" w:hAnsi="楷体_GB2312" w:eastAsia="楷体_GB2312" w:cs="楷体_GB2312"/>
          <w:color w:val="000000"/>
          <w:spacing w:val="8"/>
          <w:sz w:val="32"/>
          <w:szCs w:val="32"/>
          <w:shd w:val="clear" w:color="auto" w:fill="FFFFFF"/>
        </w:rPr>
        <w:t>做好现场抽查，加强验收考核</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区农业农村委和区技术部门对乡镇（园区）开展验收工作， 并抽取一定比例进行现场核查，确保土壤保育技术推广工作有效落实。</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outlineLvl w:val="9"/>
        <w:rPr>
          <w:rFonts w:hint="eastAsia" w:ascii="楷体_GB2312" w:hAnsi="楷体_GB2312" w:eastAsia="楷体_GB2312" w:cs="楷体_GB2312"/>
          <w:color w:val="000000"/>
          <w:spacing w:val="8"/>
          <w:sz w:val="32"/>
          <w:szCs w:val="32"/>
          <w:shd w:val="clear" w:color="auto" w:fill="FFFFFF"/>
          <w:lang w:eastAsia="zh-CN"/>
        </w:rPr>
      </w:pPr>
      <w:r>
        <w:rPr>
          <w:rFonts w:hint="eastAsia" w:ascii="楷体_GB2312" w:hAnsi="楷体_GB2312" w:eastAsia="楷体_GB2312" w:cs="楷体_GB2312"/>
          <w:color w:val="000000"/>
          <w:spacing w:val="8"/>
          <w:sz w:val="32"/>
          <w:szCs w:val="32"/>
          <w:shd w:val="clear" w:color="auto" w:fill="FFFFFF"/>
          <w:lang w:eastAsia="zh-CN"/>
        </w:rPr>
        <w:t>（四）严格电子档案记录，加强档案管理</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Times New Roman"/>
          <w:spacing w:val="8"/>
          <w:sz w:val="32"/>
          <w:szCs w:val="32"/>
          <w:shd w:val="clear" w:color="auto" w:fill="FFFFFF"/>
        </w:rPr>
      </w:pPr>
      <w:r>
        <w:rPr>
          <w:rFonts w:hint="eastAsia" w:ascii="仿宋_GB2312" w:hAnsi="仿宋_GB2312" w:eastAsia="仿宋_GB2312" w:cs="仿宋_GB2312"/>
          <w:color w:val="000000"/>
          <w:sz w:val="32"/>
          <w:szCs w:val="32"/>
        </w:rPr>
        <w:t>各实施基地在推广应用过程中及时、精准做好“神农口袋”数据录入，并加强原始数据档案记录，特别是记录台账要做到基地全覆盖，所有档案确保数据真实、完整。</w:t>
      </w:r>
      <w:r>
        <w:rPr>
          <w:rFonts w:hint="eastAsia" w:ascii="仿宋_GB2312" w:hAnsi="仿宋_GB2312" w:eastAsia="仿宋_GB2312" w:cs="Times New Roman"/>
          <w:spacing w:val="8"/>
          <w:sz w:val="32"/>
          <w:szCs w:val="32"/>
          <w:shd w:val="clear" w:color="auto" w:fill="FFFFFF"/>
        </w:rPr>
        <w:t>要建立严格的项目资金管理制度，严格执行相关财政纪律，确保专款专用。</w:t>
      </w:r>
    </w:p>
    <w:p>
      <w:pPr>
        <w:pStyle w:val="15"/>
        <w:keepNext w:val="0"/>
        <w:keepLines w:val="0"/>
        <w:pageBreakBefore w:val="0"/>
        <w:shd w:val="clear" w:color="auto" w:fill="auto"/>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b w:val="0"/>
          <w:bCs w:val="0"/>
          <w:color w:val="000000"/>
        </w:rPr>
      </w:pPr>
    </w:p>
    <w:p>
      <w:pPr>
        <w:pStyle w:val="15"/>
        <w:keepNext w:val="0"/>
        <w:keepLines w:val="0"/>
        <w:pageBreakBefore w:val="0"/>
        <w:shd w:val="clear" w:color="auto" w:fill="auto"/>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Times New Roman"/>
          <w:b w:val="0"/>
          <w:bCs w:val="0"/>
          <w:color w:val="333333"/>
          <w:spacing w:val="8"/>
        </w:rPr>
      </w:pPr>
      <w:r>
        <w:rPr>
          <w:rFonts w:hint="eastAsia" w:ascii="仿宋_GB2312" w:hAnsi="仿宋_GB2312" w:eastAsia="仿宋_GB2312" w:cs="仿宋_GB2312"/>
          <w:b w:val="0"/>
          <w:bCs w:val="0"/>
          <w:color w:val="000000"/>
        </w:rPr>
        <w:t>附</w:t>
      </w:r>
      <w:r>
        <w:rPr>
          <w:rFonts w:hint="eastAsia" w:ascii="仿宋_GB2312" w:hAnsi="仿宋_GB2312" w:eastAsia="仿宋_GB2312" w:cs="仿宋_GB2312"/>
          <w:b w:val="0"/>
          <w:bCs w:val="0"/>
          <w:color w:val="000000"/>
          <w:lang w:eastAsia="zh-CN"/>
        </w:rPr>
        <w:t>件</w:t>
      </w:r>
      <w:r>
        <w:rPr>
          <w:rFonts w:hint="eastAsia" w:ascii="仿宋_GB2312" w:hAnsi="仿宋_GB2312" w:eastAsia="仿宋_GB2312" w:cs="仿宋_GB2312"/>
          <w:b w:val="0"/>
          <w:bCs w:val="0"/>
          <w:color w:val="000000"/>
        </w:rPr>
        <w:t>：202</w:t>
      </w:r>
      <w:r>
        <w:rPr>
          <w:rFonts w:hint="eastAsia" w:ascii="仿宋_GB2312" w:hAnsi="仿宋_GB2312" w:eastAsia="仿宋_GB2312" w:cs="仿宋_GB2312"/>
          <w:b w:val="0"/>
          <w:bCs w:val="0"/>
          <w:color w:val="000000"/>
          <w:lang w:val="en-US" w:eastAsia="zh-CN"/>
        </w:rPr>
        <w:t>3</w:t>
      </w:r>
      <w:r>
        <w:rPr>
          <w:rFonts w:hint="eastAsia" w:ascii="仿宋_GB2312" w:hAnsi="仿宋_GB2312" w:eastAsia="仿宋_GB2312" w:cs="仿宋_GB2312"/>
          <w:b w:val="0"/>
          <w:bCs w:val="0"/>
          <w:color w:val="000000"/>
        </w:rPr>
        <w:t>年设施菜田土壤</w:t>
      </w:r>
      <w:r>
        <w:rPr>
          <w:rFonts w:hint="eastAsia" w:ascii="仿宋_GB2312" w:hAnsi="仿宋_GB2312" w:eastAsia="仿宋_GB2312" w:cs="仿宋_GB2312"/>
          <w:b w:val="0"/>
          <w:bCs w:val="0"/>
          <w:color w:val="000000"/>
          <w:lang w:eastAsia="zh-CN"/>
        </w:rPr>
        <w:t>保育</w:t>
      </w:r>
      <w:r>
        <w:rPr>
          <w:rFonts w:hint="eastAsia" w:ascii="仿宋_GB2312" w:hAnsi="仿宋_GB2312" w:eastAsia="仿宋_GB2312" w:cs="仿宋_GB2312"/>
          <w:b w:val="0"/>
          <w:bCs w:val="0"/>
          <w:color w:val="000000"/>
        </w:rPr>
        <w:t>实施明细表</w:t>
      </w:r>
    </w:p>
    <w:p>
      <w:pPr>
        <w:keepNext w:val="0"/>
        <w:keepLines w:val="0"/>
        <w:pageBreakBefore w:val="0"/>
        <w:kinsoku/>
        <w:wordWrap/>
        <w:topLinePunct w:val="0"/>
        <w:autoSpaceDE/>
        <w:autoSpaceDN/>
        <w:bidi w:val="0"/>
        <w:adjustRightInd/>
        <w:snapToGrid/>
        <w:spacing w:line="560" w:lineRule="exact"/>
        <w:jc w:val="left"/>
        <w:textAlignment w:val="auto"/>
        <w:outlineLvl w:val="9"/>
        <w:rPr>
          <w:rFonts w:hint="eastAsia" w:ascii="仿宋_GB2312" w:hAnsi="仿宋_GB2312" w:eastAsia="仿宋_GB2312" w:cs="仿宋_GB2312"/>
          <w:color w:val="000000"/>
          <w:sz w:val="32"/>
          <w:szCs w:val="32"/>
        </w:rPr>
      </w:pPr>
    </w:p>
    <w:p>
      <w:pPr>
        <w:keepNext w:val="0"/>
        <w:keepLines w:val="0"/>
        <w:pageBreakBefore w:val="0"/>
        <w:kinsoku/>
        <w:wordWrap w:val="0"/>
        <w:overflowPunct w:val="0"/>
        <w:topLinePunct w:val="0"/>
        <w:autoSpaceDE/>
        <w:autoSpaceDN/>
        <w:bidi w:val="0"/>
        <w:adjustRightInd/>
        <w:snapToGrid/>
        <w:spacing w:line="560" w:lineRule="exact"/>
        <w:ind w:firstLine="3200" w:firstLineChars="1000"/>
        <w:jc w:val="right"/>
        <w:textAlignment w:val="auto"/>
        <w:outlineLvl w:val="9"/>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上海市崇明区农业农村委员会</w:t>
      </w:r>
      <w:r>
        <w:rPr>
          <w:rFonts w:hint="eastAsia" w:ascii="仿宋_GB2312" w:hAnsi="仿宋_GB2312" w:eastAsia="仿宋_GB2312" w:cs="仿宋_GB2312"/>
          <w:kern w:val="0"/>
          <w:sz w:val="32"/>
          <w:szCs w:val="32"/>
          <w:lang w:val="en-US" w:eastAsia="zh-CN"/>
        </w:rPr>
        <w:t xml:space="preserve">    </w:t>
      </w:r>
    </w:p>
    <w:p>
      <w:pPr>
        <w:keepNext w:val="0"/>
        <w:keepLines w:val="0"/>
        <w:pageBreakBefore w:val="0"/>
        <w:widowControl w:val="0"/>
        <w:kinsoku/>
        <w:wordWrap/>
        <w:overflowPunct w:val="0"/>
        <w:topLinePunct w:val="0"/>
        <w:autoSpaceDE/>
        <w:autoSpaceDN/>
        <w:bidi w:val="0"/>
        <w:adjustRightInd/>
        <w:snapToGrid/>
        <w:spacing w:line="560" w:lineRule="exact"/>
        <w:ind w:firstLine="4896" w:firstLineChars="1530"/>
        <w:textAlignment w:val="auto"/>
        <w:outlineLvl w:val="9"/>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kern w:val="0"/>
          <w:sz w:val="32"/>
          <w:szCs w:val="32"/>
        </w:rPr>
        <w:t>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w:t>
      </w:r>
      <w:r>
        <w:rPr>
          <w:rFonts w:hint="eastAsia" w:ascii="仿宋_GB2312" w:hAnsi="仿宋_GB2312" w:eastAsia="仿宋_GB2312" w:cs="仿宋_GB2312"/>
          <w:kern w:val="0"/>
          <w:sz w:val="32"/>
          <w:szCs w:val="32"/>
          <w:lang w:val="en-US" w:eastAsia="zh-CN"/>
        </w:rPr>
        <w:t>5</w:t>
      </w:r>
      <w:r>
        <w:rPr>
          <w:rFonts w:hint="eastAsia" w:ascii="仿宋_GB2312" w:hAnsi="仿宋_GB2312" w:eastAsia="仿宋_GB2312" w:cs="仿宋_GB2312"/>
          <w:kern w:val="0"/>
          <w:sz w:val="32"/>
          <w:szCs w:val="32"/>
        </w:rPr>
        <w:t>月</w:t>
      </w:r>
      <w:r>
        <w:rPr>
          <w:rFonts w:hint="eastAsia" w:ascii="仿宋_GB2312" w:hAnsi="仿宋_GB2312" w:eastAsia="仿宋_GB2312" w:cs="仿宋_GB2312"/>
          <w:kern w:val="0"/>
          <w:sz w:val="32"/>
          <w:szCs w:val="32"/>
          <w:lang w:val="en-US" w:eastAsia="zh-CN"/>
        </w:rPr>
        <w:t>16</w:t>
      </w:r>
      <w:r>
        <w:rPr>
          <w:rFonts w:hint="eastAsia" w:ascii="仿宋_GB2312" w:hAnsi="仿宋_GB2312" w:eastAsia="仿宋_GB2312" w:cs="仿宋_GB2312"/>
          <w:kern w:val="0"/>
          <w:sz w:val="32"/>
          <w:szCs w:val="32"/>
        </w:rPr>
        <w:t>日</w:t>
      </w:r>
    </w:p>
    <w:p>
      <w:pPr>
        <w:pStyle w:val="15"/>
        <w:keepNext w:val="0"/>
        <w:keepLines w:val="0"/>
        <w:pageBreakBefore w:val="0"/>
        <w:shd w:val="clear" w:color="auto" w:fill="auto"/>
        <w:kinsoku/>
        <w:wordWrap/>
        <w:overflowPunct/>
        <w:topLinePunct w:val="0"/>
        <w:autoSpaceDE/>
        <w:autoSpaceDN/>
        <w:bidi w:val="0"/>
        <w:adjustRightInd/>
        <w:snapToGrid/>
        <w:spacing w:line="560" w:lineRule="exact"/>
        <w:ind w:firstLine="672" w:firstLineChars="200"/>
        <w:jc w:val="both"/>
        <w:textAlignment w:val="auto"/>
        <w:outlineLvl w:val="9"/>
        <w:rPr>
          <w:rFonts w:hint="eastAsia" w:ascii="仿宋_GB2312" w:hAnsi="仿宋_GB2312" w:eastAsia="仿宋_GB2312" w:cs="Times New Roman"/>
          <w:b w:val="0"/>
          <w:bCs w:val="0"/>
          <w:color w:val="333333"/>
          <w:spacing w:val="8"/>
        </w:rPr>
      </w:pPr>
    </w:p>
    <w:p>
      <w:pPr>
        <w:keepNext w:val="0"/>
        <w:keepLines w:val="0"/>
        <w:pageBreakBefore w:val="0"/>
        <w:kinsoku/>
        <w:wordWrap/>
        <w:topLinePunct w:val="0"/>
        <w:autoSpaceDE/>
        <w:autoSpaceDN/>
        <w:bidi w:val="0"/>
        <w:adjustRightInd/>
        <w:snapToGrid/>
        <w:spacing w:line="560" w:lineRule="exact"/>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pPr>
    </w:p>
    <w:p>
      <w:pPr>
        <w:keepNext w:val="0"/>
        <w:keepLines w:val="0"/>
        <w:pageBreakBefore w:val="0"/>
        <w:kinsoku/>
        <w:wordWrap/>
        <w:topLinePunct w:val="0"/>
        <w:autoSpaceDE/>
        <w:autoSpaceDN/>
        <w:bidi w:val="0"/>
        <w:adjustRightInd/>
        <w:snapToGrid/>
        <w:spacing w:line="560" w:lineRule="exact"/>
        <w:ind w:firstLine="320" w:firstLineChars="100"/>
        <w:jc w:val="left"/>
        <w:textAlignment w:val="auto"/>
        <w:rPr>
          <w:rFonts w:hint="eastAsia" w:ascii="仿宋_GB2312" w:hAnsi="仿宋_GB2312" w:eastAsia="仿宋_GB2312" w:cs="仿宋_GB2312"/>
          <w:color w:val="000000"/>
          <w:sz w:val="32"/>
          <w:szCs w:val="32"/>
        </w:rPr>
        <w:sectPr>
          <w:headerReference r:id="rId4" w:type="default"/>
          <w:footerReference r:id="rId5" w:type="default"/>
          <w:pgSz w:w="11906" w:h="16838"/>
          <w:pgMar w:top="2098" w:right="1474" w:bottom="1984" w:left="1587" w:header="851" w:footer="992" w:gutter="0"/>
          <w:pgNumType w:fmt="numberInDash"/>
          <w:cols w:space="720" w:num="1"/>
          <w:docGrid w:type="lines" w:linePitch="312" w:charSpace="0"/>
        </w:sectPr>
      </w:pPr>
    </w:p>
    <w:p>
      <w:pPr>
        <w:pStyle w:val="15"/>
        <w:keepNext w:val="0"/>
        <w:keepLines w:val="0"/>
        <w:pageBreakBefore w:val="0"/>
        <w:shd w:val="clear" w:color="auto" w:fill="auto"/>
        <w:kinsoku/>
        <w:wordWrap/>
        <w:overflowPunct/>
        <w:topLinePunct w:val="0"/>
        <w:autoSpaceDE/>
        <w:autoSpaceDN/>
        <w:bidi w:val="0"/>
        <w:adjustRightInd/>
        <w:snapToGrid/>
        <w:spacing w:line="560" w:lineRule="exact"/>
        <w:ind w:left="0" w:leftChars="0" w:firstLine="0" w:firstLineChars="0"/>
        <w:jc w:val="both"/>
        <w:textAlignment w:val="auto"/>
        <w:outlineLvl w:val="9"/>
        <w:rPr>
          <w:rFonts w:hint="eastAsia" w:ascii="黑体" w:hAnsi="黑体" w:eastAsia="黑体" w:cs="黑体"/>
          <w:b w:val="0"/>
          <w:bCs w:val="0"/>
          <w:color w:val="000000"/>
          <w:lang w:eastAsia="zh-CN"/>
        </w:rPr>
      </w:pPr>
      <w:r>
        <w:rPr>
          <w:rFonts w:hint="eastAsia" w:ascii="黑体" w:hAnsi="黑体" w:eastAsia="黑体" w:cs="黑体"/>
          <w:b w:val="0"/>
          <w:bCs w:val="0"/>
          <w:color w:val="000000"/>
        </w:rPr>
        <w:t>附</w:t>
      </w:r>
      <w:r>
        <w:rPr>
          <w:rFonts w:hint="eastAsia" w:ascii="黑体" w:hAnsi="黑体" w:eastAsia="黑体" w:cs="黑体"/>
          <w:b w:val="0"/>
          <w:bCs w:val="0"/>
          <w:color w:val="000000"/>
          <w:lang w:eastAsia="zh-CN"/>
        </w:rPr>
        <w:t>件</w:t>
      </w:r>
    </w:p>
    <w:p>
      <w:pPr>
        <w:pStyle w:val="15"/>
        <w:keepNext w:val="0"/>
        <w:keepLines w:val="0"/>
        <w:pageBreakBefore w:val="0"/>
        <w:shd w:val="clear" w:color="auto" w:fill="auto"/>
        <w:kinsoku/>
        <w:wordWrap/>
        <w:overflowPunct/>
        <w:topLinePunct w:val="0"/>
        <w:autoSpaceDE/>
        <w:autoSpaceDN/>
        <w:bidi w:val="0"/>
        <w:adjustRightInd/>
        <w:snapToGrid/>
        <w:spacing w:line="560" w:lineRule="exact"/>
        <w:ind w:left="0" w:leftChars="0" w:firstLine="0" w:firstLineChars="0"/>
        <w:jc w:val="center"/>
        <w:textAlignment w:val="auto"/>
        <w:outlineLvl w:val="9"/>
        <w:rPr>
          <w:rFonts w:hint="eastAsia" w:ascii="方正小标宋简体" w:hAnsi="方正小标宋简体" w:eastAsia="方正小标宋简体" w:cs="方正小标宋简体"/>
          <w:b w:val="0"/>
          <w:bCs w:val="0"/>
          <w:color w:val="333333"/>
          <w:spacing w:val="8"/>
          <w:sz w:val="36"/>
          <w:szCs w:val="36"/>
        </w:rPr>
      </w:pPr>
      <w:r>
        <w:rPr>
          <w:rFonts w:hint="eastAsia" w:ascii="方正小标宋简体" w:hAnsi="方正小标宋简体" w:eastAsia="方正小标宋简体" w:cs="方正小标宋简体"/>
          <w:b w:val="0"/>
          <w:bCs w:val="0"/>
          <w:color w:val="000000"/>
          <w:sz w:val="36"/>
          <w:szCs w:val="36"/>
        </w:rPr>
        <w:t>202</w:t>
      </w:r>
      <w:r>
        <w:rPr>
          <w:rFonts w:hint="eastAsia" w:ascii="方正小标宋简体" w:hAnsi="方正小标宋简体" w:eastAsia="方正小标宋简体" w:cs="方正小标宋简体"/>
          <w:b w:val="0"/>
          <w:bCs w:val="0"/>
          <w:color w:val="000000"/>
          <w:sz w:val="36"/>
          <w:szCs w:val="36"/>
          <w:lang w:val="en-US" w:eastAsia="zh-CN"/>
        </w:rPr>
        <w:t>3</w:t>
      </w:r>
      <w:r>
        <w:rPr>
          <w:rFonts w:hint="eastAsia" w:ascii="方正小标宋简体" w:hAnsi="方正小标宋简体" w:eastAsia="方正小标宋简体" w:cs="方正小标宋简体"/>
          <w:b w:val="0"/>
          <w:bCs w:val="0"/>
          <w:color w:val="000000"/>
          <w:sz w:val="36"/>
          <w:szCs w:val="36"/>
        </w:rPr>
        <w:t>年设施菜田土壤</w:t>
      </w:r>
      <w:r>
        <w:rPr>
          <w:rFonts w:hint="eastAsia" w:ascii="方正小标宋简体" w:hAnsi="方正小标宋简体" w:eastAsia="方正小标宋简体" w:cs="方正小标宋简体"/>
          <w:b w:val="0"/>
          <w:bCs w:val="0"/>
          <w:color w:val="000000"/>
          <w:sz w:val="36"/>
          <w:szCs w:val="36"/>
          <w:lang w:eastAsia="zh-CN"/>
        </w:rPr>
        <w:t>保育</w:t>
      </w:r>
      <w:r>
        <w:rPr>
          <w:rFonts w:hint="eastAsia" w:ascii="方正小标宋简体" w:hAnsi="方正小标宋简体" w:eastAsia="方正小标宋简体" w:cs="方正小标宋简体"/>
          <w:b w:val="0"/>
          <w:bCs w:val="0"/>
          <w:color w:val="000000"/>
          <w:sz w:val="36"/>
          <w:szCs w:val="36"/>
        </w:rPr>
        <w:t>实施明细表</w:t>
      </w:r>
    </w:p>
    <w:tbl>
      <w:tblPr>
        <w:tblStyle w:val="7"/>
        <w:tblW w:w="8871" w:type="dxa"/>
        <w:tblInd w:w="0" w:type="dxa"/>
        <w:tblLayout w:type="fixed"/>
        <w:tblCellMar>
          <w:top w:w="0" w:type="dxa"/>
          <w:left w:w="0" w:type="dxa"/>
          <w:bottom w:w="0" w:type="dxa"/>
          <w:right w:w="0" w:type="dxa"/>
        </w:tblCellMar>
      </w:tblPr>
      <w:tblGrid>
        <w:gridCol w:w="756"/>
        <w:gridCol w:w="1012"/>
        <w:gridCol w:w="4738"/>
        <w:gridCol w:w="1022"/>
        <w:gridCol w:w="1343"/>
      </w:tblGrid>
      <w:tr>
        <w:tblPrEx>
          <w:tblLayout w:type="fixed"/>
          <w:tblCellMar>
            <w:top w:w="0" w:type="dxa"/>
            <w:left w:w="0" w:type="dxa"/>
            <w:bottom w:w="0" w:type="dxa"/>
            <w:right w:w="0" w:type="dxa"/>
          </w:tblCellMar>
        </w:tblPrEx>
        <w:trPr>
          <w:trHeight w:val="2030" w:hRule="atLeast"/>
          <w:tblHeader/>
        </w:trPr>
        <w:tc>
          <w:tcPr>
            <w:tcW w:w="75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序号</w:t>
            </w:r>
          </w:p>
        </w:tc>
        <w:tc>
          <w:tcPr>
            <w:tcW w:w="10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乡镇</w:t>
            </w:r>
          </w:p>
        </w:tc>
        <w:tc>
          <w:tcPr>
            <w:tcW w:w="473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实施单位</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面积</w:t>
            </w:r>
            <w:r>
              <w:rPr>
                <w:rFonts w:hint="eastAsia" w:ascii="黑体" w:hAnsi="黑体" w:eastAsia="黑体" w:cs="黑体"/>
                <w:i w:val="0"/>
                <w:color w:val="000000"/>
                <w:kern w:val="0"/>
                <w:sz w:val="21"/>
                <w:szCs w:val="21"/>
                <w:u w:val="none"/>
                <w:lang w:val="en-US" w:eastAsia="zh-CN" w:bidi="ar"/>
              </w:rPr>
              <w:br w:type="textWrapping"/>
            </w:r>
            <w:r>
              <w:rPr>
                <w:rFonts w:hint="eastAsia" w:ascii="黑体" w:hAnsi="黑体" w:eastAsia="黑体" w:cs="黑体"/>
                <w:i w:val="0"/>
                <w:color w:val="000000"/>
                <w:kern w:val="0"/>
                <w:sz w:val="21"/>
                <w:szCs w:val="21"/>
                <w:u w:val="none"/>
                <w:lang w:val="en-US" w:eastAsia="zh-CN" w:bidi="ar"/>
              </w:rPr>
              <w:t>（亩）</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黑体" w:hAnsi="黑体" w:eastAsia="黑体" w:cs="黑体"/>
                <w:i w:val="0"/>
                <w:color w:val="000000"/>
                <w:sz w:val="21"/>
                <w:szCs w:val="21"/>
                <w:u w:val="none"/>
              </w:rPr>
            </w:pPr>
            <w:r>
              <w:rPr>
                <w:rFonts w:hint="eastAsia" w:ascii="黑体" w:hAnsi="黑体" w:eastAsia="黑体" w:cs="黑体"/>
                <w:i w:val="0"/>
                <w:color w:val="000000"/>
                <w:kern w:val="0"/>
                <w:sz w:val="21"/>
                <w:szCs w:val="21"/>
                <w:u w:val="none"/>
                <w:lang w:val="en-US" w:eastAsia="zh-CN" w:bidi="ar"/>
              </w:rPr>
              <w:t>金额</w:t>
            </w:r>
            <w:r>
              <w:rPr>
                <w:rFonts w:hint="eastAsia" w:ascii="黑体" w:hAnsi="黑体" w:eastAsia="黑体" w:cs="黑体"/>
                <w:i w:val="0"/>
                <w:color w:val="000000"/>
                <w:kern w:val="0"/>
                <w:sz w:val="21"/>
                <w:szCs w:val="21"/>
                <w:u w:val="none"/>
                <w:lang w:val="en-US" w:eastAsia="zh-CN" w:bidi="ar"/>
              </w:rPr>
              <w:br w:type="textWrapping"/>
            </w:r>
            <w:r>
              <w:rPr>
                <w:rFonts w:hint="eastAsia" w:ascii="黑体" w:hAnsi="黑体" w:eastAsia="黑体" w:cs="黑体"/>
                <w:i w:val="0"/>
                <w:color w:val="000000"/>
                <w:kern w:val="0"/>
                <w:sz w:val="21"/>
                <w:szCs w:val="21"/>
                <w:u w:val="none"/>
                <w:lang w:val="en-US" w:eastAsia="zh-CN" w:bidi="ar"/>
              </w:rPr>
              <w:t>（元）</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长兴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上海净达蔬菜专业合作社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长兴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上海正泰农业科技有限公司</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三星</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上海绿瑞蔬果专业合作社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三星</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上海长清农业种植专业合作社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三星</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上海瀛西果蔬专业合作社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庙镇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上海好客农业科技发展有限公司</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庙镇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上海致臻生态农业专业合作社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庙镇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上海崇明金瓜种植专业合作联社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上海王波果园专业合作社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上海玉英蔬果专业合作社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11</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上海冠华粮食专业合作社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上海泛信农业种植专业合作社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13</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上海崇尚中药材种植专业合作社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14</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建设</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上海文祥蔬菜专业合作社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建设</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上海建星蔬菜专业合作社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16</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建设</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上海谷伯果蔬种植专业合作社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17</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建设</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上海高泽祥园生态农业有限公司</w:t>
            </w:r>
          </w:p>
        </w:tc>
        <w:tc>
          <w:tcPr>
            <w:tcW w:w="102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18</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新河</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上海雅趣果蔬专业合作社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19</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新河</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上海欣苑葡萄专业合作社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新河</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上海健禾果蔬专业合作社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21</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新河</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上海国超粮食种植专业合作社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22</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新河</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上海瀛旭蔬果专业合作社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23</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竖新</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上海静捷蔬菜专业合作社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24</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竖新</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上海兴胜蔬菜专业合作社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竖新</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上海岛丰蔬果专业合作社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26</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堡镇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上海锦英果蔬专业合作社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27</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堡镇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上海怡思田蔬菜专业合作社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28</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堡镇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上海春河果蔬专业合作社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29</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堡镇</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上海宜加粮食专业合作社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30</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上海日鑫农业种植专业合作社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31</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上海小生蔬菜专业合作社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32</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港沿</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上海清伟蔬果种植专业合作社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33</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向化</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上海享农果蔬专业合作社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130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34</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向化</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上海日当午实业有限公司</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35</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向化</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上海壹亩田果蔬专业合作社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36</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中兴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上海霁雨蔬菜专业合作社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120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60000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37</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中兴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上海丰绿粮食专业合作社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38</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中兴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上海汤商大葱专业合作社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39</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中兴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上海万禾农业科技发展有限公司</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中兴</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上海乡风园果蔬专业合作社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110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41</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陈家</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上海杨氏蔬果专业合作社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42</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园区</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上海健绿花菜专业合作社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25000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43</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园区</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上海晟槟果蔬专业合作社</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474" w:hRule="atLeast"/>
        </w:trPr>
        <w:tc>
          <w:tcPr>
            <w:tcW w:w="75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44</w:t>
            </w:r>
          </w:p>
        </w:tc>
        <w:tc>
          <w:tcPr>
            <w:tcW w:w="101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园区</w:t>
            </w:r>
          </w:p>
        </w:tc>
        <w:tc>
          <w:tcPr>
            <w:tcW w:w="473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18"/>
                <w:szCs w:val="18"/>
                <w:u w:val="none"/>
              </w:rPr>
            </w:pPr>
            <w:r>
              <w:rPr>
                <w:rFonts w:hint="eastAsia" w:ascii="仿宋_GB2312" w:hAnsi="宋体" w:eastAsia="仿宋_GB2312" w:cs="仿宋_GB2312"/>
                <w:i w:val="0"/>
                <w:color w:val="000000"/>
                <w:kern w:val="0"/>
                <w:sz w:val="18"/>
                <w:szCs w:val="18"/>
                <w:u w:val="none"/>
                <w:lang w:val="en-US" w:eastAsia="zh-CN" w:bidi="ar"/>
              </w:rPr>
              <w:t>上海中新农业有限公司</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40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20000</w:t>
            </w:r>
          </w:p>
        </w:tc>
      </w:tr>
      <w:tr>
        <w:tblPrEx>
          <w:tblLayout w:type="fixed"/>
          <w:tblCellMar>
            <w:top w:w="0" w:type="dxa"/>
            <w:left w:w="0" w:type="dxa"/>
            <w:bottom w:w="0" w:type="dxa"/>
            <w:right w:w="0" w:type="dxa"/>
          </w:tblCellMar>
        </w:tblPrEx>
        <w:trPr>
          <w:trHeight w:val="509" w:hRule="atLeast"/>
        </w:trPr>
        <w:tc>
          <w:tcPr>
            <w:tcW w:w="6506"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r>
              <w:rPr>
                <w:rFonts w:hint="eastAsia" w:ascii="仿宋_GB2312" w:hAnsi="仿宋_GB2312" w:eastAsia="仿宋_GB2312" w:cs="仿宋_GB2312"/>
                <w:b/>
                <w:bCs/>
                <w:i w:val="0"/>
                <w:color w:val="000000"/>
                <w:kern w:val="0"/>
                <w:sz w:val="18"/>
                <w:szCs w:val="18"/>
                <w:u w:val="none"/>
                <w:lang w:val="en-US" w:eastAsia="zh-CN" w:bidi="ar"/>
              </w:rPr>
              <w:t>合    计</w:t>
            </w:r>
          </w:p>
        </w:tc>
        <w:tc>
          <w:tcPr>
            <w:tcW w:w="102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r>
              <w:rPr>
                <w:rFonts w:hint="eastAsia" w:ascii="宋体" w:hAnsi="宋体" w:eastAsia="宋体" w:cs="宋体"/>
                <w:b/>
                <w:bCs/>
                <w:i w:val="0"/>
                <w:color w:val="000000"/>
                <w:kern w:val="0"/>
                <w:sz w:val="18"/>
                <w:szCs w:val="18"/>
                <w:u w:val="none"/>
                <w:lang w:val="en-US" w:eastAsia="zh-CN" w:bidi="ar"/>
              </w:rPr>
              <w:t>3800</w:t>
            </w:r>
          </w:p>
        </w:tc>
        <w:tc>
          <w:tcPr>
            <w:tcW w:w="134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bCs/>
                <w:i w:val="0"/>
                <w:color w:val="000000"/>
                <w:sz w:val="18"/>
                <w:szCs w:val="18"/>
                <w:u w:val="none"/>
              </w:rPr>
            </w:pPr>
            <w:r>
              <w:rPr>
                <w:rFonts w:hint="eastAsia" w:ascii="宋体" w:hAnsi="宋体" w:eastAsia="宋体" w:cs="宋体"/>
                <w:b/>
                <w:bCs/>
                <w:i w:val="0"/>
                <w:color w:val="000000"/>
                <w:kern w:val="0"/>
                <w:sz w:val="18"/>
                <w:szCs w:val="18"/>
                <w:u w:val="none"/>
                <w:lang w:val="en-US" w:eastAsia="zh-CN" w:bidi="ar"/>
              </w:rPr>
              <w:t>1900000</w:t>
            </w:r>
          </w:p>
        </w:tc>
      </w:tr>
    </w:tbl>
    <w:p>
      <w:pPr>
        <w:pStyle w:val="2"/>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jc w:val="left"/>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p>
      <w:pPr>
        <w:rPr>
          <w:lang w:val="en-US" w:eastAsia="zh-CN"/>
        </w:rPr>
      </w:pPr>
    </w:p>
    <w:p>
      <w:pPr>
        <w:pStyle w:val="2"/>
        <w:rPr>
          <w:lang w:val="en-US" w:eastAsia="zh-CN"/>
        </w:rPr>
      </w:pPr>
    </w:p>
    <w:tbl>
      <w:tblPr>
        <w:tblStyle w:val="7"/>
        <w:tblW w:w="9060" w:type="dxa"/>
        <w:tblInd w:w="0" w:type="dxa"/>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060"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500" w:lineRule="exact"/>
              <w:ind w:right="28"/>
              <w:textAlignment w:val="auto"/>
              <w:outlineLvl w:val="9"/>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28"/>
                <w:szCs w:val="28"/>
              </w:rPr>
              <w:t>上海市崇明区农业</w:t>
            </w:r>
            <w:r>
              <w:rPr>
                <w:rFonts w:hint="eastAsia" w:ascii="仿宋_GB2312" w:eastAsia="仿宋_GB2312"/>
                <w:sz w:val="28"/>
                <w:szCs w:val="28"/>
                <w:lang w:eastAsia="zh-CN"/>
              </w:rPr>
              <w:t>农村</w:t>
            </w:r>
            <w:r>
              <w:rPr>
                <w:rFonts w:hint="eastAsia" w:ascii="仿宋_GB2312" w:eastAsia="仿宋_GB2312"/>
                <w:sz w:val="28"/>
                <w:szCs w:val="28"/>
              </w:rPr>
              <w:t xml:space="preserve">委员会办公室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w:t>
            </w:r>
            <w:r>
              <w:rPr>
                <w:rFonts w:hint="eastAsia" w:ascii="仿宋_GB2312" w:eastAsia="仿宋_GB2312"/>
                <w:sz w:val="28"/>
                <w:szCs w:val="28"/>
                <w:lang w:val="en-US" w:eastAsia="zh-CN"/>
              </w:rPr>
              <w:t>23</w:t>
            </w:r>
            <w:r>
              <w:rPr>
                <w:rFonts w:hint="eastAsia" w:ascii="仿宋_GB2312" w:eastAsia="仿宋_GB2312"/>
                <w:sz w:val="28"/>
                <w:szCs w:val="28"/>
              </w:rPr>
              <w:t>年</w:t>
            </w:r>
            <w:r>
              <w:rPr>
                <w:rFonts w:hint="eastAsia" w:ascii="仿宋_GB2312" w:eastAsia="仿宋_GB2312"/>
                <w:sz w:val="28"/>
                <w:szCs w:val="28"/>
                <w:lang w:val="en-US" w:eastAsia="zh-CN"/>
              </w:rPr>
              <w:t>5</w:t>
            </w:r>
            <w:r>
              <w:rPr>
                <w:rFonts w:hint="eastAsia" w:ascii="仿宋_GB2312" w:eastAsia="仿宋_GB2312"/>
                <w:sz w:val="28"/>
                <w:szCs w:val="28"/>
              </w:rPr>
              <w:t>月</w:t>
            </w:r>
            <w:r>
              <w:rPr>
                <w:rFonts w:hint="eastAsia" w:ascii="仿宋_GB2312" w:eastAsia="仿宋_GB2312"/>
                <w:sz w:val="28"/>
                <w:szCs w:val="28"/>
                <w:lang w:val="en-US" w:eastAsia="zh-CN"/>
              </w:rPr>
              <w:t>16</w:t>
            </w:r>
            <w:r>
              <w:rPr>
                <w:rFonts w:hint="eastAsia" w:ascii="仿宋_GB2312" w:eastAsia="仿宋_GB2312"/>
                <w:sz w:val="28"/>
                <w:szCs w:val="28"/>
              </w:rPr>
              <w:t>日印发</w:t>
            </w:r>
          </w:p>
        </w:tc>
      </w:tr>
    </w:tbl>
    <w:p>
      <w:pPr>
        <w:pStyle w:val="2"/>
        <w:keepNext w:val="0"/>
        <w:keepLines w:val="0"/>
        <w:pageBreakBefore w:val="0"/>
        <w:widowControl w:val="0"/>
        <w:kinsoku/>
        <w:wordWrap/>
        <w:overflowPunct/>
        <w:topLinePunct w:val="0"/>
        <w:autoSpaceDE/>
        <w:autoSpaceDN/>
        <w:bidi w:val="0"/>
        <w:adjustRightInd/>
        <w:snapToGrid w:val="0"/>
        <w:spacing w:line="20" w:lineRule="exact"/>
        <w:textAlignment w:val="auto"/>
        <w:outlineLvl w:val="9"/>
        <w:rPr>
          <w:lang w:val="en-US" w:eastAsia="zh-CN"/>
        </w:rPr>
      </w:pPr>
    </w:p>
    <w:sectPr>
      <w:headerReference r:id="rId7" w:type="first"/>
      <w:footerReference r:id="rId10" w:type="first"/>
      <w:footerReference r:id="rId8" w:type="default"/>
      <w:headerReference r:id="rId6" w:type="even"/>
      <w:footerReference r:id="rId9" w:type="even"/>
      <w:pgSz w:w="11906" w:h="16838"/>
      <w:pgMar w:top="2098" w:right="1474" w:bottom="1984" w:left="1587"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decorative"/>
    <w:pitch w:val="default"/>
    <w:sig w:usb0="00000001" w:usb1="080E0000" w:usb2="00000000" w:usb3="00000000" w:csb0="00040000" w:csb1="00000000"/>
  </w:font>
  <w:font w:name="仿宋_GB2312">
    <w:panose1 w:val="02010609030101010101"/>
    <w:charset w:val="86"/>
    <w:family w:val="decorative"/>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cs="Times New Roman"/>
      </w:rP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2"/>
                            <w:rPr>
                              <w:rFonts w:cs="Times New Roma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uMQpErIB&#10;AABZAwAADgAAAAAAAAABACAAAAAeAQAAZHJzL2Uyb0RvYy54bWxQSwUGAAAAAAYABgBZAQAAQgUA&#10;AAAA&#10;">
              <v:fill on="f" focussize="0,0"/>
              <v:stroke on="f"/>
              <v:imagedata o:title=""/>
              <o:lock v:ext="edit" aspectratio="f"/>
              <v:textbox inset="0mm,0mm,0mm,0mm" style="mso-fit-shape-to-text:t;">
                <w:txbxContent>
                  <w:p>
                    <w:pPr>
                      <w:pStyle w:val="2"/>
                      <w:rPr>
                        <w:rFonts w:cs="Times New Roma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jc w:val="right"/>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p>
    <w:pPr>
      <w:pStyle w:val="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2"/>
    </w:sdtPr>
    <w:sdtContent>
      <w:p>
        <w:pPr>
          <w:pStyle w:val="2"/>
          <w:ind w:firstLine="180" w:firstLineChars="100"/>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rPr>
        <w:rFonts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045"/>
    <w:rsid w:val="00002667"/>
    <w:rsid w:val="0004504A"/>
    <w:rsid w:val="00052038"/>
    <w:rsid w:val="000A30C9"/>
    <w:rsid w:val="0013714C"/>
    <w:rsid w:val="001562E9"/>
    <w:rsid w:val="00180A71"/>
    <w:rsid w:val="001E1D35"/>
    <w:rsid w:val="001F39D8"/>
    <w:rsid w:val="0022312E"/>
    <w:rsid w:val="00232F36"/>
    <w:rsid w:val="0026506F"/>
    <w:rsid w:val="00270770"/>
    <w:rsid w:val="002A1834"/>
    <w:rsid w:val="00364AFB"/>
    <w:rsid w:val="00395936"/>
    <w:rsid w:val="00466422"/>
    <w:rsid w:val="004A652C"/>
    <w:rsid w:val="00512A54"/>
    <w:rsid w:val="00545AC5"/>
    <w:rsid w:val="005463E7"/>
    <w:rsid w:val="005670B4"/>
    <w:rsid w:val="005E13CB"/>
    <w:rsid w:val="005E2E11"/>
    <w:rsid w:val="006326A2"/>
    <w:rsid w:val="00641D88"/>
    <w:rsid w:val="006A4FFB"/>
    <w:rsid w:val="00717904"/>
    <w:rsid w:val="00721C46"/>
    <w:rsid w:val="00763E67"/>
    <w:rsid w:val="00775EF0"/>
    <w:rsid w:val="00785641"/>
    <w:rsid w:val="00796975"/>
    <w:rsid w:val="007F599C"/>
    <w:rsid w:val="008C5D06"/>
    <w:rsid w:val="009133B7"/>
    <w:rsid w:val="009421D7"/>
    <w:rsid w:val="00986EBD"/>
    <w:rsid w:val="0099392C"/>
    <w:rsid w:val="009A1E79"/>
    <w:rsid w:val="009A38E0"/>
    <w:rsid w:val="009B0560"/>
    <w:rsid w:val="009E5E2F"/>
    <w:rsid w:val="00AF7AE8"/>
    <w:rsid w:val="00BA4B06"/>
    <w:rsid w:val="00BA5C14"/>
    <w:rsid w:val="00BB5814"/>
    <w:rsid w:val="00BD591D"/>
    <w:rsid w:val="00BF1105"/>
    <w:rsid w:val="00C11B56"/>
    <w:rsid w:val="00C219BD"/>
    <w:rsid w:val="00C372DC"/>
    <w:rsid w:val="00C85251"/>
    <w:rsid w:val="00C945AA"/>
    <w:rsid w:val="00CB6736"/>
    <w:rsid w:val="00D57723"/>
    <w:rsid w:val="00D93834"/>
    <w:rsid w:val="00E13CAF"/>
    <w:rsid w:val="00E30AC2"/>
    <w:rsid w:val="00E748FD"/>
    <w:rsid w:val="00E76BAF"/>
    <w:rsid w:val="00ED5A2E"/>
    <w:rsid w:val="00F207B9"/>
    <w:rsid w:val="00F25488"/>
    <w:rsid w:val="00F31E6B"/>
    <w:rsid w:val="00FB10D2"/>
    <w:rsid w:val="00FC5045"/>
    <w:rsid w:val="06F529CA"/>
    <w:rsid w:val="074B6C7D"/>
    <w:rsid w:val="07986C27"/>
    <w:rsid w:val="085C75CA"/>
    <w:rsid w:val="088C3BBA"/>
    <w:rsid w:val="0E1B71D9"/>
    <w:rsid w:val="125F0E4A"/>
    <w:rsid w:val="12C25BF5"/>
    <w:rsid w:val="145B5532"/>
    <w:rsid w:val="22DE6C8D"/>
    <w:rsid w:val="2ABB21C3"/>
    <w:rsid w:val="3171476F"/>
    <w:rsid w:val="34F77DF8"/>
    <w:rsid w:val="39E61519"/>
    <w:rsid w:val="3BF0012E"/>
    <w:rsid w:val="3C881EC8"/>
    <w:rsid w:val="401F40F2"/>
    <w:rsid w:val="42E43A3B"/>
    <w:rsid w:val="430D4C6B"/>
    <w:rsid w:val="4B93267E"/>
    <w:rsid w:val="4E2A219E"/>
    <w:rsid w:val="50BE1D97"/>
    <w:rsid w:val="52313438"/>
    <w:rsid w:val="523A6313"/>
    <w:rsid w:val="5363107C"/>
    <w:rsid w:val="5A9F69C2"/>
    <w:rsid w:val="60FD3817"/>
    <w:rsid w:val="61F32D38"/>
    <w:rsid w:val="62314B77"/>
    <w:rsid w:val="63404068"/>
    <w:rsid w:val="650F2AEB"/>
    <w:rsid w:val="6A9D79F0"/>
    <w:rsid w:val="6B755BB7"/>
    <w:rsid w:val="7002039C"/>
    <w:rsid w:val="71A8161F"/>
    <w:rsid w:val="74A0466C"/>
    <w:rsid w:val="75BE5E21"/>
    <w:rsid w:val="78E66175"/>
    <w:rsid w:val="78E94955"/>
    <w:rsid w:val="79D67AD5"/>
    <w:rsid w:val="7A3361A8"/>
    <w:rsid w:val="7C00503C"/>
    <w:rsid w:val="7EEF3E68"/>
    <w:rsid w:val="7FDE034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next w:val="1"/>
    <w:link w:val="10"/>
    <w:unhideWhenUsed/>
    <w:qFormat/>
    <w:uiPriority w:val="99"/>
    <w:pPr>
      <w:tabs>
        <w:tab w:val="center" w:pos="4153"/>
        <w:tab w:val="right" w:pos="8306"/>
      </w:tabs>
      <w:snapToGrid w:val="0"/>
      <w:jc w:val="left"/>
    </w:pPr>
    <w:rPr>
      <w:sz w:val="18"/>
      <w:szCs w:val="18"/>
    </w:rPr>
  </w:style>
  <w:style w:type="paragraph" w:styleId="3">
    <w:name w:val="Balloon Text"/>
    <w:basedOn w:val="1"/>
    <w:link w:val="11"/>
    <w:unhideWhenUsed/>
    <w:qFormat/>
    <w:uiPriority w:val="99"/>
    <w:rPr>
      <w:sz w:val="18"/>
      <w:szCs w:val="18"/>
    </w:rPr>
  </w:style>
  <w:style w:type="paragraph" w:styleId="4">
    <w:name w:val="header"/>
    <w:basedOn w:val="1"/>
    <w:link w:val="9"/>
    <w:unhideWhenUsed/>
    <w:qFormat/>
    <w:uiPriority w:val="99"/>
    <w:pPr>
      <w:tabs>
        <w:tab w:val="center" w:pos="4153"/>
        <w:tab w:val="right" w:pos="8306"/>
      </w:tabs>
      <w:snapToGrid w:val="0"/>
      <w:jc w:val="center"/>
    </w:pPr>
    <w:rPr>
      <w:sz w:val="18"/>
      <w:szCs w:val="18"/>
    </w:rPr>
  </w:style>
  <w:style w:type="character" w:styleId="6">
    <w:name w:val="page number"/>
    <w:basedOn w:val="5"/>
    <w:qFormat/>
    <w:uiPriority w:val="0"/>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9">
    <w:name w:val="页眉 Char"/>
    <w:basedOn w:val="5"/>
    <w:link w:val="4"/>
    <w:qFormat/>
    <w:uiPriority w:val="99"/>
    <w:rPr>
      <w:kern w:val="2"/>
      <w:sz w:val="18"/>
      <w:szCs w:val="18"/>
    </w:rPr>
  </w:style>
  <w:style w:type="character" w:customStyle="1" w:styleId="10">
    <w:name w:val="页脚 Char"/>
    <w:basedOn w:val="5"/>
    <w:link w:val="2"/>
    <w:qFormat/>
    <w:uiPriority w:val="99"/>
    <w:rPr>
      <w:kern w:val="2"/>
      <w:sz w:val="18"/>
      <w:szCs w:val="18"/>
    </w:rPr>
  </w:style>
  <w:style w:type="character" w:customStyle="1" w:styleId="11">
    <w:name w:val="批注框文本 Char"/>
    <w:basedOn w:val="5"/>
    <w:link w:val="3"/>
    <w:semiHidden/>
    <w:qFormat/>
    <w:uiPriority w:val="99"/>
    <w:rPr>
      <w:kern w:val="2"/>
      <w:sz w:val="18"/>
      <w:szCs w:val="18"/>
    </w:rPr>
  </w:style>
  <w:style w:type="character" w:customStyle="1" w:styleId="12">
    <w:name w:val="font11"/>
    <w:basedOn w:val="5"/>
    <w:qFormat/>
    <w:uiPriority w:val="0"/>
    <w:rPr>
      <w:rFonts w:hint="default" w:ascii="Times New Roman" w:hAnsi="Times New Roman" w:cs="Times New Roman"/>
      <w:color w:val="000000"/>
      <w:sz w:val="22"/>
      <w:szCs w:val="22"/>
      <w:u w:val="none"/>
    </w:rPr>
  </w:style>
  <w:style w:type="character" w:customStyle="1" w:styleId="13">
    <w:name w:val="font21"/>
    <w:basedOn w:val="5"/>
    <w:qFormat/>
    <w:uiPriority w:val="0"/>
    <w:rPr>
      <w:rFonts w:hint="eastAsia" w:ascii="宋体" w:hAnsi="宋体" w:eastAsia="宋体" w:cs="宋体"/>
      <w:color w:val="000000"/>
      <w:sz w:val="22"/>
      <w:szCs w:val="22"/>
      <w:u w:val="none"/>
    </w:rPr>
  </w:style>
  <w:style w:type="paragraph" w:customStyle="1" w:styleId="14">
    <w:name w:val="列出段落1"/>
    <w:basedOn w:val="1"/>
    <w:qFormat/>
    <w:uiPriority w:val="0"/>
    <w:pPr>
      <w:ind w:firstLine="420" w:firstLineChars="200"/>
    </w:pPr>
    <w:rPr>
      <w:rFonts w:ascii="Calibri" w:hAnsi="Calibri" w:eastAsia="宋体" w:cs="Times New Roman"/>
      <w:szCs w:val="24"/>
    </w:rPr>
  </w:style>
  <w:style w:type="paragraph" w:customStyle="1" w:styleId="15">
    <w:name w:val="正文文本 (7)"/>
    <w:basedOn w:val="1"/>
    <w:qFormat/>
    <w:uiPriority w:val="99"/>
    <w:pPr>
      <w:shd w:val="clear" w:color="auto" w:fill="FFFFFF"/>
      <w:spacing w:line="658" w:lineRule="exact"/>
      <w:ind w:firstLine="640"/>
      <w:jc w:val="distribute"/>
    </w:pPr>
    <w:rPr>
      <w:rFonts w:ascii="宋体" w:hAnsi="宋体" w:cs="宋体"/>
      <w:b/>
      <w:bCs/>
      <w:kern w:val="0"/>
      <w:sz w:val="32"/>
      <w:szCs w:val="32"/>
      <w:shd w:val="clear" w:color="auto" w:fill="FFFFFF"/>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2</Pages>
  <Words>30</Words>
  <Characters>175</Characters>
  <Lines>1</Lines>
  <Paragraphs>1</Paragraphs>
  <TotalTime>26</TotalTime>
  <ScaleCrop>false</ScaleCrop>
  <LinksUpToDate>false</LinksUpToDate>
  <CharactersWithSpaces>204</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2017-08-14T09:04:00Z</dcterms:created>
  <dc:creator>cm</dc:creator>
  <cp:lastModifiedBy>THE NEXT</cp:lastModifiedBy>
  <cp:lastPrinted>2022-11-22T01:11:00Z</cp:lastPrinted>
  <dcterms:modified xsi:type="dcterms:W3CDTF">2023-05-18T07:37:02Z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