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center"/>
        <w:textAlignment w:val="auto"/>
        <w:outlineLvl w:val="0"/>
        <w:rPr>
          <w:rFonts w:hint="default" w:ascii="方正小标宋简体" w:hAnsi="方正小标宋简体" w:eastAsia="方正小标宋简体" w:cs="方正小标宋简体"/>
          <w:sz w:val="36"/>
          <w:szCs w:val="36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  <w:t>崇明区环评+排污许可“两证合一”操作办法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一、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条款内容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在《崇明区加快经济恢复和重振实施方案》第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16</w:t>
      </w:r>
      <w:r>
        <w:rPr>
          <w:rFonts w:hint="eastAsia" w:ascii="仿宋_GB2312" w:hAnsi="仿宋_GB2312" w:eastAsia="仿宋_GB2312" w:cs="仿宋_GB2312"/>
          <w:sz w:val="32"/>
          <w:szCs w:val="32"/>
        </w:rPr>
        <w:t>条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“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highlight w:val="none"/>
        </w:rPr>
        <w:t>深入推进企业投资项目备案制改革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”中，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对医药制造业、汽车制造业、计算机通信和其他电子设备制造业等24个行业以及市、区重大项目试点环评和排污许可“两证合一”改革举措，提升环评与排污许可管理服务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Fonts w:hint="default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二、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执行期限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4月30日-2023年6月30日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Fonts w:hint="default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三、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具体内容</w:t>
      </w:r>
      <w:bookmarkStart w:id="0" w:name="_GoBack"/>
      <w:bookmarkEnd w:id="0"/>
    </w:p>
    <w:p>
      <w:pPr>
        <w:spacing w:line="600" w:lineRule="exact"/>
        <w:ind w:firstLine="640" w:firstLineChars="200"/>
        <w:rPr>
          <w:rFonts w:hint="eastAsia" w:ascii="楷体" w:hAnsi="楷体" w:eastAsia="楷体" w:cs="楷体"/>
          <w:color w:val="000000"/>
          <w:sz w:val="32"/>
          <w:szCs w:val="32"/>
          <w:lang w:eastAsia="zh-CN"/>
        </w:rPr>
      </w:pPr>
      <w:r>
        <w:rPr>
          <w:rFonts w:hint="eastAsia" w:ascii="楷体" w:hAnsi="楷体" w:eastAsia="楷体" w:cs="楷体"/>
          <w:color w:val="000000"/>
          <w:sz w:val="32"/>
          <w:szCs w:val="32"/>
          <w:lang w:eastAsia="zh-CN"/>
        </w:rPr>
        <w:t>（一）支持对象</w:t>
      </w:r>
    </w:p>
    <w:p>
      <w:pPr>
        <w:spacing w:line="600" w:lineRule="exact"/>
        <w:ind w:firstLine="640"/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企事业单位。</w:t>
      </w:r>
    </w:p>
    <w:p>
      <w:pPr>
        <w:pStyle w:val="2"/>
        <w:rPr>
          <w:rFonts w:hint="eastAsia" w:ascii="楷体" w:hAnsi="楷体" w:eastAsia="楷体" w:cs="楷体"/>
          <w:color w:val="000000"/>
          <w:sz w:val="32"/>
          <w:szCs w:val="32"/>
          <w:lang w:eastAsia="zh-CN"/>
        </w:rPr>
      </w:pPr>
      <w:r>
        <w:rPr>
          <w:rFonts w:hint="eastAsia" w:ascii="楷体" w:hAnsi="楷体" w:eastAsia="楷体" w:cs="楷体"/>
          <w:color w:val="000000"/>
          <w:sz w:val="32"/>
          <w:szCs w:val="32"/>
          <w:lang w:eastAsia="zh-CN"/>
        </w:rPr>
        <w:t>（二）支持内容</w:t>
      </w:r>
    </w:p>
    <w:p>
      <w:pPr>
        <w:spacing w:line="600" w:lineRule="exact"/>
        <w:ind w:firstLine="640" w:firstLineChars="0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属于医药制造业、汽车制造业、计算机通信和其他电子设备制造业等24个行业（见附件）以及市、区重大项目的排污单位，可自愿申请实施“两证合一”。区生态环境局在受理环评审批时同步开展排污许可证核发工作，推进两项行政许可事项“一套材料、一口受理、同步审批、一次办结”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四、申请方式和所需材料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符合条件的建设单位通过“一网通办”申请建设项目环境影响评价文件的审批 环评与排污许可“两证合一”，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提交《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环评审批申请表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》、《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环评文件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》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《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环评文件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（可公开版本）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》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、《主要环境影响和对策措施》、《删除内容说明报告》、《主动公开证明材料》、《建设项目环评审批基础信息表》、《总量来源说明》（非必要）、《公众参与情况说明》（非必要）、《公众参与情况说明全本》（可公开版本）、《删除内容说明报告》、《主动公开证明材料》（非必要）、《建设项目环境影响评价文件行政审批告知承诺书》（非必要）、《排污许可申请承诺书》、《排污许可证申请表》、《排污信息清单》（非必要）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Fonts w:hint="default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五、办理路径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全程网办。通过上海一网通办“政务服务”模块，搜索“建设项目环境影响评价文件的审批 环评与排污许可‘两证合一’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”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（网址：https://zwdt.sh.gov.cn/）。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六、联系方式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本操作办法由上海市崇明区生态环境局负责解释。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受理地址：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上海市崇明区城桥镇翠竹路1501号（崇明区行政服务中心1楼生态产业服务区11号窗口）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3" w:firstLineChars="20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联系人：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鲍婷婷 董颜箔       咨询电话：69699379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1609" w:firstLineChars="503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pStyle w:val="2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pStyle w:val="2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pStyle w:val="2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pStyle w:val="2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pStyle w:val="2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pStyle w:val="2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sectPr>
          <w:footerReference r:id="rId3" w:type="default"/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p>
      <w:pPr>
        <w:widowControl/>
        <w:jc w:val="left"/>
        <w:rPr>
          <w:rFonts w:ascii="仿宋" w:hAnsi="仿宋" w:eastAsia="仿宋"/>
          <w:color w:val="000000"/>
          <w:sz w:val="32"/>
          <w:szCs w:val="32"/>
        </w:rPr>
      </w:pPr>
      <w:r>
        <w:rPr>
          <w:rFonts w:hint="eastAsia" w:ascii="黑体" w:hAnsi="黑体" w:eastAsia="黑体" w:cs="黑体"/>
          <w:color w:val="000000"/>
          <w:sz w:val="32"/>
          <w:szCs w:val="32"/>
        </w:rPr>
        <w:t>附件</w:t>
      </w:r>
    </w:p>
    <w:p>
      <w:pPr>
        <w:spacing w:line="600" w:lineRule="exact"/>
        <w:jc w:val="center"/>
        <w:rPr>
          <w:rFonts w:ascii="黑体" w:hAnsi="黑体" w:eastAsia="黑体" w:cs="黑体"/>
          <w:color w:val="000000"/>
          <w:sz w:val="36"/>
          <w:szCs w:val="32"/>
        </w:rPr>
      </w:pPr>
      <w:r>
        <w:rPr>
          <w:rFonts w:hint="eastAsia" w:ascii="华文中宋" w:hAnsi="华文中宋" w:eastAsia="华文中宋" w:cs="华文中宋"/>
          <w:b/>
          <w:bCs/>
          <w:color w:val="000000"/>
          <w:sz w:val="44"/>
          <w:szCs w:val="44"/>
        </w:rPr>
        <w:t>实施环评与排污许可“两证合一”的行业清单</w:t>
      </w:r>
    </w:p>
    <w:p>
      <w:pPr>
        <w:spacing w:line="600" w:lineRule="exact"/>
        <w:jc w:val="center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（有效期至</w:t>
      </w:r>
      <w:r>
        <w:rPr>
          <w:rFonts w:eastAsia="仿宋_GB2312"/>
          <w:color w:val="000000"/>
          <w:sz w:val="32"/>
          <w:szCs w:val="32"/>
        </w:rPr>
        <w:t>2023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年</w:t>
      </w:r>
      <w:r>
        <w:rPr>
          <w:rFonts w:eastAsia="仿宋_GB2312"/>
          <w:color w:val="000000"/>
          <w:sz w:val="32"/>
          <w:szCs w:val="32"/>
        </w:rPr>
        <w:t>6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月</w:t>
      </w:r>
      <w:r>
        <w:rPr>
          <w:rFonts w:eastAsia="仿宋_GB2312"/>
          <w:color w:val="000000"/>
          <w:sz w:val="32"/>
          <w:szCs w:val="32"/>
        </w:rPr>
        <w:t>30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日）</w:t>
      </w:r>
    </w:p>
    <w:tbl>
      <w:tblPr>
        <w:tblStyle w:val="5"/>
        <w:tblW w:w="13940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563"/>
        <w:gridCol w:w="2005"/>
        <w:gridCol w:w="2665"/>
        <w:gridCol w:w="2083"/>
        <w:gridCol w:w="3047"/>
        <w:gridCol w:w="3577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55" w:hRule="atLeast"/>
          <w:tblHeader/>
        </w:trPr>
        <w:tc>
          <w:tcPr>
            <w:tcW w:w="563" w:type="dxa"/>
            <w:vMerge w:val="restart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/>
                <w:b/>
                <w:bCs/>
                <w:color w:val="000000"/>
                <w:kern w:val="0"/>
                <w:szCs w:val="21"/>
                <w:lang w:bidi="ar"/>
              </w:rPr>
              <w:t>序号</w:t>
            </w:r>
          </w:p>
        </w:tc>
        <w:tc>
          <w:tcPr>
            <w:tcW w:w="2005" w:type="dxa"/>
            <w:vMerge w:val="restart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/>
                <w:b/>
                <w:bCs/>
                <w:color w:val="000000"/>
                <w:kern w:val="0"/>
                <w:szCs w:val="21"/>
                <w:lang w:bidi="ar"/>
              </w:rPr>
              <w:t>行业类别</w:t>
            </w:r>
          </w:p>
        </w:tc>
        <w:tc>
          <w:tcPr>
            <w:tcW w:w="2665" w:type="dxa"/>
            <w:vMerge w:val="restart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/>
                <w:b/>
                <w:bCs/>
                <w:color w:val="000000"/>
                <w:kern w:val="0"/>
                <w:szCs w:val="21"/>
                <w:lang w:bidi="ar"/>
              </w:rPr>
              <w:t>行业名称</w:t>
            </w:r>
          </w:p>
        </w:tc>
        <w:tc>
          <w:tcPr>
            <w:tcW w:w="2083" w:type="dxa"/>
            <w:vMerge w:val="restart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/>
                <w:b/>
                <w:bCs/>
                <w:color w:val="000000"/>
                <w:kern w:val="0"/>
                <w:szCs w:val="21"/>
                <w:lang w:bidi="ar"/>
              </w:rPr>
              <w:t>行业代码</w:t>
            </w:r>
          </w:p>
        </w:tc>
        <w:tc>
          <w:tcPr>
            <w:tcW w:w="6624" w:type="dxa"/>
            <w:gridSpan w:val="2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/>
                <w:b/>
                <w:bCs/>
                <w:color w:val="000000"/>
                <w:kern w:val="0"/>
                <w:szCs w:val="21"/>
                <w:lang w:bidi="ar"/>
              </w:rPr>
              <w:t>排污许可管理类别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55" w:hRule="atLeast"/>
          <w:tblHeader/>
        </w:trPr>
        <w:tc>
          <w:tcPr>
            <w:tcW w:w="563" w:type="dxa"/>
            <w:vMerge w:val="continue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kern w:val="0"/>
                <w:szCs w:val="21"/>
                <w:lang w:bidi="ar"/>
              </w:rPr>
            </w:pPr>
          </w:p>
        </w:tc>
        <w:tc>
          <w:tcPr>
            <w:tcW w:w="2005" w:type="dxa"/>
            <w:vMerge w:val="continue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kern w:val="0"/>
                <w:szCs w:val="21"/>
                <w:lang w:bidi="ar"/>
              </w:rPr>
            </w:pPr>
          </w:p>
        </w:tc>
        <w:tc>
          <w:tcPr>
            <w:tcW w:w="2665" w:type="dxa"/>
            <w:vMerge w:val="continue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kern w:val="0"/>
                <w:szCs w:val="21"/>
                <w:lang w:bidi="ar"/>
              </w:rPr>
            </w:pPr>
          </w:p>
        </w:tc>
        <w:tc>
          <w:tcPr>
            <w:tcW w:w="2083" w:type="dxa"/>
            <w:vMerge w:val="continue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kern w:val="0"/>
                <w:szCs w:val="21"/>
                <w:lang w:bidi="ar"/>
              </w:rPr>
            </w:pPr>
          </w:p>
        </w:tc>
        <w:tc>
          <w:tcPr>
            <w:tcW w:w="3047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宋体" w:hAnsi="宋体"/>
                <w:b/>
                <w:bCs/>
                <w:color w:val="000000"/>
                <w:kern w:val="0"/>
                <w:szCs w:val="21"/>
                <w:lang w:bidi="ar"/>
              </w:rPr>
              <w:t>重点管理</w:t>
            </w:r>
          </w:p>
        </w:tc>
        <w:tc>
          <w:tcPr>
            <w:tcW w:w="3577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宋体" w:hAnsi="宋体"/>
                <w:b/>
                <w:bCs/>
                <w:color w:val="000000"/>
                <w:kern w:val="0"/>
                <w:szCs w:val="21"/>
                <w:lang w:bidi="ar"/>
              </w:rPr>
              <w:t>简化管理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55" w:hRule="atLeast"/>
        </w:trPr>
        <w:tc>
          <w:tcPr>
            <w:tcW w:w="56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bidi="ar"/>
              </w:rPr>
              <w:t>1</w:t>
            </w:r>
          </w:p>
        </w:tc>
        <w:tc>
          <w:tcPr>
            <w:tcW w:w="2005" w:type="dxa"/>
            <w:vMerge w:val="restart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bidi="ar"/>
              </w:rPr>
              <w:t>医药制造业</w:t>
            </w:r>
          </w:p>
        </w:tc>
        <w:tc>
          <w:tcPr>
            <w:tcW w:w="266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bidi="ar"/>
              </w:rPr>
              <w:t>化学药品原料药制造</w:t>
            </w:r>
          </w:p>
        </w:tc>
        <w:tc>
          <w:tcPr>
            <w:tcW w:w="208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bidi="ar"/>
              </w:rPr>
              <w:t>271</w:t>
            </w:r>
          </w:p>
        </w:tc>
        <w:tc>
          <w:tcPr>
            <w:tcW w:w="3047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bidi="ar"/>
              </w:rPr>
              <w:t>全部</w:t>
            </w:r>
          </w:p>
        </w:tc>
        <w:tc>
          <w:tcPr>
            <w:tcW w:w="3577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bidi="ar"/>
              </w:rPr>
              <w:t>/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7" w:hRule="atLeast"/>
        </w:trPr>
        <w:tc>
          <w:tcPr>
            <w:tcW w:w="56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bidi="ar"/>
              </w:rPr>
              <w:t>2</w:t>
            </w:r>
          </w:p>
        </w:tc>
        <w:tc>
          <w:tcPr>
            <w:tcW w:w="2005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266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bidi="ar"/>
              </w:rPr>
              <w:t>化学药品制剂制造</w:t>
            </w:r>
          </w:p>
        </w:tc>
        <w:tc>
          <w:tcPr>
            <w:tcW w:w="208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bidi="ar"/>
              </w:rPr>
              <w:t>272</w:t>
            </w:r>
          </w:p>
        </w:tc>
        <w:tc>
          <w:tcPr>
            <w:tcW w:w="3047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bidi="ar"/>
              </w:rPr>
              <w:t>化学药品制剂制造</w:t>
            </w:r>
            <w:r>
              <w:rPr>
                <w:rStyle w:val="10"/>
                <w:rFonts w:hint="eastAsia" w:ascii="宋体" w:hAnsi="宋体"/>
                <w:sz w:val="21"/>
                <w:szCs w:val="21"/>
                <w:lang w:bidi="ar"/>
              </w:rPr>
              <w:t>2720</w:t>
            </w:r>
            <w:r>
              <w:rPr>
                <w:rStyle w:val="9"/>
                <w:rFonts w:hint="default"/>
                <w:lang w:bidi="ar"/>
              </w:rPr>
              <w:t>（不含单纯混合或者分装的）</w:t>
            </w:r>
          </w:p>
        </w:tc>
        <w:tc>
          <w:tcPr>
            <w:tcW w:w="3577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bidi="ar"/>
              </w:rPr>
              <w:t>/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820" w:hRule="atLeast"/>
        </w:trPr>
        <w:tc>
          <w:tcPr>
            <w:tcW w:w="56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bidi="ar"/>
              </w:rPr>
              <w:t>3</w:t>
            </w:r>
          </w:p>
        </w:tc>
        <w:tc>
          <w:tcPr>
            <w:tcW w:w="2005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266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bidi="ar"/>
              </w:rPr>
              <w:t>中药饮片加工</w:t>
            </w:r>
          </w:p>
        </w:tc>
        <w:tc>
          <w:tcPr>
            <w:tcW w:w="208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bidi="ar"/>
              </w:rPr>
              <w:t>273</w:t>
            </w:r>
          </w:p>
        </w:tc>
        <w:tc>
          <w:tcPr>
            <w:tcW w:w="3047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bidi="ar"/>
              </w:rPr>
              <w:t>涉及通用工序重点管理的</w:t>
            </w:r>
          </w:p>
        </w:tc>
        <w:tc>
          <w:tcPr>
            <w:tcW w:w="3577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bidi="ar"/>
              </w:rPr>
              <w:t>涉及通用工序简化管理的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55" w:hRule="atLeast"/>
        </w:trPr>
        <w:tc>
          <w:tcPr>
            <w:tcW w:w="56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bidi="ar"/>
              </w:rPr>
              <w:t>4</w:t>
            </w:r>
          </w:p>
        </w:tc>
        <w:tc>
          <w:tcPr>
            <w:tcW w:w="2005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266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bidi="ar"/>
              </w:rPr>
              <w:t>中成药生产</w:t>
            </w:r>
          </w:p>
        </w:tc>
        <w:tc>
          <w:tcPr>
            <w:tcW w:w="208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bidi="ar"/>
              </w:rPr>
              <w:t>274</w:t>
            </w:r>
          </w:p>
        </w:tc>
        <w:tc>
          <w:tcPr>
            <w:tcW w:w="3047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bidi="ar"/>
              </w:rPr>
              <w:t>/</w:t>
            </w:r>
          </w:p>
        </w:tc>
        <w:tc>
          <w:tcPr>
            <w:tcW w:w="3577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bidi="ar"/>
              </w:rPr>
              <w:t>有提炼工艺的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65" w:hRule="atLeast"/>
        </w:trPr>
        <w:tc>
          <w:tcPr>
            <w:tcW w:w="56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bidi="ar"/>
              </w:rPr>
              <w:t>5</w:t>
            </w:r>
          </w:p>
        </w:tc>
        <w:tc>
          <w:tcPr>
            <w:tcW w:w="2005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2665" w:type="dxa"/>
            <w:noWrap w:val="0"/>
            <w:vAlign w:val="center"/>
          </w:tcPr>
          <w:p>
            <w:pPr>
              <w:widowControl/>
              <w:spacing w:line="264" w:lineRule="auto"/>
              <w:jc w:val="center"/>
              <w:textAlignment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bidi="ar"/>
              </w:rPr>
              <w:t>生物药品制品制造</w:t>
            </w:r>
          </w:p>
        </w:tc>
        <w:tc>
          <w:tcPr>
            <w:tcW w:w="2083" w:type="dxa"/>
            <w:noWrap w:val="0"/>
            <w:vAlign w:val="center"/>
          </w:tcPr>
          <w:p>
            <w:pPr>
              <w:widowControl/>
              <w:spacing w:line="264" w:lineRule="auto"/>
              <w:jc w:val="center"/>
              <w:textAlignment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bidi="ar"/>
              </w:rPr>
              <w:t>276</w:t>
            </w:r>
          </w:p>
        </w:tc>
        <w:tc>
          <w:tcPr>
            <w:tcW w:w="3047" w:type="dxa"/>
            <w:noWrap w:val="0"/>
            <w:vAlign w:val="center"/>
          </w:tcPr>
          <w:p>
            <w:pPr>
              <w:widowControl/>
              <w:spacing w:line="264" w:lineRule="auto"/>
              <w:jc w:val="center"/>
              <w:textAlignment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bidi="ar"/>
              </w:rPr>
              <w:t>生物药品制造</w:t>
            </w:r>
            <w:r>
              <w:rPr>
                <w:rStyle w:val="10"/>
                <w:rFonts w:hint="eastAsia" w:ascii="宋体" w:hAnsi="宋体"/>
                <w:sz w:val="21"/>
                <w:szCs w:val="21"/>
                <w:lang w:bidi="ar"/>
              </w:rPr>
              <w:t>2761</w:t>
            </w:r>
            <w:r>
              <w:rPr>
                <w:rStyle w:val="9"/>
                <w:rFonts w:hint="default"/>
                <w:lang w:bidi="ar"/>
              </w:rPr>
              <w:t>，基因工程药物和疫苗制造</w:t>
            </w:r>
            <w:r>
              <w:rPr>
                <w:rStyle w:val="10"/>
                <w:rFonts w:hint="eastAsia" w:ascii="宋体" w:hAnsi="宋体"/>
                <w:sz w:val="21"/>
                <w:szCs w:val="21"/>
                <w:lang w:bidi="ar"/>
              </w:rPr>
              <w:t>2762</w:t>
            </w:r>
            <w:r>
              <w:rPr>
                <w:rStyle w:val="9"/>
                <w:rFonts w:hint="default"/>
                <w:lang w:bidi="ar"/>
              </w:rPr>
              <w:t>，以上均不含单纯混合或者分装的</w:t>
            </w:r>
          </w:p>
        </w:tc>
        <w:tc>
          <w:tcPr>
            <w:tcW w:w="3577" w:type="dxa"/>
            <w:noWrap w:val="0"/>
            <w:vAlign w:val="center"/>
          </w:tcPr>
          <w:p>
            <w:pPr>
              <w:widowControl/>
              <w:spacing w:line="264" w:lineRule="auto"/>
              <w:jc w:val="center"/>
              <w:textAlignment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bidi="ar"/>
              </w:rPr>
              <w:t>/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55" w:hRule="atLeast"/>
        </w:trPr>
        <w:tc>
          <w:tcPr>
            <w:tcW w:w="56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bidi="ar"/>
              </w:rPr>
              <w:t>6</w:t>
            </w:r>
          </w:p>
        </w:tc>
        <w:tc>
          <w:tcPr>
            <w:tcW w:w="2005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2665" w:type="dxa"/>
            <w:noWrap w:val="0"/>
            <w:vAlign w:val="center"/>
          </w:tcPr>
          <w:p>
            <w:pPr>
              <w:widowControl/>
              <w:spacing w:line="264" w:lineRule="auto"/>
              <w:jc w:val="center"/>
              <w:textAlignment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bidi="ar"/>
              </w:rPr>
              <w:t>药用辅料及包装材料制造</w:t>
            </w:r>
          </w:p>
        </w:tc>
        <w:tc>
          <w:tcPr>
            <w:tcW w:w="2083" w:type="dxa"/>
            <w:noWrap w:val="0"/>
            <w:vAlign w:val="center"/>
          </w:tcPr>
          <w:p>
            <w:pPr>
              <w:widowControl/>
              <w:spacing w:line="264" w:lineRule="auto"/>
              <w:jc w:val="center"/>
              <w:textAlignment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bidi="ar"/>
              </w:rPr>
              <w:t>278</w:t>
            </w:r>
          </w:p>
        </w:tc>
        <w:tc>
          <w:tcPr>
            <w:tcW w:w="3047" w:type="dxa"/>
            <w:noWrap w:val="0"/>
            <w:vAlign w:val="center"/>
          </w:tcPr>
          <w:p>
            <w:pPr>
              <w:widowControl/>
              <w:spacing w:line="264" w:lineRule="auto"/>
              <w:jc w:val="center"/>
              <w:textAlignment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bidi="ar"/>
              </w:rPr>
              <w:t>涉及通用工序重点管理的</w:t>
            </w:r>
          </w:p>
        </w:tc>
        <w:tc>
          <w:tcPr>
            <w:tcW w:w="3577" w:type="dxa"/>
            <w:noWrap w:val="0"/>
            <w:vAlign w:val="center"/>
          </w:tcPr>
          <w:p>
            <w:pPr>
              <w:widowControl/>
              <w:spacing w:line="264" w:lineRule="auto"/>
              <w:jc w:val="center"/>
              <w:textAlignment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bidi="ar"/>
              </w:rPr>
              <w:t>涉及通用工序简化管理的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55" w:hRule="atLeast"/>
        </w:trPr>
        <w:tc>
          <w:tcPr>
            <w:tcW w:w="56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bidi="ar"/>
              </w:rPr>
              <w:t>7</w:t>
            </w:r>
          </w:p>
        </w:tc>
        <w:tc>
          <w:tcPr>
            <w:tcW w:w="200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bidi="ar"/>
              </w:rPr>
              <w:t>非金属矿物制品业</w:t>
            </w:r>
          </w:p>
        </w:tc>
        <w:tc>
          <w:tcPr>
            <w:tcW w:w="2665" w:type="dxa"/>
            <w:noWrap w:val="0"/>
            <w:vAlign w:val="center"/>
          </w:tcPr>
          <w:p>
            <w:pPr>
              <w:widowControl/>
              <w:spacing w:line="264" w:lineRule="auto"/>
              <w:jc w:val="center"/>
              <w:textAlignment w:val="center"/>
              <w:rPr>
                <w:rFonts w:ascii="宋体" w:hAnsi="宋体"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bidi="ar"/>
              </w:rPr>
              <w:t>石墨及其他非金属矿物</w:t>
            </w:r>
          </w:p>
          <w:p>
            <w:pPr>
              <w:widowControl/>
              <w:spacing w:line="264" w:lineRule="auto"/>
              <w:jc w:val="center"/>
              <w:textAlignment w:val="center"/>
              <w:rPr>
                <w:rFonts w:ascii="宋体" w:hAnsi="宋体"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bidi="ar"/>
              </w:rPr>
              <w:t>制品制造</w:t>
            </w:r>
          </w:p>
        </w:tc>
        <w:tc>
          <w:tcPr>
            <w:tcW w:w="2083" w:type="dxa"/>
            <w:noWrap w:val="0"/>
            <w:vAlign w:val="center"/>
          </w:tcPr>
          <w:p>
            <w:pPr>
              <w:widowControl/>
              <w:spacing w:line="264" w:lineRule="auto"/>
              <w:jc w:val="center"/>
              <w:textAlignment w:val="center"/>
              <w:rPr>
                <w:rFonts w:ascii="宋体" w:hAnsi="宋体"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bidi="ar"/>
              </w:rPr>
              <w:t>309</w:t>
            </w:r>
          </w:p>
        </w:tc>
        <w:tc>
          <w:tcPr>
            <w:tcW w:w="3047" w:type="dxa"/>
            <w:noWrap w:val="0"/>
            <w:vAlign w:val="center"/>
          </w:tcPr>
          <w:p>
            <w:pPr>
              <w:widowControl/>
              <w:spacing w:line="264" w:lineRule="auto"/>
              <w:jc w:val="center"/>
              <w:textAlignment w:val="center"/>
              <w:rPr>
                <w:rFonts w:ascii="宋体" w:hAnsi="宋体"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bidi="ar"/>
              </w:rPr>
              <w:t>石墨及碳素制品制造3091（石墨制品、碳制品、碳素新材料），其他非金属矿物制品制造3099（多晶硅棒）</w:t>
            </w:r>
          </w:p>
        </w:tc>
        <w:tc>
          <w:tcPr>
            <w:tcW w:w="3577" w:type="dxa"/>
            <w:noWrap w:val="0"/>
            <w:vAlign w:val="center"/>
          </w:tcPr>
          <w:p>
            <w:pPr>
              <w:widowControl/>
              <w:spacing w:line="264" w:lineRule="auto"/>
              <w:jc w:val="center"/>
              <w:textAlignment w:val="center"/>
              <w:rPr>
                <w:rFonts w:ascii="宋体" w:hAnsi="宋体"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bidi="ar"/>
              </w:rPr>
              <w:t>石墨及碳素制品制造3091（除石墨制品、碳制品、碳素新材料以外的），其他非金属矿物制品制造3099（单晶硅棒，沥青混合物）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55" w:hRule="atLeast"/>
        </w:trPr>
        <w:tc>
          <w:tcPr>
            <w:tcW w:w="56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bidi="ar"/>
              </w:rPr>
              <w:t>8</w:t>
            </w:r>
          </w:p>
        </w:tc>
        <w:tc>
          <w:tcPr>
            <w:tcW w:w="200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bidi="ar"/>
              </w:rPr>
              <w:t>专用设备制造业</w:t>
            </w:r>
          </w:p>
        </w:tc>
        <w:tc>
          <w:tcPr>
            <w:tcW w:w="266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bidi="ar"/>
              </w:rPr>
              <w:t>医疗仪器设备及器械制造</w:t>
            </w:r>
          </w:p>
        </w:tc>
        <w:tc>
          <w:tcPr>
            <w:tcW w:w="208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bidi="ar"/>
              </w:rPr>
              <w:t>358</w:t>
            </w:r>
          </w:p>
        </w:tc>
        <w:tc>
          <w:tcPr>
            <w:tcW w:w="3047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bidi="ar"/>
              </w:rPr>
              <w:t>涉及通用工序重点管理的</w:t>
            </w:r>
          </w:p>
        </w:tc>
        <w:tc>
          <w:tcPr>
            <w:tcW w:w="3577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bidi="ar"/>
              </w:rPr>
              <w:t>涉及通用工序简化管理的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55" w:hRule="atLeast"/>
        </w:trPr>
        <w:tc>
          <w:tcPr>
            <w:tcW w:w="56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kern w:val="0"/>
                <w:szCs w:val="21"/>
                <w:lang w:bidi="ar"/>
              </w:rPr>
              <w:t>9</w:t>
            </w:r>
          </w:p>
        </w:tc>
        <w:tc>
          <w:tcPr>
            <w:tcW w:w="2005" w:type="dxa"/>
            <w:vMerge w:val="restart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kern w:val="0"/>
                <w:szCs w:val="21"/>
                <w:lang w:bidi="ar"/>
              </w:rPr>
              <w:t>汽车制造业</w:t>
            </w:r>
          </w:p>
        </w:tc>
        <w:tc>
          <w:tcPr>
            <w:tcW w:w="266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kern w:val="0"/>
                <w:szCs w:val="21"/>
                <w:lang w:bidi="ar"/>
              </w:rPr>
              <w:t>汽车整车制造</w:t>
            </w:r>
          </w:p>
        </w:tc>
        <w:tc>
          <w:tcPr>
            <w:tcW w:w="208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kern w:val="0"/>
                <w:szCs w:val="21"/>
                <w:lang w:bidi="ar"/>
              </w:rPr>
              <w:t>361</w:t>
            </w:r>
          </w:p>
        </w:tc>
        <w:tc>
          <w:tcPr>
            <w:tcW w:w="3047" w:type="dxa"/>
            <w:vMerge w:val="restart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kern w:val="0"/>
                <w:szCs w:val="21"/>
                <w:lang w:bidi="ar"/>
              </w:rPr>
              <w:t>纳入重点排污单位名录的</w:t>
            </w:r>
          </w:p>
        </w:tc>
        <w:tc>
          <w:tcPr>
            <w:tcW w:w="3577" w:type="dxa"/>
            <w:vMerge w:val="restart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kern w:val="0"/>
                <w:szCs w:val="21"/>
                <w:lang w:bidi="ar"/>
              </w:rPr>
              <w:t>除重点管理以外的汽车整车制造</w:t>
            </w:r>
            <w:r>
              <w:rPr>
                <w:rStyle w:val="10"/>
                <w:rFonts w:hint="eastAsia" w:ascii="宋体" w:hAnsi="宋体"/>
                <w:color w:val="auto"/>
                <w:sz w:val="21"/>
                <w:szCs w:val="21"/>
                <w:lang w:bidi="ar"/>
              </w:rPr>
              <w:t>361</w:t>
            </w:r>
            <w:r>
              <w:rPr>
                <w:rStyle w:val="9"/>
                <w:rFonts w:hint="default"/>
                <w:color w:val="auto"/>
                <w:lang w:bidi="ar"/>
              </w:rPr>
              <w:t>，除重点管理以外的年使用</w:t>
            </w:r>
            <w:r>
              <w:rPr>
                <w:rStyle w:val="10"/>
                <w:rFonts w:hint="eastAsia" w:ascii="宋体" w:hAnsi="宋体"/>
                <w:color w:val="auto"/>
                <w:sz w:val="21"/>
                <w:szCs w:val="21"/>
                <w:lang w:bidi="ar"/>
              </w:rPr>
              <w:t>10</w:t>
            </w:r>
            <w:r>
              <w:rPr>
                <w:rStyle w:val="9"/>
                <w:rFonts w:hint="default"/>
                <w:color w:val="auto"/>
                <w:lang w:bidi="ar"/>
              </w:rPr>
              <w:t>吨及以上溶剂型涂料或者胶粘剂（含稀释剂、固化剂、清洗溶剂）的汽车用发动机制造</w:t>
            </w:r>
            <w:r>
              <w:rPr>
                <w:rStyle w:val="10"/>
                <w:rFonts w:hint="eastAsia" w:ascii="宋体" w:hAnsi="宋体"/>
                <w:color w:val="auto"/>
                <w:sz w:val="21"/>
                <w:szCs w:val="21"/>
                <w:lang w:bidi="ar"/>
              </w:rPr>
              <w:t>362</w:t>
            </w:r>
            <w:r>
              <w:rPr>
                <w:rStyle w:val="9"/>
                <w:rFonts w:hint="default"/>
                <w:color w:val="auto"/>
                <w:lang w:bidi="ar"/>
              </w:rPr>
              <w:t>、改装汽车制造</w:t>
            </w:r>
            <w:r>
              <w:rPr>
                <w:rStyle w:val="10"/>
                <w:rFonts w:hint="eastAsia" w:ascii="宋体" w:hAnsi="宋体"/>
                <w:color w:val="auto"/>
                <w:sz w:val="21"/>
                <w:szCs w:val="21"/>
                <w:lang w:bidi="ar"/>
              </w:rPr>
              <w:t>363</w:t>
            </w:r>
            <w:r>
              <w:rPr>
                <w:rStyle w:val="9"/>
                <w:rFonts w:hint="default"/>
                <w:color w:val="auto"/>
                <w:lang w:bidi="ar"/>
              </w:rPr>
              <w:t>、低速汽车制造</w:t>
            </w:r>
            <w:r>
              <w:rPr>
                <w:rStyle w:val="10"/>
                <w:rFonts w:hint="eastAsia" w:ascii="宋体" w:hAnsi="宋体"/>
                <w:color w:val="auto"/>
                <w:sz w:val="21"/>
                <w:szCs w:val="21"/>
                <w:lang w:bidi="ar"/>
              </w:rPr>
              <w:t>364</w:t>
            </w:r>
            <w:r>
              <w:rPr>
                <w:rStyle w:val="9"/>
                <w:rFonts w:hint="default"/>
                <w:color w:val="auto"/>
                <w:lang w:bidi="ar"/>
              </w:rPr>
              <w:t>、电车制造</w:t>
            </w:r>
            <w:r>
              <w:rPr>
                <w:rStyle w:val="10"/>
                <w:rFonts w:hint="eastAsia" w:ascii="宋体" w:hAnsi="宋体"/>
                <w:color w:val="auto"/>
                <w:sz w:val="21"/>
                <w:szCs w:val="21"/>
                <w:lang w:bidi="ar"/>
              </w:rPr>
              <w:t>365</w:t>
            </w:r>
            <w:r>
              <w:rPr>
                <w:rStyle w:val="9"/>
                <w:rFonts w:hint="default"/>
                <w:color w:val="auto"/>
                <w:lang w:bidi="ar"/>
              </w:rPr>
              <w:t>、汽车车身、挂车制造</w:t>
            </w:r>
            <w:r>
              <w:rPr>
                <w:rStyle w:val="10"/>
                <w:rFonts w:hint="eastAsia" w:ascii="宋体" w:hAnsi="宋体"/>
                <w:color w:val="auto"/>
                <w:sz w:val="21"/>
                <w:szCs w:val="21"/>
                <w:lang w:bidi="ar"/>
              </w:rPr>
              <w:t>366</w:t>
            </w:r>
            <w:r>
              <w:rPr>
                <w:rStyle w:val="9"/>
                <w:rFonts w:hint="default"/>
                <w:color w:val="auto"/>
                <w:lang w:bidi="ar"/>
              </w:rPr>
              <w:t>、汽车零部件及配件制造</w:t>
            </w:r>
            <w:r>
              <w:rPr>
                <w:rStyle w:val="10"/>
                <w:rFonts w:hint="eastAsia" w:ascii="宋体" w:hAnsi="宋体"/>
                <w:color w:val="auto"/>
                <w:sz w:val="21"/>
                <w:szCs w:val="21"/>
                <w:lang w:bidi="ar"/>
              </w:rPr>
              <w:t>367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55" w:hRule="atLeast"/>
        </w:trPr>
        <w:tc>
          <w:tcPr>
            <w:tcW w:w="56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kern w:val="0"/>
                <w:szCs w:val="21"/>
                <w:lang w:bidi="ar"/>
              </w:rPr>
              <w:t>10</w:t>
            </w:r>
          </w:p>
        </w:tc>
        <w:tc>
          <w:tcPr>
            <w:tcW w:w="2005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66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kern w:val="0"/>
                <w:szCs w:val="21"/>
                <w:lang w:bidi="ar"/>
              </w:rPr>
              <w:t>汽车用发动机制造</w:t>
            </w:r>
          </w:p>
        </w:tc>
        <w:tc>
          <w:tcPr>
            <w:tcW w:w="208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kern w:val="0"/>
                <w:szCs w:val="21"/>
                <w:lang w:bidi="ar"/>
              </w:rPr>
              <w:t>362</w:t>
            </w:r>
          </w:p>
        </w:tc>
        <w:tc>
          <w:tcPr>
            <w:tcW w:w="3047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3577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55" w:hRule="atLeast"/>
        </w:trPr>
        <w:tc>
          <w:tcPr>
            <w:tcW w:w="56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kern w:val="0"/>
                <w:szCs w:val="21"/>
                <w:lang w:bidi="ar"/>
              </w:rPr>
              <w:t>11</w:t>
            </w:r>
          </w:p>
        </w:tc>
        <w:tc>
          <w:tcPr>
            <w:tcW w:w="2005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66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kern w:val="0"/>
                <w:szCs w:val="21"/>
                <w:lang w:bidi="ar"/>
              </w:rPr>
              <w:t>改装汽车制造</w:t>
            </w:r>
          </w:p>
        </w:tc>
        <w:tc>
          <w:tcPr>
            <w:tcW w:w="208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kern w:val="0"/>
                <w:szCs w:val="21"/>
                <w:lang w:bidi="ar"/>
              </w:rPr>
              <w:t>363</w:t>
            </w:r>
          </w:p>
        </w:tc>
        <w:tc>
          <w:tcPr>
            <w:tcW w:w="3047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3577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55" w:hRule="atLeast"/>
        </w:trPr>
        <w:tc>
          <w:tcPr>
            <w:tcW w:w="56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kern w:val="0"/>
                <w:szCs w:val="21"/>
                <w:lang w:bidi="ar"/>
              </w:rPr>
              <w:t>12</w:t>
            </w:r>
          </w:p>
        </w:tc>
        <w:tc>
          <w:tcPr>
            <w:tcW w:w="2005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66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kern w:val="0"/>
                <w:szCs w:val="21"/>
                <w:lang w:bidi="ar"/>
              </w:rPr>
              <w:t>低速汽车制造</w:t>
            </w:r>
          </w:p>
        </w:tc>
        <w:tc>
          <w:tcPr>
            <w:tcW w:w="208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kern w:val="0"/>
                <w:szCs w:val="21"/>
                <w:lang w:bidi="ar"/>
              </w:rPr>
              <w:t>364</w:t>
            </w:r>
          </w:p>
        </w:tc>
        <w:tc>
          <w:tcPr>
            <w:tcW w:w="3047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3577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55" w:hRule="atLeast"/>
        </w:trPr>
        <w:tc>
          <w:tcPr>
            <w:tcW w:w="56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kern w:val="0"/>
                <w:szCs w:val="21"/>
                <w:lang w:bidi="ar"/>
              </w:rPr>
              <w:t>13</w:t>
            </w:r>
          </w:p>
        </w:tc>
        <w:tc>
          <w:tcPr>
            <w:tcW w:w="2005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66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kern w:val="0"/>
                <w:szCs w:val="21"/>
                <w:lang w:bidi="ar"/>
              </w:rPr>
              <w:t>电车制造</w:t>
            </w:r>
          </w:p>
        </w:tc>
        <w:tc>
          <w:tcPr>
            <w:tcW w:w="208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kern w:val="0"/>
                <w:szCs w:val="21"/>
                <w:lang w:bidi="ar"/>
              </w:rPr>
              <w:t>365</w:t>
            </w:r>
          </w:p>
        </w:tc>
        <w:tc>
          <w:tcPr>
            <w:tcW w:w="3047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3577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55" w:hRule="atLeast"/>
        </w:trPr>
        <w:tc>
          <w:tcPr>
            <w:tcW w:w="56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kern w:val="0"/>
                <w:szCs w:val="21"/>
                <w:lang w:bidi="ar"/>
              </w:rPr>
              <w:t>14</w:t>
            </w:r>
          </w:p>
        </w:tc>
        <w:tc>
          <w:tcPr>
            <w:tcW w:w="2005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66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kern w:val="0"/>
                <w:szCs w:val="21"/>
                <w:lang w:bidi="ar"/>
              </w:rPr>
              <w:t>汽车车身、挂车制造</w:t>
            </w:r>
          </w:p>
        </w:tc>
        <w:tc>
          <w:tcPr>
            <w:tcW w:w="208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kern w:val="0"/>
                <w:szCs w:val="21"/>
                <w:lang w:bidi="ar"/>
              </w:rPr>
              <w:t>366</w:t>
            </w:r>
          </w:p>
        </w:tc>
        <w:tc>
          <w:tcPr>
            <w:tcW w:w="3047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3577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55" w:hRule="atLeast"/>
        </w:trPr>
        <w:tc>
          <w:tcPr>
            <w:tcW w:w="56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kern w:val="0"/>
                <w:szCs w:val="21"/>
                <w:lang w:bidi="ar"/>
              </w:rPr>
              <w:t>15</w:t>
            </w:r>
          </w:p>
        </w:tc>
        <w:tc>
          <w:tcPr>
            <w:tcW w:w="2005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66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kern w:val="0"/>
                <w:szCs w:val="21"/>
                <w:lang w:bidi="ar"/>
              </w:rPr>
              <w:t>汽车零部件及配件制造</w:t>
            </w:r>
          </w:p>
        </w:tc>
        <w:tc>
          <w:tcPr>
            <w:tcW w:w="208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kern w:val="0"/>
                <w:szCs w:val="21"/>
                <w:lang w:bidi="ar"/>
              </w:rPr>
              <w:t>367</w:t>
            </w:r>
          </w:p>
        </w:tc>
        <w:tc>
          <w:tcPr>
            <w:tcW w:w="3047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3577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55" w:hRule="atLeast"/>
        </w:trPr>
        <w:tc>
          <w:tcPr>
            <w:tcW w:w="56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bidi="ar"/>
              </w:rPr>
              <w:t>16</w:t>
            </w:r>
          </w:p>
        </w:tc>
        <w:tc>
          <w:tcPr>
            <w:tcW w:w="2005" w:type="dxa"/>
            <w:vMerge w:val="restart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kern w:val="0"/>
                <w:szCs w:val="21"/>
                <w:lang w:bidi="ar"/>
              </w:rPr>
              <w:t>铁路、船舶、航空航天和其他运输设备制造</w:t>
            </w:r>
          </w:p>
        </w:tc>
        <w:tc>
          <w:tcPr>
            <w:tcW w:w="266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bidi="ar"/>
              </w:rPr>
              <w:t>城市轨道交通设备制造</w:t>
            </w:r>
          </w:p>
        </w:tc>
        <w:tc>
          <w:tcPr>
            <w:tcW w:w="208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bidi="ar"/>
              </w:rPr>
              <w:t>372</w:t>
            </w:r>
          </w:p>
        </w:tc>
        <w:tc>
          <w:tcPr>
            <w:tcW w:w="3047" w:type="dxa"/>
            <w:vMerge w:val="restart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bidi="ar"/>
              </w:rPr>
              <w:t>纳入重点排污单位名录的</w:t>
            </w:r>
          </w:p>
        </w:tc>
        <w:tc>
          <w:tcPr>
            <w:tcW w:w="3577" w:type="dxa"/>
            <w:vMerge w:val="restart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bidi="ar"/>
              </w:rPr>
              <w:t>除重点管理以外的年使用</w:t>
            </w:r>
            <w:r>
              <w:rPr>
                <w:rStyle w:val="10"/>
                <w:rFonts w:hint="eastAsia" w:ascii="宋体" w:hAnsi="宋体"/>
                <w:sz w:val="21"/>
                <w:szCs w:val="21"/>
                <w:lang w:bidi="ar"/>
              </w:rPr>
              <w:t>10</w:t>
            </w:r>
            <w:r>
              <w:rPr>
                <w:rStyle w:val="9"/>
                <w:rFonts w:hint="default"/>
                <w:lang w:bidi="ar"/>
              </w:rPr>
              <w:t>吨及以上溶剂型涂料或者胶粘剂（含稀释剂、固化剂、清洗溶剂）的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55" w:hRule="atLeast"/>
        </w:trPr>
        <w:tc>
          <w:tcPr>
            <w:tcW w:w="56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bidi="ar"/>
              </w:rPr>
              <w:t>17</w:t>
            </w:r>
          </w:p>
        </w:tc>
        <w:tc>
          <w:tcPr>
            <w:tcW w:w="2005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266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bidi="ar"/>
              </w:rPr>
              <w:t>船舶及相关装置制造</w:t>
            </w:r>
          </w:p>
        </w:tc>
        <w:tc>
          <w:tcPr>
            <w:tcW w:w="208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bidi="ar"/>
              </w:rPr>
              <w:t>373</w:t>
            </w:r>
          </w:p>
        </w:tc>
        <w:tc>
          <w:tcPr>
            <w:tcW w:w="3047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3577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55" w:hRule="atLeast"/>
        </w:trPr>
        <w:tc>
          <w:tcPr>
            <w:tcW w:w="56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bidi="ar"/>
              </w:rPr>
              <w:t>18</w:t>
            </w:r>
          </w:p>
        </w:tc>
        <w:tc>
          <w:tcPr>
            <w:tcW w:w="2005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266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bidi="ar"/>
              </w:rPr>
              <w:t>航空、航天器及设备制造</w:t>
            </w:r>
          </w:p>
        </w:tc>
        <w:tc>
          <w:tcPr>
            <w:tcW w:w="208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bidi="ar"/>
              </w:rPr>
              <w:t>374</w:t>
            </w:r>
          </w:p>
        </w:tc>
        <w:tc>
          <w:tcPr>
            <w:tcW w:w="3047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3577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56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bidi="ar"/>
              </w:rPr>
              <w:t>19</w:t>
            </w:r>
          </w:p>
        </w:tc>
        <w:tc>
          <w:tcPr>
            <w:tcW w:w="2005" w:type="dxa"/>
            <w:vMerge w:val="restart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bidi="ar"/>
              </w:rPr>
              <w:t>计算机、通信和其他电子设备制造业</w:t>
            </w:r>
          </w:p>
        </w:tc>
        <w:tc>
          <w:tcPr>
            <w:tcW w:w="266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bidi="ar"/>
              </w:rPr>
              <w:t>计算机制造</w:t>
            </w:r>
          </w:p>
        </w:tc>
        <w:tc>
          <w:tcPr>
            <w:tcW w:w="208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bidi="ar"/>
              </w:rPr>
              <w:t>391</w:t>
            </w:r>
          </w:p>
        </w:tc>
        <w:tc>
          <w:tcPr>
            <w:tcW w:w="3047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bidi="ar"/>
              </w:rPr>
              <w:t>纳入重点排污单位名录的</w:t>
            </w:r>
          </w:p>
        </w:tc>
        <w:tc>
          <w:tcPr>
            <w:tcW w:w="3577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bidi="ar"/>
              </w:rPr>
              <w:t>除重点管理以外的年使用</w:t>
            </w:r>
            <w:r>
              <w:rPr>
                <w:rStyle w:val="10"/>
                <w:rFonts w:hint="eastAsia" w:ascii="宋体" w:hAnsi="宋体"/>
                <w:sz w:val="21"/>
                <w:szCs w:val="21"/>
                <w:lang w:bidi="ar"/>
              </w:rPr>
              <w:t>10</w:t>
            </w:r>
            <w:r>
              <w:rPr>
                <w:rStyle w:val="9"/>
                <w:rFonts w:hint="default"/>
                <w:lang w:bidi="ar"/>
              </w:rPr>
              <w:t>吨及以上溶剂型涂料（含稀释剂）的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55" w:hRule="atLeast"/>
        </w:trPr>
        <w:tc>
          <w:tcPr>
            <w:tcW w:w="56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bidi="ar"/>
              </w:rPr>
              <w:t>20</w:t>
            </w:r>
          </w:p>
        </w:tc>
        <w:tc>
          <w:tcPr>
            <w:tcW w:w="2005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266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bidi="ar"/>
              </w:rPr>
              <w:t>通信设备制造</w:t>
            </w:r>
          </w:p>
        </w:tc>
        <w:tc>
          <w:tcPr>
            <w:tcW w:w="208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bidi="ar"/>
              </w:rPr>
              <w:t>392</w:t>
            </w:r>
          </w:p>
        </w:tc>
        <w:tc>
          <w:tcPr>
            <w:tcW w:w="3047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bidi="ar"/>
              </w:rPr>
              <w:t>涉及通用工序重点管理的</w:t>
            </w:r>
          </w:p>
        </w:tc>
        <w:tc>
          <w:tcPr>
            <w:tcW w:w="3577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bidi="ar"/>
              </w:rPr>
              <w:t>涉及通用工序简化管理的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55" w:hRule="atLeast"/>
        </w:trPr>
        <w:tc>
          <w:tcPr>
            <w:tcW w:w="56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bidi="ar"/>
              </w:rPr>
              <w:t>21</w:t>
            </w:r>
          </w:p>
        </w:tc>
        <w:tc>
          <w:tcPr>
            <w:tcW w:w="2005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266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bidi="ar"/>
              </w:rPr>
              <w:t>智能消费设备制造</w:t>
            </w:r>
          </w:p>
        </w:tc>
        <w:tc>
          <w:tcPr>
            <w:tcW w:w="208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bidi="ar"/>
              </w:rPr>
              <w:t>396</w:t>
            </w:r>
          </w:p>
        </w:tc>
        <w:tc>
          <w:tcPr>
            <w:tcW w:w="3047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bidi="ar"/>
              </w:rPr>
              <w:t>涉及通用工序重点管理的</w:t>
            </w:r>
          </w:p>
        </w:tc>
        <w:tc>
          <w:tcPr>
            <w:tcW w:w="3577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bidi="ar"/>
              </w:rPr>
              <w:t>涉及通用工序简化管理的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56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bidi="ar"/>
              </w:rPr>
              <w:t>22</w:t>
            </w:r>
          </w:p>
        </w:tc>
        <w:tc>
          <w:tcPr>
            <w:tcW w:w="2005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266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bidi="ar"/>
              </w:rPr>
              <w:t>电子器件制造</w:t>
            </w:r>
          </w:p>
        </w:tc>
        <w:tc>
          <w:tcPr>
            <w:tcW w:w="208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bidi="ar"/>
              </w:rPr>
              <w:t>397</w:t>
            </w:r>
          </w:p>
        </w:tc>
        <w:tc>
          <w:tcPr>
            <w:tcW w:w="3047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bidi="ar"/>
              </w:rPr>
              <w:t>纳入重点排污单位名录的</w:t>
            </w:r>
          </w:p>
        </w:tc>
        <w:tc>
          <w:tcPr>
            <w:tcW w:w="3577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bidi="ar"/>
              </w:rPr>
              <w:t>除重点管理以外的年使用</w:t>
            </w:r>
            <w:r>
              <w:rPr>
                <w:rStyle w:val="10"/>
                <w:rFonts w:hint="eastAsia" w:ascii="宋体" w:hAnsi="宋体"/>
                <w:sz w:val="21"/>
                <w:szCs w:val="21"/>
                <w:lang w:bidi="ar"/>
              </w:rPr>
              <w:t>10</w:t>
            </w:r>
            <w:r>
              <w:rPr>
                <w:rStyle w:val="9"/>
                <w:rFonts w:hint="default"/>
                <w:lang w:bidi="ar"/>
              </w:rPr>
              <w:t>吨及以上溶剂型涂料（含稀释剂）的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56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bidi="ar"/>
              </w:rPr>
              <w:t>23</w:t>
            </w:r>
          </w:p>
        </w:tc>
        <w:tc>
          <w:tcPr>
            <w:tcW w:w="2005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266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bidi="ar"/>
              </w:rPr>
              <w:t>电子元件及电子专用材料制造</w:t>
            </w:r>
          </w:p>
        </w:tc>
        <w:tc>
          <w:tcPr>
            <w:tcW w:w="208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bidi="ar"/>
              </w:rPr>
              <w:t>398</w:t>
            </w:r>
          </w:p>
        </w:tc>
        <w:tc>
          <w:tcPr>
            <w:tcW w:w="3047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bidi="ar"/>
              </w:rPr>
              <w:t>纳入重点排污单位名录的</w:t>
            </w:r>
          </w:p>
        </w:tc>
        <w:tc>
          <w:tcPr>
            <w:tcW w:w="3577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bidi="ar"/>
              </w:rPr>
              <w:t>除重点管理以外的年使用</w:t>
            </w:r>
            <w:r>
              <w:rPr>
                <w:rStyle w:val="10"/>
                <w:rFonts w:hint="eastAsia" w:ascii="宋体" w:hAnsi="宋体"/>
                <w:sz w:val="21"/>
                <w:szCs w:val="21"/>
                <w:lang w:bidi="ar"/>
              </w:rPr>
              <w:t>10</w:t>
            </w:r>
            <w:r>
              <w:rPr>
                <w:rStyle w:val="9"/>
                <w:rFonts w:hint="default"/>
                <w:lang w:bidi="ar"/>
              </w:rPr>
              <w:t>吨及以上溶剂型涂料（含稀释剂）的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56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24</w:t>
            </w:r>
          </w:p>
        </w:tc>
        <w:tc>
          <w:tcPr>
            <w:tcW w:w="2005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266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bidi="ar"/>
              </w:rPr>
              <w:t>其他电子设备制造</w:t>
            </w:r>
          </w:p>
        </w:tc>
        <w:tc>
          <w:tcPr>
            <w:tcW w:w="208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bidi="ar"/>
              </w:rPr>
              <w:t>399</w:t>
            </w:r>
          </w:p>
        </w:tc>
        <w:tc>
          <w:tcPr>
            <w:tcW w:w="3047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bidi="ar"/>
              </w:rPr>
              <w:t>纳入重点排污单位名录的</w:t>
            </w:r>
          </w:p>
        </w:tc>
        <w:tc>
          <w:tcPr>
            <w:tcW w:w="3577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bidi="ar"/>
              </w:rPr>
              <w:t>除重点管理以外的年使用</w:t>
            </w:r>
            <w:r>
              <w:rPr>
                <w:rStyle w:val="10"/>
                <w:rFonts w:hint="eastAsia" w:ascii="宋体" w:hAnsi="宋体"/>
                <w:sz w:val="21"/>
                <w:szCs w:val="21"/>
                <w:lang w:bidi="ar"/>
              </w:rPr>
              <w:t>10</w:t>
            </w:r>
            <w:r>
              <w:rPr>
                <w:rStyle w:val="9"/>
                <w:rFonts w:hint="default"/>
                <w:lang w:bidi="ar"/>
              </w:rPr>
              <w:t>吨及以上溶剂型涂料（含稀释剂）的</w:t>
            </w:r>
          </w:p>
        </w:tc>
      </w:tr>
    </w:tbl>
    <w:p>
      <w:pPr>
        <w:rPr>
          <w:rFonts w:hint="eastAsia" w:eastAsia="仿宋_GB2312"/>
          <w:spacing w:val="-6"/>
          <w:sz w:val="32"/>
          <w:szCs w:val="32"/>
        </w:rPr>
        <w:sectPr>
          <w:footerReference r:id="rId4" w:type="default"/>
          <w:footerReference r:id="rId5" w:type="even"/>
          <w:pgSz w:w="16839" w:h="11907" w:orient="landscape"/>
          <w:pgMar w:top="1531" w:right="2098" w:bottom="1531" w:left="1985" w:header="851" w:footer="1587" w:gutter="0"/>
          <w:cols w:space="720" w:num="1"/>
          <w:docGrid w:linePitch="312" w:charSpace="0"/>
        </w:sectPr>
      </w:pPr>
      <w:r>
        <w:rPr>
          <w:rFonts w:hint="eastAsia" w:ascii="宋体" w:hAnsi="宋体"/>
          <w:color w:val="000000"/>
          <w:spacing w:val="-6"/>
          <w:kern w:val="0"/>
          <w:sz w:val="24"/>
        </w:rPr>
        <w:t>注：表中的行业类别、代码和管理</w:t>
      </w:r>
      <w:r>
        <w:rPr>
          <w:rFonts w:ascii="宋体" w:hAnsi="宋体"/>
          <w:color w:val="000000"/>
          <w:spacing w:val="-6"/>
          <w:kern w:val="0"/>
          <w:sz w:val="24"/>
        </w:rPr>
        <w:t>级别划分等内容均</w:t>
      </w:r>
      <w:r>
        <w:rPr>
          <w:rFonts w:hint="eastAsia" w:ascii="宋体" w:hAnsi="宋体"/>
          <w:color w:val="000000"/>
          <w:spacing w:val="-6"/>
          <w:kern w:val="0"/>
          <w:sz w:val="24"/>
        </w:rPr>
        <w:t>依据《固定污染源排污许可分类管理名录</w:t>
      </w:r>
      <w:r>
        <w:rPr>
          <w:rFonts w:ascii="宋体" w:hAnsi="宋体"/>
          <w:color w:val="000000"/>
          <w:spacing w:val="-6"/>
          <w:kern w:val="0"/>
          <w:sz w:val="24"/>
        </w:rPr>
        <w:t>（2019</w:t>
      </w:r>
      <w:r>
        <w:rPr>
          <w:rFonts w:hint="eastAsia" w:ascii="宋体" w:hAnsi="宋体"/>
          <w:color w:val="000000"/>
          <w:spacing w:val="-6"/>
          <w:kern w:val="0"/>
          <w:sz w:val="24"/>
        </w:rPr>
        <w:t>年版</w:t>
      </w:r>
      <w:r>
        <w:rPr>
          <w:rFonts w:ascii="宋体" w:hAnsi="宋体"/>
          <w:color w:val="000000"/>
          <w:spacing w:val="-6"/>
          <w:kern w:val="0"/>
          <w:sz w:val="24"/>
        </w:rPr>
        <w:t>）》</w:t>
      </w:r>
      <w:r>
        <w:rPr>
          <w:rFonts w:hint="eastAsia" w:ascii="宋体" w:hAnsi="宋体"/>
          <w:color w:val="000000"/>
          <w:spacing w:val="-6"/>
          <w:kern w:val="0"/>
          <w:sz w:val="24"/>
        </w:rPr>
        <w:t>有关规定执</w:t>
      </w:r>
      <w:r>
        <w:rPr>
          <w:rFonts w:ascii="宋体" w:hAnsi="宋体"/>
          <w:color w:val="000000"/>
          <w:spacing w:val="-6"/>
          <w:kern w:val="0"/>
          <w:sz w:val="24"/>
        </w:rPr>
        <w:t>行。</w:t>
      </w:r>
    </w:p>
    <w:p>
      <w:pPr>
        <w:pStyle w:val="2"/>
        <w:ind w:left="0" w:leftChars="0" w:firstLine="0" w:firstLineChars="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A09C6380-0C2E-4F9B-83D1-78270F0150EE}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2" w:fontKey="{4CBDE101-C636-4E71-89D9-31C4B99F177F}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3" w:fontKey="{8B68A882-B82C-49F7-80BF-6DCBC4FD82E6}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4" w:fontKey="{04C2F378-1D24-482B-97C6-07D03A4C0AFD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5" w:fontKey="{875220F9-4326-4D8B-A9CA-17015DB6B4A6}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  <w:embedRegular r:id="rId6" w:fontKey="{DF7A7FE0-A336-4285-A457-B53CDE516F6F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center"/>
    </w:pPr>
    <w:r>
      <w:rPr>
        <w:rFonts w:hint="eastAsia" w:ascii="宋体" w:hAnsi="宋体"/>
        <w:sz w:val="28"/>
        <w:szCs w:val="28"/>
      </w:rPr>
      <w:t>—</w:t>
    </w:r>
    <w:r>
      <w:rPr>
        <w:rFonts w:ascii="宋体" w:hAnsi="宋体"/>
        <w:sz w:val="28"/>
        <w:szCs w:val="28"/>
      </w:rPr>
      <w:t xml:space="preserve"> </w:t>
    </w:r>
    <w:r>
      <w:rPr>
        <w:rFonts w:ascii="宋体" w:hAnsi="宋体"/>
        <w:sz w:val="28"/>
        <w:szCs w:val="28"/>
      </w:rPr>
      <w:fldChar w:fldCharType="begin"/>
    </w:r>
    <w:r>
      <w:rPr>
        <w:rFonts w:ascii="宋体" w:hAnsi="宋体"/>
        <w:sz w:val="28"/>
        <w:szCs w:val="28"/>
      </w:rPr>
      <w:instrText xml:space="preserve"> PAGE </w:instrText>
    </w:r>
    <w:r>
      <w:rPr>
        <w:rFonts w:ascii="宋体" w:hAnsi="宋体"/>
        <w:sz w:val="28"/>
        <w:szCs w:val="28"/>
      </w:rPr>
      <w:fldChar w:fldCharType="separate"/>
    </w:r>
    <w:r>
      <w:rPr>
        <w:rFonts w:ascii="宋体" w:hAnsi="宋体"/>
        <w:sz w:val="28"/>
        <w:szCs w:val="28"/>
      </w:rPr>
      <w:t>11</w:t>
    </w:r>
    <w:r>
      <w:rPr>
        <w:rFonts w:ascii="宋体" w:hAnsi="宋体"/>
        <w:sz w:val="28"/>
        <w:szCs w:val="28"/>
      </w:rPr>
      <w:fldChar w:fldCharType="end"/>
    </w:r>
    <w:r>
      <w:rPr>
        <w:rFonts w:ascii="宋体" w:hAnsi="宋体"/>
        <w:sz w:val="28"/>
        <w:szCs w:val="28"/>
      </w:rPr>
      <w:t xml:space="preserve"> </w:t>
    </w:r>
    <w:r>
      <w:rPr>
        <w:rFonts w:hint="eastAsia" w:ascii="宋体" w:hAnsi="宋体"/>
        <w:sz w:val="28"/>
        <w:szCs w:val="28"/>
      </w:rPr>
      <w:t>—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center"/>
    </w:pPr>
    <w:r>
      <w:rPr>
        <w:rFonts w:hint="eastAsia" w:ascii="宋体" w:hAnsi="宋体"/>
        <w:sz w:val="28"/>
        <w:szCs w:val="28"/>
      </w:rPr>
      <w:t>—</w:t>
    </w:r>
    <w:r>
      <w:rPr>
        <w:rFonts w:ascii="宋体" w:hAnsi="宋体"/>
        <w:sz w:val="28"/>
        <w:szCs w:val="28"/>
      </w:rPr>
      <w:t xml:space="preserve"> </w:t>
    </w:r>
    <w:r>
      <w:rPr>
        <w:rFonts w:ascii="宋体" w:hAnsi="宋体"/>
        <w:sz w:val="28"/>
        <w:szCs w:val="28"/>
      </w:rPr>
      <w:fldChar w:fldCharType="begin"/>
    </w:r>
    <w:r>
      <w:rPr>
        <w:rFonts w:ascii="宋体" w:hAnsi="宋体"/>
        <w:sz w:val="28"/>
        <w:szCs w:val="28"/>
      </w:rPr>
      <w:instrText xml:space="preserve"> PAGE </w:instrText>
    </w:r>
    <w:r>
      <w:rPr>
        <w:rFonts w:ascii="宋体" w:hAnsi="宋体"/>
        <w:sz w:val="28"/>
        <w:szCs w:val="28"/>
      </w:rPr>
      <w:fldChar w:fldCharType="separate"/>
    </w:r>
    <w:r>
      <w:rPr>
        <w:rFonts w:ascii="宋体" w:hAnsi="宋体"/>
        <w:sz w:val="28"/>
        <w:szCs w:val="28"/>
      </w:rPr>
      <w:t>12</w:t>
    </w:r>
    <w:r>
      <w:rPr>
        <w:rFonts w:ascii="宋体" w:hAnsi="宋体"/>
        <w:sz w:val="28"/>
        <w:szCs w:val="28"/>
      </w:rPr>
      <w:fldChar w:fldCharType="end"/>
    </w:r>
    <w:r>
      <w:rPr>
        <w:rFonts w:ascii="宋体" w:hAnsi="宋体"/>
        <w:sz w:val="28"/>
        <w:szCs w:val="28"/>
      </w:rPr>
      <w:t xml:space="preserve"> </w:t>
    </w:r>
    <w:r>
      <w:rPr>
        <w:rFonts w:hint="eastAsia" w:ascii="宋体" w:hAnsi="宋体"/>
        <w:sz w:val="28"/>
        <w:szCs w:val="28"/>
      </w:rPr>
      <w:t>—</w: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RiNDczYTQ5ZmU2OTJhNWM4Zjg4OGU1NzQ5MjhjMDYifQ=="/>
  </w:docVars>
  <w:rsids>
    <w:rsidRoot w:val="01D014C9"/>
    <w:rsid w:val="01D014C9"/>
    <w:rsid w:val="032A32F9"/>
    <w:rsid w:val="164F1D9A"/>
    <w:rsid w:val="20841201"/>
    <w:rsid w:val="27F2589B"/>
    <w:rsid w:val="2DF317FB"/>
    <w:rsid w:val="2EE87609"/>
    <w:rsid w:val="34032EB3"/>
    <w:rsid w:val="37B95427"/>
    <w:rsid w:val="3A287C71"/>
    <w:rsid w:val="3BC054D4"/>
    <w:rsid w:val="3C88701C"/>
    <w:rsid w:val="46AD3E95"/>
    <w:rsid w:val="4EE05E9F"/>
    <w:rsid w:val="510E79A5"/>
    <w:rsid w:val="53915C12"/>
    <w:rsid w:val="55CB0F7E"/>
    <w:rsid w:val="580644D2"/>
    <w:rsid w:val="63976862"/>
    <w:rsid w:val="64D31701"/>
    <w:rsid w:val="65C94D98"/>
    <w:rsid w:val="69456856"/>
    <w:rsid w:val="69890E60"/>
    <w:rsid w:val="6B0B01CB"/>
    <w:rsid w:val="732E4194"/>
    <w:rsid w:val="74B118F0"/>
    <w:rsid w:val="758310F8"/>
    <w:rsid w:val="79251603"/>
    <w:rsid w:val="7AD7010C"/>
    <w:rsid w:val="7BCF56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0"/>
    <w:pPr>
      <w:ind w:firstLine="420" w:firstLineChars="200"/>
    </w:pPr>
  </w:style>
  <w:style w:type="paragraph" w:styleId="3">
    <w:name w:val="Body Text Indent"/>
    <w:basedOn w:val="1"/>
    <w:qFormat/>
    <w:uiPriority w:val="0"/>
    <w:pPr>
      <w:snapToGrid w:val="0"/>
      <w:spacing w:before="120" w:line="520" w:lineRule="atLeast"/>
      <w:ind w:firstLine="570"/>
    </w:pPr>
    <w:rPr>
      <w:rFonts w:ascii="仿宋_GB2312" w:eastAsia="仿宋_GB2312"/>
      <w:sz w:val="30"/>
      <w:szCs w:val="20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8">
    <w:name w:val="Hyperlink"/>
    <w:basedOn w:val="7"/>
    <w:qFormat/>
    <w:uiPriority w:val="0"/>
    <w:rPr>
      <w:color w:val="0000FF"/>
      <w:u w:val="single"/>
    </w:rPr>
  </w:style>
  <w:style w:type="character" w:customStyle="1" w:styleId="9">
    <w:name w:val="font01"/>
    <w:qFormat/>
    <w:uiPriority w:val="0"/>
    <w:rPr>
      <w:rFonts w:hint="eastAsia" w:ascii="宋体" w:hAnsi="宋体" w:eastAsia="宋体" w:cs="宋体"/>
      <w:color w:val="000000"/>
      <w:sz w:val="21"/>
      <w:szCs w:val="21"/>
      <w:u w:val="none"/>
    </w:rPr>
  </w:style>
  <w:style w:type="character" w:customStyle="1" w:styleId="10">
    <w:name w:val="font21"/>
    <w:qFormat/>
    <w:uiPriority w:val="0"/>
    <w:rPr>
      <w:rFonts w:hint="default" w:ascii="Times New Roman" w:hAnsi="Times New Roman" w:cs="Times New Roman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中共崇明区委办公室</Company>
  <Pages>5</Pages>
  <Words>1791</Words>
  <Characters>1947</Characters>
  <Lines>0</Lines>
  <Paragraphs>0</Paragraphs>
  <TotalTime>4</TotalTime>
  <ScaleCrop>false</ScaleCrop>
  <LinksUpToDate>false</LinksUpToDate>
  <CharactersWithSpaces>1957</CharactersWithSpaces>
  <Application>WPS Office_11.1.0.11830_F1E327BC-269C-435d-A152-05C5408002CA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2022-05-27T09:19:00Z</dcterms:created>
  <dc:creator>零食行人</dc:creator>
  <cp:lastModifiedBy>肥猫Molly。</cp:lastModifiedBy>
  <cp:lastPrinted>2022-06-16T02:41:00Z</cp:lastPrinted>
  <dcterms:modified xsi:type="dcterms:W3CDTF">2022-06-22T07:37:28Z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CD4F3811572E4A15AA642F92B46464C5</vt:lpwstr>
  </property>
</Properties>
</file>