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0"/>
        <w:rPr>
          <w:rFonts w:hint="default"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崇明区建设项目环评审批告知承诺操作办法</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eastAsia="zh-CN"/>
        </w:rPr>
        <w:t>一、</w:t>
      </w:r>
      <w:r>
        <w:rPr>
          <w:rFonts w:hint="eastAsia" w:ascii="黑体" w:hAnsi="黑体" w:eastAsia="黑体" w:cs="黑体"/>
          <w:sz w:val="32"/>
          <w:szCs w:val="32"/>
          <w:lang w:val="en-US" w:eastAsia="zh-CN"/>
        </w:rPr>
        <w:t>条款内容</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b w:val="0"/>
          <w:bCs w:val="0"/>
          <w:color w:val="000000"/>
          <w:sz w:val="32"/>
          <w:szCs w:val="32"/>
          <w:lang w:eastAsia="zh-CN"/>
        </w:rPr>
        <w:t>在《</w:t>
      </w:r>
      <w:r>
        <w:rPr>
          <w:rFonts w:hint="eastAsia" w:ascii="仿宋_GB2312" w:hAnsi="仿宋_GB2312" w:eastAsia="仿宋_GB2312" w:cs="仿宋_GB2312"/>
          <w:b w:val="0"/>
          <w:bCs w:val="0"/>
          <w:sz w:val="32"/>
          <w:szCs w:val="32"/>
        </w:rPr>
        <w:t>崇明区加快经济恢复和重振实施方案</w:t>
      </w:r>
      <w:r>
        <w:rPr>
          <w:rFonts w:hint="eastAsia" w:ascii="仿宋_GB2312" w:hAnsi="仿宋_GB2312" w:eastAsia="仿宋_GB2312" w:cs="仿宋_GB2312"/>
          <w:b w:val="0"/>
          <w:bCs w:val="0"/>
          <w:color w:val="000000"/>
          <w:sz w:val="32"/>
          <w:szCs w:val="32"/>
          <w:lang w:eastAsia="zh-CN"/>
        </w:rPr>
        <w:t>》第</w:t>
      </w:r>
      <w:r>
        <w:rPr>
          <w:rFonts w:hint="eastAsia" w:ascii="仿宋_GB2312" w:hAnsi="仿宋_GB2312" w:eastAsia="仿宋_GB2312" w:cs="仿宋_GB2312"/>
          <w:b w:val="0"/>
          <w:bCs w:val="0"/>
          <w:color w:val="000000"/>
          <w:sz w:val="32"/>
          <w:szCs w:val="32"/>
          <w:lang w:val="en-US" w:eastAsia="zh-CN"/>
        </w:rPr>
        <w:t>16条“</w:t>
      </w:r>
      <w:r>
        <w:rPr>
          <w:rFonts w:hint="eastAsia" w:ascii="仿宋_GB2312" w:hAnsi="仿宋_GB2312" w:eastAsia="仿宋_GB2312" w:cs="仿宋_GB2312"/>
          <w:b/>
          <w:bCs/>
          <w:color w:val="000000"/>
          <w:sz w:val="32"/>
          <w:szCs w:val="32"/>
        </w:rPr>
        <w:t>深入推进企业投资项目备案制改革</w:t>
      </w:r>
      <w:r>
        <w:rPr>
          <w:rFonts w:hint="eastAsia" w:ascii="仿宋_GB2312" w:hAnsi="仿宋_GB2312" w:eastAsia="仿宋_GB2312" w:cs="仿宋_GB2312"/>
          <w:b w:val="0"/>
          <w:bCs w:val="0"/>
          <w:color w:val="000000"/>
          <w:sz w:val="32"/>
          <w:szCs w:val="32"/>
          <w:lang w:val="en-US" w:eastAsia="zh-CN"/>
        </w:rPr>
        <w:t>”中，</w:t>
      </w:r>
      <w:r>
        <w:rPr>
          <w:rFonts w:hint="eastAsia" w:ascii="仿宋_GB2312" w:hAnsi="仿宋_GB2312" w:eastAsia="仿宋_GB2312" w:cs="仿宋_GB2312"/>
          <w:sz w:val="32"/>
          <w:szCs w:val="32"/>
          <w:highlight w:val="none"/>
        </w:rPr>
        <w:t>严格按照《上海市生态环境局关于疫情期间优化环评与排污许可管理支持企业复工复产的通知》有关要求，对医药制造业、研究和试验发展业、汽车制造业、交通运输业、农副食品加工业等18个行业38类的建设项目实行环评告知承诺</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eastAsia="zh-CN"/>
        </w:rPr>
        <w:t>二、</w:t>
      </w:r>
      <w:r>
        <w:rPr>
          <w:rFonts w:hint="eastAsia" w:ascii="黑体" w:hAnsi="黑体" w:eastAsia="黑体" w:cs="黑体"/>
          <w:sz w:val="32"/>
          <w:szCs w:val="32"/>
          <w:lang w:val="en-US" w:eastAsia="zh-CN"/>
        </w:rPr>
        <w:t>执行期限</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2022年4月30日-2022年12月31日。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eastAsia="zh-CN"/>
        </w:rPr>
        <w:t>三、</w:t>
      </w:r>
      <w:r>
        <w:rPr>
          <w:rFonts w:hint="eastAsia" w:ascii="黑体" w:hAnsi="黑体" w:eastAsia="黑体" w:cs="黑体"/>
          <w:sz w:val="32"/>
          <w:szCs w:val="32"/>
          <w:lang w:val="en-US" w:eastAsia="zh-CN"/>
        </w:rPr>
        <w:t>具体内容</w:t>
      </w:r>
    </w:p>
    <w:p>
      <w:pPr>
        <w:spacing w:line="600" w:lineRule="exact"/>
        <w:ind w:firstLine="640" w:firstLineChars="200"/>
        <w:rPr>
          <w:rFonts w:hint="eastAsia" w:ascii="楷体" w:hAnsi="楷体" w:eastAsia="楷体" w:cs="楷体"/>
          <w:color w:val="000000"/>
          <w:sz w:val="32"/>
          <w:szCs w:val="32"/>
          <w:lang w:eastAsia="zh-CN"/>
        </w:rPr>
      </w:pPr>
      <w:r>
        <w:rPr>
          <w:rFonts w:hint="eastAsia" w:ascii="楷体" w:hAnsi="楷体" w:eastAsia="楷体" w:cs="楷体"/>
          <w:color w:val="000000"/>
          <w:sz w:val="32"/>
          <w:szCs w:val="32"/>
          <w:lang w:eastAsia="zh-CN"/>
        </w:rPr>
        <w:t>（一）支持对象</w:t>
      </w:r>
    </w:p>
    <w:p>
      <w:pPr>
        <w:pStyle w:val="2"/>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企事业</w:t>
      </w:r>
      <w:r>
        <w:rPr>
          <w:rFonts w:hint="eastAsia" w:hAnsi="仿宋_GB2312" w:cs="仿宋_GB2312"/>
          <w:kern w:val="2"/>
          <w:sz w:val="32"/>
          <w:szCs w:val="32"/>
          <w:highlight w:val="none"/>
          <w:lang w:val="en-US" w:eastAsia="zh-CN" w:bidi="ar-SA"/>
        </w:rPr>
        <w:t>单位。</w:t>
      </w:r>
    </w:p>
    <w:p>
      <w:pPr>
        <w:spacing w:line="600" w:lineRule="exact"/>
        <w:ind w:firstLine="640" w:firstLineChars="200"/>
        <w:rPr>
          <w:rFonts w:hint="eastAsia" w:ascii="楷体" w:hAnsi="楷体" w:eastAsia="楷体" w:cs="楷体"/>
          <w:color w:val="000000"/>
          <w:sz w:val="32"/>
          <w:szCs w:val="32"/>
          <w:lang w:eastAsia="zh-CN"/>
        </w:rPr>
      </w:pPr>
      <w:r>
        <w:rPr>
          <w:rFonts w:hint="eastAsia" w:ascii="楷体" w:hAnsi="楷体" w:eastAsia="楷体" w:cs="楷体"/>
          <w:color w:val="000000"/>
          <w:sz w:val="32"/>
          <w:szCs w:val="32"/>
          <w:lang w:eastAsia="zh-CN"/>
        </w:rPr>
        <w:t>（二）支持内容</w:t>
      </w:r>
    </w:p>
    <w:p>
      <w:pPr>
        <w:spacing w:line="60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扩大环评告知承诺实施范围</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按照《上海市生态环境局关于印发&lt;《建设项目环境影响评价分类管理名录》上海市实施细化规定（</w:t>
      </w:r>
      <w:r>
        <w:rPr>
          <w:rFonts w:eastAsia="仿宋_GB2312"/>
          <w:color w:val="000000"/>
          <w:sz w:val="32"/>
          <w:szCs w:val="32"/>
        </w:rPr>
        <w:t>2021</w:t>
      </w:r>
      <w:r>
        <w:rPr>
          <w:rFonts w:hint="eastAsia" w:ascii="仿宋_GB2312" w:hAnsi="仿宋_GB2312" w:eastAsia="仿宋_GB2312" w:cs="仿宋_GB2312"/>
          <w:color w:val="000000"/>
          <w:sz w:val="32"/>
          <w:szCs w:val="32"/>
        </w:rPr>
        <w:t>年版）&gt;的</w:t>
      </w:r>
      <w:r>
        <w:rPr>
          <w:rFonts w:ascii="仿宋_GB2312" w:hAnsi="仿宋_GB2312" w:eastAsia="仿宋_GB2312" w:cs="仿宋_GB2312"/>
          <w:color w:val="000000"/>
          <w:sz w:val="32"/>
          <w:szCs w:val="32"/>
        </w:rPr>
        <w:t>通知》</w:t>
      </w:r>
      <w:r>
        <w:rPr>
          <w:rFonts w:hint="eastAsia" w:ascii="仿宋_GB2312" w:hAnsi="仿宋_GB2312" w:eastAsia="仿宋_GB2312" w:cs="仿宋_GB2312"/>
          <w:color w:val="000000"/>
          <w:sz w:val="32"/>
          <w:szCs w:val="32"/>
        </w:rPr>
        <w:t>（沪环规〔</w:t>
      </w:r>
      <w:r>
        <w:rPr>
          <w:rFonts w:eastAsia="仿宋_GB2312"/>
          <w:color w:val="000000"/>
          <w:sz w:val="32"/>
          <w:szCs w:val="32"/>
        </w:rPr>
        <w:t>2021</w:t>
      </w:r>
      <w:r>
        <w:rPr>
          <w:rFonts w:hint="eastAsia" w:ascii="仿宋_GB2312" w:hAnsi="仿宋_GB2312" w:eastAsia="仿宋_GB2312" w:cs="仿宋_GB2312"/>
          <w:color w:val="000000"/>
          <w:sz w:val="32"/>
          <w:szCs w:val="32"/>
        </w:rPr>
        <w:t>〕</w:t>
      </w:r>
      <w:r>
        <w:rPr>
          <w:rFonts w:eastAsia="仿宋_GB2312"/>
          <w:color w:val="000000"/>
          <w:sz w:val="32"/>
          <w:szCs w:val="32"/>
        </w:rPr>
        <w:t>11</w:t>
      </w:r>
      <w:r>
        <w:rPr>
          <w:rFonts w:hint="eastAsia" w:ascii="仿宋_GB2312" w:hAnsi="仿宋_GB2312" w:eastAsia="仿宋_GB2312" w:cs="仿宋_GB2312"/>
          <w:color w:val="000000"/>
          <w:sz w:val="32"/>
          <w:szCs w:val="32"/>
        </w:rPr>
        <w:t>号）的行业和项目分类，对医药制造业、研究和试验发展业、汽车制造业、交通运输业、农副食品加工业等</w:t>
      </w:r>
      <w:r>
        <w:rPr>
          <w:rFonts w:eastAsia="仿宋_GB2312"/>
          <w:color w:val="000000"/>
          <w:sz w:val="32"/>
          <w:szCs w:val="32"/>
        </w:rPr>
        <w:t>1</w:t>
      </w:r>
      <w:r>
        <w:rPr>
          <w:rFonts w:hint="eastAsia" w:eastAsia="仿宋_GB2312"/>
          <w:color w:val="000000"/>
          <w:sz w:val="32"/>
          <w:szCs w:val="32"/>
        </w:rPr>
        <w:t>8</w:t>
      </w:r>
      <w:r>
        <w:rPr>
          <w:rFonts w:hint="eastAsia" w:ascii="仿宋_GB2312" w:hAnsi="仿宋_GB2312" w:eastAsia="仿宋_GB2312" w:cs="仿宋_GB2312"/>
          <w:color w:val="000000"/>
          <w:sz w:val="32"/>
          <w:szCs w:val="32"/>
        </w:rPr>
        <w:t>个行业</w:t>
      </w:r>
      <w:r>
        <w:rPr>
          <w:rFonts w:eastAsia="仿宋_GB2312"/>
          <w:color w:val="000000"/>
          <w:sz w:val="32"/>
          <w:szCs w:val="32"/>
        </w:rPr>
        <w:t>3</w:t>
      </w:r>
      <w:r>
        <w:rPr>
          <w:rFonts w:hint="eastAsia" w:eastAsia="仿宋_GB2312"/>
          <w:color w:val="000000"/>
          <w:sz w:val="32"/>
          <w:szCs w:val="32"/>
        </w:rPr>
        <w:t>8</w:t>
      </w:r>
      <w:r>
        <w:rPr>
          <w:rFonts w:hint="eastAsia" w:ascii="仿宋_GB2312" w:hAnsi="仿宋_GB2312" w:eastAsia="仿宋_GB2312" w:cs="仿宋_GB2312"/>
          <w:color w:val="000000"/>
          <w:sz w:val="32"/>
          <w:szCs w:val="32"/>
        </w:rPr>
        <w:t>类的建设项目（列入《上海市建设项目环境影响评价重点行业名录（</w:t>
      </w:r>
      <w:r>
        <w:rPr>
          <w:rFonts w:eastAsia="仿宋_GB2312"/>
          <w:color w:val="000000"/>
          <w:sz w:val="32"/>
          <w:szCs w:val="32"/>
        </w:rPr>
        <w:t>2021</w:t>
      </w:r>
      <w:r>
        <w:rPr>
          <w:rFonts w:hint="eastAsia" w:ascii="仿宋_GB2312" w:hAnsi="仿宋_GB2312" w:eastAsia="仿宋_GB2312" w:cs="仿宋_GB2312"/>
          <w:color w:val="000000"/>
          <w:sz w:val="32"/>
          <w:szCs w:val="32"/>
        </w:rPr>
        <w:t>年版）》的建设项目除外）实施环评告知承诺，具体行业和项目类别</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见附件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。实施环评告知承诺的建设项目即来即办，受理当日完成环评审批。</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四、申请方式和所需材料</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lang w:val="en-US" w:eastAsia="zh-CN"/>
        </w:rPr>
        <w:t>符合条件的建设单位通过“一网通办”申请建设项目环境影响评价告知承诺审批，提交</w:t>
      </w:r>
      <w:r>
        <w:rPr>
          <w:rFonts w:hint="eastAsia" w:ascii="仿宋_GB2312" w:hAnsi="仿宋_GB2312" w:eastAsia="仿宋_GB2312" w:cs="仿宋_GB2312"/>
          <w:sz w:val="32"/>
          <w:szCs w:val="32"/>
          <w:lang w:val="en-US" w:eastAsia="zh-CN"/>
        </w:rPr>
        <w:t>《环评审批申请表》、《建设项目环境影响评价文件行政审批告知承诺书》；《环评文件》、《环评文件（可公开版本）》、《主要环境影响和对策措施》、《删除内容说明报告</w:t>
      </w:r>
      <w:bookmarkStart w:id="0" w:name="_GoBack"/>
      <w:bookmarkEnd w:id="0"/>
      <w:r>
        <w:rPr>
          <w:rFonts w:hint="eastAsia" w:ascii="仿宋_GB2312" w:hAnsi="仿宋_GB2312" w:eastAsia="仿宋_GB2312" w:cs="仿宋_GB2312"/>
          <w:sz w:val="32"/>
          <w:szCs w:val="32"/>
          <w:lang w:val="en-US" w:eastAsia="zh-CN"/>
        </w:rPr>
        <w:t>》、《主动公开证明材料》、《建设项目环评审批基础信息表》、《总量来源说明》（纳入本市建设项目污染物总量控制实施范围的建设项目应提供总量来源说明）。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五、办理路径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highlight w:val="yellow"/>
          <w:lang w:val="en-US" w:eastAsia="zh-CN"/>
        </w:rPr>
      </w:pPr>
      <w:r>
        <w:rPr>
          <w:rFonts w:hint="eastAsia" w:ascii="仿宋_GB2312" w:hAnsi="仿宋_GB2312" w:eastAsia="仿宋_GB2312" w:cs="仿宋_GB2312"/>
          <w:sz w:val="32"/>
          <w:szCs w:val="32"/>
          <w:lang w:val="en-US" w:eastAsia="zh-CN"/>
        </w:rPr>
        <w:t>全程网办。</w:t>
      </w:r>
      <w:r>
        <w:rPr>
          <w:rFonts w:hint="eastAsia" w:ascii="仿宋_GB2312" w:hAnsi="仿宋_GB2312" w:eastAsia="仿宋_GB2312" w:cs="仿宋_GB2312"/>
          <w:b w:val="0"/>
          <w:bCs w:val="0"/>
          <w:sz w:val="32"/>
          <w:szCs w:val="32"/>
          <w:lang w:val="en-US" w:eastAsia="zh-CN"/>
        </w:rPr>
        <w:t>登录“</w:t>
      </w:r>
      <w:r>
        <w:rPr>
          <w:rFonts w:hint="eastAsia" w:ascii="仿宋_GB2312" w:hAnsi="仿宋_GB2312" w:eastAsia="仿宋_GB2312" w:cs="仿宋_GB2312"/>
          <w:sz w:val="32"/>
          <w:szCs w:val="32"/>
          <w:lang w:val="en-US" w:eastAsia="zh-CN"/>
        </w:rPr>
        <w:t>一网通办</w:t>
      </w:r>
      <w:r>
        <w:rPr>
          <w:rFonts w:hint="eastAsia" w:ascii="仿宋_GB2312" w:hAnsi="仿宋_GB2312" w:eastAsia="仿宋_GB2312" w:cs="仿宋_GB2312"/>
          <w:b w:val="0"/>
          <w:bCs w:val="0"/>
          <w:sz w:val="32"/>
          <w:szCs w:val="32"/>
          <w:lang w:val="en-US" w:eastAsia="zh-CN"/>
        </w:rPr>
        <w:t>”，搜索“</w:t>
      </w:r>
      <w:r>
        <w:rPr>
          <w:rFonts w:hint="eastAsia" w:ascii="仿宋_GB2312" w:hAnsi="仿宋_GB2312" w:eastAsia="仿宋_GB2312" w:cs="仿宋_GB2312"/>
          <w:sz w:val="32"/>
          <w:szCs w:val="32"/>
          <w:lang w:val="en-US" w:eastAsia="zh-CN"/>
        </w:rPr>
        <w:t>建设项目环境影响评价告知承诺</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sz w:val="32"/>
          <w:szCs w:val="32"/>
          <w:lang w:val="en-US" w:eastAsia="zh-CN"/>
        </w:rPr>
        <w:t>（网址：https://zwdt.sh.gov.cn/govPortals/index.do）</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六、联系方式</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本操作办法由上海市崇明区生态环境局负责解释。</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lang w:val="en-US" w:eastAsia="zh-CN"/>
        </w:rPr>
        <w:t>受理地址：</w:t>
      </w:r>
      <w:r>
        <w:rPr>
          <w:rFonts w:hint="eastAsia" w:ascii="仿宋_GB2312" w:hAnsi="仿宋_GB2312" w:eastAsia="仿宋_GB2312" w:cs="仿宋_GB2312"/>
          <w:sz w:val="32"/>
          <w:szCs w:val="32"/>
          <w:lang w:val="en-US" w:eastAsia="zh-CN"/>
        </w:rPr>
        <w:t>上海市崇明区城桥镇翠竹路1501号（崇明区行政服务中心1楼生态产业服务区11号窗口）</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lang w:val="en-US" w:eastAsia="zh-CN"/>
        </w:rPr>
        <w:t>联系人：</w:t>
      </w:r>
      <w:r>
        <w:rPr>
          <w:rFonts w:hint="eastAsia" w:ascii="仿宋_GB2312" w:hAnsi="仿宋_GB2312" w:eastAsia="仿宋_GB2312" w:cs="仿宋_GB2312"/>
          <w:sz w:val="32"/>
          <w:szCs w:val="32"/>
          <w:lang w:val="en-US" w:eastAsia="zh-CN"/>
        </w:rPr>
        <w:t>鲍婷婷       咨询电话：69699379</w:t>
      </w:r>
    </w:p>
    <w:p>
      <w:pPr>
        <w:keepNext w:val="0"/>
        <w:keepLines w:val="0"/>
        <w:pageBreakBefore w:val="0"/>
        <w:widowControl w:val="0"/>
        <w:kinsoku/>
        <w:wordWrap/>
        <w:overflowPunct/>
        <w:topLinePunct w:val="0"/>
        <w:autoSpaceDE/>
        <w:autoSpaceDN/>
        <w:bidi w:val="0"/>
        <w:adjustRightInd/>
        <w:snapToGrid/>
        <w:spacing w:line="520" w:lineRule="exact"/>
        <w:ind w:firstLine="1609" w:firstLineChars="503"/>
        <w:jc w:val="both"/>
        <w:textAlignment w:val="auto"/>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sectPr>
          <w:footerReference r:id="rId3" w:type="default"/>
          <w:pgSz w:w="11906" w:h="16838"/>
          <w:pgMar w:top="1440" w:right="1800" w:bottom="1440" w:left="1800" w:header="851" w:footer="992" w:gutter="0"/>
          <w:cols w:space="425" w:num="1"/>
          <w:docGrid w:type="lines" w:linePitch="312" w:charSpace="0"/>
        </w:sectPr>
      </w:pPr>
    </w:p>
    <w:p>
      <w:pPr>
        <w:spacing w:line="600" w:lineRule="exact"/>
        <w:rPr>
          <w:rFonts w:hint="eastAsia" w:ascii="黑体" w:hAnsi="黑体" w:eastAsia="黑体" w:cs="黑体"/>
          <w:color w:val="000000"/>
          <w:sz w:val="32"/>
          <w:szCs w:val="32"/>
        </w:rPr>
      </w:pPr>
      <w:r>
        <w:rPr>
          <w:rFonts w:hint="eastAsia" w:ascii="黑体" w:hAnsi="黑体" w:eastAsia="黑体" w:cs="黑体"/>
          <w:color w:val="000000"/>
          <w:sz w:val="32"/>
          <w:szCs w:val="32"/>
        </w:rPr>
        <w:t>附件</w:t>
      </w:r>
    </w:p>
    <w:p>
      <w:pPr>
        <w:spacing w:line="600" w:lineRule="exact"/>
        <w:jc w:val="center"/>
        <w:rPr>
          <w:rFonts w:hint="eastAsia"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实施环评告知承诺的行业及项目类别清单</w:t>
      </w:r>
    </w:p>
    <w:p>
      <w:pPr>
        <w:spacing w:line="60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（有效期至</w:t>
      </w:r>
      <w:r>
        <w:rPr>
          <w:rFonts w:eastAsia="仿宋_GB2312"/>
          <w:color w:val="000000"/>
          <w:sz w:val="32"/>
          <w:szCs w:val="32"/>
        </w:rPr>
        <w:t>2022</w:t>
      </w:r>
      <w:r>
        <w:rPr>
          <w:rFonts w:hint="eastAsia" w:ascii="仿宋_GB2312" w:hAnsi="仿宋_GB2312" w:eastAsia="仿宋_GB2312" w:cs="仿宋_GB2312"/>
          <w:color w:val="000000"/>
          <w:sz w:val="32"/>
          <w:szCs w:val="32"/>
        </w:rPr>
        <w:t>年</w:t>
      </w:r>
      <w:r>
        <w:rPr>
          <w:rFonts w:eastAsia="仿宋_GB2312"/>
          <w:color w:val="000000"/>
          <w:sz w:val="32"/>
          <w:szCs w:val="32"/>
        </w:rPr>
        <w:t>12</w:t>
      </w:r>
      <w:r>
        <w:rPr>
          <w:rFonts w:hint="eastAsia" w:ascii="仿宋_GB2312" w:hAnsi="仿宋_GB2312" w:eastAsia="仿宋_GB2312" w:cs="仿宋_GB2312"/>
          <w:color w:val="000000"/>
          <w:sz w:val="32"/>
          <w:szCs w:val="32"/>
        </w:rPr>
        <w:t>月</w:t>
      </w:r>
      <w:r>
        <w:rPr>
          <w:rFonts w:eastAsia="仿宋_GB2312"/>
          <w:color w:val="000000"/>
          <w:sz w:val="32"/>
          <w:szCs w:val="32"/>
        </w:rPr>
        <w:t>31</w:t>
      </w:r>
      <w:r>
        <w:rPr>
          <w:rFonts w:hint="eastAsia" w:ascii="仿宋_GB2312" w:hAnsi="仿宋_GB2312" w:eastAsia="仿宋_GB2312" w:cs="仿宋_GB2312"/>
          <w:color w:val="000000"/>
          <w:sz w:val="32"/>
          <w:szCs w:val="32"/>
        </w:rPr>
        <w:t>日）</w:t>
      </w:r>
    </w:p>
    <w:tbl>
      <w:tblPr>
        <w:tblStyle w:val="5"/>
        <w:tblW w:w="140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1"/>
        <w:gridCol w:w="3013"/>
        <w:gridCol w:w="760"/>
        <w:gridCol w:w="4773"/>
        <w:gridCol w:w="1534"/>
        <w:gridCol w:w="3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atLeast"/>
          <w:tblHeader/>
        </w:trPr>
        <w:tc>
          <w:tcPr>
            <w:tcW w:w="691" w:type="dxa"/>
            <w:noWrap w:val="0"/>
            <w:tcMar>
              <w:top w:w="12" w:type="dxa"/>
              <w:left w:w="12" w:type="dxa"/>
              <w:right w:w="12" w:type="dxa"/>
            </w:tcMar>
            <w:vAlign w:val="center"/>
          </w:tcPr>
          <w:p>
            <w:pPr>
              <w:widowControl/>
              <w:jc w:val="center"/>
              <w:textAlignment w:val="center"/>
              <w:rPr>
                <w:rFonts w:ascii="宋体" w:hAnsi="宋体"/>
                <w:b/>
                <w:color w:val="000000"/>
                <w:kern w:val="0"/>
                <w:szCs w:val="21"/>
                <w:lang w:bidi="ar"/>
              </w:rPr>
            </w:pPr>
            <w:r>
              <w:rPr>
                <w:rFonts w:hint="eastAsia" w:ascii="宋体" w:hAnsi="宋体"/>
                <w:b/>
                <w:color w:val="000000"/>
                <w:kern w:val="0"/>
                <w:szCs w:val="21"/>
                <w:lang w:bidi="ar"/>
              </w:rPr>
              <w:t>序号</w:t>
            </w:r>
          </w:p>
        </w:tc>
        <w:tc>
          <w:tcPr>
            <w:tcW w:w="3013" w:type="dxa"/>
            <w:noWrap w:val="0"/>
            <w:tcMar>
              <w:top w:w="12" w:type="dxa"/>
              <w:left w:w="12" w:type="dxa"/>
              <w:right w:w="12" w:type="dxa"/>
            </w:tcMar>
            <w:vAlign w:val="center"/>
          </w:tcPr>
          <w:p>
            <w:pPr>
              <w:widowControl/>
              <w:jc w:val="center"/>
              <w:textAlignment w:val="center"/>
              <w:rPr>
                <w:rFonts w:ascii="宋体" w:hAnsi="宋体"/>
                <w:b/>
                <w:color w:val="000000"/>
                <w:szCs w:val="21"/>
              </w:rPr>
            </w:pPr>
            <w:r>
              <w:rPr>
                <w:rFonts w:hint="eastAsia" w:ascii="宋体" w:hAnsi="宋体"/>
                <w:b/>
                <w:color w:val="000000"/>
                <w:kern w:val="0"/>
                <w:szCs w:val="21"/>
                <w:lang w:bidi="ar"/>
              </w:rPr>
              <w:t>行业分类</w:t>
            </w:r>
            <w:r>
              <w:rPr>
                <w:rStyle w:val="9"/>
                <w:rFonts w:hint="default"/>
                <w:vertAlign w:val="superscript"/>
                <w:lang w:bidi="ar"/>
              </w:rPr>
              <w:t>①</w:t>
            </w:r>
          </w:p>
        </w:tc>
        <w:tc>
          <w:tcPr>
            <w:tcW w:w="5533" w:type="dxa"/>
            <w:gridSpan w:val="2"/>
            <w:noWrap w:val="0"/>
            <w:tcMar>
              <w:top w:w="12" w:type="dxa"/>
              <w:left w:w="12" w:type="dxa"/>
              <w:right w:w="12" w:type="dxa"/>
            </w:tcMar>
            <w:vAlign w:val="center"/>
          </w:tcPr>
          <w:p>
            <w:pPr>
              <w:widowControl/>
              <w:jc w:val="center"/>
              <w:textAlignment w:val="center"/>
              <w:rPr>
                <w:rFonts w:ascii="宋体" w:hAnsi="宋体"/>
                <w:b/>
                <w:color w:val="000000"/>
                <w:szCs w:val="21"/>
              </w:rPr>
            </w:pPr>
            <w:r>
              <w:rPr>
                <w:rFonts w:hint="eastAsia" w:ascii="宋体" w:hAnsi="宋体"/>
                <w:b/>
                <w:color w:val="000000"/>
                <w:kern w:val="0"/>
                <w:szCs w:val="21"/>
                <w:lang w:bidi="ar"/>
              </w:rPr>
              <w:t>项目类别</w:t>
            </w:r>
            <w:r>
              <w:rPr>
                <w:rStyle w:val="9"/>
                <w:rFonts w:hint="default"/>
                <w:vertAlign w:val="superscript"/>
                <w:lang w:bidi="ar"/>
              </w:rPr>
              <w:t>①</w:t>
            </w:r>
          </w:p>
        </w:tc>
        <w:tc>
          <w:tcPr>
            <w:tcW w:w="1534" w:type="dxa"/>
            <w:noWrap w:val="0"/>
            <w:tcMar>
              <w:top w:w="12" w:type="dxa"/>
              <w:left w:w="12" w:type="dxa"/>
              <w:right w:w="12" w:type="dxa"/>
            </w:tcMar>
            <w:vAlign w:val="center"/>
          </w:tcPr>
          <w:p>
            <w:pPr>
              <w:widowControl/>
              <w:jc w:val="center"/>
              <w:textAlignment w:val="center"/>
              <w:rPr>
                <w:rFonts w:ascii="宋体" w:hAnsi="宋体"/>
                <w:b/>
                <w:color w:val="000000"/>
                <w:szCs w:val="21"/>
              </w:rPr>
            </w:pPr>
            <w:r>
              <w:rPr>
                <w:rFonts w:hint="eastAsia" w:ascii="宋体" w:hAnsi="宋体"/>
                <w:b/>
                <w:color w:val="000000"/>
                <w:kern w:val="0"/>
                <w:szCs w:val="21"/>
                <w:lang w:bidi="ar"/>
              </w:rPr>
              <w:t>环评类别</w:t>
            </w:r>
          </w:p>
        </w:tc>
        <w:tc>
          <w:tcPr>
            <w:tcW w:w="3266" w:type="dxa"/>
            <w:noWrap w:val="0"/>
            <w:tcMar>
              <w:top w:w="12" w:type="dxa"/>
              <w:left w:w="12" w:type="dxa"/>
              <w:right w:w="12" w:type="dxa"/>
            </w:tcMar>
            <w:vAlign w:val="center"/>
          </w:tcPr>
          <w:p>
            <w:pPr>
              <w:widowControl/>
              <w:jc w:val="center"/>
              <w:textAlignment w:val="center"/>
              <w:rPr>
                <w:rFonts w:ascii="宋体" w:hAnsi="宋体"/>
                <w:b/>
                <w:color w:val="000000"/>
                <w:szCs w:val="21"/>
              </w:rPr>
            </w:pPr>
            <w:r>
              <w:rPr>
                <w:rFonts w:hint="eastAsia" w:ascii="宋体" w:hAnsi="宋体"/>
                <w:b/>
                <w:color w:val="000000"/>
                <w:kern w:val="0"/>
                <w:szCs w:val="21"/>
                <w:lang w:bidi="ar"/>
              </w:rPr>
              <w:t>实施范围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十、农副食品加工业 13</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15</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谷物磨制 131*；饲料加工 132*</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不含发酵工艺的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16</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植物油加工 133*</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17</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制糖业 134*</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屠宰及肉类加工 135*</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年加工2万吨及以上的肉类加工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19</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水产品加工 136</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不涉及环境敏感区</w:t>
            </w:r>
            <w:r>
              <w:rPr>
                <w:rFonts w:hint="eastAsia" w:ascii="宋体" w:hAnsi="宋体"/>
                <w:color w:val="000000"/>
                <w:kern w:val="0"/>
                <w:szCs w:val="21"/>
                <w:vertAlign w:val="superscript"/>
                <w:lang w:bidi="ar"/>
              </w:rPr>
              <w:t>②</w:t>
            </w:r>
            <w:r>
              <w:rPr>
                <w:rFonts w:hint="eastAsia" w:ascii="宋体" w:hAnsi="宋体"/>
                <w:color w:val="000000"/>
                <w:kern w:val="0"/>
                <w:szCs w:val="21"/>
                <w:lang w:bidi="ar"/>
              </w:rPr>
              <w:t>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20</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其他农副食品加工 139*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1"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十一、食品制造业 14</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21</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糖果、巧克力及蜜饯制造 142*；方便食品制造143*；罐头食品制造 145*</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22</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乳制品制造 144*</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23</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调味品、发酵制品制造 146*</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24</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其他食品制造 149*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84"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十四、纺织业 17</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28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棉纺织及印染精加工 171*；毛纺织及染整精加工 172*；麻纺织及染整精加工 173*；丝绢纺织及印染精加工 174*；化纤织造及印染精加工 175*；针织或钩针编织物及其制品制造 176*；家用纺织制成品制造177*；产业用纺织制成品制造 178*</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有喷墨印花或数码印花工艺的；有喷水织造工艺的；有水刺无纺布织造工艺的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二十、印刷和记录媒介复制业 23</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39</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印刷 231*</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9"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二十四、医药制造业 27</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47</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化学药品原料药制造 271；化学药品制剂制造 272；兽用药品制造 275；生物药品制品制造 276（以上均含研发中试）</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仅限生物</w:t>
            </w:r>
            <w:r>
              <w:rPr>
                <w:rFonts w:ascii="宋体" w:hAnsi="宋体"/>
                <w:color w:val="000000"/>
                <w:kern w:val="0"/>
                <w:szCs w:val="21"/>
                <w:lang w:bidi="ar"/>
              </w:rPr>
              <w:t>药品</w:t>
            </w:r>
            <w:r>
              <w:rPr>
                <w:rFonts w:hint="eastAsia" w:ascii="宋体" w:hAnsi="宋体"/>
                <w:color w:val="000000"/>
                <w:kern w:val="0"/>
                <w:szCs w:val="21"/>
                <w:lang w:bidi="ar"/>
              </w:rPr>
              <w:t>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48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中药饮片加工 273*；中成药生产 274*</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49</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卫生材料及医药用品制造 277；药用辅料及包装材料制造 278</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9"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三十一、通用设备制造业 34</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69</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锅炉及原动设备制造 341；金属加工机械制造 342；物料搬运设备制造 343；泵、阀门、压缩机及类似机械制造 344；轴承、齿轮和传动部件制造345；烘炉、风机、包装等设备制造 346；文化、办公用机械制造 347；通用零部件制造 348；其他通用设备制造业 349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40"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三十二、专用设备制造业 35</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70</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采矿、冶金、建筑专用设备制造 351； 化工、木材、非金属加工专用设备制造 352；食品、饮料、烟草及饲料生产专用设备制造 353；印刷、制药、日化及日用品生产专用设备制造354；纺织、服装和皮革加工专用设备制造355；电子和电工机械专用设备制造 356；农、林、牧、渔专用机械制造 357；医疗仪器设备及器械制造358； 环保、邮政、社会公共服务及其他专用设备制造 359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7"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三十三、汽车制造业 36</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71</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汽车整车制造 361；汽车用发动机制造 362 ；改装汽车制造 363 ；低速汽车制造364；电车制造 365；汽车车身、挂车制造 366；汽车零部件及配件制造 367</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8"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三十四、铁路、船舶、航空航天和其他运输设备制造业 37</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72</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铁路运输设备制造 371；城市轨道交通设备制造 372</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73</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船舶及相关装置制造 373</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5"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74</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航空、航天器及设备制造 374</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9"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75</w:t>
            </w:r>
          </w:p>
        </w:tc>
        <w:tc>
          <w:tcPr>
            <w:tcW w:w="4773" w:type="dxa"/>
            <w:noWrap/>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摩托车制造 375</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6"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76</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自行车和残疾人座车制造 376；助动车制造 377；非公路休闲车及零配件制造 378；潜水救捞及其他未列明运输设备制造 379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2"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三十五、电气机械和器材制造业 38</w:t>
            </w:r>
          </w:p>
        </w:tc>
        <w:tc>
          <w:tcPr>
            <w:tcW w:w="760"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77</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电机制造 381；输配电及控制设备制造382；电线、电缆、光缆及电工器 材制 造383；电池制造 384；家用电力器具制造 385；非电力家用器具制造 386；照明器具制造 387；其他电气机械及器材制造 389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三十六、计算机、通信和其他电子设备制造业 39</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计算机制造 391</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79</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智能消费设备制造 396</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80</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电子器件制造 397</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81</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电子元件及电子专用材料制造 398</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7"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82</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通信设备制造 392；广播电视设备制造 393；雷达及配套设备制造 394；非专业视听设备制造 395；其他电子设备制造 399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7"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三十七、仪器仪表制造业 40</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83</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通用仪器仪表制造 401；专用仪器仪表制造 402；钟表与计时仪器制造 403*；光学仪器制造 404；衡器制造 405；其他仪器仪表制造业 409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三十八、其他制造业 41</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84</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日用杂品制造 411*；其他未列明制造业 419*</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四十三、水的生产和供应业</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94</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自来水生产和供应 461（不含供应工程；不含村庄供应工程）</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9"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四十五、研究和试验发展</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98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专业实验室、研发（试验）基地</w:t>
            </w:r>
          </w:p>
        </w:tc>
        <w:tc>
          <w:tcPr>
            <w:tcW w:w="1534"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7"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五十、社会事业与服务业</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119</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加油、加气站</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不涉及环境敏感区</w:t>
            </w:r>
            <w:r>
              <w:rPr>
                <w:rFonts w:hint="eastAsia" w:ascii="宋体" w:hAnsi="宋体"/>
                <w:color w:val="000000"/>
                <w:kern w:val="0"/>
                <w:szCs w:val="21"/>
                <w:vertAlign w:val="superscript"/>
                <w:lang w:bidi="ar"/>
              </w:rPr>
              <w:t>③</w:t>
            </w:r>
            <w:r>
              <w:rPr>
                <w:rFonts w:hint="eastAsia" w:ascii="宋体" w:hAnsi="宋体"/>
                <w:color w:val="000000"/>
                <w:kern w:val="0"/>
                <w:szCs w:val="21"/>
                <w:lang w:bidi="ar"/>
              </w:rPr>
              <w:t>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9"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五十一、水利</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128</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河湖整治（不含农村塘堰、水渠，不含城镇黑臭河道专项整治、村镇级河道整治）</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1" w:hRule="atLeast"/>
        </w:trPr>
        <w:tc>
          <w:tcPr>
            <w:tcW w:w="691" w:type="dxa"/>
            <w:noWrap w:val="0"/>
            <w:tcMar>
              <w:top w:w="12" w:type="dxa"/>
              <w:left w:w="12" w:type="dxa"/>
              <w:right w:w="12" w:type="dxa"/>
            </w:tcMar>
            <w:vAlign w:val="center"/>
          </w:tcPr>
          <w:p>
            <w:pPr>
              <w:widowControl/>
              <w:numPr>
                <w:ilvl w:val="0"/>
                <w:numId w:val="1"/>
              </w:numPr>
              <w:tabs>
                <w:tab w:val="left" w:pos="420"/>
              </w:tabs>
              <w:adjustRightInd w:val="0"/>
              <w:snapToGrid w:val="0"/>
              <w:jc w:val="center"/>
              <w:textAlignment w:val="center"/>
              <w:rPr>
                <w:rFonts w:ascii="宋体" w:hAnsi="宋体"/>
                <w:color w:val="000000"/>
                <w:kern w:val="0"/>
                <w:szCs w:val="21"/>
                <w:lang w:bidi="ar"/>
              </w:rPr>
            </w:pPr>
          </w:p>
        </w:tc>
        <w:tc>
          <w:tcPr>
            <w:tcW w:w="3013" w:type="dxa"/>
            <w:vMerge w:val="restart"/>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五十二、交通运输业、管道运输业</w:t>
            </w: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130</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等级公路（不含维护、配套设施；不含生命救援、应急保通工程以及国防交通保障项目；不含改扩建四级公路；不含等级公路红线宽度范围不变且不增加机动车道数量的改造工程；不含隔声屏障建设工程）</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8"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131</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城市道路（不含维护、风塔以外的配套设施；不含支路、人非行天桥、人非行地道；不含隔声屏障建设工程；不含城市道路、桥梁、隧道红线宽度范围不变且不增加机动车道数量的改造工程）</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trPr>
        <w:tc>
          <w:tcPr>
            <w:tcW w:w="691" w:type="dxa"/>
            <w:noWrap w:val="0"/>
            <w:tcMar>
              <w:top w:w="12" w:type="dxa"/>
              <w:left w:w="12" w:type="dxa"/>
              <w:right w:w="12" w:type="dxa"/>
            </w:tcMar>
            <w:vAlign w:val="center"/>
          </w:tcPr>
          <w:p>
            <w:pPr>
              <w:numPr>
                <w:ilvl w:val="0"/>
                <w:numId w:val="1"/>
              </w:numPr>
              <w:tabs>
                <w:tab w:val="left" w:pos="420"/>
              </w:tabs>
              <w:adjustRightInd w:val="0"/>
              <w:snapToGrid w:val="0"/>
              <w:jc w:val="center"/>
              <w:rPr>
                <w:rFonts w:ascii="宋体" w:hAnsi="宋体"/>
                <w:color w:val="000000"/>
                <w:szCs w:val="21"/>
              </w:rPr>
            </w:pPr>
          </w:p>
        </w:tc>
        <w:tc>
          <w:tcPr>
            <w:tcW w:w="3013" w:type="dxa"/>
            <w:vMerge w:val="continue"/>
            <w:noWrap w:val="0"/>
            <w:tcMar>
              <w:top w:w="12" w:type="dxa"/>
              <w:left w:w="12" w:type="dxa"/>
              <w:right w:w="12" w:type="dxa"/>
            </w:tcMar>
            <w:vAlign w:val="center"/>
          </w:tcPr>
          <w:p>
            <w:pPr>
              <w:jc w:val="left"/>
              <w:rPr>
                <w:rFonts w:ascii="宋体" w:hAnsi="宋体"/>
                <w:color w:val="000000"/>
                <w:szCs w:val="21"/>
              </w:rPr>
            </w:pPr>
          </w:p>
        </w:tc>
        <w:tc>
          <w:tcPr>
            <w:tcW w:w="760"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135</w:t>
            </w:r>
          </w:p>
        </w:tc>
        <w:tc>
          <w:tcPr>
            <w:tcW w:w="4773" w:type="dxa"/>
            <w:noWrap w:val="0"/>
            <w:tcMar>
              <w:top w:w="12" w:type="dxa"/>
              <w:left w:w="12" w:type="dxa"/>
              <w:right w:w="12" w:type="dxa"/>
            </w:tcMar>
            <w:vAlign w:val="center"/>
          </w:tcPr>
          <w:p>
            <w:pPr>
              <w:widowControl/>
              <w:jc w:val="left"/>
              <w:textAlignment w:val="center"/>
              <w:rPr>
                <w:rFonts w:ascii="宋体" w:hAnsi="宋体"/>
                <w:color w:val="000000"/>
                <w:szCs w:val="21"/>
              </w:rPr>
            </w:pPr>
            <w:r>
              <w:rPr>
                <w:rFonts w:hint="eastAsia" w:ascii="宋体" w:hAnsi="宋体"/>
                <w:color w:val="000000"/>
                <w:kern w:val="0"/>
                <w:szCs w:val="21"/>
                <w:lang w:bidi="ar"/>
              </w:rPr>
              <w:t>城市轨道交通（不新增占地的停车场改建除外）</w:t>
            </w:r>
          </w:p>
        </w:tc>
        <w:tc>
          <w:tcPr>
            <w:tcW w:w="1534" w:type="dxa"/>
            <w:noWrap/>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报告表</w:t>
            </w:r>
          </w:p>
        </w:tc>
        <w:tc>
          <w:tcPr>
            <w:tcW w:w="3266" w:type="dxa"/>
            <w:noWrap w:val="0"/>
            <w:tcMar>
              <w:top w:w="12" w:type="dxa"/>
              <w:left w:w="12" w:type="dxa"/>
              <w:right w:w="12" w:type="dxa"/>
            </w:tcMar>
            <w:vAlign w:val="center"/>
          </w:tcPr>
          <w:p>
            <w:pPr>
              <w:widowControl/>
              <w:jc w:val="center"/>
              <w:textAlignment w:val="center"/>
              <w:rPr>
                <w:rFonts w:ascii="宋体" w:hAnsi="宋体"/>
                <w:color w:val="000000"/>
                <w:szCs w:val="21"/>
              </w:rPr>
            </w:pPr>
            <w:r>
              <w:rPr>
                <w:rFonts w:hint="eastAsia" w:ascii="宋体" w:hAnsi="宋体"/>
                <w:color w:val="000000"/>
                <w:kern w:val="0"/>
                <w:szCs w:val="21"/>
                <w:lang w:bidi="ar"/>
              </w:rPr>
              <w:t>全部</w:t>
            </w:r>
          </w:p>
        </w:tc>
      </w:tr>
    </w:tbl>
    <w:p>
      <w:pPr>
        <w:rPr>
          <w:rFonts w:ascii="宋体" w:hAnsi="宋体"/>
          <w:color w:val="000000"/>
          <w:kern w:val="0"/>
          <w:sz w:val="24"/>
        </w:rPr>
      </w:pPr>
      <w:r>
        <w:rPr>
          <w:rFonts w:hint="eastAsia" w:ascii="宋体" w:hAnsi="宋体"/>
          <w:color w:val="000000"/>
          <w:kern w:val="0"/>
          <w:sz w:val="24"/>
        </w:rPr>
        <w:t>注：①行业分类</w:t>
      </w:r>
      <w:r>
        <w:rPr>
          <w:rFonts w:ascii="宋体" w:hAnsi="宋体"/>
          <w:color w:val="000000"/>
          <w:kern w:val="0"/>
          <w:sz w:val="24"/>
        </w:rPr>
        <w:t>和项目类别均</w:t>
      </w:r>
      <w:r>
        <w:rPr>
          <w:rFonts w:hint="eastAsia" w:ascii="宋体" w:hAnsi="宋体"/>
          <w:color w:val="000000"/>
          <w:kern w:val="0"/>
          <w:sz w:val="24"/>
        </w:rPr>
        <w:t>对应《上海市生态环境局关于印发&lt;&lt;建设项目环境影响评价分类管理名录</w:t>
      </w:r>
      <w:r>
        <w:rPr>
          <w:rFonts w:ascii="宋体" w:hAnsi="宋体"/>
          <w:color w:val="000000"/>
          <w:kern w:val="0"/>
          <w:sz w:val="24"/>
        </w:rPr>
        <w:t>&gt;</w:t>
      </w:r>
      <w:r>
        <w:rPr>
          <w:rFonts w:hint="eastAsia" w:ascii="宋体" w:hAnsi="宋体"/>
          <w:color w:val="000000"/>
          <w:kern w:val="0"/>
          <w:sz w:val="24"/>
        </w:rPr>
        <w:t>上海市实施细化规定（</w:t>
      </w:r>
      <w:r>
        <w:rPr>
          <w:rFonts w:ascii="宋体" w:hAnsi="宋体"/>
          <w:color w:val="000000"/>
          <w:kern w:val="0"/>
          <w:sz w:val="24"/>
        </w:rPr>
        <w:t>2021</w:t>
      </w:r>
      <w:r>
        <w:rPr>
          <w:rFonts w:hint="eastAsia" w:ascii="宋体" w:hAnsi="宋体"/>
          <w:color w:val="000000"/>
          <w:kern w:val="0"/>
          <w:sz w:val="24"/>
        </w:rPr>
        <w:t>年版）&gt;的</w:t>
      </w:r>
      <w:r>
        <w:rPr>
          <w:rFonts w:ascii="宋体" w:hAnsi="宋体"/>
          <w:color w:val="000000"/>
          <w:kern w:val="0"/>
          <w:sz w:val="24"/>
        </w:rPr>
        <w:t>通知》</w:t>
      </w:r>
      <w:r>
        <w:rPr>
          <w:rFonts w:hint="eastAsia" w:ascii="宋体" w:hAnsi="宋体"/>
          <w:color w:val="000000"/>
          <w:kern w:val="0"/>
          <w:sz w:val="24"/>
        </w:rPr>
        <w:t>（</w:t>
      </w:r>
      <w:r>
        <w:rPr>
          <w:rFonts w:hint="eastAsia" w:ascii="仿宋_GB2312" w:hAnsi="仿宋_GB2312" w:eastAsia="仿宋_GB2312" w:cs="仿宋_GB2312"/>
          <w:color w:val="000000"/>
          <w:sz w:val="24"/>
        </w:rPr>
        <w:t>沪环规〔</w:t>
      </w:r>
      <w:r>
        <w:rPr>
          <w:rFonts w:eastAsia="仿宋_GB2312"/>
          <w:color w:val="000000"/>
          <w:sz w:val="24"/>
        </w:rPr>
        <w:t>2021</w:t>
      </w:r>
      <w:r>
        <w:rPr>
          <w:rFonts w:hint="eastAsia" w:ascii="仿宋_GB2312" w:hAnsi="仿宋_GB2312" w:eastAsia="仿宋_GB2312" w:cs="仿宋_GB2312"/>
          <w:color w:val="000000"/>
          <w:sz w:val="24"/>
        </w:rPr>
        <w:t>〕</w:t>
      </w:r>
      <w:r>
        <w:rPr>
          <w:rFonts w:eastAsia="仿宋_GB2312"/>
          <w:color w:val="000000"/>
          <w:sz w:val="24"/>
        </w:rPr>
        <w:t>11</w:t>
      </w:r>
      <w:r>
        <w:rPr>
          <w:rFonts w:hint="eastAsia" w:ascii="仿宋_GB2312" w:hAnsi="仿宋_GB2312" w:eastAsia="仿宋_GB2312" w:cs="仿宋_GB2312"/>
          <w:color w:val="000000"/>
          <w:sz w:val="24"/>
        </w:rPr>
        <w:t>号</w:t>
      </w:r>
      <w:r>
        <w:rPr>
          <w:rFonts w:hint="eastAsia" w:ascii="宋体" w:hAnsi="宋体"/>
          <w:color w:val="000000"/>
          <w:kern w:val="0"/>
          <w:sz w:val="24"/>
        </w:rPr>
        <w:t>）附件</w:t>
      </w:r>
      <w:r>
        <w:rPr>
          <w:rFonts w:ascii="宋体" w:hAnsi="宋体"/>
          <w:color w:val="000000"/>
          <w:kern w:val="0"/>
          <w:sz w:val="24"/>
        </w:rPr>
        <w:t>中的</w:t>
      </w:r>
      <w:r>
        <w:rPr>
          <w:rFonts w:hint="eastAsia" w:ascii="宋体" w:hAnsi="宋体"/>
          <w:color w:val="000000"/>
          <w:kern w:val="0"/>
          <w:sz w:val="24"/>
        </w:rPr>
        <w:t>行业分类</w:t>
      </w:r>
      <w:r>
        <w:rPr>
          <w:rFonts w:ascii="宋体" w:hAnsi="宋体"/>
          <w:color w:val="000000"/>
          <w:kern w:val="0"/>
          <w:sz w:val="24"/>
        </w:rPr>
        <w:t>和项目</w:t>
      </w:r>
      <w:r>
        <w:rPr>
          <w:rFonts w:hint="eastAsia" w:ascii="宋体" w:hAnsi="宋体"/>
          <w:color w:val="000000"/>
          <w:kern w:val="0"/>
          <w:sz w:val="24"/>
        </w:rPr>
        <w:t>类别</w:t>
      </w:r>
      <w:r>
        <w:rPr>
          <w:rFonts w:ascii="宋体" w:hAnsi="宋体"/>
          <w:color w:val="000000"/>
          <w:kern w:val="0"/>
          <w:sz w:val="24"/>
        </w:rPr>
        <w:t>。</w:t>
      </w:r>
    </w:p>
    <w:p>
      <w:pPr>
        <w:ind w:firstLine="480"/>
        <w:rPr>
          <w:rFonts w:ascii="宋体" w:hAnsi="宋体"/>
          <w:color w:val="000000"/>
          <w:kern w:val="0"/>
          <w:sz w:val="24"/>
        </w:rPr>
      </w:pPr>
      <w:r>
        <w:rPr>
          <w:rFonts w:hint="eastAsia" w:ascii="宋体" w:hAnsi="宋体"/>
          <w:color w:val="000000"/>
          <w:kern w:val="0"/>
          <w:sz w:val="24"/>
        </w:rPr>
        <w:t>②</w:t>
      </w:r>
      <w:r>
        <w:rPr>
          <w:rFonts w:hint="eastAsia" w:ascii="仿宋_GB2312" w:hAnsi="仿宋_GB2312" w:eastAsia="仿宋_GB2312" w:cs="仿宋_GB2312"/>
          <w:color w:val="000000"/>
          <w:sz w:val="24"/>
        </w:rPr>
        <w:t>沪环规〔</w:t>
      </w:r>
      <w:r>
        <w:rPr>
          <w:rFonts w:eastAsia="仿宋_GB2312"/>
          <w:color w:val="000000"/>
          <w:sz w:val="24"/>
        </w:rPr>
        <w:t>2021</w:t>
      </w:r>
      <w:r>
        <w:rPr>
          <w:rFonts w:hint="eastAsia" w:ascii="仿宋_GB2312" w:hAnsi="仿宋_GB2312" w:eastAsia="仿宋_GB2312" w:cs="仿宋_GB2312"/>
          <w:color w:val="000000"/>
          <w:sz w:val="24"/>
        </w:rPr>
        <w:t>〕</w:t>
      </w:r>
      <w:r>
        <w:rPr>
          <w:rFonts w:eastAsia="仿宋_GB2312"/>
          <w:color w:val="000000"/>
          <w:sz w:val="24"/>
        </w:rPr>
        <w:t>11</w:t>
      </w:r>
      <w:r>
        <w:rPr>
          <w:rFonts w:hint="eastAsia" w:ascii="仿宋_GB2312" w:hAnsi="仿宋_GB2312" w:eastAsia="仿宋_GB2312" w:cs="仿宋_GB2312"/>
          <w:color w:val="000000"/>
          <w:sz w:val="24"/>
        </w:rPr>
        <w:t>号</w:t>
      </w:r>
      <w:r>
        <w:rPr>
          <w:rFonts w:hint="eastAsia" w:ascii="宋体" w:hAnsi="宋体"/>
          <w:color w:val="000000"/>
          <w:kern w:val="0"/>
          <w:sz w:val="24"/>
        </w:rPr>
        <w:t xml:space="preserve"> </w:t>
      </w:r>
      <w:r>
        <w:rPr>
          <w:rFonts w:ascii="宋体" w:hAnsi="宋体" w:cs="宋体"/>
          <w:color w:val="000000"/>
          <w:sz w:val="24"/>
        </w:rPr>
        <w:t>第</w:t>
      </w:r>
      <w:r>
        <w:rPr>
          <w:rFonts w:hint="eastAsia" w:ascii="宋体" w:hAnsi="宋体" w:cs="宋体"/>
          <w:color w:val="000000"/>
          <w:sz w:val="24"/>
        </w:rPr>
        <w:t>二</w:t>
      </w:r>
      <w:r>
        <w:rPr>
          <w:rFonts w:ascii="宋体" w:hAnsi="宋体" w:cs="宋体"/>
          <w:color w:val="000000"/>
          <w:sz w:val="24"/>
        </w:rPr>
        <w:t>条（一）中的全部区域；第</w:t>
      </w:r>
      <w:r>
        <w:rPr>
          <w:rFonts w:hint="eastAsia" w:ascii="宋体" w:hAnsi="宋体" w:cs="宋体"/>
          <w:color w:val="000000"/>
          <w:sz w:val="24"/>
        </w:rPr>
        <w:t>二</w:t>
      </w:r>
      <w:r>
        <w:rPr>
          <w:rFonts w:ascii="宋体" w:hAnsi="宋体" w:cs="宋体"/>
          <w:color w:val="000000"/>
          <w:sz w:val="24"/>
        </w:rPr>
        <w:t>条（二）中的全部区域</w:t>
      </w:r>
      <w:r>
        <w:rPr>
          <w:rFonts w:hint="eastAsia" w:ascii="宋体" w:hAnsi="宋体" w:cs="宋体"/>
          <w:color w:val="000000"/>
          <w:sz w:val="24"/>
        </w:rPr>
        <w:t>。</w:t>
      </w:r>
    </w:p>
    <w:p>
      <w:pPr>
        <w:ind w:firstLine="480"/>
        <w:rPr>
          <w:rFonts w:ascii="宋体" w:hAnsi="宋体"/>
          <w:color w:val="000000"/>
          <w:kern w:val="0"/>
          <w:sz w:val="24"/>
        </w:rPr>
      </w:pPr>
      <w:r>
        <w:rPr>
          <w:rFonts w:hint="eastAsia" w:ascii="宋体" w:hAnsi="宋体"/>
          <w:color w:val="000000"/>
          <w:kern w:val="0"/>
          <w:sz w:val="24"/>
        </w:rPr>
        <w:t>③</w:t>
      </w:r>
      <w:r>
        <w:rPr>
          <w:rFonts w:hint="eastAsia" w:ascii="仿宋_GB2312" w:hAnsi="仿宋_GB2312" w:eastAsia="仿宋_GB2312" w:cs="仿宋_GB2312"/>
          <w:color w:val="000000"/>
          <w:sz w:val="24"/>
        </w:rPr>
        <w:t>沪环规〔</w:t>
      </w:r>
      <w:r>
        <w:rPr>
          <w:rFonts w:eastAsia="仿宋_GB2312"/>
          <w:color w:val="000000"/>
          <w:sz w:val="24"/>
        </w:rPr>
        <w:t>2021</w:t>
      </w:r>
      <w:r>
        <w:rPr>
          <w:rFonts w:hint="eastAsia" w:ascii="仿宋_GB2312" w:hAnsi="仿宋_GB2312" w:eastAsia="仿宋_GB2312" w:cs="仿宋_GB2312"/>
          <w:color w:val="000000"/>
          <w:sz w:val="24"/>
        </w:rPr>
        <w:t>〕</w:t>
      </w:r>
      <w:r>
        <w:rPr>
          <w:rFonts w:eastAsia="仿宋_GB2312"/>
          <w:color w:val="000000"/>
          <w:sz w:val="24"/>
        </w:rPr>
        <w:t>11</w:t>
      </w:r>
      <w:r>
        <w:rPr>
          <w:rFonts w:hint="eastAsia" w:ascii="仿宋_GB2312" w:hAnsi="仿宋_GB2312" w:eastAsia="仿宋_GB2312" w:cs="仿宋_GB2312"/>
          <w:color w:val="000000"/>
          <w:sz w:val="24"/>
        </w:rPr>
        <w:t>号</w:t>
      </w:r>
      <w:r>
        <w:rPr>
          <w:rFonts w:hint="eastAsia" w:ascii="宋体" w:hAnsi="宋体"/>
          <w:color w:val="000000"/>
          <w:kern w:val="0"/>
          <w:sz w:val="24"/>
        </w:rPr>
        <w:t xml:space="preserve"> </w:t>
      </w:r>
      <w:r>
        <w:rPr>
          <w:rFonts w:ascii="宋体" w:hAnsi="宋体" w:cs="宋体"/>
          <w:color w:val="000000"/>
          <w:sz w:val="24"/>
        </w:rPr>
        <w:t>第</w:t>
      </w:r>
      <w:r>
        <w:rPr>
          <w:rFonts w:hint="eastAsia" w:ascii="宋体" w:hAnsi="宋体" w:cs="宋体"/>
          <w:color w:val="000000"/>
          <w:sz w:val="24"/>
        </w:rPr>
        <w:t>二</w:t>
      </w:r>
      <w:r>
        <w:rPr>
          <w:rFonts w:ascii="宋体" w:hAnsi="宋体" w:cs="宋体"/>
          <w:color w:val="000000"/>
          <w:sz w:val="24"/>
        </w:rPr>
        <w:t>条（一）中的全部区域</w:t>
      </w:r>
      <w:r>
        <w:rPr>
          <w:rFonts w:hint="eastAsia" w:ascii="宋体" w:hAnsi="宋体" w:cs="宋体"/>
          <w:color w:val="000000"/>
          <w:sz w:val="24"/>
        </w:rPr>
        <w:t>。</w:t>
      </w:r>
    </w:p>
    <w:p>
      <w:pPr>
        <w:ind w:firstLine="480"/>
        <w:rPr>
          <w:rFonts w:ascii="宋体" w:hAnsi="宋体"/>
          <w:color w:val="000000"/>
          <w:kern w:val="0"/>
          <w:sz w:val="24"/>
        </w:rPr>
      </w:pPr>
      <w:r>
        <w:rPr>
          <w:rFonts w:hint="eastAsia" w:ascii="宋体" w:hAnsi="宋体"/>
          <w:color w:val="000000"/>
          <w:kern w:val="0"/>
          <w:sz w:val="24"/>
        </w:rPr>
        <w:t>④表中所标“*”号，指在工业建筑中生产的建设项目。工业建筑的定义参见《工程结构设计基本术语标准》（GB/T 50083-2014），指提供生产用的 各种建筑物，如车间、厂前区建筑、生活间、动力站、库房和运输设施等。</w:t>
      </w:r>
    </w:p>
    <w:p>
      <w:pPr>
        <w:rPr>
          <w:rFonts w:hint="eastAsia" w:eastAsia="仿宋_GB2312"/>
          <w:spacing w:val="-6"/>
          <w:sz w:val="32"/>
          <w:szCs w:val="32"/>
        </w:rPr>
        <w:sectPr>
          <w:footerReference r:id="rId4" w:type="default"/>
          <w:footerReference r:id="rId5" w:type="even"/>
          <w:pgSz w:w="16839" w:h="11907" w:orient="landscape"/>
          <w:pgMar w:top="1531" w:right="2098" w:bottom="1531" w:left="1985" w:header="851" w:footer="1587" w:gutter="0"/>
          <w:cols w:space="720" w:num="1"/>
          <w:docGrid w:linePitch="312" w:charSpace="0"/>
        </w:sectPr>
      </w:pPr>
      <w:r>
        <w:rPr>
          <w:rFonts w:ascii="宋体" w:hAnsi="宋体"/>
          <w:color w:val="000000"/>
          <w:kern w:val="0"/>
          <w:sz w:val="24"/>
        </w:rPr>
        <w:br w:type="page"/>
      </w:r>
    </w:p>
    <w:p>
      <w:pPr>
        <w:pStyle w:val="2"/>
        <w:ind w:left="0" w:leftChars="0" w:firstLine="0" w:firstLineChars="0"/>
        <w:rPr>
          <w:rFonts w:hint="eastAsia" w:ascii="仿宋_GB2312" w:hAnsi="仿宋_GB2312" w:eastAsia="仿宋_GB2312" w:cs="仿宋_GB2312"/>
          <w:sz w:val="32"/>
          <w:szCs w:val="32"/>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ascii="宋体" w:hAnsi="宋体"/>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w:instrText>
    </w:r>
    <w:r>
      <w:rPr>
        <w:rFonts w:ascii="宋体" w:hAnsi="宋体"/>
        <w:sz w:val="28"/>
        <w:szCs w:val="28"/>
      </w:rPr>
      <w:fldChar w:fldCharType="separate"/>
    </w:r>
    <w:r>
      <w:rPr>
        <w:rFonts w:ascii="宋体" w:hAnsi="宋体"/>
        <w:sz w:val="28"/>
        <w:szCs w:val="28"/>
      </w:rPr>
      <w:t>11</w:t>
    </w:r>
    <w:r>
      <w:rPr>
        <w:rFonts w:ascii="宋体" w:hAnsi="宋体"/>
        <w:sz w:val="28"/>
        <w:szCs w:val="28"/>
      </w:rPr>
      <w:fldChar w:fldCharType="end"/>
    </w:r>
    <w:r>
      <w:rPr>
        <w:rFonts w:ascii="宋体" w:hAnsi="宋体"/>
        <w:sz w:val="28"/>
        <w:szCs w:val="28"/>
      </w:rPr>
      <w:t xml:space="preserve"> </w:t>
    </w:r>
    <w:r>
      <w:rPr>
        <w:rFonts w:hint="eastAsia" w:ascii="宋体" w:hAnsi="宋体"/>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ascii="宋体" w:hAnsi="宋体"/>
        <w:sz w:val="28"/>
        <w:szCs w:val="28"/>
      </w:rPr>
      <w:t>—</w:t>
    </w: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w:instrText>
    </w:r>
    <w:r>
      <w:rPr>
        <w:rFonts w:ascii="宋体" w:hAnsi="宋体"/>
        <w:sz w:val="28"/>
        <w:szCs w:val="28"/>
      </w:rPr>
      <w:fldChar w:fldCharType="separate"/>
    </w:r>
    <w:r>
      <w:rPr>
        <w:rFonts w:ascii="宋体" w:hAnsi="宋体"/>
        <w:sz w:val="28"/>
        <w:szCs w:val="28"/>
      </w:rPr>
      <w:t>12</w:t>
    </w:r>
    <w:r>
      <w:rPr>
        <w:rFonts w:ascii="宋体" w:hAnsi="宋体"/>
        <w:sz w:val="28"/>
        <w:szCs w:val="28"/>
      </w:rPr>
      <w:fldChar w:fldCharType="end"/>
    </w:r>
    <w:r>
      <w:rPr>
        <w:rFonts w:ascii="宋体" w:hAnsi="宋体"/>
        <w:sz w:val="28"/>
        <w:szCs w:val="28"/>
      </w:rPr>
      <w:t xml:space="preserve"> </w:t>
    </w:r>
    <w:r>
      <w:rPr>
        <w:rFonts w:hint="eastAsia" w:ascii="宋体" w:hAnsi="宋体"/>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238BC7B"/>
    <w:multiLevelType w:val="singleLevel"/>
    <w:tmpl w:val="7238BC7B"/>
    <w:lvl w:ilvl="0" w:tentative="0">
      <w:start w:val="1"/>
      <w:numFmt w:val="decimal"/>
      <w:suff w:val="nothing"/>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RiNDczYTQ5ZmU2OTJhNWM4Zjg4OGU1NzQ5MjhjMDYifQ=="/>
  </w:docVars>
  <w:rsids>
    <w:rsidRoot w:val="01D014C9"/>
    <w:rsid w:val="01D014C9"/>
    <w:rsid w:val="14333D13"/>
    <w:rsid w:val="164F1D9A"/>
    <w:rsid w:val="37B95427"/>
    <w:rsid w:val="45B762FE"/>
    <w:rsid w:val="4F3946A1"/>
    <w:rsid w:val="55CB0F7E"/>
    <w:rsid w:val="580644D2"/>
    <w:rsid w:val="5B92223F"/>
    <w:rsid w:val="63976862"/>
    <w:rsid w:val="64D31701"/>
    <w:rsid w:val="65BD2897"/>
    <w:rsid w:val="6A0F139B"/>
    <w:rsid w:val="6A4B5595"/>
    <w:rsid w:val="6B0B01CB"/>
    <w:rsid w:val="732E4194"/>
    <w:rsid w:val="74644A69"/>
    <w:rsid w:val="74B118F0"/>
    <w:rsid w:val="77416534"/>
    <w:rsid w:val="7AD7010C"/>
    <w:rsid w:val="7F8F1C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napToGrid w:val="0"/>
      <w:spacing w:before="120" w:line="520" w:lineRule="atLeast"/>
      <w:ind w:firstLine="570"/>
    </w:pPr>
    <w:rPr>
      <w:rFonts w:ascii="仿宋_GB2312" w:eastAsia="仿宋_GB2312"/>
      <w:sz w:val="30"/>
      <w:szCs w:val="20"/>
    </w:rPr>
  </w:style>
  <w:style w:type="paragraph" w:styleId="4">
    <w:name w:val="footer"/>
    <w:basedOn w:val="1"/>
    <w:qFormat/>
    <w:uiPriority w:val="0"/>
    <w:pPr>
      <w:tabs>
        <w:tab w:val="center" w:pos="4153"/>
        <w:tab w:val="right" w:pos="8306"/>
      </w:tabs>
      <w:snapToGrid w:val="0"/>
      <w:jc w:val="left"/>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qFormat/>
    <w:uiPriority w:val="0"/>
    <w:rPr>
      <w:color w:val="0000FF"/>
      <w:u w:val="single"/>
    </w:rPr>
  </w:style>
  <w:style w:type="character" w:customStyle="1" w:styleId="9">
    <w:name w:val="font01"/>
    <w:qFormat/>
    <w:uiPriority w:val="0"/>
    <w:rPr>
      <w:rFonts w:hint="eastAsia" w:ascii="宋体" w:hAnsi="宋体" w:eastAsia="宋体" w:cs="宋体"/>
      <w:color w:val="000000"/>
      <w:sz w:val="21"/>
      <w:szCs w:val="21"/>
      <w:u w:val="none"/>
    </w:rPr>
  </w:style>
  <w:style w:type="character" w:customStyle="1" w:styleId="10">
    <w:name w:val="font21"/>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中共崇明区委办公室</Company>
  <Pages>7</Pages>
  <Words>2804</Words>
  <Characters>3176</Characters>
  <Lines>0</Lines>
  <Paragraphs>0</Paragraphs>
  <TotalTime>0</TotalTime>
  <ScaleCrop>false</ScaleCrop>
  <LinksUpToDate>false</LinksUpToDate>
  <CharactersWithSpaces>3287</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2022-05-27T09:19:00Z</dcterms:created>
  <dc:creator>零食行人</dc:creator>
  <cp:lastModifiedBy>肥猫Molly。</cp:lastModifiedBy>
  <cp:lastPrinted>2022-05-30T08:40:00Z</cp:lastPrinted>
  <dcterms:modified xsi:type="dcterms:W3CDTF">2022-06-14T06:41:51Z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CD4F3811572E4A15AA642F92B46464C5</vt:lpwstr>
  </property>
</Properties>
</file>