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6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b w:val="0"/>
          <w:bCs/>
          <w:color w:val="auto"/>
          <w:sz w:val="40"/>
          <w:szCs w:val="40"/>
        </w:rPr>
      </w:pPr>
      <w:bookmarkStart w:id="0" w:name="_GoBack"/>
      <w:r>
        <w:rPr>
          <w:rFonts w:hint="eastAsia" w:ascii="方正小标宋简体" w:hAnsi="方正小标宋简体" w:eastAsia="方正小标宋简体" w:cs="方正小标宋简体"/>
          <w:b w:val="0"/>
          <w:bCs/>
          <w:color w:val="auto"/>
          <w:sz w:val="40"/>
          <w:szCs w:val="40"/>
        </w:rPr>
        <w:t>关于城桥镇2024年预算执行情况和</w:t>
      </w:r>
    </w:p>
    <w:p>
      <w:pPr>
        <w:keepNext w:val="0"/>
        <w:keepLines w:val="0"/>
        <w:pageBreakBefore w:val="0"/>
        <w:widowControl w:val="0"/>
        <w:kinsoku/>
        <w:wordWrap/>
        <w:overflowPunct/>
        <w:topLinePunct w:val="0"/>
        <w:autoSpaceDE/>
        <w:autoSpaceDN/>
        <w:bidi w:val="0"/>
        <w:adjustRightInd/>
        <w:snapToGrid/>
        <w:spacing w:line="66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b w:val="0"/>
          <w:bCs/>
          <w:color w:val="auto"/>
          <w:sz w:val="40"/>
          <w:szCs w:val="40"/>
        </w:rPr>
      </w:pPr>
      <w:r>
        <w:rPr>
          <w:rFonts w:hint="eastAsia" w:ascii="方正小标宋简体" w:hAnsi="方正小标宋简体" w:eastAsia="方正小标宋简体" w:cs="方正小标宋简体"/>
          <w:b w:val="0"/>
          <w:bCs/>
          <w:color w:val="auto"/>
          <w:sz w:val="40"/>
          <w:szCs w:val="40"/>
        </w:rPr>
        <w:t>2025年预算草案的报告</w:t>
      </w:r>
    </w:p>
    <w:p>
      <w:pPr>
        <w:keepNext w:val="0"/>
        <w:keepLines w:val="0"/>
        <w:pageBreakBefore w:val="0"/>
        <w:widowControl w:val="0"/>
        <w:kinsoku/>
        <w:wordWrap/>
        <w:overflowPunct/>
        <w:topLinePunct w:val="0"/>
        <w:autoSpaceDE/>
        <w:autoSpaceDN/>
        <w:bidi w:val="0"/>
        <w:adjustRightInd/>
        <w:snapToGrid/>
        <w:spacing w:line="660" w:lineRule="exact"/>
        <w:jc w:val="center"/>
        <w:textAlignment w:val="auto"/>
        <w:rPr>
          <w:rFonts w:ascii="楷体_GB2312" w:hAnsi="楷体_GB2312" w:eastAsia="楷体_GB2312" w:cs="楷体_GB2312"/>
          <w:color w:val="auto"/>
          <w:spacing w:val="-17"/>
          <w:w w:val="90"/>
          <w:sz w:val="32"/>
          <w:szCs w:val="32"/>
        </w:rPr>
      </w:pPr>
      <w:r>
        <w:rPr>
          <w:rFonts w:hint="eastAsia" w:ascii="楷体_GB2312" w:hAnsi="楷体_GB2312" w:eastAsia="楷体_GB2312"/>
          <w:color w:val="auto"/>
          <w:spacing w:val="-17"/>
          <w:w w:val="90"/>
          <w:sz w:val="32"/>
        </w:rPr>
        <w:t>—</w:t>
      </w:r>
      <w:r>
        <w:rPr>
          <w:rFonts w:ascii="楷体_GB2312" w:hAnsi="楷体_GB2312" w:eastAsia="楷体_GB2312" w:cs="楷体_GB2312"/>
          <w:color w:val="auto"/>
          <w:spacing w:val="-17"/>
          <w:w w:val="90"/>
          <w:sz w:val="32"/>
          <w:szCs w:val="32"/>
        </w:rPr>
        <w:t>20</w:t>
      </w:r>
      <w:r>
        <w:rPr>
          <w:rFonts w:hint="eastAsia" w:ascii="楷体_GB2312" w:hAnsi="楷体_GB2312" w:eastAsia="楷体_GB2312" w:cs="楷体_GB2312"/>
          <w:color w:val="auto"/>
          <w:spacing w:val="-17"/>
          <w:w w:val="90"/>
          <w:sz w:val="32"/>
          <w:szCs w:val="32"/>
        </w:rPr>
        <w:t>2</w:t>
      </w:r>
      <w:r>
        <w:rPr>
          <w:rFonts w:hint="eastAsia" w:ascii="楷体_GB2312" w:hAnsi="楷体_GB2312" w:eastAsia="楷体_GB2312" w:cs="楷体_GB2312"/>
          <w:color w:val="auto"/>
          <w:spacing w:val="-17"/>
          <w:w w:val="90"/>
          <w:sz w:val="32"/>
          <w:szCs w:val="32"/>
          <w:lang w:val="en-US" w:eastAsia="zh-CN"/>
        </w:rPr>
        <w:t>5</w:t>
      </w:r>
      <w:r>
        <w:rPr>
          <w:rFonts w:hint="eastAsia" w:ascii="楷体_GB2312" w:hAnsi="楷体_GB2312" w:eastAsia="楷体_GB2312" w:cs="楷体_GB2312"/>
          <w:color w:val="auto"/>
          <w:spacing w:val="-17"/>
          <w:w w:val="90"/>
          <w:sz w:val="32"/>
          <w:szCs w:val="32"/>
        </w:rPr>
        <w:t>年</w:t>
      </w:r>
      <w:r>
        <w:rPr>
          <w:rFonts w:hint="eastAsia" w:ascii="楷体_GB2312" w:hAnsi="楷体_GB2312" w:eastAsia="楷体_GB2312" w:cs="楷体_GB2312"/>
          <w:color w:val="auto"/>
          <w:spacing w:val="-17"/>
          <w:w w:val="90"/>
          <w:sz w:val="32"/>
          <w:szCs w:val="32"/>
          <w:lang w:eastAsia="zh-CN"/>
        </w:rPr>
        <w:t>1</w:t>
      </w:r>
      <w:r>
        <w:rPr>
          <w:rFonts w:hint="eastAsia" w:ascii="楷体_GB2312" w:hAnsi="楷体_GB2312" w:eastAsia="楷体_GB2312" w:cs="楷体_GB2312"/>
          <w:color w:val="auto"/>
          <w:spacing w:val="-17"/>
          <w:w w:val="90"/>
          <w:sz w:val="32"/>
          <w:szCs w:val="32"/>
        </w:rPr>
        <w:t>月</w:t>
      </w:r>
      <w:r>
        <w:rPr>
          <w:rFonts w:hint="eastAsia" w:ascii="楷体_GB2312" w:hAnsi="楷体_GB2312" w:eastAsia="楷体_GB2312" w:cs="楷体_GB2312"/>
          <w:color w:val="auto"/>
          <w:spacing w:val="-17"/>
          <w:w w:val="90"/>
          <w:sz w:val="32"/>
          <w:szCs w:val="32"/>
          <w:lang w:val="en-US" w:eastAsia="zh-CN"/>
        </w:rPr>
        <w:t>2</w:t>
      </w:r>
      <w:r>
        <w:rPr>
          <w:rFonts w:hint="eastAsia" w:ascii="楷体_GB2312" w:hAnsi="楷体_GB2312" w:eastAsia="楷体_GB2312" w:cs="楷体_GB2312"/>
          <w:color w:val="auto"/>
          <w:spacing w:val="-17"/>
          <w:w w:val="90"/>
          <w:sz w:val="32"/>
          <w:szCs w:val="32"/>
        </w:rPr>
        <w:t>日在上海市崇明区城桥镇第二届人民代表大</w:t>
      </w:r>
      <w:r>
        <w:rPr>
          <w:rFonts w:hint="eastAsia" w:ascii="楷体_GB2312" w:hAnsi="楷体_GB2312" w:eastAsia="楷体_GB2312" w:cs="楷体_GB2312"/>
          <w:color w:val="auto"/>
          <w:spacing w:val="-17"/>
          <w:w w:val="90"/>
          <w:sz w:val="32"/>
          <w:szCs w:val="32"/>
          <w:lang w:eastAsia="zh-CN"/>
        </w:rPr>
        <w:t>会</w:t>
      </w:r>
      <w:r>
        <w:rPr>
          <w:rFonts w:hint="eastAsia" w:ascii="楷体_GB2312" w:hAnsi="楷体_GB2312" w:eastAsia="楷体_GB2312" w:cs="楷体_GB2312"/>
          <w:color w:val="auto"/>
          <w:spacing w:val="-17"/>
          <w:w w:val="90"/>
          <w:sz w:val="32"/>
          <w:szCs w:val="32"/>
        </w:rPr>
        <w:t>第</w:t>
      </w:r>
      <w:r>
        <w:rPr>
          <w:rFonts w:hint="eastAsia" w:ascii="楷体_GB2312" w:hAnsi="楷体_GB2312" w:eastAsia="楷体_GB2312" w:cs="楷体_GB2312"/>
          <w:color w:val="auto"/>
          <w:spacing w:val="-17"/>
          <w:w w:val="90"/>
          <w:sz w:val="32"/>
          <w:szCs w:val="32"/>
          <w:lang w:eastAsia="zh-CN"/>
        </w:rPr>
        <w:t>十</w:t>
      </w:r>
      <w:r>
        <w:rPr>
          <w:rFonts w:hint="eastAsia" w:ascii="楷体_GB2312" w:hAnsi="楷体_GB2312" w:eastAsia="楷体_GB2312" w:cs="楷体_GB2312"/>
          <w:color w:val="auto"/>
          <w:spacing w:val="-17"/>
          <w:w w:val="90"/>
          <w:sz w:val="32"/>
          <w:szCs w:val="32"/>
        </w:rPr>
        <w:t>次会议上</w:t>
      </w:r>
    </w:p>
    <w:p>
      <w:pPr>
        <w:keepNext w:val="0"/>
        <w:keepLines w:val="0"/>
        <w:pageBreakBefore w:val="0"/>
        <w:widowControl w:val="0"/>
        <w:kinsoku/>
        <w:wordWrap/>
        <w:overflowPunct/>
        <w:topLinePunct w:val="0"/>
        <w:autoSpaceDE/>
        <w:autoSpaceDN/>
        <w:bidi w:val="0"/>
        <w:adjustRightInd/>
        <w:snapToGrid/>
        <w:spacing w:line="660" w:lineRule="exact"/>
        <w:ind w:left="0" w:leftChars="0" w:right="0" w:rightChars="0"/>
        <w:jc w:val="center"/>
        <w:textAlignment w:val="auto"/>
        <w:outlineLvl w:val="9"/>
        <w:rPr>
          <w:rFonts w:hint="eastAsia" w:ascii="楷体_GB2312" w:hAnsi="楷体_GB2312" w:eastAsia="楷体_GB2312" w:cs="楷体_GB2312"/>
          <w:b w:val="0"/>
          <w:bCs w:val="0"/>
          <w:color w:val="auto"/>
          <w:sz w:val="32"/>
          <w:lang w:eastAsia="zh-CN"/>
        </w:rPr>
      </w:pPr>
      <w:r>
        <w:rPr>
          <w:rFonts w:hint="eastAsia" w:ascii="楷体_GB2312" w:hAnsi="楷体_GB2312" w:eastAsia="楷体_GB2312" w:cs="楷体_GB2312"/>
          <w:b w:val="0"/>
          <w:bCs w:val="0"/>
          <w:color w:val="auto"/>
          <w:sz w:val="32"/>
        </w:rPr>
        <w:t>城桥镇</w:t>
      </w:r>
      <w:r>
        <w:rPr>
          <w:rFonts w:hint="eastAsia" w:ascii="仿宋_GB2312" w:hAnsi="仿宋_GB2312" w:eastAsia="楷体_GB2312" w:cs="仿宋_GB2312"/>
          <w:sz w:val="32"/>
          <w:szCs w:val="32"/>
        </w:rPr>
        <w:t>人民政府</w:t>
      </w:r>
      <w:r>
        <w:rPr>
          <w:rFonts w:hint="eastAsia" w:ascii="仿宋_GB2312" w:hAnsi="仿宋_GB2312" w:eastAsia="楷体_GB2312" w:cs="仿宋_GB2312"/>
          <w:sz w:val="32"/>
          <w:szCs w:val="32"/>
          <w:lang w:eastAsia="zh-CN"/>
        </w:rPr>
        <w:t>副</w:t>
      </w:r>
      <w:r>
        <w:rPr>
          <w:rFonts w:hint="eastAsia" w:ascii="仿宋_GB2312" w:hAnsi="仿宋_GB2312" w:eastAsia="楷体_GB2312" w:cs="仿宋_GB2312"/>
          <w:sz w:val="32"/>
          <w:szCs w:val="32"/>
        </w:rPr>
        <w:t>镇长</w:t>
      </w:r>
      <w:r>
        <w:rPr>
          <w:rFonts w:hint="eastAsia" w:ascii="仿宋_GB2312" w:hAnsi="仿宋_GB2312" w:eastAsia="楷体_GB2312" w:cs="仿宋_GB2312"/>
          <w:sz w:val="32"/>
          <w:szCs w:val="32"/>
          <w:lang w:val="en-US" w:eastAsia="zh-CN"/>
        </w:rPr>
        <w:t xml:space="preserve">  </w:t>
      </w:r>
      <w:r>
        <w:rPr>
          <w:rFonts w:hint="eastAsia" w:ascii="楷体_GB2312" w:hAnsi="楷体_GB2312" w:eastAsia="楷体_GB2312" w:cs="楷体_GB2312"/>
          <w:sz w:val="32"/>
          <w:szCs w:val="32"/>
          <w:lang w:eastAsia="zh-CN"/>
        </w:rPr>
        <w:t>王宗友</w:t>
      </w:r>
    </w:p>
    <w:bookmarkEnd w:id="0"/>
    <w:p>
      <w:pPr>
        <w:jc w:val="left"/>
        <w:rPr>
          <w:rFonts w:hint="eastAsia" w:ascii="仿宋" w:hAnsi="仿宋" w:eastAsia="仿宋"/>
          <w:sz w:val="32"/>
          <w:szCs w:val="32"/>
        </w:rPr>
      </w:pPr>
    </w:p>
    <w:p>
      <w:pPr>
        <w:keepNext w:val="0"/>
        <w:keepLines w:val="0"/>
        <w:pageBreakBefore w:val="0"/>
        <w:widowControl w:val="0"/>
        <w:kinsoku/>
        <w:wordWrap/>
        <w:overflowPunct/>
        <w:topLinePunct w:val="0"/>
        <w:autoSpaceDE/>
        <w:autoSpaceDN/>
        <w:bidi w:val="0"/>
        <w:adjustRightInd/>
        <w:snapToGrid/>
        <w:spacing w:line="580" w:lineRule="exact"/>
        <w:ind w:right="0" w:rightChars="0"/>
        <w:jc w:val="both"/>
        <w:textAlignment w:val="auto"/>
        <w:rPr>
          <w:rFonts w:hint="eastAsia"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各位代表：</w:t>
      </w:r>
    </w:p>
    <w:p>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rPr>
          <w:rFonts w:hint="eastAsia" w:ascii="仿宋_GB2312" w:hAnsi="仿宋_GB2312" w:eastAsia="仿宋_GB2312" w:cs="Times New Roman"/>
          <w:color w:val="auto"/>
          <w:kern w:val="2"/>
          <w:sz w:val="32"/>
          <w:szCs w:val="32"/>
          <w:lang w:val="en-US" w:eastAsia="zh-CN" w:bidi="ar-SA"/>
        </w:rPr>
      </w:pPr>
      <w:r>
        <w:rPr>
          <w:rFonts w:hint="eastAsia" w:ascii="仿宋_GB2312" w:hAnsi="仿宋_GB2312" w:eastAsia="仿宋_GB2312" w:cs="Times New Roman"/>
          <w:color w:val="auto"/>
          <w:kern w:val="2"/>
          <w:sz w:val="32"/>
          <w:szCs w:val="32"/>
          <w:lang w:val="en-US" w:eastAsia="zh-CN" w:bidi="ar-SA"/>
        </w:rPr>
        <w:t>受崇明区城桥镇人民政府委托，现将本镇2024年预算执行情况和2025年预算草案提请大会审查，并请代表和其他列席人员提出意见。</w:t>
      </w:r>
    </w:p>
    <w:p>
      <w:pPr>
        <w:pStyle w:val="2"/>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9"/>
        <w:rPr>
          <w:rFonts w:hint="eastAsia" w:ascii="黑体" w:hAnsi="黑体" w:eastAsia="黑体" w:cs="黑体"/>
          <w:color w:val="auto"/>
          <w:sz w:val="32"/>
          <w:szCs w:val="32"/>
          <w:u w:val="none"/>
          <w:lang w:val="en-US" w:eastAsia="zh-CN"/>
        </w:rPr>
      </w:pPr>
      <w:r>
        <w:rPr>
          <w:rFonts w:hint="eastAsia" w:ascii="黑体" w:hAnsi="黑体" w:eastAsia="黑体" w:cs="黑体"/>
          <w:color w:val="auto"/>
          <w:sz w:val="32"/>
          <w:szCs w:val="32"/>
          <w:u w:val="none"/>
          <w:lang w:val="en-US" w:eastAsia="zh-CN"/>
        </w:rPr>
        <w:t>一、2024年预算执行情况</w:t>
      </w:r>
    </w:p>
    <w:p>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rPr>
          <w:rFonts w:hint="eastAsia" w:ascii="仿宋_GB2312" w:hAnsi="仿宋_GB2312" w:eastAsia="仿宋_GB2312" w:cs="Times New Roman"/>
          <w:color w:val="auto"/>
          <w:kern w:val="2"/>
          <w:sz w:val="32"/>
          <w:szCs w:val="32"/>
          <w:lang w:val="en-US" w:eastAsia="zh-CN" w:bidi="ar-SA"/>
        </w:rPr>
      </w:pPr>
      <w:r>
        <w:rPr>
          <w:rFonts w:hint="eastAsia" w:ascii="仿宋_GB2312" w:hAnsi="仿宋_GB2312" w:eastAsia="仿宋_GB2312" w:cs="Times New Roman"/>
          <w:color w:val="auto"/>
          <w:kern w:val="2"/>
          <w:sz w:val="32"/>
          <w:szCs w:val="32"/>
          <w:lang w:val="en-US" w:eastAsia="zh-CN" w:bidi="ar-SA"/>
        </w:rPr>
        <w:t>鉴于财政收支形势严峻性，2024年本镇在区委、区政府和镇党委的领导下，在镇人大的监督指导下，严格落实过“紧日子”要求，坚决兜牢“三保”底线要求，优先“保基本民生、保工资、保运转”，适度安排刚性项目支出，努力保障本镇基本运行，确保财政收支平衡。</w:t>
      </w:r>
    </w:p>
    <w:p>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643" w:firstLineChars="200"/>
        <w:jc w:val="both"/>
        <w:textAlignment w:val="auto"/>
        <w:rPr>
          <w:rFonts w:hint="eastAsia" w:ascii="楷体_GB2312" w:hAnsi="楷体_GB2312" w:eastAsia="楷体_GB2312" w:cs="楷体_GB2312"/>
          <w:b/>
          <w:bCs/>
          <w:color w:val="auto"/>
          <w:kern w:val="2"/>
          <w:sz w:val="32"/>
          <w:szCs w:val="32"/>
          <w:lang w:val="en-US" w:eastAsia="zh-CN" w:bidi="ar-SA"/>
        </w:rPr>
      </w:pPr>
      <w:r>
        <w:rPr>
          <w:rFonts w:hint="eastAsia" w:ascii="楷体_GB2312" w:hAnsi="楷体_GB2312" w:eastAsia="楷体_GB2312" w:cs="楷体_GB2312"/>
          <w:b/>
          <w:bCs/>
          <w:color w:val="auto"/>
          <w:kern w:val="2"/>
          <w:sz w:val="32"/>
          <w:szCs w:val="32"/>
          <w:lang w:val="en-US" w:eastAsia="zh-CN" w:bidi="ar-SA"/>
        </w:rPr>
        <w:t>(一)2024年预算收支执行情况</w:t>
      </w:r>
    </w:p>
    <w:p>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643" w:firstLineChars="200"/>
        <w:jc w:val="both"/>
        <w:textAlignment w:val="auto"/>
        <w:rPr>
          <w:rFonts w:hint="eastAsia" w:ascii="仿宋_GB2312" w:hAnsi="仿宋_GB2312" w:eastAsia="仿宋_GB2312" w:cs="Times New Roman"/>
          <w:b/>
          <w:bCs/>
          <w:color w:val="auto"/>
          <w:kern w:val="2"/>
          <w:sz w:val="32"/>
          <w:szCs w:val="32"/>
          <w:lang w:val="en-US" w:eastAsia="zh-CN" w:bidi="ar-SA"/>
        </w:rPr>
      </w:pPr>
      <w:r>
        <w:rPr>
          <w:rFonts w:hint="eastAsia" w:ascii="仿宋_GB2312" w:hAnsi="仿宋_GB2312" w:eastAsia="仿宋_GB2312" w:cs="Times New Roman"/>
          <w:b/>
          <w:bCs/>
          <w:color w:val="auto"/>
          <w:kern w:val="2"/>
          <w:sz w:val="32"/>
          <w:szCs w:val="32"/>
          <w:lang w:val="en-US" w:eastAsia="zh-CN" w:bidi="ar-SA"/>
        </w:rPr>
        <w:t>1.一般公共预算执行情况</w:t>
      </w:r>
    </w:p>
    <w:p>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rPr>
          <w:rFonts w:hint="eastAsia" w:ascii="仿宋_GB2312" w:hAnsi="仿宋_GB2312" w:eastAsia="仿宋_GB2312" w:cs="Times New Roman"/>
          <w:color w:val="auto"/>
          <w:kern w:val="2"/>
          <w:sz w:val="32"/>
          <w:szCs w:val="32"/>
          <w:lang w:val="en-US" w:eastAsia="zh-CN" w:bidi="ar-SA"/>
        </w:rPr>
      </w:pPr>
      <w:r>
        <w:rPr>
          <w:rFonts w:hint="eastAsia" w:ascii="仿宋_GB2312" w:hAnsi="仿宋_GB2312" w:eastAsia="仿宋_GB2312" w:cs="Times New Roman"/>
          <w:color w:val="auto"/>
          <w:kern w:val="2"/>
          <w:sz w:val="32"/>
          <w:szCs w:val="32"/>
          <w:lang w:val="en-US" w:eastAsia="zh-CN" w:bidi="ar-SA"/>
        </w:rPr>
        <w:t>2024年，全镇一般公共预算收入总量73901.95万元，完成调整后预算的100%。其中：一般转移支付镇级预算收入44000万元，完成调整后预算的100%，与去年持平；一般转移支付补充（平衡上解支出）4905.49万元；上级专项转移支付收入15990.31万元；动用预算稳定调节基金3253.28万元；上年结转的专项转移支付5752.87万元。</w:t>
      </w:r>
    </w:p>
    <w:p>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rPr>
          <w:rFonts w:hint="eastAsia" w:ascii="仿宋_GB2312" w:hAnsi="仿宋_GB2312" w:eastAsia="仿宋_GB2312" w:cs="Times New Roman"/>
          <w:color w:val="auto"/>
          <w:kern w:val="2"/>
          <w:sz w:val="32"/>
          <w:szCs w:val="32"/>
          <w:lang w:val="en-US" w:eastAsia="zh-CN" w:bidi="ar-SA"/>
        </w:rPr>
      </w:pPr>
      <w:r>
        <w:rPr>
          <w:rFonts w:hint="eastAsia" w:ascii="仿宋_GB2312" w:hAnsi="仿宋_GB2312" w:eastAsia="仿宋_GB2312" w:cs="Times New Roman"/>
          <w:color w:val="auto"/>
          <w:kern w:val="2"/>
          <w:sz w:val="32"/>
          <w:szCs w:val="32"/>
          <w:lang w:val="en-US" w:eastAsia="zh-CN" w:bidi="ar-SA"/>
        </w:rPr>
        <w:t>全镇一般公共预算支出总量67993.11万元，完成调整后预算的92%。其中：一般转移支付镇级预算支出和动用预算稳定调节基金44505.58万元，完成调整后预算的94.19%，比2023年（下同）下降5.65%；上解支出4905.49万元；上级专项转移支付支出15304.12万元；安排预算稳定调节基金3277.92万元。</w:t>
      </w:r>
    </w:p>
    <w:p>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rPr>
          <w:rFonts w:hint="eastAsia" w:ascii="仿宋_GB2312" w:hAnsi="仿宋_GB2312" w:eastAsia="仿宋_GB2312" w:cs="Times New Roman"/>
          <w:color w:val="auto"/>
          <w:kern w:val="2"/>
          <w:sz w:val="32"/>
          <w:szCs w:val="32"/>
          <w:lang w:val="en-US" w:eastAsia="zh-CN" w:bidi="ar-SA"/>
        </w:rPr>
      </w:pPr>
      <w:r>
        <w:rPr>
          <w:rFonts w:hint="eastAsia" w:ascii="仿宋_GB2312" w:hAnsi="仿宋_GB2312" w:eastAsia="仿宋_GB2312" w:cs="Times New Roman"/>
          <w:color w:val="auto"/>
          <w:kern w:val="2"/>
          <w:sz w:val="32"/>
          <w:szCs w:val="32"/>
          <w:lang w:val="en-US" w:eastAsia="zh-CN" w:bidi="ar-SA"/>
        </w:rPr>
        <w:t>年末结转下年使用5908.84万元，主要是中央、市和区级专项转移等。</w:t>
      </w:r>
    </w:p>
    <w:p>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rPr>
          <w:rFonts w:hint="eastAsia" w:ascii="仿宋_GB2312" w:hAnsi="仿宋_GB2312" w:eastAsia="仿宋_GB2312" w:cs="Times New Roman"/>
          <w:color w:val="auto"/>
          <w:kern w:val="2"/>
          <w:sz w:val="32"/>
          <w:szCs w:val="32"/>
          <w:lang w:val="en-US" w:eastAsia="zh-CN" w:bidi="ar-SA"/>
        </w:rPr>
      </w:pPr>
      <w:r>
        <w:rPr>
          <w:rFonts w:hint="eastAsia" w:ascii="仿宋_GB2312" w:hAnsi="仿宋_GB2312" w:eastAsia="仿宋_GB2312" w:cs="Times New Roman"/>
          <w:color w:val="auto"/>
          <w:kern w:val="2"/>
          <w:sz w:val="32"/>
          <w:szCs w:val="32"/>
          <w:lang w:val="en-US" w:eastAsia="zh-CN" w:bidi="ar-SA"/>
        </w:rPr>
        <w:t>一般公共预算镇级预算收入执行情况</w:t>
      </w:r>
    </w:p>
    <w:p>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rPr>
          <w:rFonts w:hint="eastAsia" w:ascii="仿宋_GB2312" w:hAnsi="仿宋_GB2312" w:eastAsia="仿宋_GB2312" w:cs="Times New Roman"/>
          <w:color w:val="auto"/>
          <w:kern w:val="2"/>
          <w:sz w:val="32"/>
          <w:szCs w:val="32"/>
          <w:lang w:val="en-US" w:eastAsia="zh-CN" w:bidi="ar-SA"/>
        </w:rPr>
      </w:pPr>
      <w:r>
        <w:rPr>
          <w:rFonts w:hint="eastAsia" w:ascii="仿宋_GB2312" w:hAnsi="仿宋_GB2312" w:eastAsia="仿宋_GB2312" w:cs="Times New Roman"/>
          <w:color w:val="auto"/>
          <w:kern w:val="2"/>
          <w:sz w:val="32"/>
          <w:szCs w:val="32"/>
          <w:lang w:val="en-US" w:eastAsia="zh-CN" w:bidi="ar-SA"/>
        </w:rPr>
        <w:t>2024年，镇级一般公共预算收入44000万元，其中：体制分成29690万元，一般转移支付14310万元。动用预算稳定调节基金3253.28万元。</w:t>
      </w:r>
    </w:p>
    <w:p>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rPr>
          <w:rFonts w:hint="eastAsia" w:ascii="仿宋_GB2312" w:hAnsi="仿宋_GB2312" w:eastAsia="仿宋_GB2312" w:cs="Times New Roman"/>
          <w:color w:val="auto"/>
          <w:kern w:val="2"/>
          <w:sz w:val="32"/>
          <w:szCs w:val="32"/>
          <w:lang w:val="en-US" w:eastAsia="zh-CN" w:bidi="ar-SA"/>
        </w:rPr>
      </w:pPr>
      <w:r>
        <w:rPr>
          <w:rFonts w:hint="eastAsia" w:ascii="仿宋_GB2312" w:hAnsi="仿宋_GB2312" w:eastAsia="仿宋_GB2312" w:cs="Times New Roman"/>
          <w:color w:val="auto"/>
          <w:kern w:val="2"/>
          <w:sz w:val="32"/>
          <w:szCs w:val="32"/>
          <w:lang w:val="en-US" w:eastAsia="zh-CN" w:bidi="ar-SA"/>
        </w:rPr>
        <w:t>一般公共预算镇级预算支出执行情况</w:t>
      </w:r>
    </w:p>
    <w:p>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rPr>
          <w:rFonts w:hint="eastAsia" w:ascii="仿宋_GB2312" w:hAnsi="仿宋_GB2312" w:eastAsia="仿宋_GB2312" w:cs="Times New Roman"/>
          <w:color w:val="auto"/>
          <w:kern w:val="2"/>
          <w:sz w:val="32"/>
          <w:szCs w:val="32"/>
          <w:lang w:val="en-US" w:eastAsia="zh-CN" w:bidi="ar-SA"/>
        </w:rPr>
      </w:pPr>
      <w:r>
        <w:rPr>
          <w:rFonts w:hint="eastAsia" w:ascii="仿宋_GB2312" w:hAnsi="仿宋_GB2312" w:eastAsia="仿宋_GB2312" w:cs="Times New Roman"/>
          <w:color w:val="auto"/>
          <w:kern w:val="2"/>
          <w:sz w:val="32"/>
          <w:szCs w:val="32"/>
          <w:lang w:val="en-US" w:eastAsia="zh-CN" w:bidi="ar-SA"/>
        </w:rPr>
        <w:t xml:space="preserve">    2024年，镇级一般公共预算支出44505.58万元，按功能类明细具体支出如下：</w:t>
      </w:r>
    </w:p>
    <w:p>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rPr>
          <w:rFonts w:hint="eastAsia" w:ascii="仿宋_GB2312" w:hAnsi="仿宋_GB2312" w:eastAsia="仿宋_GB2312" w:cs="Times New Roman"/>
          <w:color w:val="auto"/>
          <w:kern w:val="2"/>
          <w:sz w:val="32"/>
          <w:szCs w:val="32"/>
          <w:lang w:val="en-US" w:eastAsia="zh-CN" w:bidi="ar-SA"/>
        </w:rPr>
      </w:pPr>
      <w:r>
        <w:rPr>
          <w:rFonts w:hint="eastAsia" w:ascii="仿宋_GB2312" w:hAnsi="仿宋_GB2312" w:eastAsia="仿宋_GB2312" w:cs="Times New Roman"/>
          <w:color w:val="auto"/>
          <w:kern w:val="2"/>
          <w:sz w:val="32"/>
          <w:szCs w:val="32"/>
          <w:lang w:val="en-US" w:eastAsia="zh-CN" w:bidi="ar-SA"/>
        </w:rPr>
        <w:t>一般公共服务支出6699.78万元，完成调整后预算的93.41%，增长42.75%，增长的主要原因是增加了2024年绩效预发和司法所经费。</w:t>
      </w:r>
    </w:p>
    <w:p>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rPr>
          <w:rFonts w:hint="eastAsia" w:ascii="仿宋_GB2312" w:hAnsi="仿宋_GB2312" w:eastAsia="仿宋_GB2312" w:cs="Times New Roman"/>
          <w:color w:val="auto"/>
          <w:kern w:val="2"/>
          <w:sz w:val="32"/>
          <w:szCs w:val="32"/>
          <w:lang w:val="en-US" w:eastAsia="zh-CN" w:bidi="ar-SA"/>
        </w:rPr>
      </w:pPr>
      <w:r>
        <w:rPr>
          <w:rFonts w:hint="eastAsia" w:ascii="仿宋_GB2312" w:hAnsi="仿宋_GB2312" w:eastAsia="仿宋_GB2312" w:cs="Times New Roman"/>
          <w:color w:val="auto"/>
          <w:kern w:val="2"/>
          <w:sz w:val="32"/>
          <w:szCs w:val="32"/>
          <w:lang w:val="en-US" w:eastAsia="zh-CN" w:bidi="ar-SA"/>
        </w:rPr>
        <w:t>教育支出200.48万元，完成调整后预算的80.17%，增长136.72%，增长的主要原因是科目调整，其他相关科目列入本科目支出。</w:t>
      </w:r>
    </w:p>
    <w:p>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rPr>
          <w:rFonts w:hint="eastAsia" w:ascii="仿宋_GB2312" w:hAnsi="仿宋_GB2312" w:eastAsia="仿宋_GB2312" w:cs="Times New Roman"/>
          <w:color w:val="auto"/>
          <w:kern w:val="2"/>
          <w:sz w:val="32"/>
          <w:szCs w:val="32"/>
          <w:lang w:val="en-US" w:eastAsia="zh-CN" w:bidi="ar-SA"/>
        </w:rPr>
      </w:pPr>
      <w:r>
        <w:rPr>
          <w:rFonts w:hint="eastAsia" w:ascii="仿宋_GB2312" w:hAnsi="仿宋_GB2312" w:eastAsia="仿宋_GB2312" w:cs="Times New Roman"/>
          <w:color w:val="auto"/>
          <w:kern w:val="2"/>
          <w:sz w:val="32"/>
          <w:szCs w:val="32"/>
          <w:lang w:val="en-US" w:eastAsia="zh-CN" w:bidi="ar-SA"/>
        </w:rPr>
        <w:t>科学技术支出4906.5万元，完成调整后预算的100%，增长449.30%，增长的主要原因是科目调整，其他相关科目列入本科目支出。</w:t>
      </w:r>
    </w:p>
    <w:p>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rPr>
          <w:rFonts w:hint="eastAsia" w:ascii="仿宋_GB2312" w:hAnsi="仿宋_GB2312" w:eastAsia="仿宋_GB2312" w:cs="Times New Roman"/>
          <w:color w:val="auto"/>
          <w:kern w:val="2"/>
          <w:sz w:val="32"/>
          <w:szCs w:val="32"/>
          <w:lang w:val="en-US" w:eastAsia="zh-CN" w:bidi="ar-SA"/>
        </w:rPr>
      </w:pPr>
      <w:r>
        <w:rPr>
          <w:rFonts w:hint="eastAsia" w:ascii="仿宋_GB2312" w:hAnsi="仿宋_GB2312" w:eastAsia="仿宋_GB2312" w:cs="Times New Roman"/>
          <w:color w:val="auto"/>
          <w:kern w:val="2"/>
          <w:sz w:val="32"/>
          <w:szCs w:val="32"/>
          <w:lang w:val="en-US" w:eastAsia="zh-CN" w:bidi="ar-SA"/>
        </w:rPr>
        <w:t>文化旅游体育与传媒支出165.19万元，完成调整后预算的75.69%，增长8.61%，未完成预算的主要原因是支出进度不及预期。</w:t>
      </w:r>
    </w:p>
    <w:p>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rPr>
          <w:rFonts w:hint="eastAsia" w:ascii="仿宋_GB2312" w:hAnsi="仿宋_GB2312" w:eastAsia="仿宋_GB2312" w:cs="Times New Roman"/>
          <w:color w:val="auto"/>
          <w:kern w:val="2"/>
          <w:sz w:val="32"/>
          <w:szCs w:val="32"/>
          <w:lang w:val="en-US" w:eastAsia="zh-CN" w:bidi="ar-SA"/>
        </w:rPr>
      </w:pPr>
      <w:r>
        <w:rPr>
          <w:rFonts w:hint="eastAsia" w:ascii="仿宋_GB2312" w:hAnsi="仿宋_GB2312" w:eastAsia="仿宋_GB2312" w:cs="Times New Roman"/>
          <w:color w:val="auto"/>
          <w:kern w:val="2"/>
          <w:sz w:val="32"/>
          <w:szCs w:val="32"/>
          <w:lang w:val="en-US" w:eastAsia="zh-CN" w:bidi="ar-SA"/>
        </w:rPr>
        <w:t>社会保障和就业支出12950.69万元，完成调整后预算的93.99%，下降29.07%，下降的主要原因是扶持资金进度不及预期。</w:t>
      </w:r>
    </w:p>
    <w:p>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rPr>
          <w:rFonts w:hint="eastAsia" w:ascii="仿宋_GB2312" w:hAnsi="仿宋_GB2312" w:eastAsia="仿宋_GB2312" w:cs="Times New Roman"/>
          <w:color w:val="auto"/>
          <w:kern w:val="2"/>
          <w:sz w:val="32"/>
          <w:szCs w:val="32"/>
          <w:lang w:val="en-US" w:eastAsia="zh-CN" w:bidi="ar-SA"/>
        </w:rPr>
      </w:pPr>
      <w:r>
        <w:rPr>
          <w:rFonts w:hint="eastAsia" w:ascii="仿宋_GB2312" w:hAnsi="仿宋_GB2312" w:eastAsia="仿宋_GB2312" w:cs="Times New Roman"/>
          <w:color w:val="auto"/>
          <w:kern w:val="2"/>
          <w:sz w:val="32"/>
          <w:szCs w:val="32"/>
          <w:lang w:val="en-US" w:eastAsia="zh-CN" w:bidi="ar-SA"/>
        </w:rPr>
        <w:t>卫生健康支出455.22万元，完成调整后预算的93.73%，下降53.87%，下降的主要原因是科目调整，项目列入其他相关科目支出。</w:t>
      </w:r>
    </w:p>
    <w:p>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rPr>
          <w:rFonts w:hint="eastAsia" w:ascii="仿宋_GB2312" w:hAnsi="仿宋_GB2312" w:eastAsia="仿宋_GB2312" w:cs="Times New Roman"/>
          <w:color w:val="auto"/>
          <w:kern w:val="2"/>
          <w:sz w:val="32"/>
          <w:szCs w:val="32"/>
          <w:lang w:val="en-US" w:eastAsia="zh-CN" w:bidi="ar-SA"/>
        </w:rPr>
      </w:pPr>
      <w:r>
        <w:rPr>
          <w:rFonts w:hint="eastAsia" w:ascii="仿宋_GB2312" w:hAnsi="仿宋_GB2312" w:eastAsia="仿宋_GB2312" w:cs="Times New Roman"/>
          <w:color w:val="auto"/>
          <w:kern w:val="2"/>
          <w:sz w:val="32"/>
          <w:szCs w:val="32"/>
          <w:lang w:val="en-US" w:eastAsia="zh-CN" w:bidi="ar-SA"/>
        </w:rPr>
        <w:t>节能环保支出3372.83万元，完成调整后预算的98.15%，下降33.52%，下降的主要原因是扶持资金进度不及预期。</w:t>
      </w:r>
    </w:p>
    <w:p>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rPr>
          <w:rFonts w:hint="eastAsia" w:ascii="仿宋_GB2312" w:hAnsi="仿宋_GB2312" w:eastAsia="仿宋_GB2312" w:cs="Times New Roman"/>
          <w:color w:val="auto"/>
          <w:kern w:val="2"/>
          <w:sz w:val="32"/>
          <w:szCs w:val="32"/>
          <w:lang w:val="en-US" w:eastAsia="zh-CN" w:bidi="ar-SA"/>
        </w:rPr>
      </w:pPr>
      <w:r>
        <w:rPr>
          <w:rFonts w:hint="eastAsia" w:ascii="仿宋_GB2312" w:hAnsi="仿宋_GB2312" w:eastAsia="仿宋_GB2312" w:cs="Times New Roman"/>
          <w:color w:val="auto"/>
          <w:kern w:val="2"/>
          <w:sz w:val="32"/>
          <w:szCs w:val="32"/>
          <w:lang w:val="en-US" w:eastAsia="zh-CN" w:bidi="ar-SA"/>
        </w:rPr>
        <w:t>城乡社区支出9897万元，完成调整后预算的94.20%，增长117.54%，增长的主要原因是区级项目资金纳入镇级预算以及调增党群服务中心修缮加固资金。</w:t>
      </w:r>
    </w:p>
    <w:p>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rPr>
          <w:rFonts w:hint="eastAsia" w:ascii="仿宋_GB2312" w:hAnsi="仿宋_GB2312" w:eastAsia="仿宋_GB2312" w:cs="Times New Roman"/>
          <w:color w:val="auto"/>
          <w:kern w:val="2"/>
          <w:sz w:val="32"/>
          <w:szCs w:val="32"/>
          <w:lang w:val="en-US" w:eastAsia="zh-CN" w:bidi="ar-SA"/>
        </w:rPr>
      </w:pPr>
      <w:r>
        <w:rPr>
          <w:rFonts w:hint="eastAsia" w:ascii="仿宋_GB2312" w:hAnsi="仿宋_GB2312" w:eastAsia="仿宋_GB2312" w:cs="Times New Roman"/>
          <w:color w:val="auto"/>
          <w:kern w:val="2"/>
          <w:sz w:val="32"/>
          <w:szCs w:val="32"/>
          <w:lang w:val="en-US" w:eastAsia="zh-CN" w:bidi="ar-SA"/>
        </w:rPr>
        <w:t>农林水支出3159.5万元，完成调整后预算的84.06%，下降13.57%，下降的主要原因是镇负担部分资金列上解支出。</w:t>
      </w:r>
    </w:p>
    <w:p>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rPr>
          <w:rFonts w:hint="eastAsia" w:ascii="仿宋_GB2312" w:hAnsi="仿宋_GB2312" w:eastAsia="仿宋_GB2312" w:cs="Times New Roman"/>
          <w:color w:val="auto"/>
          <w:kern w:val="2"/>
          <w:sz w:val="32"/>
          <w:szCs w:val="32"/>
          <w:lang w:val="en-US" w:eastAsia="zh-CN" w:bidi="ar-SA"/>
        </w:rPr>
      </w:pPr>
      <w:r>
        <w:rPr>
          <w:rFonts w:hint="eastAsia" w:ascii="仿宋_GB2312" w:hAnsi="仿宋_GB2312" w:eastAsia="仿宋_GB2312" w:cs="Times New Roman"/>
          <w:color w:val="auto"/>
          <w:kern w:val="2"/>
          <w:sz w:val="32"/>
          <w:szCs w:val="32"/>
          <w:lang w:val="en-US" w:eastAsia="zh-CN" w:bidi="ar-SA"/>
        </w:rPr>
        <w:t>商业服务业支出1741.82万元，完成调整后预算的100%，增长57.01%，增长的主要原因是科目调整，其他相关科目列入本科目支出。</w:t>
      </w:r>
    </w:p>
    <w:p>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rPr>
          <w:rFonts w:hint="eastAsia" w:ascii="仿宋_GB2312" w:hAnsi="仿宋_GB2312" w:eastAsia="仿宋_GB2312" w:cs="Times New Roman"/>
          <w:color w:val="auto"/>
          <w:kern w:val="2"/>
          <w:sz w:val="32"/>
          <w:szCs w:val="32"/>
          <w:lang w:val="en-US" w:eastAsia="zh-CN" w:bidi="ar-SA"/>
        </w:rPr>
      </w:pPr>
      <w:r>
        <w:rPr>
          <w:rFonts w:hint="eastAsia" w:ascii="仿宋_GB2312" w:hAnsi="仿宋_GB2312" w:eastAsia="仿宋_GB2312" w:cs="Times New Roman"/>
          <w:color w:val="auto"/>
          <w:kern w:val="2"/>
          <w:sz w:val="32"/>
          <w:szCs w:val="32"/>
          <w:lang w:val="en-US" w:eastAsia="zh-CN" w:bidi="ar-SA"/>
        </w:rPr>
        <w:t>住房保障支出956.57万元，完成调整后预算的95.88%，下降5.44%。</w:t>
      </w:r>
    </w:p>
    <w:p>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rPr>
          <w:rFonts w:hint="eastAsia" w:ascii="仿宋_GB2312" w:hAnsi="仿宋_GB2312" w:eastAsia="仿宋_GB2312" w:cs="Times New Roman"/>
          <w:color w:val="auto"/>
          <w:kern w:val="2"/>
          <w:sz w:val="32"/>
          <w:szCs w:val="32"/>
          <w:lang w:val="en-US" w:eastAsia="zh-CN" w:bidi="ar-SA"/>
        </w:rPr>
      </w:pPr>
      <w:r>
        <w:rPr>
          <w:rFonts w:hint="eastAsia" w:ascii="仿宋_GB2312" w:hAnsi="仿宋_GB2312" w:eastAsia="仿宋_GB2312" w:cs="Times New Roman"/>
          <w:color w:val="auto"/>
          <w:kern w:val="2"/>
          <w:sz w:val="32"/>
          <w:szCs w:val="32"/>
          <w:lang w:val="en-US" w:eastAsia="zh-CN" w:bidi="ar-SA"/>
        </w:rPr>
        <w:t>一般公共预算专项转移支付执行情况</w:t>
      </w:r>
    </w:p>
    <w:p>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rPr>
          <w:rFonts w:hint="eastAsia" w:ascii="仿宋_GB2312" w:hAnsi="仿宋_GB2312" w:eastAsia="仿宋_GB2312" w:cs="Times New Roman"/>
          <w:color w:val="auto"/>
          <w:kern w:val="2"/>
          <w:sz w:val="32"/>
          <w:szCs w:val="32"/>
          <w:lang w:val="en-US" w:eastAsia="zh-CN" w:bidi="ar-SA"/>
        </w:rPr>
      </w:pPr>
      <w:r>
        <w:rPr>
          <w:rFonts w:hint="eastAsia" w:ascii="仿宋_GB2312" w:hAnsi="仿宋_GB2312" w:eastAsia="仿宋_GB2312" w:cs="Times New Roman"/>
          <w:color w:val="auto"/>
          <w:kern w:val="2"/>
          <w:sz w:val="32"/>
          <w:szCs w:val="32"/>
          <w:lang w:val="en-US" w:eastAsia="zh-CN" w:bidi="ar-SA"/>
        </w:rPr>
        <w:t xml:space="preserve">    2024年，中央、市、区级专项转移支付收入15990.31万元，下降18.48%，上年结转专项转移支付5752.87万元，可使用总额21743.18万元。</w:t>
      </w:r>
    </w:p>
    <w:p>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rPr>
          <w:rFonts w:hint="eastAsia" w:ascii="仿宋_GB2312" w:hAnsi="仿宋_GB2312" w:eastAsia="仿宋_GB2312" w:cs="Times New Roman"/>
          <w:color w:val="auto"/>
          <w:kern w:val="2"/>
          <w:sz w:val="32"/>
          <w:szCs w:val="32"/>
          <w:lang w:val="en-US" w:eastAsia="zh-CN" w:bidi="ar-SA"/>
        </w:rPr>
      </w:pPr>
      <w:r>
        <w:rPr>
          <w:rFonts w:hint="eastAsia" w:ascii="仿宋_GB2312" w:hAnsi="仿宋_GB2312" w:eastAsia="仿宋_GB2312" w:cs="Times New Roman"/>
          <w:color w:val="auto"/>
          <w:kern w:val="2"/>
          <w:sz w:val="32"/>
          <w:szCs w:val="32"/>
          <w:lang w:val="en-US" w:eastAsia="zh-CN" w:bidi="ar-SA"/>
        </w:rPr>
        <w:t>当年，中央、市、区级专项转移支付支出15304.12万元，下降18.05%。</w:t>
      </w:r>
    </w:p>
    <w:p>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rPr>
          <w:rFonts w:hint="eastAsia" w:ascii="仿宋_GB2312" w:hAnsi="仿宋_GB2312" w:eastAsia="仿宋_GB2312" w:cs="Times New Roman"/>
          <w:color w:val="auto"/>
          <w:kern w:val="2"/>
          <w:sz w:val="32"/>
          <w:szCs w:val="32"/>
          <w:lang w:val="en-US" w:eastAsia="zh-CN" w:bidi="ar-SA"/>
        </w:rPr>
      </w:pPr>
      <w:r>
        <w:rPr>
          <w:rFonts w:hint="eastAsia" w:ascii="仿宋_GB2312" w:hAnsi="仿宋_GB2312" w:eastAsia="仿宋_GB2312" w:cs="Times New Roman"/>
          <w:color w:val="auto"/>
          <w:kern w:val="2"/>
          <w:sz w:val="32"/>
          <w:szCs w:val="32"/>
          <w:lang w:val="en-US" w:eastAsia="zh-CN" w:bidi="ar-SA"/>
        </w:rPr>
        <w:t>专项转移支付结转6439.05万元，其中结转下年继续使用5908.84万元，安排预算稳定调节基金530.21万元。</w:t>
      </w:r>
    </w:p>
    <w:p>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rPr>
          <w:rFonts w:hint="eastAsia" w:ascii="仿宋_GB2312" w:hAnsi="仿宋_GB2312" w:eastAsia="仿宋_GB2312" w:cs="Times New Roman"/>
          <w:color w:val="auto"/>
          <w:kern w:val="2"/>
          <w:sz w:val="32"/>
          <w:szCs w:val="32"/>
          <w:lang w:val="en-US" w:eastAsia="zh-CN" w:bidi="ar-SA"/>
        </w:rPr>
      </w:pPr>
      <w:r>
        <w:rPr>
          <w:rFonts w:hint="eastAsia" w:ascii="仿宋_GB2312" w:hAnsi="仿宋_GB2312" w:eastAsia="仿宋_GB2312" w:cs="Times New Roman"/>
          <w:color w:val="auto"/>
          <w:kern w:val="2"/>
          <w:sz w:val="32"/>
          <w:szCs w:val="32"/>
          <w:lang w:val="en-US" w:eastAsia="zh-CN" w:bidi="ar-SA"/>
        </w:rPr>
        <w:t>镇级“三公”经费支出情况</w:t>
      </w:r>
    </w:p>
    <w:p>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rPr>
          <w:rFonts w:hint="eastAsia" w:ascii="仿宋_GB2312" w:hAnsi="仿宋_GB2312" w:eastAsia="仿宋_GB2312" w:cs="Times New Roman"/>
          <w:color w:val="auto"/>
          <w:kern w:val="2"/>
          <w:sz w:val="32"/>
          <w:szCs w:val="32"/>
          <w:lang w:val="en-US" w:eastAsia="zh-CN" w:bidi="ar-SA"/>
        </w:rPr>
      </w:pPr>
      <w:r>
        <w:rPr>
          <w:rFonts w:hint="eastAsia" w:ascii="仿宋_GB2312" w:hAnsi="仿宋_GB2312" w:eastAsia="仿宋_GB2312" w:cs="Times New Roman"/>
          <w:color w:val="auto"/>
          <w:kern w:val="2"/>
          <w:sz w:val="32"/>
          <w:szCs w:val="32"/>
          <w:lang w:val="en-US" w:eastAsia="zh-CN" w:bidi="ar-SA"/>
        </w:rPr>
        <w:t xml:space="preserve">    2024年镇级财政拨款开支的因公出国（境）费、公务用车购置及运行维护费、公务接待费支出合计16.93万元，比2024年预算数54.50万元减少37.57万元，下降68.94%。其中：公务用车购置及运行维护费15.25万元，公务接待费1.68万元。 </w:t>
      </w:r>
    </w:p>
    <w:p>
      <w:pPr>
        <w:ind w:left="630"/>
        <w:jc w:val="left"/>
        <w:rPr>
          <w:rFonts w:hint="eastAsia" w:ascii="仿宋" w:hAnsi="仿宋" w:eastAsia="仿宋"/>
          <w:b/>
          <w:sz w:val="32"/>
          <w:szCs w:val="32"/>
        </w:rPr>
      </w:pPr>
      <w:r>
        <w:rPr>
          <w:rFonts w:hint="eastAsia" w:ascii="仿宋" w:hAnsi="仿宋" w:eastAsia="仿宋"/>
          <w:b/>
          <w:sz w:val="32"/>
          <w:szCs w:val="32"/>
        </w:rPr>
        <w:t>2.政府性基金专项转移支付执行情况</w:t>
      </w:r>
    </w:p>
    <w:p>
      <w:pPr>
        <w:ind w:firstLine="640" w:firstLineChars="200"/>
        <w:jc w:val="left"/>
        <w:rPr>
          <w:rFonts w:hint="eastAsia" w:ascii="仿宋" w:hAnsi="仿宋" w:eastAsia="仿宋"/>
          <w:sz w:val="32"/>
          <w:szCs w:val="32"/>
        </w:rPr>
      </w:pPr>
      <w:r>
        <w:rPr>
          <w:rFonts w:hint="eastAsia" w:ascii="仿宋" w:hAnsi="仿宋" w:eastAsia="仿宋"/>
          <w:sz w:val="32"/>
          <w:szCs w:val="32"/>
        </w:rPr>
        <w:t>2024年，本镇政府性基金专项转移支付收入5140.80万元，其中：土地出让金154.35万元，福彩公益金16.20万元，大中型水库基金3.12万元，专项债券-配套费298.09万元，专项债券-土地4669.04万元。各基金上年结转3728.03万元，可使用总额8868.83万元。</w:t>
      </w:r>
    </w:p>
    <w:p>
      <w:pPr>
        <w:ind w:firstLine="640" w:firstLineChars="200"/>
        <w:jc w:val="left"/>
        <w:rPr>
          <w:rFonts w:hint="eastAsia" w:ascii="仿宋" w:hAnsi="仿宋" w:eastAsia="仿宋"/>
          <w:sz w:val="32"/>
          <w:szCs w:val="32"/>
        </w:rPr>
      </w:pPr>
      <w:r>
        <w:rPr>
          <w:rFonts w:hint="eastAsia" w:ascii="仿宋" w:hAnsi="仿宋" w:eastAsia="仿宋"/>
          <w:sz w:val="32"/>
          <w:szCs w:val="32"/>
        </w:rPr>
        <w:t>当年政府性基金专项转移支付支出5807.87万元，其中：土地出让金781.69万元，福彩公益金55.93万元，大中型水库基金3.12万元，专项债券-配套费298.09万元，专项债券-土地4669.04万元。</w:t>
      </w:r>
    </w:p>
    <w:p>
      <w:pPr>
        <w:ind w:firstLine="640" w:firstLineChars="200"/>
        <w:jc w:val="left"/>
        <w:rPr>
          <w:rFonts w:hint="eastAsia" w:ascii="仿宋" w:hAnsi="仿宋" w:eastAsia="仿宋"/>
          <w:sz w:val="32"/>
          <w:szCs w:val="32"/>
        </w:rPr>
      </w:pPr>
      <w:r>
        <w:rPr>
          <w:rFonts w:hint="eastAsia" w:ascii="仿宋" w:hAnsi="仿宋" w:eastAsia="仿宋"/>
          <w:sz w:val="32"/>
          <w:szCs w:val="32"/>
        </w:rPr>
        <w:t>政府性基金专项转移支付结存3060.96万元，结转下年继续使用。</w:t>
      </w:r>
    </w:p>
    <w:p>
      <w:pPr>
        <w:ind w:firstLine="637" w:firstLineChars="199"/>
        <w:jc w:val="left"/>
        <w:rPr>
          <w:rFonts w:hint="eastAsia" w:ascii="仿宋" w:hAnsi="仿宋" w:eastAsia="仿宋"/>
          <w:b/>
          <w:sz w:val="32"/>
          <w:szCs w:val="32"/>
        </w:rPr>
      </w:pPr>
      <w:r>
        <w:rPr>
          <w:rFonts w:hint="eastAsia" w:ascii="仿宋" w:hAnsi="仿宋" w:eastAsia="仿宋"/>
          <w:b/>
          <w:sz w:val="32"/>
          <w:szCs w:val="32"/>
        </w:rPr>
        <w:t>（二）2024年财政主要工作</w:t>
      </w:r>
    </w:p>
    <w:p>
      <w:pPr>
        <w:ind w:firstLine="800" w:firstLineChars="250"/>
        <w:jc w:val="left"/>
        <w:rPr>
          <w:rFonts w:hint="eastAsia" w:ascii="仿宋" w:hAnsi="仿宋" w:eastAsia="仿宋"/>
          <w:sz w:val="32"/>
          <w:szCs w:val="32"/>
        </w:rPr>
      </w:pPr>
      <w:r>
        <w:rPr>
          <w:rFonts w:hint="eastAsia" w:ascii="仿宋" w:hAnsi="仿宋" w:eastAsia="仿宋"/>
          <w:sz w:val="32"/>
          <w:szCs w:val="32"/>
        </w:rPr>
        <w:t>1.推进成本预算绩效管理。政府部门和预算单位严格落实绩效管理主体责任，牢固树立成本效益理念，将成本效益分析方法运用到预算管理全过程，实现降本、增效、优化管理。逐步建立成本预算绩效管理体系，深入开展成本预算绩效分析，并加强绩效结果应用，将分析成果作为下年预算编审的重要依据，2024年本镇安排成本分析项目二个，降本金额275.37万元，降本率7.84%。</w:t>
      </w:r>
    </w:p>
    <w:p>
      <w:pPr>
        <w:ind w:firstLine="800" w:firstLineChars="250"/>
        <w:jc w:val="left"/>
        <w:rPr>
          <w:rFonts w:hint="eastAsia" w:ascii="仿宋" w:hAnsi="仿宋" w:eastAsia="仿宋"/>
          <w:sz w:val="32"/>
          <w:szCs w:val="32"/>
        </w:rPr>
      </w:pPr>
      <w:r>
        <w:rPr>
          <w:rFonts w:hint="eastAsia" w:ascii="仿宋" w:hAnsi="仿宋" w:eastAsia="仿宋"/>
          <w:sz w:val="32"/>
          <w:szCs w:val="32"/>
        </w:rPr>
        <w:t>2.加强政府采购及政府购买服务管理。落实政府采购主体责任，各单位和部门加强政府采购的需求管理，对供应商资格、技术、服务、安全、质量、合同条款等具体要求公开公正。进一步梳理政府购买服务项目，对政府购买服务严禁事项不得进行购买，坚持公共性和公益性，从转变政府职能的角度编制政府购买服务预算。</w:t>
      </w:r>
    </w:p>
    <w:p>
      <w:pPr>
        <w:ind w:firstLine="800" w:firstLineChars="250"/>
        <w:jc w:val="left"/>
        <w:rPr>
          <w:rFonts w:hint="eastAsia" w:ascii="仿宋" w:hAnsi="仿宋" w:eastAsia="仿宋"/>
          <w:sz w:val="32"/>
          <w:szCs w:val="32"/>
        </w:rPr>
      </w:pPr>
      <w:r>
        <w:rPr>
          <w:rFonts w:hint="eastAsia" w:ascii="仿宋" w:hAnsi="仿宋" w:eastAsia="仿宋"/>
          <w:sz w:val="32"/>
          <w:szCs w:val="32"/>
        </w:rPr>
        <w:t>3.加强财政资金管理，统筹各类财政资金。积极争取区级相关部门的支持，加大财政拨款与上级专项转移支付资金、债券资金及其他资金的统筹，按规定优先使用上级专项资金。加强直达资金的监管，及时支付，将资金尽快落实到民生领域。切实盘活财政存量资金，将预算结余资金和结转二年以上的项目资金统筹使用。</w:t>
      </w:r>
    </w:p>
    <w:p>
      <w:pPr>
        <w:ind w:firstLine="800" w:firstLineChars="250"/>
        <w:jc w:val="left"/>
        <w:rPr>
          <w:rFonts w:hint="eastAsia" w:ascii="仿宋" w:hAnsi="仿宋" w:eastAsia="仿宋"/>
          <w:sz w:val="32"/>
          <w:szCs w:val="32"/>
        </w:rPr>
      </w:pPr>
      <w:r>
        <w:rPr>
          <w:rFonts w:hint="eastAsia" w:ascii="仿宋" w:hAnsi="仿宋" w:eastAsia="仿宋"/>
          <w:sz w:val="32"/>
          <w:szCs w:val="32"/>
        </w:rPr>
        <w:t>2024年受宏观经济的波及，本镇经济下行压力较大，在镇党委的坚强领导下，积极争取上级支持，多举措并行。总体上2024年财政预算执行情况良好，当然也存在一些问题和困难，突出表现在：一是财政总量较为有限，刚性支出增长较快，配套项目增加，收支平衡难度加大。二是部分项目执行进度偏慢，资金使用效益有待提高。三是预算绩效管理水平有待提升，绩效目标设定不够科学合理，绩效自评质量有待提高。对于这些问题我们将高度重视，认真听取意见建议，努力逐步解决。</w:t>
      </w:r>
    </w:p>
    <w:p>
      <w:pPr>
        <w:ind w:firstLine="320" w:firstLineChars="100"/>
        <w:jc w:val="left"/>
        <w:rPr>
          <w:rFonts w:hint="eastAsia" w:ascii="仿宋" w:hAnsi="仿宋" w:eastAsia="仿宋"/>
          <w:b/>
          <w:sz w:val="32"/>
          <w:szCs w:val="32"/>
        </w:rPr>
      </w:pPr>
      <w:r>
        <w:rPr>
          <w:rFonts w:hint="eastAsia" w:ascii="仿宋" w:hAnsi="仿宋" w:eastAsia="仿宋"/>
          <w:b/>
          <w:sz w:val="32"/>
          <w:szCs w:val="32"/>
        </w:rPr>
        <w:t>二、2025年预算草案</w:t>
      </w:r>
    </w:p>
    <w:p>
      <w:pPr>
        <w:ind w:firstLine="320" w:firstLineChars="100"/>
        <w:jc w:val="left"/>
        <w:rPr>
          <w:rFonts w:hint="eastAsia" w:ascii="仿宋" w:hAnsi="仿宋" w:eastAsia="仿宋"/>
          <w:b/>
          <w:sz w:val="32"/>
          <w:szCs w:val="32"/>
        </w:rPr>
      </w:pPr>
      <w:r>
        <w:rPr>
          <w:rFonts w:hint="eastAsia" w:ascii="仿宋" w:hAnsi="仿宋" w:eastAsia="仿宋"/>
          <w:b/>
          <w:sz w:val="32"/>
          <w:szCs w:val="32"/>
        </w:rPr>
        <w:t>（一）2025年收入预计和支出安排</w:t>
      </w:r>
    </w:p>
    <w:p>
      <w:pPr>
        <w:ind w:firstLine="640" w:firstLineChars="200"/>
        <w:jc w:val="left"/>
        <w:rPr>
          <w:rFonts w:hint="eastAsia" w:ascii="仿宋" w:hAnsi="仿宋" w:eastAsia="仿宋"/>
          <w:sz w:val="32"/>
          <w:szCs w:val="32"/>
        </w:rPr>
      </w:pPr>
      <w:r>
        <w:rPr>
          <w:rFonts w:hint="eastAsia" w:ascii="仿宋" w:hAnsi="仿宋" w:eastAsia="仿宋"/>
          <w:sz w:val="32"/>
          <w:szCs w:val="32"/>
        </w:rPr>
        <w:t>本镇切实贯彻落实有保有压的要求，持续调整优化收支结构，把党政机关习惯过紧日子作为长期坚持方针，将财政资金投向民生保障以及经济社会发展重点领域和关键环节。对一般公共预算、政府性基金预算统筹安排如下：</w:t>
      </w:r>
    </w:p>
    <w:p>
      <w:pPr>
        <w:pStyle w:val="13"/>
        <w:numPr>
          <w:ilvl w:val="0"/>
          <w:numId w:val="1"/>
        </w:numPr>
        <w:ind w:firstLineChars="0"/>
        <w:jc w:val="left"/>
        <w:rPr>
          <w:rFonts w:hint="eastAsia" w:ascii="仿宋" w:hAnsi="仿宋" w:eastAsia="仿宋"/>
          <w:b/>
          <w:sz w:val="32"/>
          <w:szCs w:val="32"/>
        </w:rPr>
      </w:pPr>
      <w:r>
        <w:rPr>
          <w:rFonts w:hint="eastAsia" w:ascii="仿宋" w:hAnsi="仿宋" w:eastAsia="仿宋"/>
          <w:b/>
          <w:sz w:val="32"/>
          <w:szCs w:val="32"/>
        </w:rPr>
        <w:t>一般公共预算安排</w:t>
      </w:r>
    </w:p>
    <w:p>
      <w:pPr>
        <w:ind w:firstLine="630"/>
        <w:jc w:val="left"/>
        <w:rPr>
          <w:rFonts w:hint="eastAsia" w:ascii="仿宋" w:hAnsi="仿宋" w:eastAsia="仿宋"/>
          <w:sz w:val="32"/>
          <w:szCs w:val="32"/>
        </w:rPr>
      </w:pPr>
      <w:r>
        <w:rPr>
          <w:rFonts w:hint="eastAsia" w:ascii="仿宋" w:hAnsi="仿宋" w:eastAsia="仿宋"/>
          <w:sz w:val="32"/>
          <w:szCs w:val="32"/>
        </w:rPr>
        <w:t xml:space="preserve">  2025年，全镇一般公共预算收入总量59086.11万元。其中：一般转移支付（区财政告知年初预算数）41000万元，比2024年（下同）减少3000万元，下降6.82%；一般转移支付补充（平衡上解支出）6322.44万元；上级专项转移支付收入提前告知数2576.91万元；动用预算稳定调节基金3277.92万元；上年结转的专项转移支付5908.84万元。</w:t>
      </w:r>
    </w:p>
    <w:p>
      <w:pPr>
        <w:ind w:firstLine="630"/>
        <w:jc w:val="left"/>
        <w:rPr>
          <w:rFonts w:hint="eastAsia" w:ascii="仿宋" w:hAnsi="仿宋" w:eastAsia="仿宋"/>
          <w:sz w:val="32"/>
          <w:szCs w:val="32"/>
        </w:rPr>
      </w:pPr>
      <w:r>
        <w:rPr>
          <w:rFonts w:hint="eastAsia" w:ascii="仿宋" w:hAnsi="仿宋" w:eastAsia="仿宋"/>
          <w:sz w:val="32"/>
          <w:szCs w:val="32"/>
        </w:rPr>
        <w:t>全镇一般公共预算支出总量59086.11万元。其中：一般转移支付镇级预算支出和动用预算稳定基金44277.92万元，比2024年减少2975.36万元，下降6.30%；上解支出6322.44万元；上级专项转移支付支出提前告知和上年结转8485.75万元。</w:t>
      </w:r>
    </w:p>
    <w:p>
      <w:pPr>
        <w:ind w:firstLine="630"/>
        <w:jc w:val="left"/>
        <w:rPr>
          <w:rFonts w:hint="eastAsia" w:ascii="仿宋" w:hAnsi="仿宋" w:eastAsia="仿宋"/>
          <w:sz w:val="32"/>
          <w:szCs w:val="32"/>
        </w:rPr>
      </w:pPr>
      <w:r>
        <w:rPr>
          <w:rFonts w:hint="eastAsia" w:ascii="仿宋" w:hAnsi="仿宋" w:eastAsia="仿宋"/>
          <w:sz w:val="32"/>
          <w:szCs w:val="32"/>
        </w:rPr>
        <w:t>2025年度全镇一般公共预算收支平衡。</w:t>
      </w:r>
    </w:p>
    <w:p>
      <w:pPr>
        <w:pStyle w:val="13"/>
        <w:numPr>
          <w:ilvl w:val="0"/>
          <w:numId w:val="2"/>
        </w:numPr>
        <w:ind w:firstLineChars="0"/>
        <w:jc w:val="left"/>
        <w:rPr>
          <w:rFonts w:hint="eastAsia" w:ascii="仿宋" w:hAnsi="仿宋" w:eastAsia="仿宋"/>
          <w:b/>
          <w:sz w:val="32"/>
          <w:szCs w:val="32"/>
        </w:rPr>
      </w:pPr>
      <w:r>
        <w:rPr>
          <w:rFonts w:hint="eastAsia" w:ascii="仿宋" w:hAnsi="仿宋" w:eastAsia="仿宋"/>
          <w:b/>
          <w:sz w:val="32"/>
          <w:szCs w:val="32"/>
        </w:rPr>
        <w:t>一般公共预算镇级预算收入安排</w:t>
      </w:r>
    </w:p>
    <w:p>
      <w:pPr>
        <w:ind w:firstLine="640" w:firstLineChars="200"/>
        <w:jc w:val="left"/>
        <w:rPr>
          <w:rFonts w:hint="eastAsia" w:ascii="仿宋" w:hAnsi="仿宋" w:eastAsia="仿宋"/>
          <w:sz w:val="32"/>
          <w:szCs w:val="32"/>
        </w:rPr>
      </w:pPr>
      <w:r>
        <w:rPr>
          <w:rFonts w:hint="eastAsia" w:ascii="仿宋" w:hAnsi="仿宋" w:eastAsia="仿宋"/>
          <w:sz w:val="32"/>
          <w:szCs w:val="32"/>
        </w:rPr>
        <w:t>2025年，镇级一般公共预算收入41000万元，动用预算稳定调节基金3277.92万元。</w:t>
      </w:r>
    </w:p>
    <w:p>
      <w:pPr>
        <w:pStyle w:val="13"/>
        <w:numPr>
          <w:ilvl w:val="0"/>
          <w:numId w:val="2"/>
        </w:numPr>
        <w:ind w:firstLineChars="0"/>
        <w:jc w:val="left"/>
        <w:rPr>
          <w:rFonts w:hint="eastAsia" w:ascii="仿宋" w:hAnsi="仿宋" w:eastAsia="仿宋"/>
          <w:b/>
          <w:sz w:val="32"/>
          <w:szCs w:val="32"/>
        </w:rPr>
      </w:pPr>
      <w:r>
        <w:rPr>
          <w:rFonts w:hint="eastAsia" w:ascii="仿宋" w:hAnsi="仿宋" w:eastAsia="仿宋"/>
          <w:b/>
          <w:sz w:val="32"/>
          <w:szCs w:val="32"/>
        </w:rPr>
        <w:t>一般公共预算镇级预算支出安排</w:t>
      </w:r>
    </w:p>
    <w:p>
      <w:pPr>
        <w:ind w:firstLine="630"/>
        <w:jc w:val="left"/>
        <w:rPr>
          <w:rFonts w:hint="eastAsia" w:ascii="仿宋" w:hAnsi="仿宋" w:eastAsia="仿宋"/>
          <w:sz w:val="32"/>
          <w:szCs w:val="32"/>
        </w:rPr>
      </w:pPr>
      <w:r>
        <w:rPr>
          <w:rFonts w:hint="eastAsia" w:ascii="仿宋" w:hAnsi="仿宋" w:eastAsia="仿宋"/>
          <w:sz w:val="32"/>
          <w:szCs w:val="32"/>
        </w:rPr>
        <w:t>2025年，镇级一般公共预算支出41000万元，按功能类明细具体支出安排如下：</w:t>
      </w:r>
    </w:p>
    <w:p>
      <w:pPr>
        <w:ind w:firstLine="640" w:firstLineChars="200"/>
        <w:jc w:val="left"/>
        <w:rPr>
          <w:rFonts w:hint="eastAsia" w:ascii="仿宋" w:hAnsi="仿宋" w:eastAsia="仿宋"/>
          <w:sz w:val="32"/>
          <w:szCs w:val="32"/>
        </w:rPr>
      </w:pPr>
      <w:r>
        <w:rPr>
          <w:rFonts w:hint="eastAsia" w:ascii="仿宋" w:hAnsi="仿宋" w:eastAsia="仿宋"/>
          <w:sz w:val="32"/>
          <w:szCs w:val="32"/>
        </w:rPr>
        <w:t>一般公共服务支出5476.05万元，占预算的13.36%，下降18.27%。主要用于行政事业单位正常运转等经费支出。</w:t>
      </w:r>
    </w:p>
    <w:p>
      <w:pPr>
        <w:ind w:firstLine="640" w:firstLineChars="200"/>
        <w:jc w:val="left"/>
        <w:rPr>
          <w:rFonts w:hint="eastAsia" w:ascii="仿宋" w:hAnsi="仿宋" w:eastAsia="仿宋"/>
          <w:sz w:val="32"/>
          <w:szCs w:val="32"/>
        </w:rPr>
      </w:pPr>
      <w:r>
        <w:rPr>
          <w:rFonts w:hint="eastAsia" w:ascii="仿宋" w:hAnsi="仿宋" w:eastAsia="仿宋"/>
          <w:sz w:val="32"/>
          <w:szCs w:val="32"/>
        </w:rPr>
        <w:t>教育支出97万元，占预算的0.24%，下降51.62%。主要用于学生社区指导站、假日学校、代课老师、早教、青保、科普、宝宝屋运行等经费支出。下降的主要原因是科目调整。</w:t>
      </w:r>
    </w:p>
    <w:p>
      <w:pPr>
        <w:ind w:firstLine="640" w:firstLineChars="200"/>
        <w:jc w:val="left"/>
        <w:rPr>
          <w:rFonts w:hint="eastAsia" w:ascii="仿宋" w:hAnsi="仿宋" w:eastAsia="仿宋"/>
          <w:sz w:val="32"/>
          <w:szCs w:val="32"/>
        </w:rPr>
      </w:pPr>
      <w:r>
        <w:rPr>
          <w:rFonts w:hint="eastAsia" w:ascii="仿宋" w:hAnsi="仿宋" w:eastAsia="仿宋"/>
          <w:sz w:val="32"/>
          <w:szCs w:val="32"/>
        </w:rPr>
        <w:t>科学技术支出4830.63万元，占预算的11.78%，下降1.55%。主要用于“科技创新引导资金</w:t>
      </w:r>
      <w:r>
        <w:rPr>
          <w:rFonts w:ascii="仿宋" w:hAnsi="仿宋" w:eastAsia="仿宋"/>
          <w:sz w:val="32"/>
          <w:szCs w:val="32"/>
        </w:rPr>
        <w:t>”</w:t>
      </w:r>
      <w:r>
        <w:rPr>
          <w:rFonts w:hint="eastAsia" w:ascii="仿宋" w:hAnsi="仿宋" w:eastAsia="仿宋"/>
          <w:sz w:val="32"/>
          <w:szCs w:val="32"/>
        </w:rPr>
        <w:t>等支出。</w:t>
      </w:r>
    </w:p>
    <w:p>
      <w:pPr>
        <w:ind w:firstLine="640" w:firstLineChars="200"/>
        <w:jc w:val="left"/>
        <w:rPr>
          <w:rFonts w:hint="eastAsia" w:ascii="仿宋" w:hAnsi="仿宋" w:eastAsia="仿宋"/>
          <w:sz w:val="32"/>
          <w:szCs w:val="32"/>
        </w:rPr>
      </w:pPr>
      <w:r>
        <w:rPr>
          <w:rFonts w:hint="eastAsia" w:ascii="仿宋" w:hAnsi="仿宋" w:eastAsia="仿宋"/>
          <w:sz w:val="32"/>
          <w:szCs w:val="32"/>
        </w:rPr>
        <w:t>文化旅游体育与传媒支出229.97万元，占预算的0.56%，增长39.22%。主要用于党群服务中心、文化活动中心运行等经费支出。增长的主要原因是党群服务中心运行等费用增加。</w:t>
      </w:r>
    </w:p>
    <w:p>
      <w:pPr>
        <w:spacing w:line="560" w:lineRule="exact"/>
        <w:ind w:firstLine="640" w:firstLineChars="200"/>
        <w:rPr>
          <w:rFonts w:hint="eastAsia" w:ascii="仿宋" w:hAnsi="仿宋" w:eastAsia="仿宋" w:cs="仿宋_GB2312"/>
          <w:sz w:val="32"/>
          <w:szCs w:val="32"/>
        </w:rPr>
      </w:pPr>
      <w:r>
        <w:rPr>
          <w:rFonts w:hint="eastAsia" w:ascii="仿宋" w:hAnsi="仿宋" w:eastAsia="仿宋"/>
          <w:sz w:val="32"/>
          <w:szCs w:val="32"/>
        </w:rPr>
        <w:t>社会保障和就业 支出12784.96万元，占预算的31.18%，下降1.28%。</w:t>
      </w:r>
      <w:r>
        <w:rPr>
          <w:rFonts w:hint="eastAsia" w:ascii="仿宋" w:hAnsi="仿宋" w:eastAsia="仿宋" w:cs="仿宋_GB2312"/>
          <w:sz w:val="32"/>
          <w:szCs w:val="32"/>
        </w:rPr>
        <w:t>主要用于社区事务受理服务中心运行经费，基层政权建设和社区治理经费，公益性就业岗位经费，民政管理事务经费，</w:t>
      </w:r>
      <w:r>
        <w:rPr>
          <w:rFonts w:hint="eastAsia" w:ascii="仿宋" w:hAnsi="仿宋" w:eastAsia="仿宋"/>
          <w:sz w:val="32"/>
          <w:szCs w:val="32"/>
        </w:rPr>
        <w:t>就业补助支出</w:t>
      </w:r>
      <w:r>
        <w:rPr>
          <w:rFonts w:hint="eastAsia" w:ascii="仿宋" w:hAnsi="仿宋" w:eastAsia="仿宋" w:cs="仿宋_GB2312"/>
          <w:sz w:val="32"/>
          <w:szCs w:val="32"/>
        </w:rPr>
        <w:t>，</w:t>
      </w:r>
      <w:r>
        <w:rPr>
          <w:rFonts w:hint="eastAsia" w:ascii="仿宋" w:hAnsi="仿宋" w:eastAsia="仿宋"/>
          <w:sz w:val="32"/>
          <w:szCs w:val="32"/>
        </w:rPr>
        <w:t>“促进就业奖励资金”等</w:t>
      </w:r>
      <w:r>
        <w:rPr>
          <w:rFonts w:hint="eastAsia" w:ascii="仿宋" w:hAnsi="仿宋" w:eastAsia="仿宋" w:cs="仿宋_GB2312"/>
          <w:sz w:val="32"/>
          <w:szCs w:val="32"/>
        </w:rPr>
        <w:t>其他社会保障和就业支出。</w:t>
      </w:r>
    </w:p>
    <w:p>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卫生健康支出705.63万元，占预算的1.72%，增长55%。主要用于</w:t>
      </w:r>
      <w:r>
        <w:rPr>
          <w:rFonts w:hint="eastAsia" w:ascii="仿宋" w:hAnsi="仿宋" w:eastAsia="仿宋" w:cs="仿宋_GB2312"/>
          <w:sz w:val="32"/>
          <w:szCs w:val="32"/>
        </w:rPr>
        <w:t>镇卫生一体化运行经费，</w:t>
      </w:r>
      <w:r>
        <w:rPr>
          <w:rFonts w:hint="eastAsia" w:ascii="仿宋" w:hAnsi="仿宋" w:eastAsia="仿宋"/>
          <w:sz w:val="32"/>
          <w:szCs w:val="32"/>
        </w:rPr>
        <w:t>行政事业单位医疗保险支出</w:t>
      </w:r>
      <w:r>
        <w:rPr>
          <w:rFonts w:hint="eastAsia" w:ascii="仿宋" w:hAnsi="仿宋" w:eastAsia="仿宋" w:cs="仿宋_GB2312"/>
          <w:sz w:val="32"/>
          <w:szCs w:val="32"/>
        </w:rPr>
        <w:t>，城乡医疗救助等支出</w:t>
      </w:r>
      <w:r>
        <w:rPr>
          <w:rFonts w:hint="eastAsia" w:ascii="仿宋" w:hAnsi="仿宋" w:eastAsia="仿宋"/>
          <w:sz w:val="32"/>
          <w:szCs w:val="32"/>
        </w:rPr>
        <w:t>。增长主要原因是科目调整。</w:t>
      </w:r>
    </w:p>
    <w:p>
      <w:pPr>
        <w:tabs>
          <w:tab w:val="left" w:pos="7938"/>
        </w:tabs>
        <w:ind w:firstLine="640" w:firstLineChars="200"/>
        <w:jc w:val="left"/>
        <w:rPr>
          <w:rFonts w:hint="eastAsia" w:ascii="仿宋" w:hAnsi="仿宋" w:eastAsia="仿宋"/>
          <w:sz w:val="32"/>
          <w:szCs w:val="32"/>
        </w:rPr>
      </w:pPr>
      <w:r>
        <w:rPr>
          <w:rFonts w:hint="eastAsia" w:ascii="仿宋" w:hAnsi="仿宋" w:eastAsia="仿宋"/>
          <w:sz w:val="32"/>
          <w:szCs w:val="32"/>
        </w:rPr>
        <w:t>节能环保支出5195.43万元，占预算的12.67%，增长54.04%。主要用于市容所运行经费，</w:t>
      </w:r>
    </w:p>
    <w:p>
      <w:pPr>
        <w:tabs>
          <w:tab w:val="left" w:pos="7938"/>
        </w:tabs>
        <w:ind w:firstLine="640" w:firstLineChars="200"/>
        <w:jc w:val="left"/>
        <w:rPr>
          <w:rFonts w:hint="eastAsia" w:ascii="仿宋" w:hAnsi="仿宋" w:eastAsia="仿宋"/>
          <w:sz w:val="32"/>
          <w:szCs w:val="32"/>
        </w:rPr>
      </w:pPr>
      <w:r>
        <w:rPr>
          <w:rFonts w:hint="eastAsia" w:ascii="仿宋" w:hAnsi="仿宋" w:eastAsia="仿宋"/>
          <w:sz w:val="32"/>
          <w:szCs w:val="32"/>
        </w:rPr>
        <w:t>水产养殖尾水治理长效管理经费，“节能减排专项资金”等支出。增长的主要原因是安排了节能减排专项资金。</w:t>
      </w:r>
    </w:p>
    <w:p>
      <w:pPr>
        <w:ind w:firstLine="640" w:firstLineChars="200"/>
        <w:jc w:val="left"/>
        <w:rPr>
          <w:rFonts w:hint="eastAsia" w:ascii="仿宋" w:hAnsi="仿宋" w:eastAsia="仿宋"/>
          <w:sz w:val="32"/>
          <w:szCs w:val="32"/>
        </w:rPr>
      </w:pPr>
      <w:r>
        <w:rPr>
          <w:rFonts w:hint="eastAsia" w:ascii="仿宋" w:hAnsi="仿宋" w:eastAsia="仿宋"/>
          <w:sz w:val="32"/>
          <w:szCs w:val="32"/>
        </w:rPr>
        <w:t>城乡社区支出6619.03万元，占预算的16.14%，下降33.12%。主要用于综合行政执法大队、城市运行管理中心、城市建设管理中心的运行经费，平安建设经费，雨污分流资金，截污纳管管道养护费，城乡区域基础设施补短板资金，加装电梯补贴，路灯养护经费，第五敬老院建设资金，党群服务中心改造资金等支出。下降的主要原因是未足额安排区级项目资金。</w:t>
      </w:r>
    </w:p>
    <w:p>
      <w:pPr>
        <w:ind w:firstLine="640" w:firstLineChars="200"/>
        <w:jc w:val="left"/>
        <w:rPr>
          <w:rFonts w:hint="eastAsia" w:ascii="仿宋" w:hAnsi="仿宋" w:eastAsia="仿宋"/>
          <w:sz w:val="32"/>
          <w:szCs w:val="32"/>
        </w:rPr>
      </w:pPr>
      <w:r>
        <w:rPr>
          <w:rFonts w:hint="eastAsia" w:ascii="仿宋" w:hAnsi="仿宋" w:eastAsia="仿宋"/>
          <w:sz w:val="32"/>
          <w:szCs w:val="32"/>
        </w:rPr>
        <w:t>农林水支出1007.45万元，占预算的2.46%，下降68.11%。主要用于乡村振兴中心运行经费，公益林、生态廊道土地流转费，镇对村级的扶持与补贴，林长制经费，农业配套补贴，防汛抗台经费，镇村级河道社会化养护费，河长制经费，生态清洁小流域配套资金等支出。下降的主要原因是科目调整。</w:t>
      </w:r>
    </w:p>
    <w:p>
      <w:pPr>
        <w:ind w:firstLine="640" w:firstLineChars="200"/>
        <w:jc w:val="left"/>
        <w:rPr>
          <w:rFonts w:hint="eastAsia" w:ascii="仿宋" w:hAnsi="仿宋" w:eastAsia="仿宋"/>
          <w:sz w:val="32"/>
          <w:szCs w:val="32"/>
        </w:rPr>
      </w:pPr>
      <w:r>
        <w:rPr>
          <w:rFonts w:hint="eastAsia" w:ascii="仿宋" w:hAnsi="仿宋" w:eastAsia="仿宋"/>
          <w:sz w:val="32"/>
          <w:szCs w:val="32"/>
        </w:rPr>
        <w:t>资源勘探工业信息等支出1892.59万元，占预算的4.62%。主要用于“自主品牌建设奖励资金”等支出。</w:t>
      </w:r>
    </w:p>
    <w:p>
      <w:pPr>
        <w:ind w:firstLine="640" w:firstLineChars="200"/>
        <w:jc w:val="left"/>
        <w:rPr>
          <w:rFonts w:hint="eastAsia" w:ascii="仿宋" w:hAnsi="仿宋" w:eastAsia="仿宋"/>
          <w:sz w:val="32"/>
          <w:szCs w:val="32"/>
        </w:rPr>
      </w:pPr>
      <w:r>
        <w:rPr>
          <w:rFonts w:hint="eastAsia" w:ascii="仿宋" w:hAnsi="仿宋" w:eastAsia="仿宋"/>
          <w:sz w:val="32"/>
          <w:szCs w:val="32"/>
        </w:rPr>
        <w:t>商业服务业等支出1000万元，占预算的2.44%，下降42.59%，主要用于“现代服务业引导资金”，以及招商工作经费等支出。增长的主要原因是科目调整。</w:t>
      </w:r>
    </w:p>
    <w:p>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住房保障支出1161.26万元，占预算的2.83%，增长21.4%，主要用于机关、事业单位人员住房公积金补贴以及住房解困补贴支出。增长的主要原因是一次性住房补贴增加。</w:t>
      </w:r>
    </w:p>
    <w:p>
      <w:pPr>
        <w:spacing w:line="560" w:lineRule="exact"/>
        <w:ind w:firstLine="640" w:firstLineChars="200"/>
        <w:rPr>
          <w:rFonts w:hint="eastAsia" w:ascii="仿宋" w:hAnsi="仿宋" w:eastAsia="仿宋"/>
          <w:b/>
          <w:sz w:val="32"/>
          <w:szCs w:val="32"/>
        </w:rPr>
      </w:pPr>
      <w:r>
        <w:rPr>
          <w:rFonts w:hint="eastAsia" w:ascii="仿宋" w:hAnsi="仿宋" w:eastAsia="仿宋"/>
          <w:b/>
          <w:sz w:val="32"/>
          <w:szCs w:val="32"/>
        </w:rPr>
        <w:t>（3）一般公共预算专项转移支付预算收支安排</w:t>
      </w:r>
    </w:p>
    <w:p>
      <w:pPr>
        <w:widowControl/>
        <w:spacing w:line="520" w:lineRule="atLeast"/>
        <w:ind w:firstLine="600"/>
        <w:rPr>
          <w:rFonts w:hint="eastAsia" w:ascii="仿宋" w:hAnsi="仿宋" w:eastAsia="仿宋"/>
          <w:sz w:val="32"/>
          <w:szCs w:val="32"/>
        </w:rPr>
      </w:pPr>
      <w:r>
        <w:rPr>
          <w:rFonts w:hint="eastAsia" w:ascii="仿宋" w:hAnsi="仿宋" w:eastAsia="仿宋"/>
          <w:sz w:val="32"/>
          <w:szCs w:val="32"/>
        </w:rPr>
        <w:t>2025年初，市、区下达专项转移收入指标为2576.91万元。其中：市级资金转移支付124.89万元，区级资金转移支付2452.02万元， 上年结转5908.84万元，可使用总额8485.75万元。之后分期下达的上级专项转移支付在调整预算时提请镇人代会批准。</w:t>
      </w:r>
    </w:p>
    <w:p>
      <w:pPr>
        <w:widowControl/>
        <w:spacing w:line="520" w:lineRule="atLeast"/>
        <w:ind w:firstLine="600"/>
        <w:rPr>
          <w:rFonts w:hint="eastAsia" w:ascii="仿宋" w:hAnsi="仿宋" w:eastAsia="仿宋"/>
          <w:sz w:val="32"/>
          <w:szCs w:val="32"/>
        </w:rPr>
      </w:pPr>
      <w:r>
        <w:rPr>
          <w:rFonts w:hint="eastAsia" w:ascii="仿宋" w:hAnsi="仿宋" w:eastAsia="仿宋"/>
          <w:sz w:val="32"/>
          <w:szCs w:val="32"/>
        </w:rPr>
        <w:t>一般公共预算专项转移支付支出是根据项目实施进度予以安排资金，确保专款专用，及时拨付。</w:t>
      </w:r>
    </w:p>
    <w:p>
      <w:pPr>
        <w:spacing w:line="560" w:lineRule="exact"/>
        <w:ind w:firstLine="640" w:firstLineChars="200"/>
        <w:rPr>
          <w:rFonts w:hint="eastAsia" w:ascii="仿宋" w:hAnsi="仿宋" w:eastAsia="仿宋"/>
          <w:b/>
          <w:sz w:val="32"/>
          <w:szCs w:val="32"/>
        </w:rPr>
      </w:pPr>
      <w:r>
        <w:rPr>
          <w:rFonts w:hint="eastAsia" w:ascii="仿宋" w:hAnsi="仿宋" w:eastAsia="仿宋"/>
          <w:b/>
          <w:sz w:val="32"/>
          <w:szCs w:val="32"/>
        </w:rPr>
        <w:t>2.政府基金专项转移支付预算收支安排</w:t>
      </w:r>
    </w:p>
    <w:p>
      <w:pPr>
        <w:widowControl/>
        <w:spacing w:line="520" w:lineRule="atLeast"/>
        <w:ind w:firstLine="600"/>
        <w:rPr>
          <w:rFonts w:hint="eastAsia" w:ascii="仿宋" w:hAnsi="仿宋" w:eastAsia="仿宋"/>
          <w:sz w:val="32"/>
          <w:szCs w:val="32"/>
        </w:rPr>
      </w:pPr>
      <w:r>
        <w:rPr>
          <w:rFonts w:hint="eastAsia" w:ascii="仿宋" w:hAnsi="仿宋" w:eastAsia="仿宋"/>
          <w:sz w:val="32"/>
          <w:szCs w:val="32"/>
        </w:rPr>
        <w:t>上年结转2025年使用的政府基金专项转移支付共计3060.96万元。其中：土地出让金3018.52万元，生态福利彩票公益金补助42.44万元。之后分期下达的政府基金专项转移支付在调整预算时提请镇人代会批准。</w:t>
      </w:r>
    </w:p>
    <w:p>
      <w:pPr>
        <w:widowControl/>
        <w:spacing w:line="520" w:lineRule="atLeast"/>
        <w:ind w:firstLine="600"/>
        <w:rPr>
          <w:rFonts w:hint="eastAsia" w:ascii="仿宋" w:hAnsi="仿宋" w:eastAsia="仿宋"/>
          <w:sz w:val="32"/>
          <w:szCs w:val="32"/>
        </w:rPr>
      </w:pPr>
      <w:r>
        <w:rPr>
          <w:rFonts w:hint="eastAsia" w:ascii="仿宋" w:hAnsi="仿宋" w:eastAsia="仿宋"/>
          <w:sz w:val="32"/>
          <w:szCs w:val="32"/>
        </w:rPr>
        <w:t>政府基金专项转移支付预算支出是根据项目实施进度予以安排资金，确保专款专用，及时拨付。</w:t>
      </w:r>
    </w:p>
    <w:p>
      <w:pPr>
        <w:widowControl/>
        <w:spacing w:line="520" w:lineRule="atLeast"/>
        <w:ind w:firstLine="600"/>
        <w:rPr>
          <w:rFonts w:hint="eastAsia" w:ascii="仿宋" w:hAnsi="仿宋" w:eastAsia="仿宋"/>
          <w:b/>
          <w:sz w:val="32"/>
          <w:szCs w:val="32"/>
        </w:rPr>
      </w:pPr>
      <w:r>
        <w:rPr>
          <w:rFonts w:hint="eastAsia" w:ascii="仿宋" w:hAnsi="仿宋" w:eastAsia="仿宋"/>
          <w:b/>
          <w:sz w:val="32"/>
          <w:szCs w:val="32"/>
        </w:rPr>
        <w:t>(二)2025年工作要点</w:t>
      </w:r>
    </w:p>
    <w:p>
      <w:pPr>
        <w:widowControl/>
        <w:spacing w:line="520" w:lineRule="atLeast"/>
        <w:ind w:firstLine="600"/>
        <w:rPr>
          <w:rFonts w:hint="eastAsia" w:ascii="仿宋" w:hAnsi="仿宋" w:eastAsia="仿宋"/>
          <w:sz w:val="32"/>
          <w:szCs w:val="32"/>
        </w:rPr>
      </w:pPr>
      <w:r>
        <w:rPr>
          <w:rFonts w:hint="eastAsia" w:ascii="仿宋" w:hAnsi="仿宋" w:eastAsia="仿宋"/>
          <w:sz w:val="32"/>
          <w:szCs w:val="32"/>
        </w:rPr>
        <w:t>1.加强财政资源统筹，盘活存量资金资产。按照规定用足用好中央、市级和区级资金，加强当年预算资金与结转结余资金的统筹安排，统筹用于保障亟需支出的重点项目。对于新增资产配置需求，优先通过现有资产功能挖潜等方式解决，原则上不新增同类资产，完善资产盘活长效机制，通过共享共用，调剂使用等方式，切实提高财政资源配置效率。</w:t>
      </w:r>
    </w:p>
    <w:p>
      <w:pPr>
        <w:widowControl/>
        <w:spacing w:line="520" w:lineRule="atLeast"/>
        <w:ind w:firstLine="600"/>
        <w:rPr>
          <w:rFonts w:hint="eastAsia" w:ascii="仿宋" w:hAnsi="仿宋" w:eastAsia="仿宋"/>
          <w:sz w:val="32"/>
          <w:szCs w:val="32"/>
        </w:rPr>
      </w:pPr>
      <w:r>
        <w:rPr>
          <w:rFonts w:hint="eastAsia" w:ascii="仿宋" w:hAnsi="仿宋" w:eastAsia="仿宋"/>
          <w:sz w:val="32"/>
          <w:szCs w:val="32"/>
        </w:rPr>
        <w:t>2.持续优化支出结构，有保有压突出重点。牢固树立习惯过紧日子思想，勤俭节约，精打细算。严格“三公”经费管理约束，加强预算执行监控，严格控制一般性支出，压缩各项公务活动经费。项目支出优先确保“三保”支出，按财政可承受能力合理安排其他项目支出。</w:t>
      </w:r>
    </w:p>
    <w:p>
      <w:pPr>
        <w:widowControl/>
        <w:spacing w:line="520" w:lineRule="atLeast"/>
        <w:ind w:firstLine="600"/>
        <w:rPr>
          <w:rFonts w:hint="eastAsia" w:ascii="仿宋" w:hAnsi="仿宋" w:eastAsia="仿宋"/>
          <w:sz w:val="32"/>
          <w:szCs w:val="32"/>
        </w:rPr>
      </w:pPr>
      <w:r>
        <w:rPr>
          <w:rFonts w:hint="eastAsia" w:ascii="仿宋" w:hAnsi="仿宋" w:eastAsia="仿宋"/>
          <w:sz w:val="32"/>
          <w:szCs w:val="32"/>
        </w:rPr>
        <w:t>3.强化预算绩效管理，全面推动信息公开。健全内部工作机制，深化预算绩效管理，落实中央、市级专款、债券资金、政府购买服务等重点领域预算绩效管理的相关要求，切实提高财政资金配置效率和使用效益。预算单位将预算信息公开到支出功能的项级科目，经济分类的款级科目，全面公开项目支出绩效目标、绩效自评结果。</w:t>
      </w:r>
    </w:p>
    <w:p>
      <w:pPr>
        <w:widowControl/>
        <w:spacing w:line="520" w:lineRule="atLeast"/>
        <w:ind w:firstLine="600"/>
        <w:rPr>
          <w:rFonts w:hint="eastAsia" w:ascii="仿宋" w:hAnsi="仿宋" w:eastAsia="仿宋"/>
          <w:sz w:val="32"/>
          <w:szCs w:val="32"/>
        </w:rPr>
      </w:pPr>
      <w:r>
        <w:rPr>
          <w:rFonts w:hint="eastAsia" w:ascii="仿宋" w:hAnsi="仿宋" w:eastAsia="仿宋"/>
          <w:sz w:val="32"/>
          <w:szCs w:val="32"/>
        </w:rPr>
        <w:t>各位代表，2025年我们将在镇党委的正确领导下，镇人大的监督指导下，坚定信念，稳步前行，创新思路、开源节流，为圆满实现财政预算目标而努力奋斗。</w:t>
      </w:r>
    </w:p>
    <w:p>
      <w:pPr>
        <w:widowControl/>
        <w:spacing w:line="520" w:lineRule="atLeast"/>
        <w:ind w:firstLine="600"/>
        <w:rPr>
          <w:rFonts w:hint="eastAsia" w:ascii="仿宋" w:hAnsi="仿宋" w:eastAsia="仿宋"/>
          <w:sz w:val="32"/>
          <w:szCs w:val="32"/>
        </w:rPr>
      </w:pPr>
    </w:p>
    <w:p>
      <w:pPr>
        <w:ind w:firstLine="640" w:firstLineChars="200"/>
        <w:rPr>
          <w:rFonts w:hint="eastAsia" w:ascii="仿宋" w:hAnsi="仿宋" w:eastAsia="仿宋"/>
          <w:sz w:val="32"/>
          <w:szCs w:val="32"/>
        </w:rPr>
      </w:pPr>
    </w:p>
    <w:p>
      <w:pPr>
        <w:spacing w:line="560" w:lineRule="exact"/>
        <w:ind w:firstLine="640" w:firstLineChars="200"/>
        <w:rPr>
          <w:rFonts w:hint="eastAsia" w:ascii="仿宋" w:hAnsi="仿宋" w:eastAsia="仿宋"/>
          <w:sz w:val="32"/>
          <w:szCs w:val="32"/>
        </w:rPr>
      </w:pPr>
    </w:p>
    <w:p>
      <w:pPr>
        <w:ind w:firstLine="630"/>
        <w:jc w:val="left"/>
        <w:rPr>
          <w:rFonts w:hint="eastAsia" w:ascii="仿宋" w:hAnsi="仿宋" w:eastAsia="仿宋"/>
          <w:sz w:val="32"/>
          <w:szCs w:val="32"/>
        </w:rPr>
      </w:pPr>
    </w:p>
    <w:p>
      <w:pPr>
        <w:ind w:firstLine="320" w:firstLineChars="100"/>
        <w:jc w:val="left"/>
        <w:rPr>
          <w:rFonts w:hint="eastAsia" w:ascii="仿宋" w:hAnsi="仿宋" w:eastAsia="仿宋"/>
          <w:sz w:val="32"/>
          <w:szCs w:val="32"/>
        </w:rPr>
      </w:pPr>
      <w:r>
        <w:rPr>
          <w:rFonts w:hint="eastAsia" w:ascii="仿宋" w:hAnsi="仿宋" w:eastAsia="仿宋"/>
          <w:sz w:val="32"/>
          <w:szCs w:val="32"/>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7A"/>
    <w:family w:val="auto"/>
    <w:pitch w:val="default"/>
    <w:sig w:usb0="00000000" w:usb1="00000000" w:usb2="00000009" w:usb3="00000000" w:csb0="400001FF" w:csb1="FFFF0000"/>
  </w:font>
  <w:font w:name="宋体">
    <w:altName w:val="文泉驿微米黑"/>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Nimbus Roman No9 L">
    <w:panose1 w:val="00000000000000000000"/>
    <w:charset w:val="00"/>
    <w:family w:val="auto"/>
    <w:pitch w:val="default"/>
    <w:sig w:usb0="00000000" w:usb1="00000000" w:usb2="00000000" w:usb3="00000000" w:csb0="0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文泉驿微米黑">
    <w:panose1 w:val="020B0606030804020204"/>
    <w:charset w:val="86"/>
    <w:family w:val="auto"/>
    <w:pitch w:val="default"/>
    <w:sig w:usb0="E10002EF" w:usb1="6BDFFCFB" w:usb2="00800036" w:usb3="00000000" w:csb0="603E019F" w:csb1="DFD7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Cambria">
    <w:altName w:val="Noto Sans Syriac Eastern"/>
    <w:panose1 w:val="02040503050406030204"/>
    <w:charset w:val="00"/>
    <w:family w:val="roman"/>
    <w:pitch w:val="default"/>
    <w:sig w:usb0="00000000" w:usb1="00000000" w:usb2="02000000" w:usb3="00000000" w:csb0="0000019F" w:csb1="00000000"/>
  </w:font>
  <w:font w:name="Noto Sans Syriac Eastern">
    <w:panose1 w:val="02040503050306020203"/>
    <w:charset w:val="86"/>
    <w:family w:val="auto"/>
    <w:pitch w:val="default"/>
    <w:sig w:usb0="00000000" w:usb1="00000000" w:usb2="00000080" w:usb3="00000000" w:csb0="203E0161" w:csb1="D7FF0000"/>
  </w:font>
  <w:font w:name="仿宋">
    <w:altName w:val="文泉驿微米黑"/>
    <w:panose1 w:val="02010609060101010101"/>
    <w:charset w:val="86"/>
    <w:family w:val="modern"/>
    <w:pitch w:val="default"/>
    <w:sig w:usb0="00000000" w:usb1="00000000"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A974A4"/>
    <w:multiLevelType w:val="multilevel"/>
    <w:tmpl w:val="29A974A4"/>
    <w:lvl w:ilvl="0" w:tentative="0">
      <w:start w:val="1"/>
      <w:numFmt w:val="decimal"/>
      <w:lvlText w:val="（%1）"/>
      <w:lvlJc w:val="left"/>
      <w:pPr>
        <w:ind w:left="1720" w:hanging="108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1">
    <w:nsid w:val="51EE6034"/>
    <w:multiLevelType w:val="multilevel"/>
    <w:tmpl w:val="51EE6034"/>
    <w:lvl w:ilvl="0" w:tentative="0">
      <w:start w:val="1"/>
      <w:numFmt w:val="decimal"/>
      <w:lvlText w:val="%1."/>
      <w:lvlJc w:val="left"/>
      <w:pPr>
        <w:ind w:left="680" w:hanging="360"/>
      </w:pPr>
      <w:rPr>
        <w:rFonts w:hint="default"/>
      </w:rPr>
    </w:lvl>
    <w:lvl w:ilvl="1" w:tentative="0">
      <w:start w:val="1"/>
      <w:numFmt w:val="lowerLetter"/>
      <w:lvlText w:val="%2)"/>
      <w:lvlJc w:val="left"/>
      <w:pPr>
        <w:ind w:left="1160" w:hanging="420"/>
      </w:pPr>
    </w:lvl>
    <w:lvl w:ilvl="2" w:tentative="0">
      <w:start w:val="1"/>
      <w:numFmt w:val="lowerRoman"/>
      <w:lvlText w:val="%3."/>
      <w:lvlJc w:val="right"/>
      <w:pPr>
        <w:ind w:left="1580" w:hanging="420"/>
      </w:pPr>
    </w:lvl>
    <w:lvl w:ilvl="3" w:tentative="0">
      <w:start w:val="1"/>
      <w:numFmt w:val="decimal"/>
      <w:lvlText w:val="%4."/>
      <w:lvlJc w:val="left"/>
      <w:pPr>
        <w:ind w:left="2000" w:hanging="420"/>
      </w:pPr>
    </w:lvl>
    <w:lvl w:ilvl="4" w:tentative="0">
      <w:start w:val="1"/>
      <w:numFmt w:val="lowerLetter"/>
      <w:lvlText w:val="%5)"/>
      <w:lvlJc w:val="left"/>
      <w:pPr>
        <w:ind w:left="2420" w:hanging="420"/>
      </w:pPr>
    </w:lvl>
    <w:lvl w:ilvl="5" w:tentative="0">
      <w:start w:val="1"/>
      <w:numFmt w:val="lowerRoman"/>
      <w:lvlText w:val="%6."/>
      <w:lvlJc w:val="right"/>
      <w:pPr>
        <w:ind w:left="2840" w:hanging="420"/>
      </w:pPr>
    </w:lvl>
    <w:lvl w:ilvl="6" w:tentative="0">
      <w:start w:val="1"/>
      <w:numFmt w:val="decimal"/>
      <w:lvlText w:val="%7."/>
      <w:lvlJc w:val="left"/>
      <w:pPr>
        <w:ind w:left="3260" w:hanging="420"/>
      </w:pPr>
    </w:lvl>
    <w:lvl w:ilvl="7" w:tentative="0">
      <w:start w:val="1"/>
      <w:numFmt w:val="lowerLetter"/>
      <w:lvlText w:val="%8)"/>
      <w:lvlJc w:val="left"/>
      <w:pPr>
        <w:ind w:left="3680" w:hanging="420"/>
      </w:pPr>
    </w:lvl>
    <w:lvl w:ilvl="8" w:tentative="0">
      <w:start w:val="1"/>
      <w:numFmt w:val="lowerRoman"/>
      <w:lvlText w:val="%9."/>
      <w:lvlJc w:val="right"/>
      <w:pPr>
        <w:ind w:left="410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M1ZGI1MWNjYTM2NTEyNmM0OWJlOWNkZTYxZGRhNmUifQ=="/>
    <w:docVar w:name="KSO_WPS_MARK_KEY" w:val="66b20e9c-1bfd-4b94-b771-5347088537b9"/>
  </w:docVars>
  <w:rsids>
    <w:rsidRoot w:val="00A54E6C"/>
    <w:rsid w:val="000079DF"/>
    <w:rsid w:val="00007A14"/>
    <w:rsid w:val="00020461"/>
    <w:rsid w:val="00021ADC"/>
    <w:rsid w:val="000279C3"/>
    <w:rsid w:val="00033748"/>
    <w:rsid w:val="000358E9"/>
    <w:rsid w:val="000455D7"/>
    <w:rsid w:val="000532A9"/>
    <w:rsid w:val="00074282"/>
    <w:rsid w:val="00075831"/>
    <w:rsid w:val="000773FB"/>
    <w:rsid w:val="00082269"/>
    <w:rsid w:val="0009552D"/>
    <w:rsid w:val="000B0720"/>
    <w:rsid w:val="000B3C2F"/>
    <w:rsid w:val="000C2F82"/>
    <w:rsid w:val="000C6C8E"/>
    <w:rsid w:val="000D0C7E"/>
    <w:rsid w:val="000D7B9E"/>
    <w:rsid w:val="000E131F"/>
    <w:rsid w:val="0011524F"/>
    <w:rsid w:val="00131408"/>
    <w:rsid w:val="0014344C"/>
    <w:rsid w:val="00153168"/>
    <w:rsid w:val="0016500E"/>
    <w:rsid w:val="00191ECF"/>
    <w:rsid w:val="0019283A"/>
    <w:rsid w:val="00193739"/>
    <w:rsid w:val="00196754"/>
    <w:rsid w:val="001B05AF"/>
    <w:rsid w:val="001F320E"/>
    <w:rsid w:val="00213019"/>
    <w:rsid w:val="00241A7C"/>
    <w:rsid w:val="00242179"/>
    <w:rsid w:val="002509D0"/>
    <w:rsid w:val="00254EF3"/>
    <w:rsid w:val="00261594"/>
    <w:rsid w:val="00261CB8"/>
    <w:rsid w:val="0027445C"/>
    <w:rsid w:val="00283182"/>
    <w:rsid w:val="0028649E"/>
    <w:rsid w:val="002A0FB3"/>
    <w:rsid w:val="002C71ED"/>
    <w:rsid w:val="002D1DBF"/>
    <w:rsid w:val="002D63DC"/>
    <w:rsid w:val="002D72E1"/>
    <w:rsid w:val="002D7FA5"/>
    <w:rsid w:val="002E5EA4"/>
    <w:rsid w:val="002F5E07"/>
    <w:rsid w:val="00325865"/>
    <w:rsid w:val="00327061"/>
    <w:rsid w:val="00330197"/>
    <w:rsid w:val="00350AB1"/>
    <w:rsid w:val="003538C2"/>
    <w:rsid w:val="00353E58"/>
    <w:rsid w:val="003549E2"/>
    <w:rsid w:val="00362243"/>
    <w:rsid w:val="00391725"/>
    <w:rsid w:val="003A1EE4"/>
    <w:rsid w:val="003B1CD0"/>
    <w:rsid w:val="003B5F90"/>
    <w:rsid w:val="003D3B06"/>
    <w:rsid w:val="003D734F"/>
    <w:rsid w:val="003E3653"/>
    <w:rsid w:val="003E7112"/>
    <w:rsid w:val="003F12B6"/>
    <w:rsid w:val="003F5D49"/>
    <w:rsid w:val="003F6508"/>
    <w:rsid w:val="003F6C27"/>
    <w:rsid w:val="00407D44"/>
    <w:rsid w:val="00412A84"/>
    <w:rsid w:val="00422B28"/>
    <w:rsid w:val="004448C9"/>
    <w:rsid w:val="004648BC"/>
    <w:rsid w:val="00482DAE"/>
    <w:rsid w:val="0048723A"/>
    <w:rsid w:val="0049284D"/>
    <w:rsid w:val="004946EE"/>
    <w:rsid w:val="004A54EA"/>
    <w:rsid w:val="004B2773"/>
    <w:rsid w:val="004C56CE"/>
    <w:rsid w:val="004D4CAC"/>
    <w:rsid w:val="004D7684"/>
    <w:rsid w:val="005013CA"/>
    <w:rsid w:val="00504363"/>
    <w:rsid w:val="00514215"/>
    <w:rsid w:val="0051664A"/>
    <w:rsid w:val="00517BE4"/>
    <w:rsid w:val="005215D9"/>
    <w:rsid w:val="0053064D"/>
    <w:rsid w:val="0056273F"/>
    <w:rsid w:val="00572C4B"/>
    <w:rsid w:val="00575BCD"/>
    <w:rsid w:val="0058573B"/>
    <w:rsid w:val="00595592"/>
    <w:rsid w:val="005A07F9"/>
    <w:rsid w:val="005A6D70"/>
    <w:rsid w:val="005C106F"/>
    <w:rsid w:val="005C13A5"/>
    <w:rsid w:val="005C6485"/>
    <w:rsid w:val="005D6719"/>
    <w:rsid w:val="005E28FD"/>
    <w:rsid w:val="005E3638"/>
    <w:rsid w:val="00602295"/>
    <w:rsid w:val="0061192A"/>
    <w:rsid w:val="00621906"/>
    <w:rsid w:val="00625A8F"/>
    <w:rsid w:val="00630294"/>
    <w:rsid w:val="00632306"/>
    <w:rsid w:val="0063570E"/>
    <w:rsid w:val="00650698"/>
    <w:rsid w:val="0067305A"/>
    <w:rsid w:val="00690162"/>
    <w:rsid w:val="0069057C"/>
    <w:rsid w:val="00696A05"/>
    <w:rsid w:val="0069768D"/>
    <w:rsid w:val="006A5F33"/>
    <w:rsid w:val="006F2880"/>
    <w:rsid w:val="00707C8A"/>
    <w:rsid w:val="0071063F"/>
    <w:rsid w:val="0071757B"/>
    <w:rsid w:val="007239A1"/>
    <w:rsid w:val="00724D93"/>
    <w:rsid w:val="00731848"/>
    <w:rsid w:val="00744EA9"/>
    <w:rsid w:val="00762F78"/>
    <w:rsid w:val="007A29BB"/>
    <w:rsid w:val="007A3C06"/>
    <w:rsid w:val="007B10D3"/>
    <w:rsid w:val="007B1146"/>
    <w:rsid w:val="007D0BD4"/>
    <w:rsid w:val="007D7984"/>
    <w:rsid w:val="007E6CD7"/>
    <w:rsid w:val="007F2FDB"/>
    <w:rsid w:val="008135BD"/>
    <w:rsid w:val="00837957"/>
    <w:rsid w:val="008464C1"/>
    <w:rsid w:val="00852A58"/>
    <w:rsid w:val="008548CD"/>
    <w:rsid w:val="00874490"/>
    <w:rsid w:val="00880B27"/>
    <w:rsid w:val="00893555"/>
    <w:rsid w:val="008A59F1"/>
    <w:rsid w:val="008B1CDE"/>
    <w:rsid w:val="008B2DCA"/>
    <w:rsid w:val="008C1668"/>
    <w:rsid w:val="008C21EA"/>
    <w:rsid w:val="008C3BC9"/>
    <w:rsid w:val="008C507C"/>
    <w:rsid w:val="008D47AA"/>
    <w:rsid w:val="008E186F"/>
    <w:rsid w:val="008E37B7"/>
    <w:rsid w:val="008E60BF"/>
    <w:rsid w:val="008F0C46"/>
    <w:rsid w:val="0090600D"/>
    <w:rsid w:val="00917005"/>
    <w:rsid w:val="00921A4A"/>
    <w:rsid w:val="00950709"/>
    <w:rsid w:val="00951A3A"/>
    <w:rsid w:val="0095451E"/>
    <w:rsid w:val="009576D7"/>
    <w:rsid w:val="009604BB"/>
    <w:rsid w:val="00961C6C"/>
    <w:rsid w:val="009736E0"/>
    <w:rsid w:val="00977037"/>
    <w:rsid w:val="00984843"/>
    <w:rsid w:val="00987A37"/>
    <w:rsid w:val="0099735B"/>
    <w:rsid w:val="009A08D8"/>
    <w:rsid w:val="009B1B67"/>
    <w:rsid w:val="009B3F0C"/>
    <w:rsid w:val="009B6F9D"/>
    <w:rsid w:val="009C410C"/>
    <w:rsid w:val="009E297D"/>
    <w:rsid w:val="009F0851"/>
    <w:rsid w:val="00A00642"/>
    <w:rsid w:val="00A006FB"/>
    <w:rsid w:val="00A01ED5"/>
    <w:rsid w:val="00A13CDF"/>
    <w:rsid w:val="00A23F3E"/>
    <w:rsid w:val="00A36E08"/>
    <w:rsid w:val="00A409A9"/>
    <w:rsid w:val="00A501FC"/>
    <w:rsid w:val="00A54E6C"/>
    <w:rsid w:val="00A56025"/>
    <w:rsid w:val="00A745B0"/>
    <w:rsid w:val="00A807ED"/>
    <w:rsid w:val="00AA4317"/>
    <w:rsid w:val="00AC0196"/>
    <w:rsid w:val="00AE4646"/>
    <w:rsid w:val="00B11598"/>
    <w:rsid w:val="00B16973"/>
    <w:rsid w:val="00B21CD4"/>
    <w:rsid w:val="00B56FCD"/>
    <w:rsid w:val="00B60570"/>
    <w:rsid w:val="00B71B53"/>
    <w:rsid w:val="00B7348E"/>
    <w:rsid w:val="00BC3B95"/>
    <w:rsid w:val="00BD2616"/>
    <w:rsid w:val="00BD429B"/>
    <w:rsid w:val="00BD5E9A"/>
    <w:rsid w:val="00BE1953"/>
    <w:rsid w:val="00BF25A5"/>
    <w:rsid w:val="00C1244C"/>
    <w:rsid w:val="00C132A3"/>
    <w:rsid w:val="00C2216B"/>
    <w:rsid w:val="00C41F81"/>
    <w:rsid w:val="00C453CE"/>
    <w:rsid w:val="00C57578"/>
    <w:rsid w:val="00C61DFF"/>
    <w:rsid w:val="00C841BC"/>
    <w:rsid w:val="00C92354"/>
    <w:rsid w:val="00C9597B"/>
    <w:rsid w:val="00CA147C"/>
    <w:rsid w:val="00CA2E28"/>
    <w:rsid w:val="00CA6D15"/>
    <w:rsid w:val="00CD22BA"/>
    <w:rsid w:val="00CD47C0"/>
    <w:rsid w:val="00D056FF"/>
    <w:rsid w:val="00D24CAF"/>
    <w:rsid w:val="00D3754C"/>
    <w:rsid w:val="00D54393"/>
    <w:rsid w:val="00D639F5"/>
    <w:rsid w:val="00D648B4"/>
    <w:rsid w:val="00D70D1B"/>
    <w:rsid w:val="00D71F98"/>
    <w:rsid w:val="00D8465A"/>
    <w:rsid w:val="00DA2405"/>
    <w:rsid w:val="00DA70A9"/>
    <w:rsid w:val="00DC2F12"/>
    <w:rsid w:val="00DD0D8B"/>
    <w:rsid w:val="00DD5168"/>
    <w:rsid w:val="00DD65DE"/>
    <w:rsid w:val="00DF08F9"/>
    <w:rsid w:val="00DF6196"/>
    <w:rsid w:val="00E11330"/>
    <w:rsid w:val="00E23C3F"/>
    <w:rsid w:val="00E31960"/>
    <w:rsid w:val="00E464AE"/>
    <w:rsid w:val="00E61C46"/>
    <w:rsid w:val="00E644C4"/>
    <w:rsid w:val="00E64D85"/>
    <w:rsid w:val="00EA50B3"/>
    <w:rsid w:val="00EB0236"/>
    <w:rsid w:val="00EB6445"/>
    <w:rsid w:val="00EB6D6D"/>
    <w:rsid w:val="00EC15E9"/>
    <w:rsid w:val="00EC2D23"/>
    <w:rsid w:val="00ED4754"/>
    <w:rsid w:val="00F00156"/>
    <w:rsid w:val="00F0623D"/>
    <w:rsid w:val="00F1270D"/>
    <w:rsid w:val="00F14C3D"/>
    <w:rsid w:val="00F25894"/>
    <w:rsid w:val="00F32622"/>
    <w:rsid w:val="00F32AD3"/>
    <w:rsid w:val="00F44403"/>
    <w:rsid w:val="00F5182D"/>
    <w:rsid w:val="00F64828"/>
    <w:rsid w:val="00F70175"/>
    <w:rsid w:val="00F702F3"/>
    <w:rsid w:val="00F721B7"/>
    <w:rsid w:val="00F81A77"/>
    <w:rsid w:val="00F97261"/>
    <w:rsid w:val="00FA7287"/>
    <w:rsid w:val="00FB7B51"/>
    <w:rsid w:val="00FF34F3"/>
    <w:rsid w:val="00FF3DD8"/>
    <w:rsid w:val="04F2607F"/>
    <w:rsid w:val="31C85BD5"/>
    <w:rsid w:val="77FC0B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15"/>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6"/>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17"/>
    <w:unhideWhenUsed/>
    <w:qFormat/>
    <w:uiPriority w:val="9"/>
    <w:pPr>
      <w:keepNext/>
      <w:keepLines/>
      <w:spacing w:before="260" w:after="260" w:line="416" w:lineRule="auto"/>
      <w:outlineLvl w:val="2"/>
    </w:pPr>
    <w:rPr>
      <w:b/>
      <w:bCs/>
      <w:sz w:val="32"/>
      <w:szCs w:val="32"/>
    </w:rPr>
  </w:style>
  <w:style w:type="paragraph" w:styleId="6">
    <w:name w:val="heading 4"/>
    <w:basedOn w:val="1"/>
    <w:next w:val="1"/>
    <w:link w:val="18"/>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footer"/>
    <w:basedOn w:val="1"/>
    <w:next w:val="1"/>
    <w:link w:val="12"/>
    <w:semiHidden/>
    <w:unhideWhenUsed/>
    <w:qFormat/>
    <w:uiPriority w:val="99"/>
    <w:pPr>
      <w:tabs>
        <w:tab w:val="center" w:pos="4153"/>
        <w:tab w:val="right" w:pos="8306"/>
      </w:tabs>
      <w:snapToGrid w:val="0"/>
      <w:jc w:val="left"/>
    </w:pPr>
    <w:rPr>
      <w:sz w:val="18"/>
      <w:szCs w:val="18"/>
    </w:rPr>
  </w:style>
  <w:style w:type="paragraph" w:styleId="7">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1">
    <w:name w:val="页眉 字符"/>
    <w:basedOn w:val="10"/>
    <w:link w:val="7"/>
    <w:semiHidden/>
    <w:qFormat/>
    <w:uiPriority w:val="99"/>
    <w:rPr>
      <w:sz w:val="18"/>
      <w:szCs w:val="18"/>
    </w:rPr>
  </w:style>
  <w:style w:type="character" w:customStyle="1" w:styleId="12">
    <w:name w:val="页脚 字符"/>
    <w:basedOn w:val="10"/>
    <w:link w:val="2"/>
    <w:semiHidden/>
    <w:qFormat/>
    <w:uiPriority w:val="99"/>
    <w:rPr>
      <w:sz w:val="18"/>
      <w:szCs w:val="18"/>
    </w:rPr>
  </w:style>
  <w:style w:type="paragraph" w:styleId="13">
    <w:name w:val="List Paragraph"/>
    <w:basedOn w:val="1"/>
    <w:qFormat/>
    <w:uiPriority w:val="34"/>
    <w:pPr>
      <w:ind w:firstLine="420" w:firstLineChars="200"/>
    </w:pPr>
  </w:style>
  <w:style w:type="paragraph" w:styleId="14">
    <w:name w:val="No Spacing"/>
    <w:qFormat/>
    <w:uiPriority w:val="1"/>
    <w:pPr>
      <w:widowControl w:val="0"/>
      <w:jc w:val="both"/>
    </w:pPr>
    <w:rPr>
      <w:rFonts w:asciiTheme="minorHAnsi" w:hAnsiTheme="minorHAnsi" w:eastAsiaTheme="minorEastAsia" w:cstheme="minorBidi"/>
      <w:kern w:val="2"/>
      <w:sz w:val="21"/>
      <w:szCs w:val="22"/>
      <w:lang w:val="en-US" w:eastAsia="zh-CN" w:bidi="ar-SA"/>
    </w:rPr>
  </w:style>
  <w:style w:type="character" w:customStyle="1" w:styleId="15">
    <w:name w:val="标题 1 字符"/>
    <w:basedOn w:val="10"/>
    <w:link w:val="3"/>
    <w:qFormat/>
    <w:uiPriority w:val="9"/>
    <w:rPr>
      <w:b/>
      <w:bCs/>
      <w:kern w:val="44"/>
      <w:sz w:val="44"/>
      <w:szCs w:val="44"/>
    </w:rPr>
  </w:style>
  <w:style w:type="character" w:customStyle="1" w:styleId="16">
    <w:name w:val="标题 2 字符"/>
    <w:basedOn w:val="10"/>
    <w:link w:val="4"/>
    <w:qFormat/>
    <w:uiPriority w:val="9"/>
    <w:rPr>
      <w:rFonts w:asciiTheme="majorHAnsi" w:hAnsiTheme="majorHAnsi" w:eastAsiaTheme="majorEastAsia" w:cstheme="majorBidi"/>
      <w:b/>
      <w:bCs/>
      <w:sz w:val="32"/>
      <w:szCs w:val="32"/>
    </w:rPr>
  </w:style>
  <w:style w:type="character" w:customStyle="1" w:styleId="17">
    <w:name w:val="标题 3 字符"/>
    <w:basedOn w:val="10"/>
    <w:link w:val="5"/>
    <w:qFormat/>
    <w:uiPriority w:val="9"/>
    <w:rPr>
      <w:b/>
      <w:bCs/>
      <w:sz w:val="32"/>
      <w:szCs w:val="32"/>
    </w:rPr>
  </w:style>
  <w:style w:type="character" w:customStyle="1" w:styleId="18">
    <w:name w:val="标题 4 字符"/>
    <w:basedOn w:val="10"/>
    <w:link w:val="6"/>
    <w:qFormat/>
    <w:uiPriority w:val="9"/>
    <w:rPr>
      <w:rFonts w:asciiTheme="majorHAnsi" w:hAnsiTheme="majorHAnsi" w:eastAsiaTheme="majorEastAsia" w:cstheme="majorBidi"/>
      <w:b/>
      <w:bCs/>
      <w:sz w:val="28"/>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崇明区</Company>
  <Pages>11</Pages>
  <Words>833</Words>
  <Characters>4751</Characters>
  <Lines>39</Lines>
  <Paragraphs>11</Paragraphs>
  <TotalTime>1</TotalTime>
  <ScaleCrop>false</ScaleCrop>
  <LinksUpToDate>false</LinksUpToDate>
  <CharactersWithSpaces>5573</CharactersWithSpaces>
  <Application>WPS Office_11.1.0.11719_F1E327BC-269C-435d-A152-05C5408002CA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2024-12-26T21:11:00Z</dcterms:created>
  <dc:creator>AutoBVT</dc:creator>
  <cp:lastModifiedBy>user</cp:lastModifiedBy>
  <cp:lastPrinted>2024-01-03T15:53:00Z</cp:lastPrinted>
  <dcterms:modified xsi:type="dcterms:W3CDTF">2024-12-30T10:01:01Z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2052-11.1.0.11719</vt:lpwstr>
  </property>
  <property fmtid="{D5CDD505-2E9C-101B-9397-08002B2CF9AE}" pid="3" name="ICV">
    <vt:lpwstr>114ADB567E7B4C90BEE39958AB4B5C31</vt:lpwstr>
  </property>
</Properties>
</file>