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rPr>
          <w:rFonts w:hint="eastAsia" w:ascii="仿宋_GB2312" w:hAnsi="Times New Roman" w:eastAsia="黑体"/>
          <w:color w:val="000000"/>
          <w:sz w:val="32"/>
          <w:szCs w:val="32"/>
          <w:lang w:eastAsia="zh-CN"/>
        </w:rPr>
      </w:pPr>
      <w:r>
        <w:rPr>
          <w:rFonts w:hint="eastAsia" w:ascii="仿宋_GB2312" w:hAnsi="Times New Roman"/>
          <w:color w:val="000000"/>
          <w:sz w:val="32"/>
          <w:szCs w:val="32"/>
          <w:lang w:eastAsia="zh-CN"/>
        </w:rPr>
        <w:t>附件</w:t>
      </w:r>
    </w:p>
    <w:p>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t>上海市</w:t>
      </w:r>
      <w:r>
        <w:rPr>
          <w:rFonts w:hint="eastAsia" w:ascii="方正小标宋简体" w:hAnsi="方正小标宋简体" w:eastAsia="方正小标宋简体" w:cs="方正小标宋简体"/>
          <w:b w:val="0"/>
          <w:bCs w:val="0"/>
          <w:color w:val="auto"/>
          <w:sz w:val="44"/>
          <w:szCs w:val="44"/>
          <w:lang w:eastAsia="zh-CN"/>
        </w:rPr>
        <w:t>崇明区</w:t>
      </w:r>
      <w:r>
        <w:rPr>
          <w:rFonts w:hint="eastAsia" w:ascii="方正小标宋简体" w:hAnsi="方正小标宋简体" w:eastAsia="方正小标宋简体" w:cs="方正小标宋简体"/>
          <w:b w:val="0"/>
          <w:bCs w:val="0"/>
          <w:color w:val="auto"/>
          <w:sz w:val="44"/>
          <w:szCs w:val="44"/>
        </w:rPr>
        <w:t>重大事故隐患专项排查整治</w:t>
      </w:r>
    </w:p>
    <w:p>
      <w:pPr>
        <w:keepNext w:val="0"/>
        <w:keepLines w:val="0"/>
        <w:pageBreakBefore w:val="0"/>
        <w:widowControl w:val="0"/>
        <w:kinsoku/>
        <w:wordWrap/>
        <w:overflowPunct/>
        <w:topLinePunct w:val="0"/>
        <w:autoSpaceDE/>
        <w:autoSpaceDN/>
        <w:bidi w:val="0"/>
        <w:spacing w:line="560" w:lineRule="exact"/>
        <w:jc w:val="center"/>
        <w:textAlignment w:val="auto"/>
        <w:outlineLvl w:val="9"/>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t>2023行动工作</w:t>
      </w:r>
      <w:r>
        <w:rPr>
          <w:rFonts w:hint="eastAsia" w:ascii="方正小标宋简体" w:hAnsi="方正小标宋简体" w:eastAsia="方正小标宋简体" w:cs="方正小标宋简体"/>
          <w:b w:val="0"/>
          <w:bCs w:val="0"/>
          <w:color w:val="auto"/>
          <w:sz w:val="44"/>
          <w:szCs w:val="44"/>
          <w:lang w:eastAsia="zh-CN"/>
        </w:rPr>
        <w:t>实施</w:t>
      </w:r>
      <w:r>
        <w:rPr>
          <w:rFonts w:hint="eastAsia" w:ascii="方正小标宋简体" w:hAnsi="方正小标宋简体" w:eastAsia="方正小标宋简体" w:cs="方正小标宋简体"/>
          <w:b w:val="0"/>
          <w:bCs w:val="0"/>
          <w:color w:val="auto"/>
          <w:sz w:val="44"/>
          <w:szCs w:val="44"/>
        </w:rPr>
        <w:t>方案</w:t>
      </w:r>
    </w:p>
    <w:p>
      <w:pPr>
        <w:pStyle w:val="3"/>
        <w:ind w:left="0" w:leftChars="0"/>
        <w:jc w:val="center"/>
        <w:rPr>
          <w:rFonts w:hint="eastAsia" w:ascii="楷体_GB2312" w:hAnsi="楷体_GB2312" w:eastAsia="楷体_GB2312" w:cs="楷体_GB2312"/>
          <w:lang w:eastAsia="zh-CN"/>
        </w:rPr>
      </w:pPr>
      <w:r>
        <w:rPr>
          <w:rFonts w:hint="eastAsia" w:ascii="楷体_GB2312" w:hAnsi="楷体_GB2312" w:eastAsia="楷体_GB2312" w:cs="楷体_GB2312"/>
          <w:b w:val="0"/>
          <w:bCs w:val="0"/>
          <w:color w:val="auto"/>
          <w:sz w:val="32"/>
          <w:szCs w:val="32"/>
          <w:lang w:eastAsia="zh-CN"/>
        </w:rPr>
        <w:t>（送审稿）</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ascii="宋体" w:hAnsi="宋体" w:eastAsia="仿宋_GB2312" w:cs="仿宋_GB2312"/>
          <w:color w:val="auto"/>
          <w:sz w:val="32"/>
          <w:szCs w:val="32"/>
        </w:rPr>
      </w:pP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宋体" w:hAnsi="宋体" w:eastAsia="仿宋_GB2312" w:cs="仿宋_GB2312"/>
          <w:color w:val="auto"/>
          <w:sz w:val="32"/>
          <w:szCs w:val="32"/>
        </w:rPr>
      </w:pPr>
      <w:r>
        <w:rPr>
          <w:rFonts w:hint="eastAsia" w:ascii="仿宋_GB2312" w:hAnsi="仿宋_GB2312" w:eastAsia="仿宋_GB2312" w:cs="仿宋_GB2312"/>
          <w:color w:val="auto"/>
          <w:sz w:val="32"/>
          <w:szCs w:val="32"/>
        </w:rPr>
        <w:t>为认真贯彻落实党的二十大精神和习近平总书记关于安</w:t>
      </w:r>
      <w:bookmarkStart w:id="0" w:name="_GoBack"/>
      <w:bookmarkEnd w:id="0"/>
      <w:r>
        <w:rPr>
          <w:rFonts w:hint="eastAsia" w:ascii="仿宋_GB2312" w:hAnsi="仿宋_GB2312" w:eastAsia="仿宋_GB2312" w:cs="仿宋_GB2312"/>
          <w:color w:val="auto"/>
          <w:sz w:val="32"/>
          <w:szCs w:val="32"/>
        </w:rPr>
        <w:t>全生产重要论述，根据全国安全防范工作视频会议和市</w:t>
      </w:r>
      <w:r>
        <w:rPr>
          <w:rFonts w:hint="eastAsia" w:ascii="仿宋_GB2312" w:hAnsi="仿宋_GB2312" w:cs="仿宋_GB2312"/>
          <w:color w:val="auto"/>
          <w:sz w:val="32"/>
          <w:szCs w:val="32"/>
          <w:lang w:eastAsia="zh-CN"/>
        </w:rPr>
        <w:t>、</w:t>
      </w:r>
      <w:r>
        <w:rPr>
          <w:rFonts w:hint="eastAsia" w:ascii="仿宋_GB2312" w:hAnsi="仿宋_GB2312" w:eastAsia="仿宋_GB2312" w:cs="仿宋_GB2312"/>
          <w:color w:val="auto"/>
          <w:sz w:val="32"/>
          <w:szCs w:val="32"/>
        </w:rPr>
        <w:t>区</w:t>
      </w:r>
      <w:r>
        <w:rPr>
          <w:rFonts w:hint="eastAsia" w:ascii="仿宋_GB2312" w:hAnsi="仿宋_GB2312" w:cs="仿宋_GB2312"/>
          <w:color w:val="auto"/>
          <w:sz w:val="32"/>
          <w:szCs w:val="32"/>
          <w:lang w:eastAsia="zh-CN"/>
        </w:rPr>
        <w:t>两级党委政府</w:t>
      </w:r>
      <w:r>
        <w:rPr>
          <w:rFonts w:hint="eastAsia" w:ascii="仿宋_GB2312" w:hAnsi="仿宋_GB2312" w:eastAsia="仿宋_GB2312" w:cs="仿宋_GB2312"/>
          <w:color w:val="auto"/>
          <w:sz w:val="32"/>
          <w:szCs w:val="32"/>
        </w:rPr>
        <w:t>工作部署，深刻</w:t>
      </w:r>
      <w:r>
        <w:rPr>
          <w:rFonts w:hint="eastAsia" w:ascii="仿宋_GB2312" w:hAnsi="仿宋_GB2312" w:cs="仿宋_GB2312"/>
          <w:color w:val="auto"/>
          <w:sz w:val="32"/>
          <w:szCs w:val="32"/>
          <w:highlight w:val="none"/>
          <w:lang w:eastAsia="zh-CN"/>
        </w:rPr>
        <w:t>吸取</w:t>
      </w:r>
      <w:r>
        <w:rPr>
          <w:rFonts w:hint="eastAsia" w:ascii="仿宋_GB2312" w:hAnsi="仿宋_GB2312" w:eastAsia="仿宋_GB2312" w:cs="仿宋_GB2312"/>
          <w:color w:val="auto"/>
          <w:sz w:val="32"/>
          <w:szCs w:val="32"/>
          <w:highlight w:val="none"/>
        </w:rPr>
        <w:t>今年以来发生的重大事故教训，推动重大安全风险防控措施落实，</w:t>
      </w:r>
      <w:r>
        <w:rPr>
          <w:rFonts w:hint="eastAsia" w:ascii="仿宋_GB2312" w:hAnsi="仿宋_GB2312" w:eastAsia="仿宋_GB2312" w:cs="仿宋_GB2312"/>
          <w:color w:val="auto"/>
          <w:sz w:val="32"/>
          <w:szCs w:val="32"/>
          <w:highlight w:val="none"/>
          <w:lang w:eastAsia="zh-CN"/>
        </w:rPr>
        <w:t>崇明</w:t>
      </w:r>
      <w:r>
        <w:rPr>
          <w:rFonts w:hint="eastAsia" w:ascii="仿宋_GB2312" w:hAnsi="仿宋_GB2312" w:eastAsia="仿宋_GB2312" w:cs="仿宋_GB2312"/>
          <w:color w:val="auto"/>
          <w:sz w:val="32"/>
          <w:szCs w:val="32"/>
          <w:highlight w:val="none"/>
        </w:rPr>
        <w:t>区安委会</w:t>
      </w:r>
      <w:r>
        <w:rPr>
          <w:rFonts w:hint="eastAsia" w:ascii="仿宋_GB2312" w:hAnsi="仿宋_GB2312" w:eastAsia="仿宋_GB2312" w:cs="仿宋_GB2312"/>
          <w:color w:val="auto"/>
          <w:sz w:val="32"/>
          <w:szCs w:val="32"/>
          <w:lang w:eastAsia="zh-CN"/>
        </w:rPr>
        <w:t>结合本区</w:t>
      </w:r>
      <w:r>
        <w:rPr>
          <w:rFonts w:hint="eastAsia" w:ascii="仿宋_GB2312" w:hAnsi="仿宋_GB2312" w:eastAsia="仿宋_GB2312" w:cs="仿宋_GB2312"/>
          <w:color w:val="auto"/>
          <w:sz w:val="32"/>
          <w:szCs w:val="32"/>
        </w:rPr>
        <w:t>安全生产工作实际及</w:t>
      </w:r>
      <w:r>
        <w:rPr>
          <w:rFonts w:hint="eastAsia" w:ascii="仿宋_GB2312" w:hAnsi="仿宋_GB2312" w:eastAsia="仿宋_GB2312" w:cs="仿宋_GB2312"/>
          <w:color w:val="auto"/>
          <w:sz w:val="32"/>
          <w:szCs w:val="32"/>
          <w:lang w:eastAsia="zh-CN"/>
        </w:rPr>
        <w:t>世界级生态岛</w:t>
      </w:r>
      <w:r>
        <w:rPr>
          <w:rFonts w:hint="eastAsia" w:ascii="仿宋_GB2312" w:hAnsi="仿宋_GB2312" w:eastAsia="仿宋_GB2312" w:cs="仿宋_GB2312"/>
          <w:color w:val="auto"/>
          <w:sz w:val="32"/>
          <w:szCs w:val="32"/>
        </w:rPr>
        <w:t>安全运行风险特点</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在全区范围集中开展重大事故隐患专项排查整治2023行动（以下简称</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专项行动</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color w:val="auto"/>
          <w:sz w:val="32"/>
          <w:szCs w:val="32"/>
          <w:lang w:eastAsia="zh-CN"/>
        </w:rPr>
        <w:t>，</w:t>
      </w:r>
      <w:r>
        <w:rPr>
          <w:rFonts w:hint="eastAsia" w:ascii="仿宋_GB2312" w:hAnsi="仿宋_GB2312" w:cs="仿宋_GB2312"/>
          <w:color w:val="auto"/>
          <w:sz w:val="32"/>
          <w:szCs w:val="32"/>
          <w:lang w:eastAsia="zh-CN"/>
        </w:rPr>
        <w:t>特制定本</w:t>
      </w:r>
      <w:r>
        <w:rPr>
          <w:rFonts w:hint="eastAsia" w:ascii="仿宋_GB2312" w:hAnsi="仿宋_GB2312" w:eastAsia="仿宋_GB2312" w:cs="仿宋_GB2312"/>
          <w:color w:val="auto"/>
          <w:sz w:val="32"/>
          <w:szCs w:val="32"/>
          <w:lang w:eastAsia="zh-CN"/>
        </w:rPr>
        <w:t>实施</w:t>
      </w:r>
      <w:r>
        <w:rPr>
          <w:rFonts w:hint="eastAsia" w:ascii="仿宋_GB2312" w:hAnsi="仿宋_GB2312" w:eastAsia="仿宋_GB2312" w:cs="仿宋_GB2312"/>
          <w:color w:val="auto"/>
          <w:sz w:val="32"/>
          <w:szCs w:val="32"/>
        </w:rPr>
        <w:t>方案。</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ascii="国标黑体" w:hAnsi="国标黑体" w:eastAsia="国标黑体" w:cs="国标黑体"/>
          <w:color w:val="auto"/>
          <w:sz w:val="32"/>
          <w:szCs w:val="32"/>
        </w:rPr>
      </w:pPr>
      <w:r>
        <w:rPr>
          <w:rFonts w:hint="eastAsia" w:ascii="国标黑体" w:hAnsi="国标黑体" w:eastAsia="国标黑体" w:cs="国标黑体"/>
          <w:color w:val="auto"/>
          <w:sz w:val="32"/>
          <w:szCs w:val="32"/>
        </w:rPr>
        <w:t>一、总体要求</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hint="eastAsia" w:ascii="宋体" w:hAnsi="宋体" w:eastAsia="楷体_GB2312" w:cs="楷体_GB2312"/>
          <w:b/>
          <w:bCs/>
          <w:color w:val="auto"/>
          <w:sz w:val="32"/>
          <w:szCs w:val="32"/>
        </w:rPr>
      </w:pPr>
      <w:r>
        <w:rPr>
          <w:rFonts w:hint="eastAsia" w:ascii="宋体" w:hAnsi="宋体" w:eastAsia="楷体_GB2312" w:cs="楷体_GB2312"/>
          <w:b/>
          <w:bCs/>
          <w:color w:val="auto"/>
          <w:sz w:val="32"/>
          <w:szCs w:val="32"/>
        </w:rPr>
        <w:t>（一）工作思路</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ascii="宋体" w:hAnsi="宋体" w:eastAsia="仿宋_GB2312" w:cs="仿宋_GB2312"/>
          <w:color w:val="auto"/>
          <w:sz w:val="32"/>
          <w:szCs w:val="32"/>
        </w:rPr>
      </w:pPr>
      <w:r>
        <w:rPr>
          <w:rFonts w:hint="eastAsia" w:ascii="仿宋_GB2312" w:hAnsi="仿宋_GB2312" w:eastAsia="仿宋_GB2312" w:cs="仿宋_GB2312"/>
          <w:color w:val="auto"/>
          <w:sz w:val="32"/>
          <w:szCs w:val="32"/>
        </w:rPr>
        <w:t>以习近平新时代中国特色社会主义思想为指导，全面贯彻党的二十大精神，坚持人民至上、生命至上，坚持安全第一、预防为主，落实落细</w:t>
      </w:r>
      <w:r>
        <w:rPr>
          <w:rFonts w:hint="eastAsia" w:ascii="仿宋_GB2312" w:hAnsi="仿宋_GB2312" w:cs="仿宋_GB2312"/>
          <w:color w:val="auto"/>
          <w:sz w:val="32"/>
          <w:szCs w:val="32"/>
          <w:lang w:eastAsia="zh-CN"/>
        </w:rPr>
        <w:t>“国务院十五条硬措施”和“本市78条工作举措”</w:t>
      </w:r>
      <w:r>
        <w:rPr>
          <w:rFonts w:hint="eastAsia" w:ascii="仿宋_GB2312" w:hAnsi="仿宋_GB2312" w:eastAsia="仿宋_GB2312" w:cs="仿宋_GB2312"/>
          <w:color w:val="auto"/>
          <w:sz w:val="32"/>
          <w:szCs w:val="32"/>
        </w:rPr>
        <w:t>，继续推动“本区81条具体举措”的贯彻执行</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全面落实企业主体责任、部门监管责任</w:t>
      </w:r>
      <w:r>
        <w:rPr>
          <w:rFonts w:hint="eastAsia" w:ascii="仿宋_GB2312" w:hAnsi="仿宋_GB2312" w:eastAsia="仿宋_GB2312" w:cs="仿宋_GB2312"/>
          <w:color w:val="auto"/>
          <w:sz w:val="32"/>
          <w:szCs w:val="32"/>
          <w:lang w:eastAsia="zh-CN"/>
        </w:rPr>
        <w:t>、属地管理责任</w:t>
      </w:r>
      <w:r>
        <w:rPr>
          <w:rFonts w:hint="eastAsia" w:ascii="仿宋_GB2312" w:hAnsi="仿宋_GB2312" w:eastAsia="仿宋_GB2312" w:cs="仿宋_GB2312"/>
          <w:color w:val="auto"/>
          <w:sz w:val="32"/>
          <w:szCs w:val="32"/>
        </w:rPr>
        <w:t>和党政领导责任，突出危险化学品、交通运输（含道路、水上交通运输）、建筑施工、消防、燃气、渔业船舶、工贸、文化旅游、特种设备、医疗卫生</w:t>
      </w:r>
      <w:r>
        <w:rPr>
          <w:rFonts w:hint="eastAsia" w:ascii="仿宋_GB2312" w:hAnsi="仿宋_GB2312" w:eastAsia="仿宋_GB2312" w:cs="仿宋_GB2312"/>
          <w:color w:val="auto"/>
          <w:sz w:val="32"/>
          <w:szCs w:val="32"/>
          <w:lang w:eastAsia="zh-CN"/>
        </w:rPr>
        <w:t>、</w:t>
      </w:r>
      <w:r>
        <w:rPr>
          <w:rFonts w:hint="eastAsia" w:ascii="仿宋_GB2312" w:hAnsi="仿宋_GB2312" w:cs="仿宋_GB2312"/>
          <w:color w:val="auto"/>
          <w:sz w:val="32"/>
          <w:szCs w:val="32"/>
          <w:lang w:eastAsia="zh-CN"/>
        </w:rPr>
        <w:t>社会福利机构、</w:t>
      </w:r>
      <w:r>
        <w:rPr>
          <w:rFonts w:hint="eastAsia" w:ascii="仿宋_GB2312" w:hAnsi="仿宋_GB2312" w:eastAsia="仿宋_GB2312" w:cs="仿宋_GB2312"/>
          <w:color w:val="auto"/>
          <w:sz w:val="32"/>
          <w:szCs w:val="32"/>
          <w:lang w:eastAsia="zh-CN"/>
        </w:rPr>
        <w:t>危废</w:t>
      </w:r>
      <w:r>
        <w:rPr>
          <w:rFonts w:hint="eastAsia" w:ascii="仿宋_GB2312" w:hAnsi="仿宋_GB2312" w:eastAsia="仿宋_GB2312" w:cs="仿宋_GB2312"/>
          <w:color w:val="auto"/>
          <w:sz w:val="32"/>
          <w:szCs w:val="32"/>
        </w:rPr>
        <w:t>等重点行业领域，兼顾新业态新领域，聚焦可能导致群死群伤的设施设备故障、非法违规行为、安全管理缺陷等重大事故隐患，以强有力精准严格的执法行动，督促推动企业落实主体责任，认真排查和整改重大事故隐患，着力从根本上消除事故隐患、从根本上解决问题，推动安全生产治理模式向事前预防转变，坚决守牢兜住安全发展底线，以高水平安全保障高质量发展。</w:t>
      </w:r>
    </w:p>
    <w:p>
      <w:pPr>
        <w:keepNext w:val="0"/>
        <w:keepLines w:val="0"/>
        <w:pageBreakBefore w:val="0"/>
        <w:widowControl w:val="0"/>
        <w:numPr>
          <w:ilvl w:val="-1"/>
          <w:numId w:val="0"/>
        </w:numPr>
        <w:kinsoku/>
        <w:wordWrap/>
        <w:overflowPunct/>
        <w:topLinePunct w:val="0"/>
        <w:autoSpaceDE/>
        <w:autoSpaceDN/>
        <w:bidi w:val="0"/>
        <w:spacing w:line="560" w:lineRule="exact"/>
        <w:ind w:firstLine="643" w:firstLineChars="200"/>
        <w:textAlignment w:val="auto"/>
        <w:outlineLvl w:val="9"/>
        <w:rPr>
          <w:rFonts w:ascii="宋体" w:hAnsi="宋体" w:eastAsia="仿宋_GB2312" w:cs="仿宋_GB2312"/>
          <w:color w:val="auto"/>
          <w:sz w:val="32"/>
          <w:szCs w:val="32"/>
        </w:rPr>
      </w:pPr>
      <w:r>
        <w:rPr>
          <w:rFonts w:hint="eastAsia" w:ascii="宋体" w:hAnsi="宋体" w:eastAsia="楷体_GB2312" w:cs="楷体_GB2312"/>
          <w:b/>
          <w:bCs/>
          <w:color w:val="auto"/>
          <w:sz w:val="32"/>
          <w:szCs w:val="32"/>
          <w:lang w:eastAsia="zh-CN"/>
        </w:rPr>
        <w:t>（二）</w:t>
      </w:r>
      <w:r>
        <w:rPr>
          <w:rFonts w:hint="eastAsia" w:ascii="宋体" w:hAnsi="宋体" w:eastAsia="楷体_GB2312" w:cs="楷体_GB2312"/>
          <w:b/>
          <w:bCs/>
          <w:color w:val="auto"/>
          <w:sz w:val="32"/>
          <w:szCs w:val="32"/>
        </w:rPr>
        <w:t>工作目标</w:t>
      </w:r>
    </w:p>
    <w:p>
      <w:pPr>
        <w:keepNext w:val="0"/>
        <w:keepLines w:val="0"/>
        <w:pageBreakBefore w:val="0"/>
        <w:widowControl w:val="0"/>
        <w:numPr>
          <w:ilvl w:val="-1"/>
          <w:numId w:val="0"/>
        </w:numPr>
        <w:kinsoku/>
        <w:wordWrap/>
        <w:overflowPunct/>
        <w:topLinePunct w:val="0"/>
        <w:autoSpaceDE/>
        <w:autoSpaceDN/>
        <w:bidi w:val="0"/>
        <w:spacing w:line="560" w:lineRule="exact"/>
        <w:ind w:firstLine="640" w:firstLineChars="200"/>
        <w:textAlignment w:val="auto"/>
        <w:outlineLvl w:val="9"/>
        <w:rPr>
          <w:rFonts w:ascii="宋体" w:hAnsi="宋体" w:eastAsia="仿宋_GB2312" w:cs="仿宋_GB2312"/>
          <w:color w:val="auto"/>
          <w:sz w:val="32"/>
          <w:szCs w:val="32"/>
        </w:rPr>
      </w:pPr>
      <w:r>
        <w:rPr>
          <w:rFonts w:hint="eastAsia" w:ascii="宋体" w:hAnsi="宋体" w:eastAsia="仿宋_GB2312" w:cs="仿宋_GB2312"/>
          <w:color w:val="auto"/>
          <w:sz w:val="32"/>
          <w:szCs w:val="32"/>
        </w:rPr>
        <w:t>通过专项行动，全面摸清并动态掌握重大事故隐患底数，推动企业主要负责人严格履行安全生产法定职责，企业排查整改重大事故隐患的质量明显提高；各有关部门对照“三个必须”强化安全监管，聚焦重大事故隐患精准严格执法，发现问题和解决问题的意愿和能力水平显著增强；</w:t>
      </w:r>
      <w:r>
        <w:rPr>
          <w:rFonts w:hint="eastAsia" w:ascii="宋体" w:hAnsi="宋体" w:cs="仿宋_GB2312"/>
          <w:color w:val="auto"/>
          <w:sz w:val="32"/>
          <w:szCs w:val="32"/>
          <w:lang w:eastAsia="zh-CN"/>
        </w:rPr>
        <w:t>乡镇</w:t>
      </w:r>
      <w:r>
        <w:rPr>
          <w:rFonts w:hint="eastAsia" w:ascii="宋体" w:hAnsi="宋体" w:eastAsia="仿宋_GB2312" w:cs="仿宋_GB2312"/>
          <w:color w:val="auto"/>
          <w:sz w:val="32"/>
          <w:szCs w:val="32"/>
        </w:rPr>
        <w:t>党委政府统筹发展和安全能力进一步增强，领导安全生产工作的水平显</w:t>
      </w:r>
      <w:r>
        <w:rPr>
          <w:rFonts w:hint="eastAsia" w:ascii="宋体" w:hAnsi="宋体" w:cs="仿宋_GB2312"/>
          <w:color w:val="auto"/>
          <w:sz w:val="32"/>
          <w:szCs w:val="32"/>
          <w:lang w:eastAsia="zh-CN"/>
        </w:rPr>
        <w:t>著</w:t>
      </w:r>
      <w:r>
        <w:rPr>
          <w:rFonts w:hint="eastAsia" w:ascii="宋体" w:hAnsi="宋体" w:eastAsia="仿宋_GB2312" w:cs="仿宋_GB2312"/>
          <w:color w:val="auto"/>
          <w:sz w:val="32"/>
          <w:szCs w:val="32"/>
        </w:rPr>
        <w:t>提升；重大事故隐患得到系统治理，重大风险防控取得明显成效，</w:t>
      </w:r>
      <w:r>
        <w:rPr>
          <w:rFonts w:hint="eastAsia" w:ascii="宋体" w:hAnsi="宋体" w:cs="仿宋_GB2312"/>
          <w:color w:val="auto"/>
          <w:sz w:val="32"/>
          <w:szCs w:val="32"/>
          <w:lang w:eastAsia="zh-CN"/>
        </w:rPr>
        <w:t>杜绝</w:t>
      </w:r>
      <w:r>
        <w:rPr>
          <w:rFonts w:hint="eastAsia" w:ascii="宋体" w:hAnsi="宋体" w:eastAsia="仿宋_GB2312" w:cs="仿宋_GB2312"/>
          <w:color w:val="auto"/>
          <w:sz w:val="32"/>
          <w:szCs w:val="32"/>
        </w:rPr>
        <w:t>较大以上事故，切实遏制一般事故，</w:t>
      </w:r>
      <w:r>
        <w:rPr>
          <w:rFonts w:hint="eastAsia" w:ascii="宋体" w:hAnsi="宋体" w:cs="仿宋_GB2312"/>
          <w:color w:val="auto"/>
          <w:sz w:val="32"/>
          <w:szCs w:val="32"/>
          <w:lang w:eastAsia="zh-CN"/>
        </w:rPr>
        <w:t>全区</w:t>
      </w:r>
      <w:r>
        <w:rPr>
          <w:rFonts w:hint="eastAsia" w:ascii="宋体" w:hAnsi="宋体" w:eastAsia="仿宋_GB2312" w:cs="仿宋_GB2312"/>
          <w:color w:val="auto"/>
          <w:sz w:val="32"/>
          <w:szCs w:val="32"/>
        </w:rPr>
        <w:t>安全生产形势持续稳定好转。</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ascii="国标黑体" w:hAnsi="国标黑体" w:eastAsia="国标黑体" w:cs="国标黑体"/>
          <w:color w:val="auto"/>
          <w:sz w:val="32"/>
          <w:szCs w:val="32"/>
        </w:rPr>
      </w:pPr>
      <w:r>
        <w:rPr>
          <w:rFonts w:hint="eastAsia" w:ascii="国标黑体" w:hAnsi="国标黑体" w:eastAsia="国标黑体" w:cs="国标黑体"/>
          <w:color w:val="auto"/>
          <w:sz w:val="32"/>
          <w:szCs w:val="32"/>
        </w:rPr>
        <w:t>二、组织领导</w:t>
      </w:r>
    </w:p>
    <w:p>
      <w:pPr>
        <w:pStyle w:val="3"/>
        <w:keepNext w:val="0"/>
        <w:keepLines w:val="0"/>
        <w:pageBreakBefore w:val="0"/>
        <w:widowControl w:val="0"/>
        <w:kinsoku/>
        <w:wordWrap/>
        <w:overflowPunct/>
        <w:topLinePunct w:val="0"/>
        <w:autoSpaceDE/>
        <w:autoSpaceDN/>
        <w:bidi w:val="0"/>
        <w:spacing w:line="560" w:lineRule="exact"/>
        <w:ind w:left="0" w:leftChars="0" w:firstLine="640" w:firstLineChars="200"/>
        <w:textAlignment w:val="auto"/>
        <w:outlineLvl w:val="9"/>
        <w:rPr>
          <w:rFonts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依托</w:t>
      </w:r>
      <w:r>
        <w:rPr>
          <w:rFonts w:hint="eastAsia" w:ascii="仿宋_GB2312" w:hAnsi="仿宋_GB2312" w:cs="仿宋_GB2312"/>
          <w:color w:val="auto"/>
          <w:sz w:val="32"/>
          <w:szCs w:val="32"/>
          <w:lang w:eastAsia="zh-CN"/>
        </w:rPr>
        <w:t>区</w:t>
      </w:r>
      <w:r>
        <w:rPr>
          <w:rFonts w:hint="eastAsia" w:ascii="仿宋_GB2312" w:hAnsi="仿宋_GB2312" w:eastAsia="仿宋_GB2312" w:cs="仿宋_GB2312"/>
          <w:color w:val="auto"/>
          <w:sz w:val="32"/>
          <w:szCs w:val="32"/>
        </w:rPr>
        <w:t>安全生产委员会，建立</w:t>
      </w:r>
      <w:r>
        <w:rPr>
          <w:rFonts w:hint="eastAsia" w:ascii="仿宋_GB2312" w:hAnsi="仿宋_GB2312" w:cs="仿宋_GB2312"/>
          <w:color w:val="auto"/>
          <w:sz w:val="32"/>
          <w:szCs w:val="32"/>
          <w:lang w:eastAsia="zh-CN"/>
        </w:rPr>
        <w:t>区</w:t>
      </w:r>
      <w:r>
        <w:rPr>
          <w:rFonts w:hint="eastAsia" w:ascii="仿宋_GB2312" w:hAnsi="仿宋_GB2312" w:eastAsia="仿宋_GB2312" w:cs="仿宋_GB2312"/>
          <w:color w:val="auto"/>
          <w:sz w:val="32"/>
          <w:szCs w:val="32"/>
        </w:rPr>
        <w:t>专项行动工作</w:t>
      </w:r>
      <w:r>
        <w:rPr>
          <w:rFonts w:hint="eastAsia" w:ascii="仿宋_GB2312" w:hAnsi="仿宋_GB2312" w:cs="仿宋_GB2312"/>
          <w:color w:val="auto"/>
          <w:sz w:val="32"/>
          <w:szCs w:val="32"/>
          <w:lang w:eastAsia="zh-CN"/>
        </w:rPr>
        <w:t>机构</w:t>
      </w:r>
      <w:r>
        <w:rPr>
          <w:rFonts w:hint="eastAsia" w:ascii="仿宋_GB2312" w:hAnsi="仿宋_GB2312" w:eastAsia="仿宋_GB2312" w:cs="仿宋_GB2312"/>
          <w:color w:val="auto"/>
          <w:sz w:val="32"/>
          <w:szCs w:val="32"/>
        </w:rPr>
        <w:t>，全面统筹推进本</w:t>
      </w:r>
      <w:r>
        <w:rPr>
          <w:rFonts w:hint="eastAsia" w:ascii="仿宋_GB2312" w:hAnsi="仿宋_GB2312" w:cs="仿宋_GB2312"/>
          <w:color w:val="auto"/>
          <w:sz w:val="32"/>
          <w:szCs w:val="32"/>
          <w:lang w:eastAsia="zh-CN"/>
        </w:rPr>
        <w:t>区</w:t>
      </w:r>
      <w:r>
        <w:rPr>
          <w:rFonts w:hint="eastAsia" w:ascii="仿宋_GB2312" w:hAnsi="仿宋_GB2312" w:eastAsia="仿宋_GB2312" w:cs="仿宋_GB2312"/>
          <w:color w:val="auto"/>
          <w:sz w:val="32"/>
          <w:szCs w:val="32"/>
        </w:rPr>
        <w:t>专项行动。</w:t>
      </w:r>
    </w:p>
    <w:p>
      <w:pPr>
        <w:pStyle w:val="3"/>
        <w:keepNext w:val="0"/>
        <w:keepLines w:val="0"/>
        <w:pageBreakBefore w:val="0"/>
        <w:widowControl w:val="0"/>
        <w:numPr>
          <w:ilvl w:val="0"/>
          <w:numId w:val="1"/>
        </w:numPr>
        <w:kinsoku/>
        <w:wordWrap/>
        <w:overflowPunct/>
        <w:topLinePunct w:val="0"/>
        <w:autoSpaceDE/>
        <w:autoSpaceDN/>
        <w:bidi w:val="0"/>
        <w:spacing w:line="560" w:lineRule="exact"/>
        <w:ind w:left="0" w:leftChars="0" w:firstLine="643" w:firstLineChars="200"/>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rPr>
        <w:t>成立</w:t>
      </w:r>
      <w:r>
        <w:rPr>
          <w:rFonts w:hint="eastAsia" w:ascii="楷体_GB2312" w:hAnsi="楷体_GB2312" w:eastAsia="楷体_GB2312" w:cs="楷体_GB2312"/>
          <w:b/>
          <w:bCs/>
          <w:color w:val="auto"/>
          <w:sz w:val="32"/>
          <w:szCs w:val="32"/>
          <w:lang w:eastAsia="zh-CN"/>
        </w:rPr>
        <w:t>区</w:t>
      </w:r>
      <w:r>
        <w:rPr>
          <w:rFonts w:hint="eastAsia" w:ascii="楷体_GB2312" w:hAnsi="楷体_GB2312" w:eastAsia="楷体_GB2312" w:cs="楷体_GB2312"/>
          <w:b/>
          <w:bCs/>
          <w:color w:val="auto"/>
          <w:sz w:val="32"/>
          <w:szCs w:val="32"/>
        </w:rPr>
        <w:t>专项行动</w:t>
      </w:r>
      <w:r>
        <w:rPr>
          <w:rFonts w:hint="eastAsia" w:ascii="楷体_GB2312" w:hAnsi="楷体_GB2312" w:eastAsia="楷体_GB2312" w:cs="楷体_GB2312"/>
          <w:b/>
          <w:bCs/>
          <w:color w:val="auto"/>
          <w:sz w:val="32"/>
          <w:szCs w:val="32"/>
          <w:lang w:eastAsia="zh-CN"/>
        </w:rPr>
        <w:t>工作专班</w:t>
      </w:r>
    </w:p>
    <w:p>
      <w:pPr>
        <w:pStyle w:val="3"/>
        <w:keepNext w:val="0"/>
        <w:keepLines w:val="0"/>
        <w:pageBreakBefore w:val="0"/>
        <w:widowControl w:val="0"/>
        <w:numPr>
          <w:ilvl w:val="0"/>
          <w:numId w:val="0"/>
        </w:numPr>
        <w:kinsoku/>
        <w:wordWrap/>
        <w:overflowPunct/>
        <w:topLinePunct w:val="0"/>
        <w:autoSpaceDE/>
        <w:autoSpaceDN/>
        <w:bidi w:val="0"/>
        <w:spacing w:line="560" w:lineRule="exact"/>
        <w:ind w:leftChars="200"/>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组长：</w:t>
      </w:r>
      <w:r>
        <w:rPr>
          <w:rFonts w:hint="eastAsia" w:ascii="仿宋_GB2312" w:hAnsi="仿宋_GB2312" w:cs="仿宋_GB2312"/>
          <w:color w:val="auto"/>
          <w:sz w:val="32"/>
          <w:szCs w:val="32"/>
          <w:lang w:eastAsia="zh-CN"/>
        </w:rPr>
        <w:t>李峻</w:t>
      </w:r>
    </w:p>
    <w:p>
      <w:pPr>
        <w:pStyle w:val="3"/>
        <w:keepNext w:val="0"/>
        <w:keepLines w:val="0"/>
        <w:pageBreakBefore w:val="0"/>
        <w:widowControl w:val="0"/>
        <w:kinsoku/>
        <w:wordWrap/>
        <w:overflowPunct/>
        <w:topLinePunct w:val="0"/>
        <w:autoSpaceDE/>
        <w:autoSpaceDN/>
        <w:bidi w:val="0"/>
        <w:spacing w:line="560" w:lineRule="exact"/>
        <w:ind w:left="0" w:leftChars="0" w:firstLine="640" w:firstLineChars="200"/>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常务副组长：</w:t>
      </w:r>
      <w:r>
        <w:rPr>
          <w:rFonts w:hint="eastAsia" w:ascii="仿宋_GB2312" w:hAnsi="仿宋_GB2312" w:cs="仿宋_GB2312"/>
          <w:color w:val="auto"/>
          <w:sz w:val="32"/>
          <w:szCs w:val="32"/>
          <w:lang w:eastAsia="zh-CN"/>
        </w:rPr>
        <w:t>黄晓霞</w:t>
      </w:r>
    </w:p>
    <w:p>
      <w:pPr>
        <w:pStyle w:val="3"/>
        <w:keepNext w:val="0"/>
        <w:keepLines w:val="0"/>
        <w:pageBreakBefore w:val="0"/>
        <w:widowControl w:val="0"/>
        <w:kinsoku/>
        <w:wordWrap/>
        <w:overflowPunct/>
        <w:topLinePunct w:val="0"/>
        <w:autoSpaceDE/>
        <w:autoSpaceDN/>
        <w:bidi w:val="0"/>
        <w:spacing w:line="560" w:lineRule="exact"/>
        <w:ind w:left="0" w:leftChars="0" w:firstLine="640" w:firstLineChars="200"/>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副组长：</w:t>
      </w:r>
      <w:r>
        <w:rPr>
          <w:rFonts w:hint="eastAsia" w:ascii="仿宋_GB2312" w:hAnsi="仿宋_GB2312" w:cs="仿宋_GB2312"/>
          <w:color w:val="auto"/>
          <w:sz w:val="32"/>
          <w:szCs w:val="32"/>
          <w:lang w:eastAsia="zh-CN"/>
        </w:rPr>
        <w:t>胡柳强、张秩通、陈琦、徐慧泉</w:t>
      </w:r>
    </w:p>
    <w:p>
      <w:pPr>
        <w:pStyle w:val="3"/>
        <w:keepNext w:val="0"/>
        <w:keepLines w:val="0"/>
        <w:pageBreakBefore w:val="0"/>
        <w:widowControl w:val="0"/>
        <w:kinsoku/>
        <w:wordWrap/>
        <w:overflowPunct/>
        <w:topLinePunct w:val="0"/>
        <w:autoSpaceDE/>
        <w:autoSpaceDN/>
        <w:bidi w:val="0"/>
        <w:spacing w:line="560" w:lineRule="exact"/>
        <w:ind w:left="0" w:leftChars="0" w:firstLine="640" w:firstLineChars="200"/>
        <w:textAlignment w:val="auto"/>
        <w:outlineLvl w:val="9"/>
        <w:rPr>
          <w:rFonts w:ascii="仿宋_GB2312" w:hAnsi="仿宋_GB2312" w:eastAsia="仿宋_GB2312" w:cs="仿宋_GB2312"/>
          <w:color w:val="auto"/>
          <w:sz w:val="32"/>
          <w:szCs w:val="32"/>
        </w:rPr>
      </w:pPr>
      <w:r>
        <w:rPr>
          <w:rFonts w:hint="eastAsia" w:ascii="仿宋_GB2312" w:hAnsi="仿宋_GB2312" w:cs="仿宋_GB2312"/>
          <w:color w:val="auto"/>
          <w:sz w:val="32"/>
          <w:szCs w:val="32"/>
          <w:lang w:eastAsia="zh-CN"/>
        </w:rPr>
        <w:t>区</w:t>
      </w:r>
      <w:r>
        <w:rPr>
          <w:rFonts w:hint="eastAsia" w:ascii="仿宋_GB2312" w:hAnsi="仿宋_GB2312" w:eastAsia="仿宋_GB2312" w:cs="仿宋_GB2312"/>
          <w:color w:val="auto"/>
          <w:sz w:val="32"/>
          <w:szCs w:val="32"/>
        </w:rPr>
        <w:t>安委会</w:t>
      </w:r>
      <w:r>
        <w:rPr>
          <w:rFonts w:hint="eastAsia" w:ascii="仿宋_GB2312" w:hAnsi="仿宋_GB2312" w:cs="仿宋_GB2312"/>
          <w:color w:val="auto"/>
          <w:sz w:val="32"/>
          <w:szCs w:val="32"/>
          <w:lang w:eastAsia="zh-CN"/>
        </w:rPr>
        <w:t>各</w:t>
      </w:r>
      <w:r>
        <w:rPr>
          <w:rFonts w:hint="eastAsia" w:ascii="仿宋_GB2312" w:hAnsi="仿宋_GB2312" w:eastAsia="仿宋_GB2312" w:cs="仿宋_GB2312"/>
          <w:color w:val="auto"/>
          <w:sz w:val="32"/>
          <w:szCs w:val="32"/>
        </w:rPr>
        <w:t>成员</w:t>
      </w:r>
      <w:r>
        <w:rPr>
          <w:rFonts w:hint="eastAsia" w:ascii="仿宋_GB2312" w:hAnsi="仿宋_GB2312" w:cs="仿宋_GB2312"/>
          <w:color w:val="auto"/>
          <w:sz w:val="32"/>
          <w:szCs w:val="32"/>
          <w:lang w:eastAsia="zh-CN"/>
        </w:rPr>
        <w:t>单位主要负责人</w:t>
      </w:r>
      <w:r>
        <w:rPr>
          <w:rFonts w:hint="eastAsia" w:ascii="仿宋_GB2312" w:hAnsi="仿宋_GB2312" w:eastAsia="仿宋_GB2312" w:cs="仿宋_GB2312"/>
          <w:color w:val="auto"/>
          <w:sz w:val="32"/>
          <w:szCs w:val="32"/>
        </w:rPr>
        <w:t>为</w:t>
      </w:r>
      <w:r>
        <w:rPr>
          <w:rFonts w:hint="eastAsia" w:ascii="仿宋_GB2312" w:hAnsi="仿宋_GB2312" w:cs="仿宋_GB2312"/>
          <w:color w:val="auto"/>
          <w:sz w:val="32"/>
          <w:szCs w:val="32"/>
          <w:lang w:eastAsia="zh-CN"/>
        </w:rPr>
        <w:t>工作专班</w:t>
      </w:r>
      <w:r>
        <w:rPr>
          <w:rFonts w:hint="eastAsia" w:ascii="仿宋_GB2312" w:hAnsi="仿宋_GB2312" w:eastAsia="仿宋_GB2312" w:cs="仿宋_GB2312"/>
          <w:color w:val="auto"/>
          <w:sz w:val="32"/>
          <w:szCs w:val="32"/>
        </w:rPr>
        <w:t>成员。</w:t>
      </w:r>
    </w:p>
    <w:p>
      <w:pPr>
        <w:pStyle w:val="3"/>
        <w:keepNext w:val="0"/>
        <w:keepLines w:val="0"/>
        <w:pageBreakBefore w:val="0"/>
        <w:widowControl w:val="0"/>
        <w:kinsoku/>
        <w:wordWrap/>
        <w:overflowPunct/>
        <w:topLinePunct w:val="0"/>
        <w:autoSpaceDE/>
        <w:autoSpaceDN/>
        <w:bidi w:val="0"/>
        <w:spacing w:line="560" w:lineRule="exact"/>
        <w:ind w:left="0" w:leftChars="0" w:firstLine="643" w:firstLineChars="200"/>
        <w:textAlignment w:val="auto"/>
        <w:outlineLvl w:val="9"/>
        <w:rPr>
          <w:rFonts w:hint="eastAsia" w:ascii="楷体_GB2312" w:hAnsi="楷体_GB2312" w:eastAsia="楷体_GB2312" w:cs="楷体_GB2312"/>
          <w:b/>
          <w:bCs/>
          <w:color w:val="auto"/>
          <w:sz w:val="32"/>
          <w:szCs w:val="32"/>
          <w:lang w:eastAsia="zh-CN"/>
        </w:rPr>
      </w:pPr>
      <w:r>
        <w:rPr>
          <w:rFonts w:hint="eastAsia" w:ascii="楷体_GB2312" w:hAnsi="楷体_GB2312" w:eastAsia="楷体_GB2312" w:cs="楷体_GB2312"/>
          <w:b/>
          <w:bCs/>
          <w:color w:val="auto"/>
          <w:sz w:val="32"/>
          <w:szCs w:val="32"/>
          <w:lang w:eastAsia="zh-CN"/>
        </w:rPr>
        <w:t>（二）成立区</w:t>
      </w:r>
      <w:r>
        <w:rPr>
          <w:rFonts w:hint="eastAsia" w:ascii="楷体_GB2312" w:hAnsi="楷体_GB2312" w:eastAsia="楷体_GB2312" w:cs="楷体_GB2312"/>
          <w:b/>
          <w:bCs/>
          <w:color w:val="auto"/>
          <w:sz w:val="32"/>
          <w:szCs w:val="32"/>
        </w:rPr>
        <w:t>专项行动</w:t>
      </w:r>
      <w:r>
        <w:rPr>
          <w:rFonts w:hint="eastAsia" w:ascii="楷体_GB2312" w:hAnsi="楷体_GB2312" w:eastAsia="楷体_GB2312" w:cs="楷体_GB2312"/>
          <w:b/>
          <w:bCs/>
          <w:color w:val="auto"/>
          <w:sz w:val="32"/>
          <w:szCs w:val="32"/>
          <w:lang w:eastAsia="zh-CN"/>
        </w:rPr>
        <w:t>工作专班</w:t>
      </w:r>
      <w:r>
        <w:rPr>
          <w:rFonts w:hint="eastAsia" w:ascii="楷体_GB2312" w:hAnsi="楷体_GB2312" w:eastAsia="楷体_GB2312" w:cs="楷体_GB2312"/>
          <w:b/>
          <w:bCs/>
          <w:color w:val="auto"/>
          <w:sz w:val="32"/>
          <w:szCs w:val="32"/>
        </w:rPr>
        <w:t>办公室</w:t>
      </w:r>
    </w:p>
    <w:p>
      <w:pPr>
        <w:pStyle w:val="3"/>
        <w:keepNext w:val="0"/>
        <w:keepLines w:val="0"/>
        <w:pageBreakBefore w:val="0"/>
        <w:widowControl w:val="0"/>
        <w:kinsoku/>
        <w:wordWrap/>
        <w:overflowPunct/>
        <w:topLinePunct w:val="0"/>
        <w:autoSpaceDE/>
        <w:autoSpaceDN/>
        <w:bidi w:val="0"/>
        <w:spacing w:line="560" w:lineRule="exact"/>
        <w:ind w:left="0" w:leftChars="0" w:firstLine="640" w:firstLineChars="200"/>
        <w:textAlignment w:val="auto"/>
        <w:outlineLvl w:val="9"/>
        <w:rPr>
          <w:rFonts w:ascii="仿宋_GB2312" w:hAnsi="仿宋_GB2312" w:eastAsia="仿宋_GB2312" w:cs="仿宋_GB2312"/>
          <w:color w:val="auto"/>
          <w:sz w:val="32"/>
          <w:szCs w:val="32"/>
        </w:rPr>
      </w:pPr>
      <w:r>
        <w:rPr>
          <w:rFonts w:hint="eastAsia" w:ascii="仿宋_GB2312" w:hAnsi="仿宋_GB2312" w:cs="仿宋_GB2312"/>
          <w:color w:val="auto"/>
          <w:sz w:val="32"/>
          <w:szCs w:val="32"/>
          <w:lang w:eastAsia="zh-CN"/>
        </w:rPr>
        <w:t>工作专班</w:t>
      </w:r>
      <w:r>
        <w:rPr>
          <w:rFonts w:hint="eastAsia" w:ascii="仿宋_GB2312" w:hAnsi="仿宋_GB2312" w:eastAsia="仿宋_GB2312" w:cs="仿宋_GB2312"/>
          <w:color w:val="auto"/>
          <w:sz w:val="32"/>
          <w:szCs w:val="32"/>
        </w:rPr>
        <w:t>办公室</w:t>
      </w:r>
      <w:r>
        <w:rPr>
          <w:rFonts w:hint="eastAsia" w:ascii="仿宋_GB2312" w:hAnsi="仿宋_GB2312" w:cs="仿宋_GB2312"/>
          <w:color w:val="auto"/>
          <w:sz w:val="32"/>
          <w:szCs w:val="32"/>
          <w:lang w:eastAsia="zh-CN"/>
        </w:rPr>
        <w:t>设置在区应急局（区安委办），负责</w:t>
      </w:r>
      <w:r>
        <w:rPr>
          <w:rFonts w:hint="eastAsia" w:ascii="仿宋_GB2312" w:hAnsi="仿宋_GB2312" w:eastAsia="仿宋_GB2312" w:cs="仿宋_GB2312"/>
          <w:color w:val="auto"/>
          <w:sz w:val="32"/>
          <w:szCs w:val="32"/>
        </w:rPr>
        <w:t>专项行动日常组织、协调调度工作。</w:t>
      </w:r>
      <w:r>
        <w:rPr>
          <w:rFonts w:hint="eastAsia" w:ascii="仿宋_GB2312" w:hAnsi="仿宋_GB2312" w:cs="仿宋_GB2312"/>
          <w:color w:val="auto"/>
          <w:sz w:val="32"/>
          <w:szCs w:val="32"/>
          <w:lang w:eastAsia="zh-CN"/>
        </w:rPr>
        <w:t>区</w:t>
      </w:r>
      <w:r>
        <w:rPr>
          <w:rFonts w:hint="eastAsia" w:ascii="仿宋_GB2312" w:hAnsi="仿宋_GB2312" w:eastAsia="仿宋_GB2312" w:cs="仿宋_GB2312"/>
          <w:color w:val="auto"/>
          <w:sz w:val="32"/>
          <w:szCs w:val="32"/>
        </w:rPr>
        <w:t>公安</w:t>
      </w:r>
      <w:r>
        <w:rPr>
          <w:rFonts w:hint="eastAsia" w:ascii="仿宋_GB2312" w:hAnsi="仿宋_GB2312" w:cs="仿宋_GB2312"/>
          <w:color w:val="auto"/>
          <w:sz w:val="32"/>
          <w:szCs w:val="32"/>
          <w:lang w:eastAsia="zh-CN"/>
        </w:rPr>
        <w:t>分</w:t>
      </w:r>
      <w:r>
        <w:rPr>
          <w:rFonts w:hint="eastAsia" w:ascii="仿宋_GB2312" w:hAnsi="仿宋_GB2312" w:eastAsia="仿宋_GB2312" w:cs="仿宋_GB2312"/>
          <w:color w:val="auto"/>
          <w:sz w:val="32"/>
          <w:szCs w:val="32"/>
        </w:rPr>
        <w:t>局、</w:t>
      </w:r>
      <w:r>
        <w:rPr>
          <w:rFonts w:hint="eastAsia" w:ascii="仿宋_GB2312" w:hAnsi="仿宋_GB2312" w:cs="仿宋_GB2312"/>
          <w:color w:val="auto"/>
          <w:sz w:val="32"/>
          <w:szCs w:val="32"/>
          <w:lang w:eastAsia="zh-CN"/>
        </w:rPr>
        <w:t>区民政局、区生态环境局、区水务局、区卫生健康委、区经委、区</w:t>
      </w:r>
      <w:r>
        <w:rPr>
          <w:rFonts w:hint="eastAsia" w:ascii="仿宋_GB2312" w:hAnsi="仿宋_GB2312" w:eastAsia="仿宋_GB2312" w:cs="仿宋_GB2312"/>
          <w:color w:val="auto"/>
          <w:sz w:val="32"/>
          <w:szCs w:val="32"/>
        </w:rPr>
        <w:t>建设管理委、</w:t>
      </w:r>
      <w:r>
        <w:rPr>
          <w:rFonts w:hint="eastAsia" w:ascii="仿宋_GB2312" w:hAnsi="仿宋_GB2312" w:cs="仿宋_GB2312"/>
          <w:color w:val="auto"/>
          <w:sz w:val="32"/>
          <w:szCs w:val="32"/>
          <w:lang w:eastAsia="zh-CN"/>
        </w:rPr>
        <w:t>区</w:t>
      </w:r>
      <w:r>
        <w:rPr>
          <w:rFonts w:hint="eastAsia" w:ascii="仿宋_GB2312" w:hAnsi="仿宋_GB2312" w:eastAsia="仿宋_GB2312" w:cs="仿宋_GB2312"/>
          <w:color w:val="auto"/>
          <w:sz w:val="32"/>
          <w:szCs w:val="32"/>
        </w:rPr>
        <w:t>交通委、</w:t>
      </w:r>
      <w:r>
        <w:rPr>
          <w:rFonts w:hint="eastAsia" w:ascii="仿宋_GB2312" w:hAnsi="仿宋_GB2312" w:cs="仿宋_GB2312"/>
          <w:color w:val="auto"/>
          <w:sz w:val="32"/>
          <w:szCs w:val="32"/>
          <w:lang w:eastAsia="zh-CN"/>
        </w:rPr>
        <w:t>区</w:t>
      </w:r>
      <w:r>
        <w:rPr>
          <w:rFonts w:hint="eastAsia" w:ascii="仿宋_GB2312" w:hAnsi="仿宋_GB2312" w:eastAsia="仿宋_GB2312" w:cs="仿宋_GB2312"/>
          <w:color w:val="auto"/>
          <w:sz w:val="32"/>
          <w:szCs w:val="32"/>
        </w:rPr>
        <w:t>农业农村委、</w:t>
      </w:r>
      <w:r>
        <w:rPr>
          <w:rFonts w:hint="eastAsia" w:ascii="仿宋_GB2312" w:hAnsi="仿宋_GB2312" w:cs="仿宋_GB2312"/>
          <w:color w:val="auto"/>
          <w:sz w:val="32"/>
          <w:szCs w:val="32"/>
          <w:lang w:eastAsia="zh-CN"/>
        </w:rPr>
        <w:t>区</w:t>
      </w:r>
      <w:r>
        <w:rPr>
          <w:rFonts w:hint="eastAsia" w:ascii="仿宋_GB2312" w:hAnsi="仿宋_GB2312" w:eastAsia="仿宋_GB2312" w:cs="仿宋_GB2312"/>
          <w:color w:val="auto"/>
          <w:sz w:val="32"/>
          <w:szCs w:val="32"/>
        </w:rPr>
        <w:t>文</w:t>
      </w:r>
      <w:r>
        <w:rPr>
          <w:rFonts w:hint="eastAsia" w:ascii="仿宋_GB2312" w:hAnsi="仿宋_GB2312" w:cs="仿宋_GB2312"/>
          <w:color w:val="auto"/>
          <w:sz w:val="32"/>
          <w:szCs w:val="32"/>
          <w:lang w:eastAsia="zh-CN"/>
        </w:rPr>
        <w:t>化</w:t>
      </w:r>
      <w:r>
        <w:rPr>
          <w:rFonts w:hint="eastAsia" w:ascii="仿宋_GB2312" w:hAnsi="仿宋_GB2312" w:eastAsia="仿宋_GB2312" w:cs="仿宋_GB2312"/>
          <w:color w:val="auto"/>
          <w:sz w:val="32"/>
          <w:szCs w:val="32"/>
        </w:rPr>
        <w:t>旅</w:t>
      </w:r>
      <w:r>
        <w:rPr>
          <w:rFonts w:hint="eastAsia" w:ascii="仿宋_GB2312" w:hAnsi="仿宋_GB2312" w:cs="仿宋_GB2312"/>
          <w:color w:val="auto"/>
          <w:sz w:val="32"/>
          <w:szCs w:val="32"/>
          <w:lang w:eastAsia="zh-CN"/>
        </w:rPr>
        <w:t>游</w:t>
      </w:r>
      <w:r>
        <w:rPr>
          <w:rFonts w:hint="eastAsia" w:ascii="仿宋_GB2312" w:hAnsi="仿宋_GB2312" w:eastAsia="仿宋_GB2312" w:cs="仿宋_GB2312"/>
          <w:color w:val="auto"/>
          <w:sz w:val="32"/>
          <w:szCs w:val="32"/>
        </w:rPr>
        <w:t>局、</w:t>
      </w:r>
      <w:r>
        <w:rPr>
          <w:rFonts w:hint="eastAsia" w:ascii="仿宋_GB2312" w:hAnsi="仿宋_GB2312" w:cs="仿宋_GB2312"/>
          <w:color w:val="auto"/>
          <w:sz w:val="32"/>
          <w:szCs w:val="32"/>
          <w:lang w:eastAsia="zh-CN"/>
        </w:rPr>
        <w:t>区</w:t>
      </w:r>
      <w:r>
        <w:rPr>
          <w:rFonts w:hint="eastAsia" w:ascii="仿宋_GB2312" w:hAnsi="仿宋_GB2312" w:eastAsia="仿宋_GB2312" w:cs="仿宋_GB2312"/>
          <w:color w:val="auto"/>
          <w:sz w:val="32"/>
          <w:szCs w:val="32"/>
        </w:rPr>
        <w:t>卫生健康委、</w:t>
      </w:r>
      <w:r>
        <w:rPr>
          <w:rFonts w:hint="eastAsia" w:ascii="仿宋_GB2312" w:hAnsi="仿宋_GB2312" w:cs="仿宋_GB2312"/>
          <w:color w:val="auto"/>
          <w:sz w:val="32"/>
          <w:szCs w:val="32"/>
          <w:lang w:eastAsia="zh-CN"/>
        </w:rPr>
        <w:t>区</w:t>
      </w:r>
      <w:r>
        <w:rPr>
          <w:rFonts w:hint="eastAsia" w:ascii="仿宋_GB2312" w:hAnsi="仿宋_GB2312" w:eastAsia="仿宋_GB2312" w:cs="仿宋_GB2312"/>
          <w:color w:val="auto"/>
          <w:sz w:val="32"/>
          <w:szCs w:val="32"/>
        </w:rPr>
        <w:t>应急局、</w:t>
      </w:r>
      <w:r>
        <w:rPr>
          <w:rFonts w:hint="eastAsia" w:ascii="仿宋_GB2312" w:hAnsi="仿宋_GB2312" w:cs="仿宋_GB2312"/>
          <w:color w:val="auto"/>
          <w:sz w:val="32"/>
          <w:szCs w:val="32"/>
          <w:lang w:eastAsia="zh-CN"/>
        </w:rPr>
        <w:t>区</w:t>
      </w:r>
      <w:r>
        <w:rPr>
          <w:rFonts w:hint="eastAsia" w:ascii="仿宋_GB2312" w:hAnsi="仿宋_GB2312" w:eastAsia="仿宋_GB2312" w:cs="仿宋_GB2312"/>
          <w:color w:val="auto"/>
          <w:sz w:val="32"/>
          <w:szCs w:val="32"/>
        </w:rPr>
        <w:t>市场监管局、</w:t>
      </w:r>
      <w:r>
        <w:rPr>
          <w:rFonts w:hint="eastAsia" w:ascii="仿宋_GB2312" w:hAnsi="仿宋_GB2312" w:cs="仿宋_GB2312"/>
          <w:color w:val="auto"/>
          <w:sz w:val="32"/>
          <w:szCs w:val="32"/>
          <w:lang w:eastAsia="zh-CN"/>
        </w:rPr>
        <w:t>区</w:t>
      </w:r>
      <w:r>
        <w:rPr>
          <w:rFonts w:hint="eastAsia" w:ascii="仿宋_GB2312" w:hAnsi="仿宋_GB2312" w:eastAsia="仿宋_GB2312" w:cs="仿宋_GB2312"/>
          <w:color w:val="auto"/>
          <w:sz w:val="32"/>
          <w:szCs w:val="32"/>
        </w:rPr>
        <w:t>消防救援</w:t>
      </w:r>
      <w:r>
        <w:rPr>
          <w:rFonts w:hint="eastAsia" w:ascii="仿宋_GB2312" w:hAnsi="仿宋_GB2312" w:cs="仿宋_GB2312"/>
          <w:color w:val="auto"/>
          <w:sz w:val="32"/>
          <w:szCs w:val="32"/>
          <w:lang w:eastAsia="zh-CN"/>
        </w:rPr>
        <w:t>支</w:t>
      </w:r>
      <w:r>
        <w:rPr>
          <w:rFonts w:hint="eastAsia" w:ascii="仿宋_GB2312" w:hAnsi="仿宋_GB2312" w:eastAsia="仿宋_GB2312" w:cs="仿宋_GB2312"/>
          <w:color w:val="auto"/>
          <w:sz w:val="32"/>
          <w:szCs w:val="32"/>
        </w:rPr>
        <w:t>队、</w:t>
      </w:r>
      <w:r>
        <w:rPr>
          <w:rFonts w:hint="eastAsia" w:ascii="仿宋_GB2312" w:hAnsi="仿宋_GB2312" w:cs="仿宋_GB2312"/>
          <w:color w:val="auto"/>
          <w:sz w:val="32"/>
          <w:szCs w:val="32"/>
          <w:lang w:eastAsia="zh-CN"/>
        </w:rPr>
        <w:t>崇明</w:t>
      </w:r>
      <w:r>
        <w:rPr>
          <w:rFonts w:hint="eastAsia" w:ascii="仿宋_GB2312" w:hAnsi="仿宋_GB2312" w:eastAsia="仿宋_GB2312" w:cs="仿宋_GB2312"/>
          <w:color w:val="auto"/>
          <w:sz w:val="32"/>
          <w:szCs w:val="32"/>
        </w:rPr>
        <w:t>海事局为重点领域专项行动牵头单位</w:t>
      </w:r>
      <w:r>
        <w:rPr>
          <w:rFonts w:hint="eastAsia" w:ascii="仿宋_GB2312" w:hAnsi="仿宋_GB2312" w:cs="仿宋_GB2312"/>
          <w:color w:val="auto"/>
          <w:sz w:val="32"/>
          <w:szCs w:val="32"/>
          <w:lang w:eastAsia="zh-CN"/>
        </w:rPr>
        <w:t>，</w:t>
      </w:r>
      <w:r>
        <w:rPr>
          <w:rFonts w:hint="eastAsia" w:ascii="仿宋_GB2312" w:hAnsi="仿宋_GB2312" w:eastAsia="仿宋_GB2312" w:cs="仿宋_GB2312"/>
          <w:color w:val="auto"/>
          <w:sz w:val="32"/>
          <w:szCs w:val="32"/>
        </w:rPr>
        <w:t>主要负责该重点行业领域专项行动方案制定、工作推进、督查检查、传达要求、汇总上报情况等任务。</w:t>
      </w:r>
    </w:p>
    <w:p>
      <w:pPr>
        <w:pStyle w:val="3"/>
        <w:spacing w:line="560" w:lineRule="exact"/>
        <w:ind w:left="0" w:leftChars="0" w:firstLine="643" w:firstLineChars="200"/>
        <w:rPr>
          <w:rFonts w:ascii="仿宋_GB2312" w:hAnsi="仿宋_GB2312" w:eastAsia="仿宋_GB2312" w:cs="仿宋_GB2312"/>
          <w:color w:val="auto"/>
          <w:sz w:val="32"/>
          <w:szCs w:val="32"/>
        </w:rPr>
      </w:pPr>
      <w:r>
        <w:rPr>
          <w:rFonts w:hint="eastAsia" w:ascii="楷体_GB2312" w:hAnsi="楷体_GB2312" w:eastAsia="楷体_GB2312" w:cs="楷体_GB2312"/>
          <w:b/>
          <w:bCs/>
          <w:color w:val="auto"/>
          <w:sz w:val="32"/>
          <w:szCs w:val="32"/>
        </w:rPr>
        <w:t>（</w:t>
      </w:r>
      <w:r>
        <w:rPr>
          <w:rFonts w:hint="eastAsia" w:ascii="楷体_GB2312" w:hAnsi="楷体_GB2312" w:eastAsia="楷体_GB2312" w:cs="楷体_GB2312"/>
          <w:b/>
          <w:bCs/>
          <w:color w:val="auto"/>
          <w:sz w:val="32"/>
          <w:szCs w:val="32"/>
          <w:lang w:eastAsia="zh-CN"/>
        </w:rPr>
        <w:t>三</w:t>
      </w:r>
      <w:r>
        <w:rPr>
          <w:rFonts w:hint="eastAsia" w:ascii="楷体_GB2312" w:hAnsi="楷体_GB2312" w:eastAsia="楷体_GB2312" w:cs="楷体_GB2312"/>
          <w:b/>
          <w:bCs/>
          <w:color w:val="auto"/>
          <w:sz w:val="32"/>
          <w:szCs w:val="32"/>
        </w:rPr>
        <w:t>）</w:t>
      </w:r>
      <w:r>
        <w:rPr>
          <w:rFonts w:hint="eastAsia" w:ascii="仿宋_GB2312" w:hAnsi="仿宋_GB2312" w:eastAsia="仿宋_GB2312" w:cs="仿宋_GB2312"/>
          <w:color w:val="auto"/>
          <w:sz w:val="32"/>
          <w:szCs w:val="32"/>
        </w:rPr>
        <w:t>各</w:t>
      </w:r>
      <w:r>
        <w:rPr>
          <w:rFonts w:hint="eastAsia" w:ascii="仿宋_GB2312" w:hAnsi="仿宋_GB2312" w:cs="仿宋_GB2312"/>
          <w:color w:val="auto"/>
          <w:sz w:val="32"/>
          <w:szCs w:val="32"/>
          <w:lang w:eastAsia="zh-CN"/>
        </w:rPr>
        <w:t>乡镇</w:t>
      </w:r>
      <w:r>
        <w:rPr>
          <w:rFonts w:hint="eastAsia" w:ascii="仿宋_GB2312" w:hAnsi="仿宋_GB2312" w:eastAsia="仿宋_GB2312" w:cs="仿宋_GB2312"/>
          <w:color w:val="auto"/>
          <w:sz w:val="32"/>
          <w:szCs w:val="32"/>
        </w:rPr>
        <w:t>专项行动应在</w:t>
      </w:r>
      <w:r>
        <w:rPr>
          <w:rFonts w:hint="eastAsia" w:ascii="仿宋_GB2312" w:hAnsi="仿宋_GB2312" w:cs="仿宋_GB2312"/>
          <w:color w:val="auto"/>
          <w:sz w:val="32"/>
          <w:szCs w:val="32"/>
          <w:lang w:eastAsia="zh-CN"/>
        </w:rPr>
        <w:t>党委</w:t>
      </w:r>
      <w:r>
        <w:rPr>
          <w:rFonts w:hint="eastAsia" w:ascii="仿宋_GB2312" w:hAnsi="仿宋_GB2312" w:eastAsia="仿宋_GB2312" w:cs="仿宋_GB2312"/>
          <w:color w:val="auto"/>
          <w:sz w:val="32"/>
          <w:szCs w:val="32"/>
        </w:rPr>
        <w:t>政府统一领导下，由各</w:t>
      </w:r>
      <w:r>
        <w:rPr>
          <w:rFonts w:hint="eastAsia" w:ascii="仿宋_GB2312" w:hAnsi="仿宋_GB2312" w:cs="仿宋_GB2312"/>
          <w:color w:val="auto"/>
          <w:sz w:val="32"/>
          <w:szCs w:val="32"/>
          <w:lang w:eastAsia="zh-CN"/>
        </w:rPr>
        <w:t>乡镇</w:t>
      </w:r>
      <w:r>
        <w:rPr>
          <w:rFonts w:hint="eastAsia" w:ascii="仿宋_GB2312" w:hAnsi="仿宋_GB2312" w:eastAsia="仿宋_GB2312" w:cs="仿宋_GB2312"/>
          <w:color w:val="auto"/>
          <w:sz w:val="32"/>
          <w:szCs w:val="32"/>
        </w:rPr>
        <w:t>安委会牵头负责。</w:t>
      </w:r>
      <w:r>
        <w:rPr>
          <w:rFonts w:hint="eastAsia" w:ascii="仿宋_GB2312" w:hAnsi="仿宋_GB2312" w:cs="仿宋_GB2312"/>
          <w:color w:val="auto"/>
          <w:sz w:val="32"/>
          <w:szCs w:val="32"/>
          <w:lang w:eastAsia="zh-CN"/>
        </w:rPr>
        <w:t>区直属企业</w:t>
      </w:r>
      <w:r>
        <w:rPr>
          <w:rFonts w:hint="eastAsia" w:ascii="仿宋_GB2312" w:hAnsi="仿宋_GB2312" w:eastAsia="仿宋_GB2312" w:cs="仿宋_GB2312"/>
          <w:color w:val="auto"/>
          <w:sz w:val="32"/>
          <w:szCs w:val="32"/>
        </w:rPr>
        <w:t>按具体要求抓好工作落实。</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ascii="国标黑体" w:hAnsi="国标黑体" w:eastAsia="国标黑体" w:cs="国标黑体"/>
          <w:color w:val="auto"/>
          <w:sz w:val="32"/>
          <w:szCs w:val="32"/>
        </w:rPr>
      </w:pPr>
      <w:r>
        <w:rPr>
          <w:rFonts w:hint="eastAsia" w:ascii="国标黑体" w:hAnsi="国标黑体" w:eastAsia="国标黑体" w:cs="国标黑体"/>
          <w:color w:val="auto"/>
          <w:sz w:val="32"/>
          <w:szCs w:val="32"/>
        </w:rPr>
        <w:t>三、专项行动主要内容</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ascii="楷体_GB2312" w:hAnsi="楷体_GB2312" w:eastAsia="楷体_GB2312" w:cs="楷体_GB2312"/>
          <w:b/>
          <w:bCs/>
          <w:color w:val="auto"/>
          <w:sz w:val="32"/>
          <w:szCs w:val="32"/>
        </w:rPr>
      </w:pPr>
      <w:r>
        <w:rPr>
          <w:rFonts w:hint="eastAsia" w:ascii="楷体_GB2312" w:hAnsi="楷体_GB2312" w:eastAsia="楷体_GB2312" w:cs="楷体_GB2312"/>
          <w:b/>
          <w:bCs/>
          <w:color w:val="auto"/>
          <w:sz w:val="32"/>
          <w:szCs w:val="32"/>
        </w:rPr>
        <w:t>（一）突出主要负责人带动企业全员安全生产责任落实，切实提高企业隐患排查和整改的质量</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企业是事故隐患排查整治的责任主体，企业主要负责人是法定的安全生产第一责任人，必须发挥好主要负责人的主导作用，一级推一级将排查整改要求落实到位，切实提高排查整改质量。各</w:t>
      </w:r>
      <w:r>
        <w:rPr>
          <w:rFonts w:hint="eastAsia" w:ascii="仿宋_GB2312" w:hAnsi="仿宋_GB2312" w:cs="仿宋_GB2312"/>
          <w:color w:val="auto"/>
          <w:sz w:val="32"/>
          <w:szCs w:val="32"/>
          <w:lang w:eastAsia="zh-CN"/>
        </w:rPr>
        <w:t>乡镇</w:t>
      </w:r>
      <w:r>
        <w:rPr>
          <w:rFonts w:hint="eastAsia" w:ascii="仿宋_GB2312" w:hAnsi="仿宋_GB2312" w:eastAsia="仿宋_GB2312" w:cs="仿宋_GB2312"/>
          <w:color w:val="auto"/>
          <w:sz w:val="32"/>
          <w:szCs w:val="32"/>
        </w:rPr>
        <w:t>、各有关部门要督促企业主要负责人在全面落实安全生产法规定职责基础上，突出抓好以下</w:t>
      </w:r>
      <w:r>
        <w:rPr>
          <w:rFonts w:hint="eastAsia" w:ascii="仿宋_GB2312" w:hAnsi="仿宋_GB2312" w:eastAsia="仿宋_GB2312" w:cs="仿宋_GB2312"/>
          <w:color w:val="auto"/>
          <w:sz w:val="32"/>
          <w:szCs w:val="32"/>
          <w:lang w:val="en-US" w:eastAsia="zh-CN"/>
        </w:rPr>
        <w:t>6</w:t>
      </w:r>
      <w:r>
        <w:rPr>
          <w:rFonts w:hint="eastAsia" w:ascii="仿宋_GB2312" w:hAnsi="仿宋_GB2312" w:eastAsia="仿宋_GB2312" w:cs="仿宋_GB2312"/>
          <w:color w:val="auto"/>
          <w:sz w:val="32"/>
          <w:szCs w:val="32"/>
        </w:rPr>
        <w:t>项工作</w:t>
      </w:r>
      <w:r>
        <w:rPr>
          <w:rFonts w:hint="eastAsia" w:ascii="仿宋_GB2312" w:hAnsi="仿宋_GB2312" w:eastAsia="仿宋_GB2312" w:cs="仿宋_GB2312"/>
          <w:color w:val="auto"/>
          <w:sz w:val="32"/>
          <w:szCs w:val="32"/>
          <w:lang w:eastAsia="zh-CN"/>
        </w:rPr>
        <w:t>。</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1.研究组织本企业重大事故隐患排查整治。</w:t>
      </w:r>
      <w:r>
        <w:rPr>
          <w:rFonts w:hint="eastAsia" w:ascii="仿宋_GB2312" w:hAnsi="仿宋_GB2312" w:eastAsia="仿宋_GB2312" w:cs="仿宋_GB2312"/>
          <w:color w:val="auto"/>
          <w:sz w:val="32"/>
          <w:szCs w:val="32"/>
        </w:rPr>
        <w:t>企业主要负责人要学习研究本行业领域重大事故隐患判定标准或重点检查事项，组织研究部署开展对标对表自查自改；组织建立企业重大事故隐患台账清单，实行闭环管理。能立即整改的，要迅速整改；需要一定时间整改的，要明确责任人、措施、资金、期限和应急预案，并按分级属地原则向负有安全监管职责的有关部门报告；</w:t>
      </w:r>
      <w:r>
        <w:rPr>
          <w:rFonts w:hint="eastAsia" w:ascii="仿宋_GB2312" w:hAnsi="仿宋_GB2312" w:cs="仿宋_GB2312"/>
          <w:color w:val="auto"/>
          <w:sz w:val="32"/>
          <w:szCs w:val="32"/>
          <w:lang w:eastAsia="zh-CN"/>
        </w:rPr>
        <w:t>要</w:t>
      </w:r>
      <w:r>
        <w:rPr>
          <w:rFonts w:hint="eastAsia" w:ascii="仿宋_GB2312" w:hAnsi="仿宋_GB2312" w:eastAsia="仿宋_GB2312" w:cs="仿宋_GB2312"/>
          <w:color w:val="auto"/>
          <w:sz w:val="32"/>
          <w:szCs w:val="32"/>
          <w:highlight w:val="none"/>
        </w:rPr>
        <w:t>吸取</w:t>
      </w:r>
      <w:r>
        <w:rPr>
          <w:rFonts w:hint="eastAsia" w:ascii="仿宋_GB2312" w:hAnsi="仿宋_GB2312" w:eastAsia="仿宋_GB2312" w:cs="仿宋_GB2312"/>
          <w:color w:val="auto"/>
          <w:sz w:val="32"/>
          <w:szCs w:val="32"/>
        </w:rPr>
        <w:t>专项行动期间发生的典型事故教训，</w:t>
      </w:r>
      <w:r>
        <w:rPr>
          <w:rFonts w:hint="eastAsia" w:ascii="仿宋_GB2312" w:hAnsi="仿宋_GB2312" w:cs="仿宋_GB2312"/>
          <w:color w:val="auto"/>
          <w:sz w:val="32"/>
          <w:szCs w:val="32"/>
          <w:lang w:eastAsia="zh-CN"/>
        </w:rPr>
        <w:t>举一反三，</w:t>
      </w:r>
      <w:r>
        <w:rPr>
          <w:rFonts w:hint="eastAsia" w:ascii="仿宋_GB2312" w:hAnsi="仿宋_GB2312" w:eastAsia="仿宋_GB2312" w:cs="仿宋_GB2312"/>
          <w:color w:val="auto"/>
          <w:sz w:val="32"/>
          <w:szCs w:val="32"/>
        </w:rPr>
        <w:t>迅速组织排查整治；专项行动期间，主要负责人每季度要带队对本单位重大事故隐患排查整治情况至少开展1次检查（高危行业领域企业每月至少1次）。</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ascii="宋体" w:hAnsi="宋体" w:eastAsia="仿宋_GB2312" w:cs="仿宋_GB2312"/>
          <w:color w:val="auto"/>
          <w:sz w:val="32"/>
          <w:szCs w:val="32"/>
        </w:rPr>
      </w:pPr>
      <w:r>
        <w:rPr>
          <w:rFonts w:hint="eastAsia" w:ascii="仿宋_GB2312" w:hAnsi="仿宋_GB2312" w:eastAsia="仿宋_GB2312" w:cs="仿宋_GB2312"/>
          <w:b/>
          <w:bCs/>
          <w:color w:val="auto"/>
          <w:sz w:val="32"/>
          <w:szCs w:val="32"/>
        </w:rPr>
        <w:t>2.在落实全员安全生产责任基础上注重发挥管理团队和专家作用。</w:t>
      </w:r>
      <w:r>
        <w:rPr>
          <w:rFonts w:hint="eastAsia" w:ascii="宋体" w:hAnsi="宋体" w:eastAsia="仿宋_GB2312" w:cs="仿宋_GB2312"/>
          <w:color w:val="auto"/>
          <w:sz w:val="32"/>
          <w:szCs w:val="32"/>
        </w:rPr>
        <w:t>企业主要负责人要建立健全全员安全生产责任制，明确从主要负责人到一线从业人员（包括劳务派遣人员、实习生等）的安全生产责任。在此基础上，突出管理团队安全责任落实，组织制定企业各分管负责人安全生产职责清单和本次专项行动工作清单；按规定设置安全生产管理机构或者配备专兼职安全生产管理人员；根据需要聘请行业领域安全生产专家强化技术指导，精准查找重大事故隐患、科学治理重大事故隐患，提高隐患排查和整改的质量。</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3.组织强化危险作业安全管理措施。</w:t>
      </w:r>
      <w:r>
        <w:rPr>
          <w:rFonts w:hint="eastAsia" w:ascii="仿宋_GB2312" w:hAnsi="仿宋_GB2312" w:eastAsia="仿宋_GB2312" w:cs="仿宋_GB2312"/>
          <w:color w:val="auto"/>
          <w:sz w:val="32"/>
          <w:szCs w:val="32"/>
        </w:rPr>
        <w:t>企业主要负责人要深刻吸取近期违规动火等引发的重特大事故教训，紧盯高处坠落、有限空间作业、坍塌等事故多发易发环节，组织开展1次全员安全警示教育活动，建立健全管控措施和管理制度，严格检查督促制度措施落实，从根本上防范遏制事故发生。严格履行电气焊等动火作业审批手续，督促作业人员严格遵守消防安全操作规程，明确现场监护人员，严格落实消防安全措施检查和作业过程监督；组织对电气焊设备进行全面安全检查，严禁带病作业，不得使用淘汰或危及安全的电气焊设备。组织对动火等危险作业人员以及易产生重大事故隐患的其他关键岗位人员落实岗位责任情况进行1次全面排查，严禁聘用和招请未经安全培训合格、未取得相关证书的人员在特种作业岗位上岗作业，明确“谁招请无证人员，谁负责任”的管理制度。</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ascii="宋体" w:hAnsi="宋体" w:eastAsia="仿宋_GB2312" w:cs="仿宋_GB2312"/>
          <w:color w:val="auto"/>
          <w:sz w:val="32"/>
          <w:szCs w:val="32"/>
        </w:rPr>
      </w:pPr>
      <w:r>
        <w:rPr>
          <w:rFonts w:hint="eastAsia" w:ascii="仿宋_GB2312" w:hAnsi="仿宋_GB2312" w:eastAsia="仿宋_GB2312" w:cs="仿宋_GB2312"/>
          <w:b/>
          <w:bCs/>
          <w:color w:val="auto"/>
          <w:sz w:val="32"/>
          <w:szCs w:val="32"/>
        </w:rPr>
        <w:t>4.组织对外包外租等生产经营活动开展排查整治。</w:t>
      </w:r>
      <w:r>
        <w:rPr>
          <w:rFonts w:hint="eastAsia" w:ascii="仿宋_GB2312" w:hAnsi="仿宋_GB2312" w:eastAsia="仿宋_GB2312" w:cs="仿宋_GB2312"/>
          <w:color w:val="auto"/>
          <w:sz w:val="32"/>
          <w:szCs w:val="32"/>
        </w:rPr>
        <w:t>企业主要负责人要针对本企业生产经营项目和场所外包外租（包括委托、合作等类似方式）情况组织开展1次全面排查，重点检查是否存在承包承租方不具备安全生产条件或者相应资质以及双方未签订安全生产协议、安全生产管理职责不清等问题，不符合法律法规规定的要坚决依法处理；突出强化发包方的首要责任和承包租赁方的主体责任，将外包外租等生产经营活动纳入本企业安全生产管理体系，加强统一协调、管理，定期进行安全检查，发现安全问题的及时督促整改。</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5.组织开展事故应急救援演练活动。</w:t>
      </w:r>
      <w:r>
        <w:rPr>
          <w:rFonts w:hint="eastAsia" w:ascii="仿宋_GB2312" w:hAnsi="仿宋_GB2312" w:eastAsia="仿宋_GB2312" w:cs="仿宋_GB2312"/>
          <w:color w:val="auto"/>
          <w:sz w:val="32"/>
          <w:szCs w:val="32"/>
        </w:rPr>
        <w:t>企业主要负责人要根据本行业领域事故特点，组织开展1次事故应急救援预案演练（高危行业领域企业每半年至少1次），特别要让全体从业人员熟知安全逃生出口（或避灾路线），切实提高从业人员应急避险意识。</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ascii="宋体" w:hAnsi="宋体" w:eastAsia="仿宋_GB2312" w:cs="仿宋_GB2312"/>
          <w:color w:val="auto"/>
          <w:sz w:val="32"/>
          <w:szCs w:val="32"/>
        </w:rPr>
      </w:pPr>
      <w:r>
        <w:rPr>
          <w:rFonts w:hint="eastAsia" w:ascii="仿宋_GB2312" w:hAnsi="仿宋_GB2312" w:eastAsia="仿宋_GB2312" w:cs="仿宋_GB2312"/>
          <w:b/>
          <w:bCs/>
          <w:color w:val="auto"/>
          <w:sz w:val="32"/>
          <w:szCs w:val="32"/>
        </w:rPr>
        <w:t>6.发挥</w:t>
      </w:r>
      <w:r>
        <w:rPr>
          <w:rFonts w:hint="eastAsia" w:ascii="仿宋_GB2312" w:hAnsi="仿宋_GB2312" w:cs="仿宋_GB2312"/>
          <w:b/>
          <w:bCs/>
          <w:color w:val="auto"/>
          <w:sz w:val="32"/>
          <w:szCs w:val="32"/>
          <w:lang w:eastAsia="zh-CN"/>
        </w:rPr>
        <w:t>区直属企业</w:t>
      </w:r>
      <w:r>
        <w:rPr>
          <w:rFonts w:hint="eastAsia" w:ascii="仿宋_GB2312" w:hAnsi="仿宋_GB2312" w:eastAsia="仿宋_GB2312" w:cs="仿宋_GB2312"/>
          <w:b/>
          <w:bCs/>
          <w:color w:val="auto"/>
          <w:sz w:val="32"/>
          <w:szCs w:val="32"/>
        </w:rPr>
        <w:t>安全生产“头雁效应”。</w:t>
      </w:r>
      <w:r>
        <w:rPr>
          <w:rFonts w:hint="eastAsia" w:ascii="仿宋_GB2312" w:hAnsi="仿宋_GB2312" w:eastAsia="仿宋_GB2312" w:cs="仿宋_GB2312"/>
          <w:color w:val="auto"/>
          <w:sz w:val="32"/>
          <w:szCs w:val="32"/>
        </w:rPr>
        <w:t>企业主要负责人要把“责任主体谈主体责任”活动常态化，对</w:t>
      </w:r>
      <w:r>
        <w:rPr>
          <w:rFonts w:hint="eastAsia" w:ascii="仿宋_GB2312" w:hAnsi="仿宋_GB2312" w:cs="仿宋_GB2312"/>
          <w:color w:val="auto"/>
          <w:sz w:val="32"/>
          <w:szCs w:val="32"/>
          <w:lang w:val="en-US" w:eastAsia="zh-CN"/>
        </w:rPr>
        <w:t>5</w:t>
      </w:r>
      <w:r>
        <w:rPr>
          <w:rFonts w:hint="eastAsia" w:ascii="仿宋_GB2312" w:hAnsi="仿宋_GB2312" w:eastAsia="仿宋_GB2312" w:cs="仿宋_GB2312"/>
          <w:color w:val="auto"/>
          <w:sz w:val="32"/>
          <w:szCs w:val="32"/>
        </w:rPr>
        <w:t>年来本企业发生的事故情况开展后评估，带头深入学习宣讲</w:t>
      </w:r>
      <w:r>
        <w:rPr>
          <w:rFonts w:hint="eastAsia" w:ascii="仿宋_GB2312" w:hAnsi="仿宋_GB2312" w:eastAsia="仿宋_GB2312" w:cs="仿宋_GB2312"/>
          <w:color w:val="auto"/>
          <w:sz w:val="32"/>
          <w:szCs w:val="32"/>
          <w:lang w:eastAsia="zh-CN"/>
        </w:rPr>
        <w:t>“国务院十五条硬措施”、“本市78条工作举措”、“本区81条具体举措”以及</w:t>
      </w:r>
      <w:r>
        <w:rPr>
          <w:rFonts w:hint="eastAsia" w:ascii="仿宋_GB2312" w:hAnsi="仿宋_GB2312" w:eastAsia="仿宋_GB2312" w:cs="仿宋_GB2312"/>
          <w:color w:val="auto"/>
          <w:sz w:val="32"/>
          <w:szCs w:val="32"/>
        </w:rPr>
        <w:t>重大事故隐患判定标准，推进建设工程项目施工分包、安全生产“企</w:t>
      </w:r>
      <w:r>
        <w:rPr>
          <w:rFonts w:hint="eastAsia" w:ascii="宋体" w:hAnsi="宋体" w:eastAsia="仿宋_GB2312" w:cs="仿宋_GB2312"/>
          <w:color w:val="auto"/>
          <w:sz w:val="32"/>
          <w:szCs w:val="32"/>
        </w:rPr>
        <w:t>业码”等安全生产管理创新，采取企业班子成员下沉“包干制”等方式，一级推一级，层层压实责任，形成工作制度、品牌案例、长效机制。加强示范引领，带头开展重大事故隐患自查自改和安全生产标准化、风险管控和隐患排查双重预防机制、企业安全生产文化建设等，形成一批典型示范案例，带动行业企业管理水平整体提升。</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ascii="楷体_GB2312" w:hAnsi="楷体_GB2312" w:eastAsia="楷体_GB2312" w:cs="楷体_GB2312"/>
          <w:b/>
          <w:bCs/>
          <w:color w:val="auto"/>
          <w:sz w:val="32"/>
          <w:szCs w:val="32"/>
        </w:rPr>
      </w:pPr>
      <w:r>
        <w:rPr>
          <w:rFonts w:hint="eastAsia" w:ascii="楷体_GB2312" w:hAnsi="楷体_GB2312" w:eastAsia="楷体_GB2312" w:cs="楷体_GB2312"/>
          <w:b/>
          <w:bCs/>
          <w:color w:val="auto"/>
          <w:sz w:val="32"/>
          <w:szCs w:val="32"/>
        </w:rPr>
        <w:t>（二）狠抓监管部门精准严格执法，切实提升发现问题和解决问题的强烈意愿和能力水平</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rPr>
        <w:t>各有关部门要进一步增强责任感、使命感、紧迫感，分兵把守、齐抓共管，特别是负有安全监管职责的部门要定期对本行业领域重大事故隐患和事故情况开展评估研判和趋势性分析，以顽强的斗争精神、过硬的素质能力及时发现并查处企业的非法违规问题，坚决整治安全监管执法“宽松软虚”，通过精准严格的监管执法倒逼企业主体责任落实。突出抓好以下</w:t>
      </w:r>
      <w:r>
        <w:rPr>
          <w:rFonts w:hint="eastAsia" w:ascii="仿宋_GB2312" w:hAnsi="仿宋_GB2312" w:cs="仿宋_GB2312"/>
          <w:color w:val="auto"/>
          <w:sz w:val="32"/>
          <w:szCs w:val="32"/>
          <w:lang w:val="en-US" w:eastAsia="zh-CN"/>
        </w:rPr>
        <w:t>6</w:t>
      </w:r>
      <w:r>
        <w:rPr>
          <w:rFonts w:hint="eastAsia" w:ascii="仿宋_GB2312" w:hAnsi="仿宋_GB2312" w:eastAsia="仿宋_GB2312" w:cs="仿宋_GB2312"/>
          <w:color w:val="auto"/>
          <w:sz w:val="32"/>
          <w:szCs w:val="32"/>
        </w:rPr>
        <w:t>项工作</w:t>
      </w:r>
      <w:r>
        <w:rPr>
          <w:rFonts w:hint="eastAsia" w:ascii="仿宋_GB2312" w:hAnsi="仿宋_GB2312" w:cs="仿宋_GB2312"/>
          <w:color w:val="auto"/>
          <w:sz w:val="32"/>
          <w:szCs w:val="32"/>
          <w:lang w:eastAsia="zh-CN"/>
        </w:rPr>
        <w:t>。</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ascii="宋体" w:hAnsi="宋体" w:eastAsia="仿宋_GB2312" w:cs="仿宋_GB2312"/>
          <w:color w:val="auto"/>
          <w:sz w:val="32"/>
          <w:szCs w:val="32"/>
        </w:rPr>
      </w:pPr>
      <w:r>
        <w:rPr>
          <w:rFonts w:hint="eastAsia" w:ascii="仿宋_GB2312" w:hAnsi="仿宋_GB2312" w:eastAsia="仿宋_GB2312" w:cs="仿宋_GB2312"/>
          <w:b/>
          <w:bCs/>
          <w:color w:val="auto"/>
          <w:sz w:val="32"/>
          <w:szCs w:val="32"/>
        </w:rPr>
        <w:t>1.尽快明确和大力宣传排查整治标准要求。</w:t>
      </w:r>
      <w:r>
        <w:rPr>
          <w:rFonts w:hint="eastAsia" w:ascii="仿宋_GB2312" w:hAnsi="仿宋_GB2312" w:cs="仿宋_GB2312"/>
          <w:b w:val="0"/>
          <w:bCs w:val="0"/>
          <w:color w:val="auto"/>
          <w:sz w:val="32"/>
          <w:szCs w:val="32"/>
          <w:lang w:eastAsia="zh-CN"/>
        </w:rPr>
        <w:t>区</w:t>
      </w:r>
      <w:r>
        <w:rPr>
          <w:rFonts w:hint="eastAsia" w:ascii="仿宋_GB2312" w:hAnsi="仿宋_GB2312" w:eastAsia="仿宋_GB2312" w:cs="仿宋_GB2312"/>
          <w:color w:val="auto"/>
          <w:sz w:val="32"/>
          <w:szCs w:val="32"/>
        </w:rPr>
        <w:t>安委会各有关成员单位要抓紧制定印发本部门专项行动方案，加强各系统专项行动“条”上的统筹推动。方案要重点突出、简洁管用，已出台重大事故隐患判定标准的行业领域，可从现有判定标准中进一步聚焦提炼出本次整治的重点隐患；尚未出台重大事故隐患判定标准的行业领域，要结合事故教训，首先在方案中明确本次整治的重点事项。各有关部门可结合实际进一步补充完善相关整治内容，通知到行业内企业单位</w:t>
      </w:r>
      <w:r>
        <w:rPr>
          <w:rFonts w:hint="eastAsia" w:ascii="仿宋_GB2312" w:hAnsi="仿宋_GB2312" w:cs="仿宋_GB2312"/>
          <w:color w:val="auto"/>
          <w:sz w:val="32"/>
          <w:szCs w:val="32"/>
          <w:lang w:eastAsia="zh-CN"/>
        </w:rPr>
        <w:t>，</w:t>
      </w:r>
      <w:r>
        <w:rPr>
          <w:rFonts w:hint="eastAsia" w:ascii="仿宋_GB2312" w:hAnsi="仿宋_GB2312" w:eastAsia="仿宋_GB2312" w:cs="仿宋_GB2312"/>
          <w:color w:val="auto"/>
          <w:sz w:val="32"/>
          <w:szCs w:val="32"/>
        </w:rPr>
        <w:t>并采取多种方式开展宣传解读。进一步健全安全生产举报奖励体系，优化安全生产举报处理工作机制，鼓励建立完善企业安全生产内部举报人机制，查实重奖，拓展渠道引导社会各界积极参与举报奖励工作。</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ascii="宋体" w:hAnsi="宋体" w:eastAsia="仿宋_GB2312" w:cs="仿宋_GB2312"/>
          <w:color w:val="auto"/>
          <w:sz w:val="32"/>
          <w:szCs w:val="32"/>
        </w:rPr>
      </w:pPr>
      <w:r>
        <w:rPr>
          <w:rFonts w:hint="eastAsia" w:ascii="仿宋_GB2312" w:hAnsi="仿宋_GB2312" w:eastAsia="仿宋_GB2312" w:cs="仿宋_GB2312"/>
          <w:b/>
          <w:bCs/>
          <w:color w:val="auto"/>
          <w:sz w:val="32"/>
          <w:szCs w:val="32"/>
        </w:rPr>
        <w:t>2.开展监管执法人员专题培训。</w:t>
      </w:r>
      <w:r>
        <w:rPr>
          <w:rFonts w:hint="eastAsia" w:ascii="宋体" w:hAnsi="宋体" w:eastAsia="仿宋_GB2312" w:cs="仿宋_GB2312"/>
          <w:color w:val="auto"/>
          <w:sz w:val="32"/>
          <w:szCs w:val="32"/>
        </w:rPr>
        <w:t>负有安全监管职责的各有关部门要利用企业自查自改阶段的时间，集中对监管执法人员开展安全生产专题培训。要结合落实党的二十大精神和学习贯彻习近平新时代中国特色社会主义思想主题教育，“学思想、强党性、重实践、建新功”，明责知责、履责尽责，发扬斗争精神，增强斗争本领，切实提高发现问题和解决问题的强烈意愿；要重点学习重大事故隐患判定标准、重点执法检查事项及相关法律法规标准，提高专业素养和法治素养，切实提升监管执法人员发现问题和解决问题的能力水平。</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3.聚焦排查整治重点精准严格执法。</w:t>
      </w:r>
      <w:r>
        <w:rPr>
          <w:rFonts w:hint="eastAsia" w:ascii="仿宋_GB2312" w:hAnsi="仿宋_GB2312" w:eastAsia="仿宋_GB2312" w:cs="仿宋_GB2312"/>
          <w:color w:val="auto"/>
          <w:sz w:val="32"/>
          <w:szCs w:val="32"/>
        </w:rPr>
        <w:t>负有安全监管职责的各有关部门要针对企业主要负责人前述</w:t>
      </w:r>
      <w:r>
        <w:rPr>
          <w:rFonts w:hint="eastAsia" w:ascii="仿宋_GB2312" w:hAnsi="仿宋_GB2312" w:eastAsia="仿宋_GB2312" w:cs="仿宋_GB2312"/>
          <w:color w:val="auto"/>
          <w:sz w:val="32"/>
          <w:szCs w:val="32"/>
          <w:lang w:val="en-US" w:eastAsia="zh-CN"/>
        </w:rPr>
        <w:t>6</w:t>
      </w:r>
      <w:r>
        <w:rPr>
          <w:rFonts w:hint="eastAsia" w:ascii="仿宋_GB2312" w:hAnsi="仿宋_GB2312" w:eastAsia="仿宋_GB2312" w:cs="仿宋_GB2312"/>
          <w:color w:val="auto"/>
          <w:sz w:val="32"/>
          <w:szCs w:val="32"/>
        </w:rPr>
        <w:t>项重点任务落实情况开展精准严格执法。对企业自查发现的重大事故隐患，已按规定报告并正在采取有效措施消除的，依法不予行政处罚。对排查整治不力导致重大事故隐患依然存在或发生事故的，要依法对企业和企业主要负责人实行“一案双罚”；重大事故隐患长期存在并多次受到处罚的，依法提请区政府予以关闭并落实企业主要负责人行业禁入规定；涉嫌犯罪的，依法移送司法机关追究刑事责任。对执法检查中发现的重大事故隐患要紧盯不放，督促企业坚决整改落实到位，严禁以罚代管、罚而不管。根据监管执法情况，定期通报一批、约谈一批、联合惩戒一批、停产整顿一批，并分期分批公布安全生产典型执法案例（含危险作业罪）。</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4.建立倒查机制严格问责问效。</w:t>
      </w:r>
      <w:r>
        <w:rPr>
          <w:rFonts w:hint="eastAsia" w:ascii="仿宋_GB2312" w:hAnsi="仿宋_GB2312" w:cs="仿宋_GB2312"/>
          <w:color w:val="auto"/>
          <w:sz w:val="32"/>
          <w:szCs w:val="32"/>
          <w:lang w:eastAsia="zh-CN"/>
        </w:rPr>
        <w:t>各有关部门</w:t>
      </w:r>
      <w:r>
        <w:rPr>
          <w:rFonts w:hint="eastAsia" w:ascii="仿宋_GB2312" w:hAnsi="仿宋_GB2312" w:eastAsia="仿宋_GB2312" w:cs="仿宋_GB2312"/>
          <w:color w:val="auto"/>
          <w:sz w:val="32"/>
          <w:szCs w:val="32"/>
        </w:rPr>
        <w:t>要建立安全监管执法责任倒查机制，严格执行“谁检查、谁签名、谁负责”，对明明有问题却查不出或查出后跟踪整改不到位导致发生事故的，严肃追责问责，构成犯罪的移送司法机关追究刑事责任。对排查整治不力的有关</w:t>
      </w:r>
      <w:r>
        <w:rPr>
          <w:rFonts w:hint="eastAsia" w:ascii="仿宋_GB2312" w:hAnsi="仿宋_GB2312" w:cs="仿宋_GB2312"/>
          <w:color w:val="auto"/>
          <w:sz w:val="32"/>
          <w:szCs w:val="32"/>
          <w:lang w:eastAsia="zh-CN"/>
        </w:rPr>
        <w:t>乡镇、区级部门、区直属企业</w:t>
      </w:r>
      <w:r>
        <w:rPr>
          <w:rFonts w:hint="eastAsia" w:ascii="仿宋_GB2312" w:hAnsi="仿宋_GB2312" w:eastAsia="仿宋_GB2312" w:cs="仿宋_GB2312"/>
          <w:color w:val="auto"/>
          <w:sz w:val="32"/>
          <w:szCs w:val="32"/>
        </w:rPr>
        <w:t>，要理直气壮开展约谈通报，严肃指出存在的突出问题，情况严重的按规</w:t>
      </w:r>
      <w:r>
        <w:rPr>
          <w:rFonts w:hint="eastAsia" w:ascii="仿宋_GB2312" w:hAnsi="仿宋_GB2312" w:cs="仿宋_GB2312"/>
          <w:color w:val="auto"/>
          <w:sz w:val="32"/>
          <w:szCs w:val="32"/>
          <w:lang w:eastAsia="zh-CN"/>
        </w:rPr>
        <w:t>予</w:t>
      </w:r>
      <w:r>
        <w:rPr>
          <w:rFonts w:hint="eastAsia" w:ascii="仿宋_GB2312" w:hAnsi="仿宋_GB2312" w:eastAsia="仿宋_GB2312" w:cs="仿宋_GB2312"/>
          <w:color w:val="auto"/>
          <w:sz w:val="32"/>
          <w:szCs w:val="32"/>
        </w:rPr>
        <w:t>以问责处理。</w:t>
      </w:r>
      <w:r>
        <w:rPr>
          <w:rFonts w:hint="eastAsia" w:ascii="仿宋_GB2312" w:hAnsi="仿宋_GB2312" w:cs="仿宋_GB2312"/>
          <w:color w:val="auto"/>
          <w:sz w:val="32"/>
          <w:szCs w:val="32"/>
          <w:lang w:eastAsia="zh-CN"/>
        </w:rPr>
        <w:t>区</w:t>
      </w:r>
      <w:r>
        <w:rPr>
          <w:rFonts w:hint="eastAsia" w:ascii="仿宋_GB2312" w:hAnsi="仿宋_GB2312" w:eastAsia="仿宋_GB2312" w:cs="仿宋_GB2312"/>
          <w:color w:val="auto"/>
          <w:sz w:val="32"/>
          <w:szCs w:val="32"/>
        </w:rPr>
        <w:t>安委会办公室对排查整治不到位发生的典型事故实施挂牌督办、严肃追责，并在</w:t>
      </w:r>
      <w:r>
        <w:rPr>
          <w:rFonts w:hint="eastAsia" w:ascii="仿宋_GB2312" w:hAnsi="仿宋_GB2312" w:cs="仿宋_GB2312"/>
          <w:color w:val="auto"/>
          <w:sz w:val="32"/>
          <w:szCs w:val="32"/>
          <w:lang w:eastAsia="zh-CN"/>
        </w:rPr>
        <w:t>全区</w:t>
      </w:r>
      <w:r>
        <w:rPr>
          <w:rFonts w:hint="eastAsia" w:ascii="仿宋_GB2312" w:hAnsi="仿宋_GB2312" w:eastAsia="仿宋_GB2312" w:cs="仿宋_GB2312"/>
          <w:color w:val="auto"/>
          <w:sz w:val="32"/>
          <w:szCs w:val="32"/>
        </w:rPr>
        <w:t>进行通报。</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ascii="宋体" w:hAnsi="宋体" w:eastAsia="仿宋_GB2312" w:cs="仿宋_GB2312"/>
          <w:color w:val="auto"/>
          <w:sz w:val="32"/>
          <w:szCs w:val="32"/>
        </w:rPr>
      </w:pPr>
      <w:r>
        <w:rPr>
          <w:rFonts w:hint="eastAsia" w:ascii="仿宋_GB2312" w:hAnsi="仿宋_GB2312" w:eastAsia="仿宋_GB2312" w:cs="仿宋_GB2312"/>
          <w:b/>
          <w:bCs/>
          <w:color w:val="auto"/>
          <w:sz w:val="32"/>
          <w:szCs w:val="32"/>
        </w:rPr>
        <w:t>5.创新监管和服务方式切实提升监管执法效能。</w:t>
      </w:r>
      <w:r>
        <w:rPr>
          <w:rFonts w:hint="eastAsia" w:ascii="仿宋_GB2312" w:hAnsi="仿宋_GB2312" w:eastAsia="仿宋_GB2312" w:cs="仿宋_GB2312"/>
          <w:color w:val="auto"/>
          <w:sz w:val="32"/>
          <w:szCs w:val="32"/>
        </w:rPr>
        <w:t>负有安全监管职责的各有关部门要积极运用“四不两直”、明查暗访、异地执法、交叉互检等工作方式不断提高执法质量，避免走形式、走过场；依托“互联网+监管”等信息手段加强部门间互联互通，对于大数据排查发现的屡查屡犯的企业负责人和重点企业实施精准有效监管。对于涉及多部门、区域性违法违规行为的，强化信息通报共享和部门协调联动，开展跨部门联合执法检查、联合信用监管；要组织专家对重点企业帮扶指导；要积极服务企业对电焊等特种作业人员的排查整治工作，及时提供特种作业人员培训和考核发证服务。</w:t>
      </w:r>
    </w:p>
    <w:p>
      <w:pPr>
        <w:keepNext w:val="0"/>
        <w:keepLines w:val="0"/>
        <w:pageBreakBefore w:val="0"/>
        <w:widowControl w:val="0"/>
        <w:kinsoku/>
        <w:wordWrap/>
        <w:overflowPunct/>
        <w:topLinePunct w:val="0"/>
        <w:autoSpaceDE/>
        <w:autoSpaceDN/>
        <w:bidi w:val="0"/>
        <w:spacing w:line="560" w:lineRule="exact"/>
        <w:ind w:firstLine="643" w:firstLineChars="200"/>
        <w:jc w:val="left"/>
        <w:textAlignment w:val="auto"/>
        <w:outlineLvl w:val="9"/>
        <w:rPr>
          <w:color w:val="auto"/>
        </w:rPr>
      </w:pPr>
      <w:r>
        <w:rPr>
          <w:rFonts w:hint="eastAsia" w:ascii="仿宋_GB2312" w:hAnsi="仿宋_GB2312" w:eastAsia="仿宋_GB2312" w:cs="仿宋_GB2312"/>
          <w:b/>
          <w:bCs/>
          <w:color w:val="auto"/>
          <w:sz w:val="32"/>
          <w:szCs w:val="32"/>
        </w:rPr>
        <w:t>6.切实提升新风险的安全防范能力。</w:t>
      </w:r>
      <w:r>
        <w:rPr>
          <w:rFonts w:hint="eastAsia" w:ascii="仿宋_GB2312" w:hAnsi="仿宋_GB2312" w:eastAsia="仿宋_GB2312" w:cs="仿宋_GB2312"/>
          <w:b w:val="0"/>
          <w:bCs w:val="0"/>
          <w:color w:val="auto"/>
          <w:sz w:val="32"/>
          <w:szCs w:val="32"/>
          <w:highlight w:val="none"/>
          <w:lang w:eastAsia="zh-CN"/>
        </w:rPr>
        <w:t>区安委</w:t>
      </w:r>
      <w:r>
        <w:rPr>
          <w:rFonts w:hint="eastAsia" w:ascii="仿宋_GB2312" w:hAnsi="仿宋_GB2312" w:cs="仿宋_GB2312"/>
          <w:b w:val="0"/>
          <w:bCs w:val="0"/>
          <w:color w:val="auto"/>
          <w:sz w:val="32"/>
          <w:szCs w:val="32"/>
          <w:highlight w:val="none"/>
          <w:lang w:eastAsia="zh-CN"/>
        </w:rPr>
        <w:t>会</w:t>
      </w:r>
      <w:r>
        <w:rPr>
          <w:rFonts w:hint="eastAsia" w:ascii="仿宋_GB2312" w:hAnsi="仿宋_GB2312" w:eastAsia="仿宋_GB2312" w:cs="仿宋_GB2312"/>
          <w:b w:val="0"/>
          <w:bCs w:val="0"/>
          <w:color w:val="auto"/>
          <w:sz w:val="32"/>
          <w:szCs w:val="32"/>
          <w:highlight w:val="none"/>
          <w:lang w:eastAsia="zh-CN"/>
        </w:rPr>
        <w:t>将</w:t>
      </w:r>
      <w:r>
        <w:rPr>
          <w:rFonts w:hint="eastAsia" w:ascii="仿宋_GB2312" w:hAnsi="仿宋_GB2312" w:eastAsia="仿宋_GB2312" w:cs="仿宋_GB2312"/>
          <w:b w:val="0"/>
          <w:bCs w:val="0"/>
          <w:color w:val="auto"/>
          <w:sz w:val="32"/>
          <w:szCs w:val="32"/>
          <w:lang w:eastAsia="zh-CN"/>
        </w:rPr>
        <w:t>根据</w:t>
      </w:r>
      <w:r>
        <w:rPr>
          <w:rFonts w:hint="eastAsia" w:ascii="仿宋_GB2312" w:hAnsi="仿宋_GB2312" w:eastAsia="仿宋_GB2312" w:cs="仿宋_GB2312"/>
          <w:color w:val="auto"/>
          <w:sz w:val="32"/>
          <w:szCs w:val="32"/>
          <w:lang w:eastAsia="zh-CN"/>
        </w:rPr>
        <w:t>市安委会</w:t>
      </w:r>
      <w:r>
        <w:rPr>
          <w:rFonts w:hint="eastAsia" w:ascii="仿宋_GB2312" w:hAnsi="仿宋_GB2312" w:eastAsia="仿宋_GB2312" w:cs="仿宋_GB2312"/>
          <w:color w:val="auto"/>
          <w:sz w:val="32"/>
          <w:szCs w:val="32"/>
        </w:rPr>
        <w:t>《关于进一步</w:t>
      </w:r>
      <w:r>
        <w:rPr>
          <w:rFonts w:hint="eastAsia" w:ascii="仿宋_GB2312" w:hAnsi="仿宋_GB2312" w:eastAsia="仿宋_GB2312" w:cs="仿宋_GB2312"/>
          <w:color w:val="auto"/>
          <w:sz w:val="32"/>
          <w:szCs w:val="32"/>
          <w:lang w:eastAsia="zh-CN"/>
        </w:rPr>
        <w:t>落实“</w:t>
      </w:r>
      <w:r>
        <w:rPr>
          <w:rFonts w:hint="eastAsia" w:ascii="仿宋_GB2312" w:hAnsi="仿宋_GB2312" w:eastAsia="仿宋_GB2312" w:cs="仿宋_GB2312"/>
          <w:color w:val="auto"/>
          <w:sz w:val="32"/>
          <w:szCs w:val="32"/>
        </w:rPr>
        <w:t>管行业必须管安全管业务必须管安全管生产经营必须管安全</w:t>
      </w:r>
      <w:r>
        <w:rPr>
          <w:rFonts w:hint="eastAsia" w:ascii="仿宋_GB2312" w:hAnsi="仿宋_GB2312" w:eastAsia="仿宋_GB2312" w:cs="仿宋_GB2312"/>
          <w:color w:val="auto"/>
          <w:sz w:val="32"/>
          <w:szCs w:val="32"/>
          <w:lang w:eastAsia="zh-CN"/>
        </w:rPr>
        <w:t>”责任体系的</w:t>
      </w:r>
      <w:r>
        <w:rPr>
          <w:rFonts w:hint="eastAsia" w:ascii="仿宋_GB2312" w:hAnsi="仿宋_GB2312" w:eastAsia="仿宋_GB2312" w:cs="仿宋_GB2312"/>
          <w:color w:val="auto"/>
          <w:sz w:val="32"/>
          <w:szCs w:val="32"/>
        </w:rPr>
        <w:t>意见》</w:t>
      </w:r>
      <w:r>
        <w:rPr>
          <w:rFonts w:hint="eastAsia" w:ascii="仿宋_GB2312" w:hAnsi="仿宋_GB2312" w:eastAsia="仿宋_GB2312" w:cs="仿宋_GB2312"/>
          <w:color w:val="auto"/>
          <w:sz w:val="32"/>
          <w:szCs w:val="32"/>
          <w:lang w:eastAsia="zh-CN"/>
        </w:rPr>
        <w:t>（沪安委会</w:t>
      </w:r>
      <w:r>
        <w:rPr>
          <w:rFonts w:hint="eastAsia" w:ascii="仿宋_GB2312" w:hAnsi="仿宋_GB2312" w:eastAsia="仿宋_GB2312" w:cs="仿宋_GB2312"/>
          <w:i w:val="0"/>
          <w:caps w:val="0"/>
          <w:color w:val="auto"/>
          <w:spacing w:val="0"/>
          <w:kern w:val="2"/>
          <w:sz w:val="32"/>
          <w:szCs w:val="32"/>
          <w:shd w:val="clear" w:color="auto" w:fill="auto"/>
          <w:lang w:val="en-US" w:eastAsia="zh-CN" w:bidi="ar"/>
        </w:rPr>
        <w:t>〔2023〕3号</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以及11个行业领域监管职责清单，</w:t>
      </w:r>
      <w:r>
        <w:rPr>
          <w:rFonts w:hint="eastAsia" w:ascii="仿宋_GB2312" w:hAnsi="仿宋_GB2312" w:eastAsia="仿宋_GB2312" w:cs="仿宋_GB2312"/>
          <w:color w:val="auto"/>
          <w:sz w:val="32"/>
          <w:szCs w:val="32"/>
          <w:lang w:eastAsia="zh-CN"/>
        </w:rPr>
        <w:t>制定区级相关文件及责任清单，进一步</w:t>
      </w:r>
      <w:r>
        <w:rPr>
          <w:rFonts w:hint="eastAsia" w:ascii="仿宋_GB2312" w:hAnsi="仿宋_GB2312" w:cs="仿宋_GB2312"/>
          <w:color w:val="auto"/>
          <w:sz w:val="32"/>
          <w:szCs w:val="32"/>
          <w:lang w:eastAsia="zh-CN"/>
        </w:rPr>
        <w:t>明确</w:t>
      </w:r>
      <w:r>
        <w:rPr>
          <w:rFonts w:hint="eastAsia" w:ascii="仿宋_GB2312" w:hAnsi="仿宋_GB2312" w:eastAsia="仿宋_GB2312" w:cs="仿宋_GB2312"/>
          <w:color w:val="auto"/>
          <w:sz w:val="32"/>
          <w:szCs w:val="32"/>
        </w:rPr>
        <w:t>安全生产责任、权力、监管、任务清单</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强化职能交叉和新行业新业态新领域的安全监管。</w:t>
      </w:r>
      <w:r>
        <w:rPr>
          <w:rFonts w:hint="eastAsia" w:ascii="仿宋_GB2312" w:hAnsi="仿宋_GB2312" w:eastAsia="仿宋_GB2312" w:cs="仿宋_GB2312"/>
          <w:color w:val="auto"/>
          <w:sz w:val="32"/>
          <w:szCs w:val="32"/>
          <w:lang w:eastAsia="zh-CN"/>
        </w:rPr>
        <w:t>各有关部门要严格落实并通</w:t>
      </w:r>
      <w:r>
        <w:rPr>
          <w:rFonts w:hint="eastAsia" w:ascii="仿宋_GB2312" w:hAnsi="仿宋_GB2312" w:eastAsia="仿宋_GB2312" w:cs="仿宋_GB2312"/>
          <w:color w:val="auto"/>
          <w:sz w:val="32"/>
          <w:szCs w:val="32"/>
        </w:rPr>
        <w:t>过专项行动，杜绝监管空白和盲区，在电动自行车、危险化学品、自建房等全链条、全生命周期安全风险管控上实现新探索，建立健全务实管用的责任体系，把“三管三必须”具体化、有形化，做到落实处、可考核。</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ascii="楷体_GB2312" w:hAnsi="楷体_GB2312" w:eastAsia="楷体_GB2312" w:cs="楷体_GB2312"/>
          <w:b/>
          <w:bCs/>
          <w:color w:val="auto"/>
          <w:sz w:val="32"/>
          <w:szCs w:val="32"/>
        </w:rPr>
      </w:pPr>
      <w:r>
        <w:rPr>
          <w:rFonts w:hint="eastAsia" w:ascii="楷体_GB2312" w:hAnsi="楷体_GB2312" w:eastAsia="楷体_GB2312" w:cs="楷体_GB2312"/>
          <w:b/>
          <w:bCs/>
          <w:color w:val="auto"/>
          <w:sz w:val="32"/>
          <w:szCs w:val="32"/>
        </w:rPr>
        <w:t>（三）压紧压实属地管理责任</w:t>
      </w:r>
      <w:r>
        <w:rPr>
          <w:rFonts w:hint="eastAsia" w:ascii="楷体_GB2312" w:hAnsi="楷体_GB2312" w:eastAsia="楷体_GB2312" w:cs="楷体_GB2312"/>
          <w:b/>
          <w:bCs/>
          <w:color w:val="auto"/>
          <w:sz w:val="32"/>
          <w:szCs w:val="32"/>
          <w:lang w:eastAsia="zh-CN"/>
        </w:rPr>
        <w:t>和</w:t>
      </w:r>
      <w:r>
        <w:rPr>
          <w:rFonts w:hint="eastAsia" w:ascii="楷体_GB2312" w:hAnsi="楷体_GB2312" w:eastAsia="楷体_GB2312" w:cs="楷体_GB2312"/>
          <w:b/>
          <w:bCs/>
          <w:color w:val="auto"/>
          <w:sz w:val="32"/>
          <w:szCs w:val="32"/>
        </w:rPr>
        <w:t>党政领导责任，切实强化领导安全生产工作的水平</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各乡镇</w:t>
      </w:r>
      <w:r>
        <w:rPr>
          <w:rFonts w:hint="eastAsia" w:ascii="仿宋_GB2312" w:hAnsi="仿宋_GB2312" w:eastAsia="仿宋_GB2312" w:cs="仿宋_GB2312"/>
          <w:color w:val="auto"/>
          <w:sz w:val="32"/>
          <w:szCs w:val="32"/>
        </w:rPr>
        <w:t>要牢固树立安全红线意识，落实好属地领导责任，严格“党政同责、一岗双责”，切实加强对排查整治工作的组织领导，主要负责人和分管负责人要亲自带头抓，深入基层调查研究，统筹推动各项工作，为排查整治取得实效提供坚实保障。突出抓好以下</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rPr>
        <w:t>项工作</w:t>
      </w:r>
      <w:r>
        <w:rPr>
          <w:rFonts w:hint="eastAsia" w:ascii="仿宋_GB2312" w:hAnsi="仿宋_GB2312" w:eastAsia="仿宋_GB2312" w:cs="仿宋_GB2312"/>
          <w:color w:val="auto"/>
          <w:sz w:val="32"/>
          <w:szCs w:val="32"/>
          <w:lang w:eastAsia="zh-CN"/>
        </w:rPr>
        <w:t>。</w:t>
      </w:r>
    </w:p>
    <w:p>
      <w:pPr>
        <w:keepNext w:val="0"/>
        <w:keepLines w:val="0"/>
        <w:pageBreakBefore w:val="0"/>
        <w:widowControl w:val="0"/>
        <w:numPr>
          <w:ilvl w:val="0"/>
          <w:numId w:val="0"/>
        </w:numPr>
        <w:kinsoku/>
        <w:wordWrap/>
        <w:overflowPunct/>
        <w:topLinePunct w:val="0"/>
        <w:autoSpaceDE/>
        <w:autoSpaceDN/>
        <w:bidi w:val="0"/>
        <w:spacing w:line="560" w:lineRule="exact"/>
        <w:ind w:firstLine="643" w:firstLineChars="200"/>
        <w:textAlignment w:val="auto"/>
        <w:outlineLvl w:val="9"/>
        <w:rPr>
          <w:rFonts w:ascii="宋体" w:hAnsi="宋体" w:eastAsia="仿宋_GB2312" w:cs="仿宋_GB2312"/>
          <w:color w:val="auto"/>
          <w:sz w:val="32"/>
          <w:szCs w:val="32"/>
        </w:rPr>
      </w:pPr>
      <w:r>
        <w:rPr>
          <w:rFonts w:hint="eastAsia" w:ascii="仿宋_GB2312" w:hAnsi="仿宋_GB2312" w:cs="仿宋_GB2312"/>
          <w:b/>
          <w:bCs/>
          <w:color w:val="auto"/>
          <w:sz w:val="32"/>
          <w:szCs w:val="32"/>
          <w:lang w:val="en-US" w:eastAsia="zh-CN"/>
        </w:rPr>
        <w:t>1.</w:t>
      </w:r>
      <w:r>
        <w:rPr>
          <w:rFonts w:hint="eastAsia" w:ascii="仿宋_GB2312" w:hAnsi="仿宋_GB2312" w:eastAsia="仿宋_GB2312" w:cs="仿宋_GB2312"/>
          <w:b/>
          <w:bCs/>
          <w:color w:val="auto"/>
          <w:sz w:val="32"/>
          <w:szCs w:val="32"/>
        </w:rPr>
        <w:t>牢固树立安全红线意识。</w:t>
      </w:r>
      <w:r>
        <w:rPr>
          <w:rFonts w:hint="eastAsia" w:ascii="仿宋_GB2312" w:hAnsi="仿宋_GB2312" w:eastAsia="仿宋_GB2312" w:cs="仿宋_GB2312"/>
          <w:color w:val="auto"/>
          <w:sz w:val="32"/>
          <w:szCs w:val="32"/>
        </w:rPr>
        <w:t>各</w:t>
      </w:r>
      <w:r>
        <w:rPr>
          <w:rFonts w:hint="eastAsia" w:ascii="仿宋_GB2312" w:hAnsi="仿宋_GB2312" w:eastAsia="仿宋_GB2312" w:cs="仿宋_GB2312"/>
          <w:color w:val="auto"/>
          <w:sz w:val="32"/>
          <w:szCs w:val="32"/>
          <w:lang w:eastAsia="zh-CN"/>
        </w:rPr>
        <w:t>乡镇</w:t>
      </w:r>
      <w:r>
        <w:rPr>
          <w:rFonts w:hint="eastAsia" w:ascii="仿宋_GB2312" w:hAnsi="仿宋_GB2312" w:eastAsia="仿宋_GB2312" w:cs="仿宋_GB2312"/>
          <w:color w:val="auto"/>
          <w:sz w:val="32"/>
          <w:szCs w:val="32"/>
        </w:rPr>
        <w:t>要深入学习贯彻习近平总书记关于安全生产重要论述，始终牢记和坚决贯彻“发展决不能以</w:t>
      </w:r>
      <w:r>
        <w:rPr>
          <w:rFonts w:hint="eastAsia" w:ascii="仿宋_GB2312" w:hAnsi="仿宋_GB2312" w:eastAsia="仿宋_GB2312" w:cs="仿宋_GB2312"/>
          <w:color w:val="auto"/>
          <w:sz w:val="32"/>
          <w:szCs w:val="32"/>
          <w:lang w:eastAsia="zh-CN"/>
        </w:rPr>
        <w:t>牺牲</w:t>
      </w:r>
      <w:r>
        <w:rPr>
          <w:rFonts w:hint="eastAsia" w:ascii="仿宋_GB2312" w:hAnsi="仿宋_GB2312" w:eastAsia="仿宋_GB2312" w:cs="仿宋_GB2312"/>
          <w:color w:val="auto"/>
          <w:sz w:val="32"/>
          <w:szCs w:val="32"/>
        </w:rPr>
        <w:t>人的生命为代价，这是一条不可逾越的红线”。要坚持人民至上、生命至上，切实统筹好发展和安全，推动在规划编制、招商引资、项目准入等初始环节把好安全关，在重大项目建设、优化营商环境、产业能级提升等过程环节守牢安全底线，不得降低安全门槛，自觉担负起“促一方发展、保一方平安”的政治责任。要专题学习“国务院十五条硬措施”、“本市78条工作举措”</w:t>
      </w:r>
      <w:r>
        <w:rPr>
          <w:rFonts w:hint="eastAsia" w:ascii="仿宋_GB2312" w:hAnsi="仿宋_GB2312" w:eastAsia="仿宋_GB2312" w:cs="仿宋_GB2312"/>
          <w:color w:val="auto"/>
          <w:sz w:val="32"/>
          <w:szCs w:val="32"/>
          <w:lang w:eastAsia="zh-CN"/>
        </w:rPr>
        <w:t>和</w:t>
      </w:r>
      <w:r>
        <w:rPr>
          <w:rFonts w:hint="eastAsia" w:ascii="仿宋_GB2312" w:hAnsi="仿宋_GB2312" w:eastAsia="仿宋_GB2312" w:cs="仿宋_GB2312"/>
          <w:color w:val="auto"/>
          <w:sz w:val="32"/>
          <w:szCs w:val="32"/>
        </w:rPr>
        <w:t>“本区81条具体举措”，逐条对照狠抓落实</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切实提升发现问题和解决问题的强烈意愿和能力水平。</w:t>
      </w:r>
      <w:r>
        <w:rPr>
          <w:rFonts w:hint="eastAsia" w:ascii="仿宋_GB2312" w:hAnsi="仿宋_GB2312" w:eastAsia="仿宋_GB2312" w:cs="仿宋_GB2312"/>
          <w:color w:val="auto"/>
          <w:sz w:val="32"/>
          <w:szCs w:val="32"/>
          <w:lang w:eastAsia="zh-CN"/>
        </w:rPr>
        <w:t>要</w:t>
      </w:r>
      <w:r>
        <w:rPr>
          <w:rFonts w:hint="eastAsia" w:ascii="仿宋_GB2312" w:hAnsi="仿宋_GB2312" w:eastAsia="仿宋_GB2312" w:cs="仿宋_GB2312"/>
          <w:color w:val="auto"/>
          <w:sz w:val="32"/>
          <w:szCs w:val="32"/>
        </w:rPr>
        <w:t>严格落实《上海市崇明区人民政府关于加强城乡安全风险防控的意见》（沪崇府发〔2021〕82号），建立健全安全风险防控机制，全面提升重大事故隐患的发现、防范和管控能力。要大力实施源头治理、依法治理、工程治理、科技强安等治本之策，提高本质安全水平。</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hint="eastAsia" w:ascii="宋体" w:hAnsi="宋体" w:eastAsia="仿宋_GB2312" w:cs="仿宋_GB2312"/>
          <w:color w:val="auto"/>
          <w:sz w:val="32"/>
          <w:szCs w:val="32"/>
        </w:rPr>
      </w:pPr>
      <w:r>
        <w:rPr>
          <w:rFonts w:hint="eastAsia" w:ascii="仿宋_GB2312" w:hAnsi="仿宋_GB2312" w:eastAsia="仿宋_GB2312" w:cs="仿宋_GB2312"/>
          <w:b/>
          <w:bCs/>
          <w:color w:val="auto"/>
          <w:sz w:val="32"/>
          <w:szCs w:val="32"/>
        </w:rPr>
        <w:t>2.全面做好排查整治动员部署。</w:t>
      </w:r>
      <w:r>
        <w:rPr>
          <w:rFonts w:hint="eastAsia" w:ascii="宋体" w:hAnsi="宋体" w:eastAsia="仿宋_GB2312" w:cs="仿宋_GB2312"/>
          <w:color w:val="auto"/>
          <w:sz w:val="32"/>
          <w:szCs w:val="32"/>
        </w:rPr>
        <w:t>各</w:t>
      </w:r>
      <w:r>
        <w:rPr>
          <w:rFonts w:hint="eastAsia" w:ascii="宋体" w:hAnsi="宋体" w:cs="仿宋_GB2312"/>
          <w:color w:val="auto"/>
          <w:sz w:val="32"/>
          <w:szCs w:val="32"/>
          <w:lang w:eastAsia="zh-CN"/>
        </w:rPr>
        <w:t>乡镇</w:t>
      </w:r>
      <w:r>
        <w:rPr>
          <w:rFonts w:hint="eastAsia" w:ascii="宋体" w:hAnsi="宋体" w:eastAsia="仿宋_GB2312" w:cs="仿宋_GB2312"/>
          <w:color w:val="auto"/>
          <w:sz w:val="32"/>
          <w:szCs w:val="32"/>
        </w:rPr>
        <w:t>要迅速研究制定本</w:t>
      </w:r>
      <w:r>
        <w:rPr>
          <w:rFonts w:hint="eastAsia" w:ascii="宋体" w:hAnsi="宋体" w:cs="仿宋_GB2312"/>
          <w:color w:val="auto"/>
          <w:sz w:val="32"/>
          <w:szCs w:val="32"/>
          <w:lang w:eastAsia="zh-CN"/>
        </w:rPr>
        <w:t>辖</w:t>
      </w:r>
      <w:r>
        <w:rPr>
          <w:rFonts w:hint="eastAsia" w:ascii="宋体" w:hAnsi="宋体" w:eastAsia="仿宋_GB2312" w:cs="仿宋_GB2312"/>
          <w:color w:val="auto"/>
          <w:sz w:val="32"/>
          <w:szCs w:val="32"/>
        </w:rPr>
        <w:t>区专项行动工作方案，建立健全专项行动组织领导和常态化督导检查机制。</w:t>
      </w:r>
      <w:r>
        <w:rPr>
          <w:rFonts w:hint="eastAsia" w:ascii="宋体" w:hAnsi="宋体" w:cs="仿宋_GB2312"/>
          <w:color w:val="auto"/>
          <w:sz w:val="32"/>
          <w:szCs w:val="32"/>
          <w:lang w:eastAsia="zh-CN"/>
        </w:rPr>
        <w:t>各乡镇人民</w:t>
      </w:r>
      <w:r>
        <w:rPr>
          <w:rFonts w:hint="eastAsia" w:ascii="宋体" w:hAnsi="宋体" w:eastAsia="仿宋_GB2312" w:cs="仿宋_GB2312"/>
          <w:color w:val="auto"/>
          <w:sz w:val="32"/>
          <w:szCs w:val="32"/>
        </w:rPr>
        <w:t>政府主要负责同志要亲自组织召开专题会议进行动员部署；</w:t>
      </w:r>
      <w:r>
        <w:rPr>
          <w:rFonts w:hint="eastAsia" w:ascii="宋体" w:hAnsi="宋体" w:cs="仿宋_GB2312"/>
          <w:color w:val="auto"/>
          <w:sz w:val="32"/>
          <w:szCs w:val="32"/>
          <w:lang w:eastAsia="zh-CN"/>
        </w:rPr>
        <w:t>各乡镇党委</w:t>
      </w:r>
      <w:r>
        <w:rPr>
          <w:rFonts w:hint="eastAsia" w:ascii="宋体" w:hAnsi="宋体" w:cs="仿宋_GB2312"/>
          <w:color w:val="auto"/>
          <w:sz w:val="32"/>
          <w:szCs w:val="32"/>
          <w:highlight w:val="none"/>
          <w:lang w:eastAsia="zh-CN"/>
        </w:rPr>
        <w:t>政府</w:t>
      </w:r>
      <w:r>
        <w:rPr>
          <w:rFonts w:hint="eastAsia" w:ascii="宋体" w:hAnsi="宋体" w:eastAsia="仿宋_GB2312" w:cs="仿宋_GB2312"/>
          <w:color w:val="auto"/>
          <w:sz w:val="32"/>
          <w:szCs w:val="32"/>
          <w:highlight w:val="none"/>
        </w:rPr>
        <w:t>定</w:t>
      </w:r>
      <w:r>
        <w:rPr>
          <w:rFonts w:hint="eastAsia" w:ascii="宋体" w:hAnsi="宋体" w:eastAsia="仿宋_GB2312" w:cs="仿宋_GB2312"/>
          <w:color w:val="auto"/>
          <w:sz w:val="32"/>
          <w:szCs w:val="32"/>
        </w:rPr>
        <w:t>期听取工作进展情况汇报，研究解决安全生产重大问题，督促推动跨行业领域重大隐患排查整治；其他负责同志按照职责分工，定期开展现场督导检查，宣讲专项行动方案和重大事故隐患判定标准</w:t>
      </w:r>
      <w:r>
        <w:rPr>
          <w:rFonts w:hint="eastAsia" w:ascii="宋体" w:hAnsi="宋体" w:cs="仿宋_GB2312"/>
          <w:color w:val="auto"/>
          <w:sz w:val="32"/>
          <w:szCs w:val="32"/>
          <w:lang w:eastAsia="zh-CN"/>
        </w:rPr>
        <w:t>，</w:t>
      </w:r>
      <w:r>
        <w:rPr>
          <w:rFonts w:hint="eastAsia" w:ascii="宋体" w:hAnsi="宋体" w:eastAsia="仿宋_GB2312" w:cs="仿宋_GB2312"/>
          <w:color w:val="auto"/>
          <w:sz w:val="32"/>
          <w:szCs w:val="32"/>
        </w:rPr>
        <w:t>督促分管部门做好排查整治工作。</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3.发挥宣传组织优势加强全社会共同监督。</w:t>
      </w:r>
      <w:r>
        <w:rPr>
          <w:rFonts w:hint="eastAsia" w:ascii="仿宋_GB2312" w:hAnsi="仿宋_GB2312" w:cs="仿宋_GB2312"/>
          <w:b w:val="0"/>
          <w:bCs w:val="0"/>
          <w:color w:val="auto"/>
          <w:sz w:val="32"/>
          <w:szCs w:val="32"/>
          <w:lang w:eastAsia="zh-CN"/>
        </w:rPr>
        <w:t>围绕“人人讲安全、个个会应急”活动主题，</w:t>
      </w:r>
      <w:r>
        <w:rPr>
          <w:rFonts w:hint="eastAsia" w:ascii="仿宋_GB2312" w:hAnsi="仿宋_GB2312" w:eastAsia="仿宋_GB2312" w:cs="仿宋_GB2312"/>
          <w:b w:val="0"/>
          <w:bCs w:val="0"/>
          <w:color w:val="auto"/>
          <w:sz w:val="32"/>
          <w:szCs w:val="32"/>
        </w:rPr>
        <w:t>将重</w:t>
      </w:r>
      <w:r>
        <w:rPr>
          <w:rFonts w:hint="eastAsia" w:ascii="仿宋_GB2312" w:hAnsi="仿宋_GB2312" w:eastAsia="仿宋_GB2312" w:cs="仿宋_GB2312"/>
          <w:color w:val="auto"/>
          <w:sz w:val="32"/>
          <w:szCs w:val="32"/>
        </w:rPr>
        <w:t>大事故隐患排查整治和应急演练作为重要内容</w:t>
      </w:r>
      <w:r>
        <w:rPr>
          <w:rFonts w:hint="eastAsia" w:ascii="仿宋_GB2312" w:hAnsi="仿宋_GB2312" w:cs="仿宋_GB2312"/>
          <w:color w:val="auto"/>
          <w:sz w:val="32"/>
          <w:szCs w:val="32"/>
          <w:lang w:eastAsia="zh-CN"/>
        </w:rPr>
        <w:t>，</w:t>
      </w:r>
      <w:r>
        <w:rPr>
          <w:rFonts w:hint="eastAsia" w:ascii="仿宋_GB2312" w:hAnsi="仿宋_GB2312" w:eastAsia="仿宋_GB2312" w:cs="仿宋_GB2312"/>
          <w:color w:val="auto"/>
          <w:sz w:val="32"/>
          <w:szCs w:val="32"/>
        </w:rPr>
        <w:t>开展“安全生产月”专题活动；</w:t>
      </w:r>
      <w:r>
        <w:rPr>
          <w:rFonts w:hint="eastAsia" w:ascii="仿宋_GB2312" w:hAnsi="仿宋_GB2312" w:cs="仿宋_GB2312"/>
          <w:color w:val="auto"/>
          <w:sz w:val="32"/>
          <w:szCs w:val="32"/>
          <w:lang w:eastAsia="zh-CN"/>
        </w:rPr>
        <w:t>在各媒体渠道</w:t>
      </w:r>
      <w:r>
        <w:rPr>
          <w:rFonts w:hint="eastAsia" w:ascii="仿宋_GB2312" w:hAnsi="仿宋_GB2312" w:eastAsia="仿宋_GB2312" w:cs="仿宋_GB2312"/>
          <w:color w:val="auto"/>
          <w:sz w:val="32"/>
          <w:szCs w:val="32"/>
        </w:rPr>
        <w:t>开设安全生产专题栏目，及时宣传排查整治工作中典型经验做法，加大安全生产重大事故隐患的公开曝光力度。</w:t>
      </w:r>
    </w:p>
    <w:p>
      <w:pPr>
        <w:keepNext w:val="0"/>
        <w:keepLines w:val="0"/>
        <w:pageBreakBefore w:val="0"/>
        <w:widowControl w:val="0"/>
        <w:kinsoku/>
        <w:wordWrap/>
        <w:overflowPunct/>
        <w:topLinePunct w:val="0"/>
        <w:autoSpaceDE/>
        <w:autoSpaceDN/>
        <w:bidi w:val="0"/>
        <w:spacing w:line="560" w:lineRule="exact"/>
        <w:ind w:firstLine="643" w:firstLineChars="200"/>
        <w:jc w:val="left"/>
        <w:textAlignment w:val="auto"/>
        <w:outlineLvl w:val="9"/>
        <w:rPr>
          <w:rFonts w:ascii="仿宋_GB2312" w:hAnsi="仿宋_GB2312" w:eastAsia="仿宋_GB2312" w:cs="仿宋_GB2312"/>
          <w:color w:val="auto"/>
          <w:sz w:val="32"/>
          <w:szCs w:val="32"/>
        </w:rPr>
      </w:pPr>
      <w:r>
        <w:rPr>
          <w:rFonts w:hint="eastAsia" w:ascii="仿宋_GB2312" w:hAnsi="仿宋_GB2312" w:eastAsia="仿宋_GB2312" w:cs="仿宋_GB2312"/>
          <w:b/>
          <w:bCs/>
          <w:color w:val="auto"/>
          <w:sz w:val="32"/>
          <w:szCs w:val="32"/>
        </w:rPr>
        <w:t>4.强化重大事故隐患排查整改财力人力保障。</w:t>
      </w:r>
      <w:r>
        <w:rPr>
          <w:rFonts w:hint="eastAsia" w:ascii="仿宋_GB2312" w:hAnsi="仿宋_GB2312" w:eastAsia="仿宋_GB2312" w:cs="仿宋_GB2312"/>
          <w:color w:val="auto"/>
          <w:sz w:val="32"/>
          <w:szCs w:val="32"/>
        </w:rPr>
        <w:t>督促</w:t>
      </w:r>
      <w:r>
        <w:rPr>
          <w:rFonts w:hint="eastAsia" w:ascii="仿宋_GB2312" w:hAnsi="仿宋_GB2312" w:cs="仿宋_GB2312"/>
          <w:color w:val="auto"/>
          <w:sz w:val="32"/>
          <w:szCs w:val="32"/>
          <w:lang w:eastAsia="zh-CN"/>
        </w:rPr>
        <w:t>推动</w:t>
      </w:r>
      <w:r>
        <w:rPr>
          <w:rFonts w:hint="eastAsia" w:ascii="仿宋_GB2312" w:hAnsi="仿宋_GB2312" w:eastAsia="仿宋_GB2312" w:cs="仿宋_GB2312"/>
          <w:color w:val="auto"/>
          <w:sz w:val="32"/>
          <w:szCs w:val="32"/>
        </w:rPr>
        <w:t>企业按规定比例提取安全生产费用，保障重大事故隐患排查整改，对重点问题隐患加大政府治理资金支持力度，积极推进实施物防技防等安全生产工程治理措施；完善政府购买服务、聘请专家等加强企业指导帮扶的工作机制；健全</w:t>
      </w:r>
      <w:r>
        <w:rPr>
          <w:rFonts w:hint="eastAsia" w:ascii="仿宋_GB2312" w:hAnsi="仿宋_GB2312" w:cs="仿宋_GB2312"/>
          <w:color w:val="auto"/>
          <w:sz w:val="32"/>
          <w:szCs w:val="32"/>
          <w:lang w:eastAsia="zh-CN"/>
        </w:rPr>
        <w:t>区、乡镇</w:t>
      </w:r>
      <w:r>
        <w:rPr>
          <w:rFonts w:hint="eastAsia" w:ascii="仿宋_GB2312" w:hAnsi="仿宋_GB2312" w:eastAsia="仿宋_GB2312" w:cs="仿宋_GB2312"/>
          <w:color w:val="auto"/>
          <w:sz w:val="32"/>
          <w:szCs w:val="32"/>
        </w:rPr>
        <w:t>安全监管体制，大力配备专兼职技术检查员，着力解决监管执法队伍“人少质弱”问题，切实提升重大事故隐患查处能力。</w:t>
      </w:r>
    </w:p>
    <w:p>
      <w:pPr>
        <w:keepNext w:val="0"/>
        <w:keepLines w:val="0"/>
        <w:pageBreakBefore w:val="0"/>
        <w:widowControl w:val="0"/>
        <w:kinsoku/>
        <w:wordWrap/>
        <w:overflowPunct/>
        <w:topLinePunct w:val="0"/>
        <w:autoSpaceDE/>
        <w:autoSpaceDN/>
        <w:bidi w:val="0"/>
        <w:spacing w:line="560" w:lineRule="exact"/>
        <w:ind w:firstLine="643" w:firstLineChars="200"/>
        <w:textAlignment w:val="auto"/>
        <w:outlineLvl w:val="9"/>
        <w:rPr>
          <w:rFonts w:ascii="宋体" w:hAnsi="宋体" w:eastAsia="仿宋_GB2312" w:cs="仿宋_GB2312"/>
          <w:color w:val="auto"/>
          <w:sz w:val="32"/>
          <w:szCs w:val="32"/>
        </w:rPr>
      </w:pPr>
      <w:r>
        <w:rPr>
          <w:rFonts w:hint="eastAsia" w:ascii="仿宋_GB2312" w:hAnsi="仿宋_GB2312" w:eastAsia="仿宋_GB2312" w:cs="仿宋_GB2312"/>
          <w:b/>
          <w:bCs/>
          <w:color w:val="auto"/>
          <w:sz w:val="32"/>
          <w:szCs w:val="32"/>
        </w:rPr>
        <w:t>5.</w:t>
      </w:r>
      <w:r>
        <w:rPr>
          <w:rFonts w:hint="eastAsia" w:ascii="宋体" w:hAnsi="宋体" w:eastAsia="仿宋_GB2312" w:cs="仿宋_GB2312"/>
          <w:b/>
          <w:bCs/>
          <w:color w:val="auto"/>
          <w:sz w:val="32"/>
          <w:szCs w:val="32"/>
        </w:rPr>
        <w:t>严格安全生产督查督办和考核巡查。</w:t>
      </w:r>
      <w:r>
        <w:rPr>
          <w:rFonts w:hint="eastAsia" w:ascii="仿宋_GB2312" w:hAnsi="仿宋_GB2312" w:eastAsia="仿宋_GB2312" w:cs="仿宋_GB2312"/>
          <w:color w:val="auto"/>
          <w:sz w:val="32"/>
          <w:szCs w:val="32"/>
        </w:rPr>
        <w:t>各</w:t>
      </w:r>
      <w:r>
        <w:rPr>
          <w:rFonts w:hint="eastAsia" w:ascii="仿宋_GB2312" w:hAnsi="仿宋_GB2312" w:eastAsia="仿宋_GB2312" w:cs="仿宋_GB2312"/>
          <w:color w:val="auto"/>
          <w:sz w:val="32"/>
          <w:szCs w:val="32"/>
          <w:lang w:eastAsia="zh-CN"/>
        </w:rPr>
        <w:t>乡镇</w:t>
      </w:r>
      <w:r>
        <w:rPr>
          <w:rFonts w:hint="eastAsia" w:ascii="仿宋_GB2312" w:hAnsi="仿宋_GB2312" w:eastAsia="仿宋_GB2312" w:cs="仿宋_GB2312"/>
          <w:color w:val="auto"/>
          <w:sz w:val="32"/>
          <w:szCs w:val="32"/>
        </w:rPr>
        <w:t>要深化上账理念，建立本</w:t>
      </w:r>
      <w:r>
        <w:rPr>
          <w:rFonts w:hint="eastAsia" w:ascii="仿宋_GB2312" w:hAnsi="仿宋_GB2312" w:eastAsia="仿宋_GB2312" w:cs="仿宋_GB2312"/>
          <w:color w:val="auto"/>
          <w:sz w:val="32"/>
          <w:szCs w:val="32"/>
          <w:lang w:eastAsia="zh-CN"/>
        </w:rPr>
        <w:t>辖区</w:t>
      </w:r>
      <w:r>
        <w:rPr>
          <w:rFonts w:hint="eastAsia" w:ascii="仿宋_GB2312" w:hAnsi="仿宋_GB2312" w:eastAsia="仿宋_GB2312" w:cs="仿宋_GB2312"/>
          <w:color w:val="auto"/>
          <w:sz w:val="32"/>
          <w:szCs w:val="32"/>
        </w:rPr>
        <w:t>重大事故隐患数据库，定期开展分析研判，完善重大事故隐患整治督办制度，全部上账、即查即改，严格分类管理、闭环销账。要深入基层加强督导检查，</w:t>
      </w:r>
      <w:r>
        <w:rPr>
          <w:rFonts w:hint="eastAsia" w:ascii="仿宋_GB2312" w:hAnsi="仿宋_GB2312" w:cs="仿宋_GB2312"/>
          <w:color w:val="auto"/>
          <w:sz w:val="32"/>
          <w:szCs w:val="32"/>
          <w:lang w:eastAsia="zh-CN"/>
        </w:rPr>
        <w:t>及时</w:t>
      </w:r>
      <w:r>
        <w:rPr>
          <w:rFonts w:hint="eastAsia" w:ascii="仿宋_GB2312" w:hAnsi="仿宋_GB2312" w:eastAsia="仿宋_GB2312" w:cs="仿宋_GB2312"/>
          <w:color w:val="auto"/>
          <w:sz w:val="32"/>
          <w:szCs w:val="32"/>
        </w:rPr>
        <w:t>通报整治进展情况，做到动态化、清单化。此次</w:t>
      </w:r>
      <w:r>
        <w:rPr>
          <w:rFonts w:hint="eastAsia" w:ascii="仿宋_GB2312" w:hAnsi="仿宋_GB2312" w:eastAsia="仿宋_GB2312" w:cs="仿宋_GB2312"/>
          <w:color w:val="auto"/>
          <w:sz w:val="32"/>
          <w:szCs w:val="32"/>
          <w:lang w:eastAsia="zh-CN"/>
        </w:rPr>
        <w:t>专项行动</w:t>
      </w:r>
      <w:r>
        <w:rPr>
          <w:rFonts w:hint="eastAsia" w:ascii="仿宋_GB2312" w:hAnsi="仿宋_GB2312" w:eastAsia="仿宋_GB2312" w:cs="仿宋_GB2312"/>
          <w:color w:val="auto"/>
          <w:sz w:val="32"/>
          <w:szCs w:val="32"/>
        </w:rPr>
        <w:t>开展情况将作为2023年度安全生产考核巡查的重点内容，对存在安全检查走形式走过场、监管执法“宽松软虚”、对风险隐患视而不见、见而不查、查而不改的</w:t>
      </w:r>
      <w:r>
        <w:rPr>
          <w:rFonts w:hint="eastAsia" w:ascii="仿宋_GB2312" w:hAnsi="仿宋_GB2312" w:cs="仿宋_GB2312"/>
          <w:color w:val="auto"/>
          <w:sz w:val="32"/>
          <w:szCs w:val="32"/>
          <w:lang w:eastAsia="zh-CN"/>
        </w:rPr>
        <w:t>乡镇</w:t>
      </w:r>
      <w:r>
        <w:rPr>
          <w:rFonts w:hint="eastAsia" w:ascii="仿宋_GB2312" w:hAnsi="仿宋_GB2312" w:eastAsia="仿宋_GB2312" w:cs="仿宋_GB2312"/>
          <w:color w:val="auto"/>
          <w:sz w:val="32"/>
          <w:szCs w:val="32"/>
        </w:rPr>
        <w:t>，一律不得评为“优秀”。</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ascii="国标黑体" w:hAnsi="国标黑体" w:eastAsia="国标黑体" w:cs="国标黑体"/>
          <w:color w:val="auto"/>
          <w:sz w:val="32"/>
          <w:szCs w:val="32"/>
        </w:rPr>
      </w:pPr>
      <w:r>
        <w:rPr>
          <w:rFonts w:hint="eastAsia" w:ascii="国标黑体" w:hAnsi="国标黑体" w:eastAsia="国标黑体" w:cs="国标黑体"/>
          <w:color w:val="auto"/>
          <w:sz w:val="32"/>
          <w:szCs w:val="32"/>
          <w:lang w:eastAsia="zh-CN"/>
        </w:rPr>
        <w:t>四</w:t>
      </w:r>
      <w:r>
        <w:rPr>
          <w:rFonts w:hint="eastAsia" w:ascii="国标黑体" w:hAnsi="国标黑体" w:eastAsia="国标黑体" w:cs="国标黑体"/>
          <w:color w:val="auto"/>
          <w:sz w:val="32"/>
          <w:szCs w:val="32"/>
        </w:rPr>
        <w:t>、阶段安排</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专项行动分</w:t>
      </w:r>
      <w:r>
        <w:rPr>
          <w:rFonts w:hint="eastAsia" w:ascii="仿宋_GB2312" w:hAnsi="仿宋_GB2312" w:eastAsia="仿宋_GB2312" w:cs="仿宋_GB2312"/>
          <w:color w:val="auto"/>
          <w:sz w:val="32"/>
          <w:szCs w:val="32"/>
          <w:lang w:val="en-US" w:eastAsia="zh-CN"/>
        </w:rPr>
        <w:t>4</w:t>
      </w:r>
      <w:r>
        <w:rPr>
          <w:rFonts w:hint="eastAsia" w:ascii="仿宋_GB2312" w:hAnsi="仿宋_GB2312" w:eastAsia="仿宋_GB2312" w:cs="仿宋_GB2312"/>
          <w:color w:val="auto"/>
          <w:sz w:val="32"/>
          <w:szCs w:val="32"/>
        </w:rPr>
        <w:t>个阶段，各</w:t>
      </w:r>
      <w:r>
        <w:rPr>
          <w:rFonts w:hint="eastAsia" w:ascii="仿宋_GB2312" w:hAnsi="仿宋_GB2312" w:eastAsia="仿宋_GB2312" w:cs="仿宋_GB2312"/>
          <w:color w:val="auto"/>
          <w:sz w:val="32"/>
          <w:szCs w:val="32"/>
          <w:lang w:eastAsia="zh-CN"/>
        </w:rPr>
        <w:t>乡镇</w:t>
      </w:r>
      <w:r>
        <w:rPr>
          <w:rFonts w:hint="eastAsia" w:ascii="仿宋_GB2312" w:hAnsi="仿宋_GB2312" w:eastAsia="仿宋_GB2312" w:cs="仿宋_GB2312"/>
          <w:color w:val="auto"/>
          <w:sz w:val="32"/>
          <w:szCs w:val="32"/>
        </w:rPr>
        <w:t>、各有关部门和</w:t>
      </w:r>
      <w:r>
        <w:rPr>
          <w:rFonts w:hint="eastAsia" w:ascii="仿宋_GB2312" w:hAnsi="仿宋_GB2312" w:eastAsia="仿宋_GB2312" w:cs="仿宋_GB2312"/>
          <w:color w:val="auto"/>
          <w:sz w:val="32"/>
          <w:szCs w:val="32"/>
          <w:lang w:eastAsia="zh-CN"/>
        </w:rPr>
        <w:t>区直属</w:t>
      </w:r>
      <w:r>
        <w:rPr>
          <w:rFonts w:hint="eastAsia" w:ascii="仿宋_GB2312" w:hAnsi="仿宋_GB2312" w:cs="仿宋_GB2312"/>
          <w:color w:val="auto"/>
          <w:sz w:val="32"/>
          <w:szCs w:val="32"/>
          <w:lang w:eastAsia="zh-CN"/>
        </w:rPr>
        <w:t>企业</w:t>
      </w:r>
      <w:r>
        <w:rPr>
          <w:rFonts w:hint="eastAsia" w:ascii="仿宋_GB2312" w:hAnsi="仿宋_GB2312" w:eastAsia="仿宋_GB2312" w:cs="仿宋_GB2312"/>
          <w:color w:val="auto"/>
          <w:sz w:val="32"/>
          <w:szCs w:val="32"/>
        </w:rPr>
        <w:t>要按照各阶段工作重点有序</w:t>
      </w:r>
      <w:r>
        <w:rPr>
          <w:rFonts w:hint="eastAsia" w:ascii="仿宋_GB2312" w:hAnsi="仿宋_GB2312" w:eastAsia="仿宋_GB2312" w:cs="仿宋_GB2312"/>
          <w:color w:val="auto"/>
          <w:sz w:val="32"/>
          <w:szCs w:val="32"/>
          <w:lang w:eastAsia="zh-CN"/>
        </w:rPr>
        <w:t>压</w:t>
      </w:r>
      <w:r>
        <w:rPr>
          <w:rFonts w:hint="eastAsia" w:ascii="仿宋_GB2312" w:hAnsi="仿宋_GB2312" w:eastAsia="仿宋_GB2312" w:cs="仿宋_GB2312"/>
          <w:color w:val="auto"/>
          <w:sz w:val="32"/>
          <w:szCs w:val="32"/>
        </w:rPr>
        <w:t>茬推进。</w:t>
      </w:r>
    </w:p>
    <w:p>
      <w:pPr>
        <w:keepNext w:val="0"/>
        <w:keepLines w:val="0"/>
        <w:pageBreakBefore w:val="0"/>
        <w:widowControl w:val="0"/>
        <w:numPr>
          <w:ilvl w:val="0"/>
          <w:numId w:val="2"/>
        </w:numPr>
        <w:kinsoku/>
        <w:wordWrap/>
        <w:overflowPunct/>
        <w:topLinePunct w:val="0"/>
        <w:autoSpaceDE/>
        <w:autoSpaceDN/>
        <w:bidi w:val="0"/>
        <w:spacing w:line="560" w:lineRule="exact"/>
        <w:ind w:firstLine="643" w:firstLineChars="200"/>
        <w:textAlignment w:val="auto"/>
        <w:outlineLvl w:val="9"/>
        <w:rPr>
          <w:rFonts w:hint="eastAsia" w:ascii="楷体_GB2312" w:hAnsi="楷体_GB2312" w:eastAsia="楷体_GB2312" w:cs="楷体_GB2312"/>
          <w:b/>
          <w:bCs/>
          <w:color w:val="auto"/>
          <w:sz w:val="32"/>
          <w:szCs w:val="32"/>
        </w:rPr>
      </w:pPr>
      <w:r>
        <w:rPr>
          <w:rFonts w:hint="eastAsia" w:ascii="楷体_GB2312" w:hAnsi="楷体_GB2312" w:eastAsia="楷体_GB2312" w:cs="楷体_GB2312"/>
          <w:b/>
          <w:bCs/>
          <w:color w:val="auto"/>
          <w:sz w:val="32"/>
          <w:szCs w:val="32"/>
        </w:rPr>
        <w:t>动员部署（2023年5月</w:t>
      </w:r>
      <w:r>
        <w:rPr>
          <w:rFonts w:hint="eastAsia" w:ascii="楷体_GB2312" w:hAnsi="楷体_GB2312" w:eastAsia="楷体_GB2312" w:cs="楷体_GB2312"/>
          <w:b/>
          <w:bCs/>
          <w:color w:val="auto"/>
          <w:sz w:val="32"/>
          <w:szCs w:val="32"/>
          <w:lang w:eastAsia="zh-CN"/>
        </w:rPr>
        <w:t>中</w:t>
      </w:r>
      <w:r>
        <w:rPr>
          <w:rFonts w:hint="eastAsia" w:ascii="楷体_GB2312" w:hAnsi="楷体_GB2312" w:eastAsia="楷体_GB2312" w:cs="楷体_GB2312"/>
          <w:b/>
          <w:bCs/>
          <w:color w:val="auto"/>
          <w:sz w:val="32"/>
          <w:szCs w:val="32"/>
        </w:rPr>
        <w:t>旬前）</w:t>
      </w:r>
    </w:p>
    <w:p>
      <w:pPr>
        <w:keepNext w:val="0"/>
        <w:keepLines w:val="0"/>
        <w:pageBreakBefore w:val="0"/>
        <w:widowControl w:val="0"/>
        <w:numPr>
          <w:ilvl w:val="-1"/>
          <w:numId w:val="0"/>
        </w:numPr>
        <w:kinsoku/>
        <w:wordWrap/>
        <w:overflowPunct/>
        <w:topLinePunct w:val="0"/>
        <w:autoSpaceDE/>
        <w:autoSpaceDN/>
        <w:bidi w:val="0"/>
        <w:spacing w:line="560" w:lineRule="exact"/>
        <w:ind w:firstLine="640" w:firstLineChars="200"/>
        <w:textAlignment w:val="auto"/>
        <w:outlineLvl w:val="9"/>
        <w:rPr>
          <w:rFonts w:ascii="宋体" w:hAnsi="宋体" w:eastAsia="仿宋_GB2312" w:cs="仿宋_GB2312"/>
          <w:color w:val="auto"/>
          <w:sz w:val="32"/>
          <w:szCs w:val="32"/>
        </w:rPr>
      </w:pPr>
      <w:r>
        <w:rPr>
          <w:rFonts w:hint="eastAsia" w:ascii="宋体" w:hAnsi="宋体" w:eastAsia="仿宋_GB2312" w:cs="仿宋_GB2312"/>
          <w:color w:val="auto"/>
          <w:sz w:val="32"/>
          <w:szCs w:val="32"/>
        </w:rPr>
        <w:t>制定印发专项行动方案，细化明确安全生产重大事故隐患判定标准或重点检查事项等，召开专题会议动员部署。</w:t>
      </w:r>
    </w:p>
    <w:p>
      <w:pPr>
        <w:keepNext w:val="0"/>
        <w:keepLines w:val="0"/>
        <w:pageBreakBefore w:val="0"/>
        <w:widowControl w:val="0"/>
        <w:numPr>
          <w:ilvl w:val="0"/>
          <w:numId w:val="2"/>
        </w:numPr>
        <w:kinsoku/>
        <w:wordWrap/>
        <w:overflowPunct/>
        <w:topLinePunct w:val="0"/>
        <w:autoSpaceDE/>
        <w:autoSpaceDN/>
        <w:bidi w:val="0"/>
        <w:spacing w:line="560" w:lineRule="exact"/>
        <w:ind w:firstLine="643" w:firstLineChars="200"/>
        <w:textAlignment w:val="auto"/>
        <w:outlineLvl w:val="9"/>
        <w:rPr>
          <w:rFonts w:hint="eastAsia" w:ascii="楷体_GB2312" w:hAnsi="楷体_GB2312" w:eastAsia="楷体_GB2312" w:cs="楷体_GB2312"/>
          <w:b/>
          <w:bCs/>
          <w:color w:val="auto"/>
          <w:sz w:val="32"/>
          <w:szCs w:val="32"/>
        </w:rPr>
      </w:pPr>
      <w:r>
        <w:rPr>
          <w:rFonts w:hint="eastAsia" w:ascii="楷体_GB2312" w:hAnsi="楷体_GB2312" w:eastAsia="楷体_GB2312" w:cs="楷体_GB2312"/>
          <w:b/>
          <w:bCs/>
          <w:color w:val="auto"/>
          <w:sz w:val="32"/>
          <w:szCs w:val="32"/>
        </w:rPr>
        <w:t>企业自查自改和部门帮扶（2023年6月底前）</w:t>
      </w:r>
    </w:p>
    <w:p>
      <w:pPr>
        <w:keepNext w:val="0"/>
        <w:keepLines w:val="0"/>
        <w:pageBreakBefore w:val="0"/>
        <w:widowControl w:val="0"/>
        <w:numPr>
          <w:ilvl w:val="-1"/>
          <w:numId w:val="0"/>
        </w:numPr>
        <w:kinsoku/>
        <w:wordWrap/>
        <w:overflowPunct/>
        <w:topLinePunct w:val="0"/>
        <w:autoSpaceDE/>
        <w:autoSpaceDN/>
        <w:bidi w:val="0"/>
        <w:spacing w:line="560" w:lineRule="exact"/>
        <w:ind w:firstLine="640" w:firstLineChars="200"/>
        <w:textAlignment w:val="auto"/>
        <w:outlineLvl w:val="9"/>
        <w:rPr>
          <w:rFonts w:ascii="宋体" w:hAnsi="宋体" w:eastAsia="仿宋_GB2312" w:cs="仿宋_GB2312"/>
          <w:color w:val="auto"/>
          <w:sz w:val="32"/>
          <w:szCs w:val="32"/>
        </w:rPr>
      </w:pPr>
      <w:r>
        <w:rPr>
          <w:rFonts w:hint="eastAsia" w:ascii="宋体" w:hAnsi="宋体" w:eastAsia="仿宋_GB2312" w:cs="仿宋_GB2312"/>
          <w:color w:val="auto"/>
          <w:sz w:val="32"/>
          <w:szCs w:val="32"/>
        </w:rPr>
        <w:t>企业认真开展自查自改，建立安全生产重大事故隐患台账。各</w:t>
      </w:r>
      <w:r>
        <w:rPr>
          <w:rFonts w:hint="eastAsia" w:ascii="宋体" w:hAnsi="宋体" w:cs="仿宋_GB2312"/>
          <w:color w:val="auto"/>
          <w:sz w:val="32"/>
          <w:szCs w:val="32"/>
          <w:lang w:eastAsia="zh-CN"/>
        </w:rPr>
        <w:t>乡镇、</w:t>
      </w:r>
      <w:r>
        <w:rPr>
          <w:rFonts w:hint="eastAsia" w:ascii="宋体" w:hAnsi="宋体" w:eastAsia="仿宋_GB2312" w:cs="仿宋_GB2312"/>
          <w:color w:val="auto"/>
          <w:sz w:val="32"/>
          <w:szCs w:val="32"/>
        </w:rPr>
        <w:t>各有关部门对重点企业开展帮扶，完成安全执法队伍专题培训。组织开展好“安全生产月”活动。</w:t>
      </w:r>
    </w:p>
    <w:p>
      <w:pPr>
        <w:keepNext w:val="0"/>
        <w:keepLines w:val="0"/>
        <w:pageBreakBefore w:val="0"/>
        <w:widowControl w:val="0"/>
        <w:numPr>
          <w:ilvl w:val="0"/>
          <w:numId w:val="2"/>
        </w:numPr>
        <w:kinsoku/>
        <w:wordWrap/>
        <w:overflowPunct/>
        <w:topLinePunct w:val="0"/>
        <w:autoSpaceDE/>
        <w:autoSpaceDN/>
        <w:bidi w:val="0"/>
        <w:spacing w:line="560" w:lineRule="exact"/>
        <w:ind w:firstLine="643" w:firstLineChars="200"/>
        <w:textAlignment w:val="auto"/>
        <w:outlineLvl w:val="9"/>
        <w:rPr>
          <w:rFonts w:hint="eastAsia" w:ascii="楷体_GB2312" w:hAnsi="楷体_GB2312" w:eastAsia="楷体_GB2312" w:cs="楷体_GB2312"/>
          <w:b/>
          <w:bCs/>
          <w:color w:val="auto"/>
          <w:sz w:val="32"/>
          <w:szCs w:val="32"/>
        </w:rPr>
      </w:pPr>
      <w:r>
        <w:rPr>
          <w:rFonts w:hint="eastAsia" w:ascii="楷体_GB2312" w:hAnsi="楷体_GB2312" w:eastAsia="楷体_GB2312" w:cs="楷体_GB2312"/>
          <w:b/>
          <w:bCs/>
          <w:color w:val="auto"/>
          <w:sz w:val="32"/>
          <w:szCs w:val="32"/>
        </w:rPr>
        <w:t>精准执法和强化督查（2023年11月底前）</w:t>
      </w:r>
    </w:p>
    <w:p>
      <w:pPr>
        <w:keepNext w:val="0"/>
        <w:keepLines w:val="0"/>
        <w:pageBreakBefore w:val="0"/>
        <w:widowControl w:val="0"/>
        <w:numPr>
          <w:ilvl w:val="-1"/>
          <w:numId w:val="0"/>
        </w:numPr>
        <w:kinsoku/>
        <w:wordWrap/>
        <w:overflowPunct/>
        <w:topLinePunct w:val="0"/>
        <w:autoSpaceDE/>
        <w:autoSpaceDN/>
        <w:bidi w:val="0"/>
        <w:spacing w:line="560" w:lineRule="exact"/>
        <w:ind w:firstLine="640" w:firstLineChars="200"/>
        <w:textAlignment w:val="auto"/>
        <w:outlineLvl w:val="9"/>
        <w:rPr>
          <w:rFonts w:ascii="宋体" w:hAnsi="宋体" w:eastAsia="仿宋_GB2312" w:cs="仿宋_GB2312"/>
          <w:color w:val="auto"/>
          <w:sz w:val="32"/>
          <w:szCs w:val="32"/>
        </w:rPr>
      </w:pPr>
      <w:r>
        <w:rPr>
          <w:rFonts w:hint="eastAsia" w:ascii="仿宋_GB2312" w:hAnsi="仿宋_GB2312" w:eastAsia="仿宋_GB2312" w:cs="仿宋_GB2312"/>
          <w:b w:val="0"/>
          <w:bCs w:val="0"/>
          <w:color w:val="auto"/>
          <w:sz w:val="32"/>
          <w:szCs w:val="32"/>
          <w:lang w:eastAsia="zh-CN"/>
        </w:rPr>
        <w:t>各</w:t>
      </w:r>
      <w:r>
        <w:rPr>
          <w:rFonts w:hint="eastAsia" w:ascii="仿宋_GB2312" w:hAnsi="仿宋_GB2312" w:eastAsia="仿宋_GB2312" w:cs="仿宋_GB2312"/>
          <w:color w:val="auto"/>
          <w:sz w:val="32"/>
          <w:szCs w:val="32"/>
          <w:lang w:eastAsia="zh-CN"/>
        </w:rPr>
        <w:t>有</w:t>
      </w:r>
      <w:r>
        <w:rPr>
          <w:rFonts w:hint="eastAsia" w:ascii="宋体" w:hAnsi="宋体" w:cs="仿宋_GB2312"/>
          <w:color w:val="auto"/>
          <w:sz w:val="32"/>
          <w:szCs w:val="32"/>
          <w:lang w:eastAsia="zh-CN"/>
        </w:rPr>
        <w:t>关</w:t>
      </w:r>
      <w:r>
        <w:rPr>
          <w:rFonts w:hint="eastAsia" w:ascii="宋体" w:hAnsi="宋体" w:eastAsia="仿宋_GB2312" w:cs="仿宋_GB2312"/>
          <w:color w:val="auto"/>
          <w:sz w:val="32"/>
          <w:szCs w:val="32"/>
        </w:rPr>
        <w:t>部门聚焦安全生产重大事故隐患和重点检查事项，聚焦第一责任人履职情况，深入企业、一线开展精准执法检查，严查各类非法违法和违规违章行为。通过差异化的执法处罚措施，进一步提高企业真查真改并按规定主动报告重大事故隐患的自觉性和主动性。</w:t>
      </w:r>
      <w:r>
        <w:rPr>
          <w:rFonts w:hint="eastAsia" w:ascii="宋体" w:hAnsi="宋体" w:cs="仿宋_GB2312"/>
          <w:color w:val="auto"/>
          <w:sz w:val="32"/>
          <w:szCs w:val="32"/>
          <w:lang w:eastAsia="zh-CN"/>
        </w:rPr>
        <w:t>区</w:t>
      </w:r>
      <w:r>
        <w:rPr>
          <w:rFonts w:hint="eastAsia" w:ascii="宋体" w:hAnsi="宋体" w:eastAsia="仿宋_GB2312" w:cs="仿宋_GB2312"/>
          <w:color w:val="auto"/>
          <w:sz w:val="32"/>
          <w:szCs w:val="32"/>
        </w:rPr>
        <w:t>安委会</w:t>
      </w:r>
      <w:r>
        <w:rPr>
          <w:rFonts w:hint="eastAsia" w:ascii="宋体" w:hAnsi="宋体" w:cs="仿宋_GB2312"/>
          <w:color w:val="auto"/>
          <w:sz w:val="32"/>
          <w:szCs w:val="32"/>
          <w:lang w:eastAsia="zh-CN"/>
        </w:rPr>
        <w:t>将</w:t>
      </w:r>
      <w:r>
        <w:rPr>
          <w:rFonts w:hint="eastAsia" w:ascii="宋体" w:hAnsi="宋体" w:eastAsia="仿宋_GB2312" w:cs="仿宋_GB2312"/>
          <w:color w:val="auto"/>
          <w:sz w:val="32"/>
          <w:szCs w:val="32"/>
        </w:rPr>
        <w:t>组织</w:t>
      </w:r>
      <w:r>
        <w:rPr>
          <w:rFonts w:hint="eastAsia" w:ascii="宋体" w:hAnsi="宋体" w:cs="仿宋_GB2312"/>
          <w:color w:val="auto"/>
          <w:sz w:val="32"/>
          <w:szCs w:val="32"/>
          <w:lang w:eastAsia="zh-CN"/>
        </w:rPr>
        <w:t>联合</w:t>
      </w:r>
      <w:r>
        <w:rPr>
          <w:rFonts w:hint="eastAsia" w:ascii="宋体" w:hAnsi="宋体" w:eastAsia="仿宋_GB2312" w:cs="仿宋_GB2312"/>
          <w:color w:val="auto"/>
          <w:sz w:val="32"/>
          <w:szCs w:val="32"/>
        </w:rPr>
        <w:t>督导检查和考核巡查，对专项行动组织不力、排查整改不细致不彻底的，严格追责问效。</w:t>
      </w:r>
    </w:p>
    <w:p>
      <w:pPr>
        <w:keepNext w:val="0"/>
        <w:keepLines w:val="0"/>
        <w:pageBreakBefore w:val="0"/>
        <w:widowControl w:val="0"/>
        <w:numPr>
          <w:ilvl w:val="0"/>
          <w:numId w:val="2"/>
        </w:numPr>
        <w:kinsoku/>
        <w:wordWrap/>
        <w:overflowPunct/>
        <w:topLinePunct w:val="0"/>
        <w:autoSpaceDE/>
        <w:autoSpaceDN/>
        <w:bidi w:val="0"/>
        <w:spacing w:line="560" w:lineRule="exact"/>
        <w:ind w:firstLine="643" w:firstLineChars="200"/>
        <w:textAlignment w:val="auto"/>
        <w:outlineLvl w:val="9"/>
        <w:rPr>
          <w:rFonts w:hint="eastAsia" w:ascii="楷体_GB2312" w:hAnsi="楷体_GB2312" w:eastAsia="楷体_GB2312" w:cs="楷体_GB2312"/>
          <w:b/>
          <w:bCs/>
          <w:color w:val="auto"/>
          <w:sz w:val="32"/>
          <w:szCs w:val="32"/>
        </w:rPr>
      </w:pPr>
      <w:r>
        <w:rPr>
          <w:rFonts w:hint="eastAsia" w:ascii="楷体_GB2312" w:hAnsi="楷体_GB2312" w:eastAsia="楷体_GB2312" w:cs="楷体_GB2312"/>
          <w:b/>
          <w:bCs/>
          <w:color w:val="auto"/>
          <w:sz w:val="32"/>
          <w:szCs w:val="32"/>
        </w:rPr>
        <w:t>总结提高（2023年12月）</w:t>
      </w:r>
    </w:p>
    <w:p>
      <w:pPr>
        <w:keepNext w:val="0"/>
        <w:keepLines w:val="0"/>
        <w:pageBreakBefore w:val="0"/>
        <w:widowControl w:val="0"/>
        <w:numPr>
          <w:ilvl w:val="-1"/>
          <w:numId w:val="0"/>
        </w:numPr>
        <w:kinsoku/>
        <w:wordWrap/>
        <w:overflowPunct/>
        <w:topLinePunct w:val="0"/>
        <w:autoSpaceDE/>
        <w:autoSpaceDN/>
        <w:bidi w:val="0"/>
        <w:spacing w:line="560" w:lineRule="exact"/>
        <w:ind w:firstLine="640" w:firstLineChars="200"/>
        <w:textAlignment w:val="auto"/>
        <w:outlineLvl w:val="9"/>
        <w:rPr>
          <w:rFonts w:ascii="宋体" w:hAnsi="宋体" w:eastAsia="仿宋_GB2312" w:cs="仿宋_GB2312"/>
          <w:color w:val="auto"/>
          <w:sz w:val="32"/>
          <w:szCs w:val="32"/>
        </w:rPr>
      </w:pPr>
      <w:r>
        <w:rPr>
          <w:rFonts w:hint="eastAsia" w:ascii="宋体" w:hAnsi="宋体" w:eastAsia="仿宋_GB2312" w:cs="仿宋_GB2312"/>
          <w:color w:val="auto"/>
          <w:sz w:val="32"/>
          <w:szCs w:val="32"/>
        </w:rPr>
        <w:t>全面总结专项行动取得的成效，系统梳理好经验、好做法，积极推动互学互鉴，不断完善安全生产制度措施，健全完善长效工作机制。</w:t>
      </w:r>
    </w:p>
    <w:p>
      <w:pPr>
        <w:keepNext w:val="0"/>
        <w:keepLines w:val="0"/>
        <w:pageBreakBefore w:val="0"/>
        <w:widowControl w:val="0"/>
        <w:kinsoku/>
        <w:wordWrap/>
        <w:overflowPunct/>
        <w:topLinePunct w:val="0"/>
        <w:autoSpaceDE/>
        <w:autoSpaceDN/>
        <w:bidi w:val="0"/>
        <w:spacing w:line="560" w:lineRule="exact"/>
        <w:ind w:firstLine="640" w:firstLineChars="200"/>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eastAsia="zh-CN"/>
        </w:rPr>
        <w:t>各乡镇</w:t>
      </w:r>
      <w:r>
        <w:rPr>
          <w:rFonts w:hint="eastAsia" w:ascii="仿宋_GB2312" w:hAnsi="仿宋_GB2312" w:eastAsia="仿宋_GB2312" w:cs="仿宋_GB2312"/>
          <w:color w:val="auto"/>
          <w:sz w:val="32"/>
          <w:szCs w:val="32"/>
        </w:rPr>
        <w:t>、各有关部门和</w:t>
      </w:r>
      <w:r>
        <w:rPr>
          <w:rFonts w:hint="eastAsia" w:ascii="仿宋_GB2312" w:hAnsi="仿宋_GB2312" w:eastAsia="仿宋_GB2312" w:cs="仿宋_GB2312"/>
          <w:color w:val="auto"/>
          <w:sz w:val="32"/>
          <w:szCs w:val="32"/>
          <w:lang w:eastAsia="zh-CN"/>
        </w:rPr>
        <w:t>区直属</w:t>
      </w:r>
      <w:r>
        <w:rPr>
          <w:rFonts w:hint="eastAsia" w:ascii="仿宋_GB2312" w:hAnsi="仿宋_GB2312" w:cs="仿宋_GB2312"/>
          <w:color w:val="auto"/>
          <w:sz w:val="32"/>
          <w:szCs w:val="32"/>
          <w:lang w:eastAsia="zh-CN"/>
        </w:rPr>
        <w:t>企业</w:t>
      </w:r>
      <w:r>
        <w:rPr>
          <w:rFonts w:hint="eastAsia" w:ascii="仿宋_GB2312" w:hAnsi="仿宋_GB2312" w:eastAsia="仿宋_GB2312" w:cs="仿宋_GB2312"/>
          <w:color w:val="auto"/>
          <w:sz w:val="32"/>
          <w:szCs w:val="32"/>
        </w:rPr>
        <w:t>要高度重视专项行动，明确有关负责同志牵头抓总，结合本</w:t>
      </w:r>
      <w:r>
        <w:rPr>
          <w:rFonts w:hint="eastAsia" w:ascii="仿宋_GB2312" w:hAnsi="仿宋_GB2312" w:eastAsia="仿宋_GB2312" w:cs="仿宋_GB2312"/>
          <w:color w:val="auto"/>
          <w:sz w:val="32"/>
          <w:szCs w:val="32"/>
          <w:lang w:eastAsia="zh-CN"/>
        </w:rPr>
        <w:t>辖区</w:t>
      </w:r>
      <w:r>
        <w:rPr>
          <w:rFonts w:hint="eastAsia" w:ascii="仿宋_GB2312" w:hAnsi="仿宋_GB2312" w:eastAsia="仿宋_GB2312" w:cs="仿宋_GB2312"/>
          <w:color w:val="auto"/>
          <w:sz w:val="32"/>
          <w:szCs w:val="32"/>
        </w:rPr>
        <w:t>、本行业领域</w:t>
      </w:r>
      <w:r>
        <w:rPr>
          <w:rFonts w:hint="eastAsia" w:ascii="仿宋_GB2312" w:hAnsi="仿宋_GB2312" w:eastAsia="仿宋_GB2312" w:cs="仿宋_GB2312"/>
          <w:color w:val="auto"/>
          <w:sz w:val="32"/>
          <w:szCs w:val="32"/>
          <w:lang w:eastAsia="zh-CN"/>
        </w:rPr>
        <w:t>、本单位</w:t>
      </w:r>
      <w:r>
        <w:rPr>
          <w:rFonts w:hint="eastAsia" w:ascii="仿宋_GB2312" w:hAnsi="仿宋_GB2312" w:eastAsia="仿宋_GB2312" w:cs="仿宋_GB2312"/>
          <w:color w:val="auto"/>
          <w:sz w:val="32"/>
          <w:szCs w:val="32"/>
        </w:rPr>
        <w:t>实际情况适当调整完善排查整治内容，进一步细化责任分工，建立健全工作机制，确保专项行动取得实效。</w:t>
      </w:r>
      <w:r>
        <w:rPr>
          <w:rFonts w:hint="eastAsia" w:ascii="仿宋_GB2312" w:hAnsi="仿宋_GB2312" w:eastAsia="仿宋_GB2312" w:cs="仿宋_GB2312"/>
          <w:color w:val="auto"/>
          <w:sz w:val="32"/>
          <w:szCs w:val="32"/>
          <w:lang w:eastAsia="zh-CN"/>
        </w:rPr>
        <w:t>各乡镇</w:t>
      </w:r>
      <w:r>
        <w:rPr>
          <w:rFonts w:hint="eastAsia" w:ascii="仿宋_GB2312" w:hAnsi="仿宋_GB2312" w:eastAsia="仿宋_GB2312" w:cs="仿宋_GB2312"/>
          <w:color w:val="auto"/>
          <w:sz w:val="32"/>
          <w:szCs w:val="32"/>
        </w:rPr>
        <w:t>、各有关部门和</w:t>
      </w:r>
      <w:r>
        <w:rPr>
          <w:rFonts w:hint="eastAsia" w:ascii="仿宋_GB2312" w:hAnsi="仿宋_GB2312" w:eastAsia="仿宋_GB2312" w:cs="仿宋_GB2312"/>
          <w:color w:val="auto"/>
          <w:sz w:val="32"/>
          <w:szCs w:val="32"/>
          <w:lang w:eastAsia="zh-CN"/>
        </w:rPr>
        <w:t>区直属</w:t>
      </w:r>
      <w:r>
        <w:rPr>
          <w:rFonts w:hint="eastAsia" w:ascii="仿宋_GB2312" w:hAnsi="仿宋_GB2312" w:cs="仿宋_GB2312"/>
          <w:color w:val="auto"/>
          <w:sz w:val="32"/>
          <w:szCs w:val="32"/>
          <w:lang w:eastAsia="zh-CN"/>
        </w:rPr>
        <w:t>企业</w:t>
      </w:r>
      <w:r>
        <w:rPr>
          <w:rFonts w:hint="eastAsia" w:ascii="仿宋_GB2312" w:hAnsi="仿宋_GB2312" w:eastAsia="仿宋_GB2312" w:cs="仿宋_GB2312"/>
          <w:color w:val="auto"/>
          <w:sz w:val="32"/>
          <w:szCs w:val="32"/>
          <w:lang w:eastAsia="zh-CN"/>
        </w:rPr>
        <w:t>请于</w:t>
      </w:r>
      <w:r>
        <w:rPr>
          <w:rFonts w:hint="eastAsia" w:ascii="仿宋_GB2312" w:hAnsi="仿宋_GB2312" w:eastAsia="仿宋_GB2312" w:cs="仿宋_GB2312"/>
          <w:color w:val="auto"/>
          <w:sz w:val="32"/>
          <w:szCs w:val="32"/>
        </w:rPr>
        <w:t>每月</w:t>
      </w:r>
      <w:r>
        <w:rPr>
          <w:rFonts w:hint="eastAsia" w:ascii="仿宋_GB2312" w:hAnsi="仿宋_GB2312" w:eastAsia="仿宋_GB2312" w:cs="仿宋_GB2312"/>
          <w:color w:val="auto"/>
          <w:sz w:val="32"/>
          <w:szCs w:val="32"/>
          <w:lang w:val="en-US" w:eastAsia="zh-CN"/>
        </w:rPr>
        <w:t>28</w:t>
      </w:r>
      <w:r>
        <w:rPr>
          <w:rFonts w:hint="eastAsia" w:ascii="仿宋_GB2312" w:hAnsi="仿宋_GB2312" w:eastAsia="仿宋_GB2312" w:cs="仿宋_GB2312"/>
          <w:color w:val="auto"/>
          <w:sz w:val="32"/>
          <w:szCs w:val="32"/>
        </w:rPr>
        <w:t>日前</w:t>
      </w:r>
      <w:r>
        <w:rPr>
          <w:rFonts w:hint="eastAsia" w:ascii="仿宋_GB2312" w:hAnsi="仿宋_GB2312" w:eastAsia="仿宋_GB2312" w:cs="仿宋_GB2312"/>
          <w:color w:val="auto"/>
          <w:sz w:val="32"/>
          <w:szCs w:val="32"/>
          <w:lang w:eastAsia="zh-CN"/>
        </w:rPr>
        <w:t>上报</w:t>
      </w:r>
      <w:r>
        <w:rPr>
          <w:rFonts w:hint="eastAsia" w:ascii="仿宋_GB2312" w:hAnsi="仿宋_GB2312" w:eastAsia="仿宋_GB2312" w:cs="仿宋_GB2312"/>
          <w:color w:val="auto"/>
          <w:sz w:val="32"/>
          <w:szCs w:val="32"/>
        </w:rPr>
        <w:t>重大事故隐患专项排查整治进展情况调度表（</w:t>
      </w:r>
      <w:r>
        <w:rPr>
          <w:rFonts w:hint="eastAsia" w:ascii="仿宋_GB2312" w:hAnsi="仿宋_GB2312" w:eastAsia="仿宋_GB2312" w:cs="仿宋_GB2312"/>
          <w:color w:val="auto"/>
          <w:sz w:val="32"/>
          <w:szCs w:val="32"/>
          <w:lang w:eastAsia="zh-CN"/>
        </w:rPr>
        <w:t>详见附件）；</w:t>
      </w:r>
      <w:r>
        <w:rPr>
          <w:rFonts w:hint="eastAsia" w:ascii="仿宋_GB2312" w:hAnsi="仿宋_GB2312" w:eastAsia="仿宋_GB2312" w:cs="仿宋_GB2312"/>
          <w:color w:val="auto"/>
          <w:sz w:val="32"/>
          <w:szCs w:val="32"/>
        </w:rPr>
        <w:t>请于2023年5月</w:t>
      </w:r>
      <w:r>
        <w:rPr>
          <w:rFonts w:hint="eastAsia" w:ascii="仿宋_GB2312" w:hAnsi="仿宋_GB2312" w:eastAsia="仿宋_GB2312" w:cs="仿宋_GB2312"/>
          <w:color w:val="auto"/>
          <w:sz w:val="32"/>
          <w:szCs w:val="32"/>
          <w:lang w:val="en-US" w:eastAsia="zh-CN"/>
        </w:rPr>
        <w:t>25</w:t>
      </w:r>
      <w:r>
        <w:rPr>
          <w:rFonts w:hint="eastAsia" w:ascii="仿宋_GB2312" w:hAnsi="仿宋_GB2312" w:eastAsia="仿宋_GB2312" w:cs="仿宋_GB2312"/>
          <w:color w:val="auto"/>
          <w:sz w:val="32"/>
          <w:szCs w:val="32"/>
        </w:rPr>
        <w:t>日前将专项行动方案及动员部署情况报送</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安委会办公室</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分别于2023年8月</w:t>
      </w:r>
      <w:r>
        <w:rPr>
          <w:rFonts w:hint="eastAsia" w:ascii="仿宋_GB2312" w:hAnsi="仿宋_GB2312" w:eastAsia="仿宋_GB2312" w:cs="仿宋_GB2312"/>
          <w:color w:val="auto"/>
          <w:sz w:val="32"/>
          <w:szCs w:val="32"/>
          <w:lang w:val="en-US" w:eastAsia="zh-CN"/>
        </w:rPr>
        <w:t>5</w:t>
      </w:r>
      <w:r>
        <w:rPr>
          <w:rFonts w:hint="eastAsia" w:ascii="仿宋_GB2312" w:hAnsi="仿宋_GB2312" w:eastAsia="仿宋_GB2312" w:cs="仿宋_GB2312"/>
          <w:color w:val="auto"/>
          <w:sz w:val="32"/>
          <w:szCs w:val="32"/>
        </w:rPr>
        <w:t>日前、2023年12月</w:t>
      </w:r>
      <w:r>
        <w:rPr>
          <w:rFonts w:hint="eastAsia" w:ascii="仿宋_GB2312" w:hAnsi="仿宋_GB2312" w:eastAsia="仿宋_GB2312" w:cs="仿宋_GB2312"/>
          <w:color w:val="auto"/>
          <w:sz w:val="32"/>
          <w:szCs w:val="32"/>
          <w:lang w:val="en-US" w:eastAsia="zh-CN"/>
        </w:rPr>
        <w:t>20日</w:t>
      </w:r>
      <w:r>
        <w:rPr>
          <w:rFonts w:hint="eastAsia" w:ascii="仿宋_GB2312" w:hAnsi="仿宋_GB2312" w:eastAsia="仿宋_GB2312" w:cs="仿宋_GB2312"/>
          <w:color w:val="auto"/>
          <w:sz w:val="32"/>
          <w:szCs w:val="32"/>
        </w:rPr>
        <w:t>前</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将贯彻落实情况报送</w:t>
      </w:r>
      <w:r>
        <w:rPr>
          <w:rFonts w:hint="eastAsia" w:ascii="仿宋_GB2312" w:hAnsi="仿宋_GB2312" w:eastAsia="仿宋_GB2312" w:cs="仿宋_GB2312"/>
          <w:color w:val="auto"/>
          <w:sz w:val="32"/>
          <w:szCs w:val="32"/>
          <w:lang w:eastAsia="zh-CN"/>
        </w:rPr>
        <w:t>区</w:t>
      </w:r>
      <w:r>
        <w:rPr>
          <w:rFonts w:hint="eastAsia" w:ascii="仿宋_GB2312" w:hAnsi="仿宋_GB2312" w:eastAsia="仿宋_GB2312" w:cs="仿宋_GB2312"/>
          <w:color w:val="auto"/>
          <w:sz w:val="32"/>
          <w:szCs w:val="32"/>
        </w:rPr>
        <w:t>安委会办公室。已经或正在开展的厂房仓库，自建房，游览接待场所特种设备，有限空间作业，医疗、养老和儿童福利机构等安全生产专项整治和治理行动，要在全面排查各类隐患的基础上，进一步紧盯重大事故隐患不松劲不懈怠，彻查大隐患、严防大事故。</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（联系人：</w:t>
      </w:r>
      <w:r>
        <w:rPr>
          <w:rFonts w:hint="eastAsia" w:ascii="仿宋_GB2312" w:hAnsi="仿宋_GB2312" w:eastAsia="仿宋_GB2312" w:cs="仿宋_GB2312"/>
          <w:sz w:val="32"/>
          <w:szCs w:val="32"/>
          <w:lang w:eastAsia="zh-CN"/>
        </w:rPr>
        <w:t>胡佳良、潘安琪；</w:t>
      </w:r>
      <w:r>
        <w:rPr>
          <w:rFonts w:hint="eastAsia" w:ascii="仿宋_GB2312" w:hAnsi="仿宋_GB2312" w:eastAsia="仿宋_GB2312" w:cs="仿宋_GB2312"/>
          <w:sz w:val="32"/>
          <w:szCs w:val="32"/>
        </w:rPr>
        <w:t>联系电话：</w:t>
      </w:r>
      <w:r>
        <w:rPr>
          <w:rFonts w:hint="eastAsia" w:ascii="仿宋_GB2312" w:hAnsi="仿宋_GB2312" w:eastAsia="仿宋_GB2312" w:cs="仿宋_GB2312"/>
          <w:sz w:val="32"/>
          <w:szCs w:val="32"/>
          <w:lang w:val="en-US" w:eastAsia="zh-CN"/>
        </w:rPr>
        <w:t>59610603、13585675408、13023281880</w:t>
      </w:r>
      <w:r>
        <w:rPr>
          <w:rFonts w:hint="eastAsia" w:ascii="仿宋_GB2312" w:hAnsi="仿宋_GB2312" w:eastAsia="仿宋_GB2312" w:cs="仿宋_GB2312"/>
          <w:sz w:val="32"/>
          <w:szCs w:val="32"/>
        </w:rPr>
        <w:t xml:space="preserve"> </w:t>
      </w:r>
      <w:r>
        <w:rPr>
          <w:rFonts w:hint="eastAsia" w:ascii="仿宋_GB2312" w:hAnsi="仿宋_GB2312" w:eastAsia="仿宋_GB2312" w:cs="仿宋_GB2312"/>
          <w:sz w:val="32"/>
          <w:szCs w:val="32"/>
          <w:lang w:eastAsia="zh-CN"/>
        </w:rPr>
        <w:t>；以上材料均通过政务微信反馈</w:t>
      </w:r>
      <w:r>
        <w:rPr>
          <w:rFonts w:hint="eastAsia" w:ascii="仿宋_GB2312" w:hAnsi="仿宋_GB2312" w:eastAsia="仿宋_GB2312" w:cs="仿宋_GB2312"/>
          <w:sz w:val="32"/>
          <w:szCs w:val="32"/>
        </w:rPr>
        <w:t>）。</w:t>
      </w:r>
    </w:p>
    <w:p>
      <w:pPr>
        <w:pStyle w:val="3"/>
        <w:keepNext w:val="0"/>
        <w:keepLines w:val="0"/>
        <w:pageBreakBefore w:val="0"/>
        <w:widowControl w:val="0"/>
        <w:kinsoku/>
        <w:wordWrap/>
        <w:overflowPunct/>
        <w:topLinePunct w:val="0"/>
        <w:autoSpaceDE/>
        <w:autoSpaceDN/>
        <w:bidi w:val="0"/>
        <w:spacing w:line="560" w:lineRule="exact"/>
        <w:textAlignment w:val="auto"/>
        <w:outlineLvl w:val="9"/>
        <w:rPr>
          <w:rFonts w:hint="eastAsia" w:ascii="宋体" w:hAnsi="宋体" w:eastAsia="仿宋_GB2312" w:cs="仿宋_GB2312"/>
          <w:color w:val="auto"/>
          <w:sz w:val="32"/>
          <w:szCs w:val="32"/>
        </w:rPr>
      </w:pPr>
    </w:p>
    <w:p>
      <w:pPr>
        <w:keepNext w:val="0"/>
        <w:keepLines w:val="0"/>
        <w:pageBreakBefore w:val="0"/>
        <w:widowControl w:val="0"/>
        <w:kinsoku/>
        <w:wordWrap/>
        <w:overflowPunct/>
        <w:topLinePunct w:val="0"/>
        <w:autoSpaceDE/>
        <w:autoSpaceDN/>
        <w:bidi w:val="0"/>
        <w:spacing w:line="560" w:lineRule="exact"/>
        <w:ind w:firstLine="640" w:firstLineChars="200"/>
        <w:jc w:val="left"/>
        <w:textAlignment w:val="auto"/>
        <w:outlineLvl w:val="9"/>
        <w:rPr>
          <w:rFonts w:hint="eastAsia" w:ascii="仿宋_GB2312" w:hAnsi="仿宋_GB2312" w:eastAsia="仿宋_GB2312" w:cs="仿宋_GB2312"/>
          <w:color w:val="auto"/>
          <w:sz w:val="32"/>
          <w:szCs w:val="32"/>
        </w:rPr>
      </w:pPr>
      <w:r>
        <w:rPr>
          <w:rFonts w:hint="eastAsia" w:ascii="仿宋_GB2312" w:hAnsi="仿宋_GB2312" w:cs="仿宋_GB2312"/>
          <w:color w:val="auto"/>
          <w:sz w:val="32"/>
          <w:szCs w:val="32"/>
          <w:lang w:eastAsia="zh-CN"/>
        </w:rPr>
        <w:t>附件：</w:t>
      </w:r>
      <w:r>
        <w:rPr>
          <w:rFonts w:hint="eastAsia" w:ascii="仿宋_GB2312" w:hAnsi="仿宋_GB2312" w:eastAsia="仿宋_GB2312" w:cs="仿宋_GB2312"/>
          <w:color w:val="auto"/>
          <w:sz w:val="32"/>
          <w:szCs w:val="32"/>
        </w:rPr>
        <w:t>上海市</w:t>
      </w:r>
      <w:r>
        <w:rPr>
          <w:rFonts w:hint="eastAsia" w:ascii="仿宋_GB2312" w:hAnsi="仿宋_GB2312" w:cs="仿宋_GB2312"/>
          <w:color w:val="auto"/>
          <w:sz w:val="32"/>
          <w:szCs w:val="32"/>
          <w:lang w:eastAsia="zh-CN"/>
        </w:rPr>
        <w:t>崇明区</w:t>
      </w:r>
      <w:r>
        <w:rPr>
          <w:rFonts w:hint="eastAsia" w:ascii="仿宋_GB2312" w:hAnsi="仿宋_GB2312" w:eastAsia="仿宋_GB2312" w:cs="仿宋_GB2312"/>
          <w:color w:val="auto"/>
          <w:sz w:val="32"/>
          <w:szCs w:val="32"/>
        </w:rPr>
        <w:t>重大事故隐患专项排查整治2023行动</w:t>
      </w:r>
    </w:p>
    <w:p>
      <w:pPr>
        <w:keepNext w:val="0"/>
        <w:keepLines w:val="0"/>
        <w:pageBreakBefore w:val="0"/>
        <w:widowControl w:val="0"/>
        <w:kinsoku/>
        <w:wordWrap/>
        <w:overflowPunct/>
        <w:topLinePunct w:val="0"/>
        <w:autoSpaceDE/>
        <w:autoSpaceDN/>
        <w:bidi w:val="0"/>
        <w:spacing w:line="560" w:lineRule="exact"/>
        <w:ind w:firstLine="1600" w:firstLineChars="500"/>
        <w:jc w:val="left"/>
        <w:textAlignment w:val="auto"/>
        <w:outlineLvl w:val="9"/>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进展情况调度表</w:t>
      </w:r>
    </w:p>
    <w:p>
      <w:pPr>
        <w:keepNext w:val="0"/>
        <w:keepLines w:val="0"/>
        <w:pageBreakBefore w:val="0"/>
        <w:widowControl w:val="0"/>
        <w:kinsoku/>
        <w:wordWrap/>
        <w:overflowPunct/>
        <w:topLinePunct w:val="0"/>
        <w:autoSpaceDE/>
        <w:autoSpaceDN/>
        <w:bidi w:val="0"/>
        <w:spacing w:line="560" w:lineRule="exact"/>
        <w:jc w:val="both"/>
        <w:textAlignment w:val="auto"/>
        <w:outlineLvl w:val="9"/>
        <w:rPr>
          <w:rFonts w:hint="eastAsia" w:ascii="方正黑体_GBK" w:hAnsi="方正黑体_GBK" w:eastAsia="方正黑体_GBK" w:cs="方正黑体_GBK"/>
          <w:color w:val="auto"/>
          <w:sz w:val="32"/>
          <w:szCs w:val="32"/>
          <w:lang w:eastAsia="zh-CN"/>
        </w:rPr>
      </w:pPr>
    </w:p>
    <w:p>
      <w:pPr>
        <w:keepNext w:val="0"/>
        <w:keepLines w:val="0"/>
        <w:pageBreakBefore w:val="0"/>
        <w:widowControl w:val="0"/>
        <w:kinsoku/>
        <w:wordWrap/>
        <w:overflowPunct/>
        <w:topLinePunct w:val="0"/>
        <w:autoSpaceDE/>
        <w:autoSpaceDN/>
        <w:bidi w:val="0"/>
        <w:spacing w:line="560" w:lineRule="exact"/>
        <w:ind w:firstLine="3200" w:firstLineChars="1000"/>
        <w:jc w:val="left"/>
        <w:textAlignment w:val="auto"/>
        <w:outlineLvl w:val="9"/>
        <w:rPr>
          <w:rFonts w:hint="eastAsia" w:ascii="宋体" w:hAnsi="宋体"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spacing w:line="560" w:lineRule="exact"/>
        <w:ind w:firstLine="3200" w:firstLineChars="1000"/>
        <w:jc w:val="left"/>
        <w:textAlignment w:val="auto"/>
        <w:outlineLvl w:val="9"/>
        <w:rPr>
          <w:rFonts w:hint="eastAsia" w:ascii="宋体" w:hAnsi="宋体"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spacing w:line="560" w:lineRule="exact"/>
        <w:ind w:firstLine="3200" w:firstLineChars="1000"/>
        <w:jc w:val="left"/>
        <w:textAlignment w:val="auto"/>
        <w:outlineLvl w:val="9"/>
        <w:rPr>
          <w:rFonts w:hint="eastAsia" w:ascii="宋体" w:hAnsi="宋体" w:eastAsia="仿宋_GB2312" w:cs="仿宋_GB2312"/>
          <w:color w:val="auto"/>
          <w:sz w:val="32"/>
          <w:szCs w:val="32"/>
          <w:lang w:val="en-US" w:eastAsia="zh-CN"/>
        </w:rPr>
      </w:pPr>
    </w:p>
    <w:p>
      <w:pPr>
        <w:keepNext w:val="0"/>
        <w:keepLines w:val="0"/>
        <w:pageBreakBefore w:val="0"/>
        <w:widowControl w:val="0"/>
        <w:kinsoku/>
        <w:wordWrap/>
        <w:overflowPunct/>
        <w:topLinePunct w:val="0"/>
        <w:autoSpaceDE/>
        <w:autoSpaceDN/>
        <w:bidi w:val="0"/>
        <w:spacing w:line="560" w:lineRule="exact"/>
        <w:ind w:firstLine="3200" w:firstLineChars="1000"/>
        <w:jc w:val="left"/>
        <w:textAlignment w:val="auto"/>
        <w:outlineLvl w:val="9"/>
        <w:rPr>
          <w:rFonts w:hint="eastAsia" w:ascii="宋体" w:hAnsi="宋体" w:eastAsia="仿宋_GB2312" w:cs="仿宋_GB2312"/>
          <w:color w:val="auto"/>
          <w:sz w:val="32"/>
          <w:szCs w:val="32"/>
          <w:lang w:val="en-US" w:eastAsia="zh-CN"/>
        </w:rPr>
      </w:pPr>
      <w:r>
        <w:rPr>
          <w:rFonts w:hint="eastAsia" w:ascii="宋体" w:hAnsi="宋体" w:eastAsia="仿宋_GB2312" w:cs="仿宋_GB2312"/>
          <w:color w:val="auto"/>
          <w:sz w:val="32"/>
          <w:szCs w:val="32"/>
          <w:lang w:val="en-US" w:eastAsia="zh-CN"/>
        </w:rPr>
        <w:t>上海市崇明区安全生产委员会办公室</w:t>
      </w:r>
    </w:p>
    <w:p>
      <w:pPr>
        <w:keepNext w:val="0"/>
        <w:keepLines w:val="0"/>
        <w:pageBreakBefore w:val="0"/>
        <w:widowControl w:val="0"/>
        <w:kinsoku/>
        <w:wordWrap/>
        <w:overflowPunct/>
        <w:topLinePunct w:val="0"/>
        <w:autoSpaceDE/>
        <w:autoSpaceDN/>
        <w:bidi w:val="0"/>
        <w:spacing w:line="560" w:lineRule="exact"/>
        <w:ind w:firstLine="4800" w:firstLineChars="1500"/>
        <w:jc w:val="left"/>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2023年5月</w:t>
      </w:r>
      <w:r>
        <w:rPr>
          <w:rFonts w:hint="eastAsia" w:ascii="仿宋_GB2312" w:hAnsi="仿宋_GB2312" w:cs="仿宋_GB2312"/>
          <w:color w:val="auto"/>
          <w:sz w:val="32"/>
          <w:szCs w:val="32"/>
          <w:lang w:val="en-US" w:eastAsia="zh-CN"/>
        </w:rPr>
        <w:t>15</w:t>
      </w:r>
      <w:r>
        <w:rPr>
          <w:rFonts w:hint="eastAsia" w:ascii="仿宋_GB2312" w:hAnsi="仿宋_GB2312" w:eastAsia="仿宋_GB2312" w:cs="仿宋_GB2312"/>
          <w:color w:val="auto"/>
          <w:sz w:val="32"/>
          <w:szCs w:val="32"/>
          <w:lang w:val="en-US" w:eastAsia="zh-CN"/>
        </w:rPr>
        <w:t>日</w:t>
      </w:r>
    </w:p>
    <w:p>
      <w:pPr>
        <w:keepNext w:val="0"/>
        <w:keepLines w:val="0"/>
        <w:pageBreakBefore w:val="0"/>
        <w:widowControl w:val="0"/>
        <w:kinsoku/>
        <w:wordWrap/>
        <w:overflowPunct/>
        <w:topLinePunct w:val="0"/>
        <w:autoSpaceDE/>
        <w:autoSpaceDN/>
        <w:bidi w:val="0"/>
        <w:spacing w:line="560" w:lineRule="exact"/>
        <w:jc w:val="both"/>
        <w:textAlignment w:val="auto"/>
        <w:outlineLvl w:val="9"/>
        <w:rPr>
          <w:rFonts w:hint="eastAsia" w:ascii="方正黑体_GBK" w:hAnsi="方正黑体_GBK" w:eastAsia="方正黑体_GBK" w:cs="方正黑体_GBK"/>
          <w:color w:val="auto"/>
          <w:sz w:val="32"/>
          <w:szCs w:val="32"/>
          <w:lang w:eastAsia="zh-CN"/>
        </w:rPr>
      </w:pPr>
    </w:p>
    <w:p>
      <w:pPr>
        <w:keepNext w:val="0"/>
        <w:keepLines w:val="0"/>
        <w:pageBreakBefore w:val="0"/>
        <w:widowControl w:val="0"/>
        <w:kinsoku/>
        <w:wordWrap/>
        <w:overflowPunct/>
        <w:topLinePunct w:val="0"/>
        <w:autoSpaceDE/>
        <w:autoSpaceDN/>
        <w:bidi w:val="0"/>
        <w:spacing w:line="560" w:lineRule="exact"/>
        <w:jc w:val="both"/>
        <w:textAlignment w:val="auto"/>
        <w:outlineLvl w:val="9"/>
        <w:rPr>
          <w:rFonts w:hint="eastAsia" w:ascii="方正黑体_GBK" w:hAnsi="方正黑体_GBK" w:eastAsia="方正黑体_GBK" w:cs="方正黑体_GBK"/>
          <w:color w:val="auto"/>
          <w:sz w:val="32"/>
          <w:szCs w:val="32"/>
          <w:lang w:eastAsia="zh-CN"/>
        </w:rPr>
      </w:pPr>
    </w:p>
    <w:p>
      <w:pPr>
        <w:keepNext w:val="0"/>
        <w:keepLines w:val="0"/>
        <w:pageBreakBefore w:val="0"/>
        <w:widowControl w:val="0"/>
        <w:kinsoku/>
        <w:wordWrap/>
        <w:overflowPunct/>
        <w:topLinePunct w:val="0"/>
        <w:autoSpaceDE/>
        <w:autoSpaceDN/>
        <w:bidi w:val="0"/>
        <w:spacing w:line="560" w:lineRule="exact"/>
        <w:jc w:val="both"/>
        <w:textAlignment w:val="auto"/>
        <w:outlineLvl w:val="9"/>
        <w:rPr>
          <w:rFonts w:hint="eastAsia" w:ascii="方正黑体_GBK" w:hAnsi="方正黑体_GBK" w:eastAsia="方正黑体_GBK" w:cs="方正黑体_GBK"/>
          <w:color w:val="auto"/>
          <w:sz w:val="32"/>
          <w:szCs w:val="32"/>
          <w:lang w:eastAsia="zh-CN"/>
        </w:rPr>
      </w:pPr>
    </w:p>
    <w:p>
      <w:pPr>
        <w:pStyle w:val="3"/>
        <w:rPr>
          <w:rFonts w:hint="eastAsia" w:ascii="方正黑体_GBK" w:hAnsi="方正黑体_GBK" w:eastAsia="方正黑体_GBK" w:cs="方正黑体_GBK"/>
          <w:color w:val="auto"/>
          <w:sz w:val="32"/>
          <w:szCs w:val="32"/>
          <w:lang w:eastAsia="zh-CN"/>
        </w:rPr>
      </w:pPr>
    </w:p>
    <w:p>
      <w:pPr>
        <w:pStyle w:val="3"/>
        <w:ind w:left="0" w:leftChars="0"/>
        <w:rPr>
          <w:rFonts w:hint="eastAsia" w:ascii="方正黑体_GBK" w:hAnsi="方正黑体_GBK" w:eastAsia="方正黑体_GBK" w:cs="方正黑体_GBK"/>
          <w:color w:val="auto"/>
          <w:sz w:val="32"/>
          <w:szCs w:val="32"/>
          <w:lang w:eastAsia="zh-CN"/>
        </w:rPr>
      </w:pPr>
    </w:p>
    <w:p>
      <w:pPr>
        <w:rPr>
          <w:rFonts w:hint="eastAsia"/>
          <w:lang w:eastAsia="zh-CN"/>
        </w:rPr>
      </w:pPr>
    </w:p>
    <w:p>
      <w:pPr>
        <w:keepNext w:val="0"/>
        <w:keepLines w:val="0"/>
        <w:pageBreakBefore w:val="0"/>
        <w:widowControl w:val="0"/>
        <w:kinsoku/>
        <w:wordWrap/>
        <w:overflowPunct/>
        <w:topLinePunct w:val="0"/>
        <w:autoSpaceDE/>
        <w:autoSpaceDN/>
        <w:bidi w:val="0"/>
        <w:spacing w:line="560" w:lineRule="exact"/>
        <w:jc w:val="both"/>
        <w:textAlignment w:val="auto"/>
        <w:outlineLvl w:val="9"/>
        <w:rPr>
          <w:rFonts w:hint="eastAsia" w:ascii="黑体" w:hAnsi="黑体" w:eastAsia="黑体" w:cs="黑体"/>
          <w:color w:val="auto"/>
          <w:sz w:val="36"/>
          <w:szCs w:val="36"/>
        </w:rPr>
      </w:pPr>
      <w:r>
        <w:rPr>
          <w:rFonts w:hint="eastAsia" w:ascii="黑体" w:hAnsi="黑体" w:eastAsia="黑体" w:cs="黑体"/>
          <w:color w:val="auto"/>
          <w:sz w:val="32"/>
          <w:szCs w:val="32"/>
          <w:lang w:eastAsia="zh-CN"/>
        </w:rPr>
        <w:t>附件</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上海市崇明区重大事故隐患专项排查整治</w:t>
      </w:r>
    </w:p>
    <w:p>
      <w:pPr>
        <w:pStyle w:val="3"/>
        <w:keepNext w:val="0"/>
        <w:keepLines w:val="0"/>
        <w:pageBreakBefore w:val="0"/>
        <w:widowControl w:val="0"/>
        <w:kinsoku/>
        <w:wordWrap/>
        <w:overflowPunct/>
        <w:topLinePunct w:val="0"/>
        <w:autoSpaceDE/>
        <w:autoSpaceDN/>
        <w:bidi w:val="0"/>
        <w:adjustRightInd/>
        <w:snapToGrid/>
        <w:spacing w:line="560" w:lineRule="exact"/>
        <w:ind w:left="0" w:leftChars="0"/>
        <w:jc w:val="center"/>
        <w:textAlignment w:val="auto"/>
        <w:outlineLvl w:val="9"/>
        <w:rPr>
          <w:rFonts w:hint="eastAsia" w:ascii="方正小标宋简体" w:hAnsi="方正小标宋简体" w:eastAsia="方正小标宋简体" w:cs="方正小标宋简体"/>
          <w:color w:val="auto"/>
          <w:sz w:val="44"/>
          <w:szCs w:val="44"/>
        </w:rPr>
      </w:pPr>
      <w:r>
        <w:rPr>
          <w:rFonts w:hint="eastAsia" w:ascii="方正小标宋简体" w:hAnsi="方正小标宋简体" w:eastAsia="方正小标宋简体" w:cs="方正小标宋简体"/>
          <w:color w:val="auto"/>
          <w:sz w:val="44"/>
          <w:szCs w:val="44"/>
        </w:rPr>
        <w:t>2023行动进展情况调度表</w:t>
      </w:r>
    </w:p>
    <w:p>
      <w:pPr>
        <w:spacing w:line="200" w:lineRule="exact"/>
      </w:pPr>
    </w:p>
    <w:p>
      <w:pPr>
        <w:spacing w:before="43" w:beforeLines="10" w:after="43" w:afterLines="10" w:line="400" w:lineRule="exact"/>
        <w:rPr>
          <w:rFonts w:hint="eastAsia" w:ascii="仿宋" w:hAnsi="仿宋" w:eastAsia="仿宋" w:cs="仿宋"/>
          <w:b/>
          <w:sz w:val="28"/>
          <w:szCs w:val="28"/>
        </w:rPr>
      </w:pPr>
      <w:r>
        <w:rPr>
          <w:rFonts w:hint="eastAsia" w:ascii="仿宋" w:hAnsi="仿宋" w:eastAsia="仿宋" w:cs="仿宋"/>
          <w:b/>
          <w:sz w:val="28"/>
          <w:szCs w:val="28"/>
        </w:rPr>
        <w:t>___________（单位）                      时间：2023年   月   日</w:t>
      </w:r>
    </w:p>
    <w:tbl>
      <w:tblPr>
        <w:tblStyle w:val="5"/>
        <w:tblW w:w="9153" w:type="dxa"/>
        <w:jc w:val="center"/>
        <w:tblInd w:w="0" w:type="dxa"/>
        <w:tblLayout w:type="fixed"/>
        <w:tblCellMar>
          <w:top w:w="0" w:type="dxa"/>
          <w:left w:w="108" w:type="dxa"/>
          <w:bottom w:w="0" w:type="dxa"/>
          <w:right w:w="108" w:type="dxa"/>
        </w:tblCellMar>
      </w:tblPr>
      <w:tblGrid>
        <w:gridCol w:w="1110"/>
        <w:gridCol w:w="480"/>
        <w:gridCol w:w="2767"/>
        <w:gridCol w:w="767"/>
        <w:gridCol w:w="421"/>
        <w:gridCol w:w="2835"/>
        <w:gridCol w:w="773"/>
      </w:tblGrid>
      <w:tr>
        <w:tblPrEx>
          <w:tblLayout w:type="fixed"/>
          <w:tblCellMar>
            <w:top w:w="0" w:type="dxa"/>
            <w:left w:w="108" w:type="dxa"/>
            <w:bottom w:w="0" w:type="dxa"/>
            <w:right w:w="108" w:type="dxa"/>
          </w:tblCellMar>
        </w:tblPrEx>
        <w:trPr>
          <w:trHeight w:val="1417" w:hRule="exact"/>
          <w:jc w:val="center"/>
        </w:trPr>
        <w:tc>
          <w:tcPr>
            <w:tcW w:w="1110" w:type="dxa"/>
            <w:vMerge w:val="restart"/>
            <w:tcBorders>
              <w:top w:val="single" w:color="000000" w:sz="12" w:space="0"/>
              <w:left w:val="single" w:color="000000" w:sz="12"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500" w:lineRule="exact"/>
              <w:jc w:val="center"/>
              <w:textAlignment w:val="center"/>
              <w:outlineLvl w:val="9"/>
              <w:rPr>
                <w:rFonts w:ascii="宋体" w:hAnsi="宋体" w:eastAsia="黑体" w:cs="黑体"/>
                <w:b w:val="0"/>
                <w:bCs/>
                <w:color w:val="000000"/>
                <w:kern w:val="0"/>
                <w:sz w:val="32"/>
                <w:szCs w:val="32"/>
                <w:lang w:bidi="ar"/>
              </w:rPr>
            </w:pPr>
            <w:r>
              <w:rPr>
                <w:rFonts w:hint="eastAsia" w:ascii="宋体" w:hAnsi="宋体" w:eastAsia="黑体" w:cs="黑体"/>
                <w:b w:val="0"/>
                <w:bCs/>
                <w:color w:val="000000"/>
                <w:kern w:val="0"/>
                <w:sz w:val="32"/>
                <w:szCs w:val="32"/>
                <w:lang w:bidi="ar"/>
              </w:rPr>
              <w:t>总体</w:t>
            </w:r>
          </w:p>
          <w:p>
            <w:pPr>
              <w:keepNext w:val="0"/>
              <w:keepLines w:val="0"/>
              <w:pageBreakBefore w:val="0"/>
              <w:widowControl/>
              <w:kinsoku/>
              <w:wordWrap/>
              <w:overflowPunct/>
              <w:topLinePunct w:val="0"/>
              <w:autoSpaceDE/>
              <w:autoSpaceDN/>
              <w:bidi w:val="0"/>
              <w:adjustRightInd/>
              <w:snapToGrid/>
              <w:spacing w:line="500" w:lineRule="exact"/>
              <w:jc w:val="center"/>
              <w:textAlignment w:val="center"/>
              <w:outlineLvl w:val="9"/>
              <w:rPr>
                <w:rFonts w:ascii="宋体" w:hAnsi="宋体" w:eastAsia="黑体" w:cs="黑体"/>
                <w:b w:val="0"/>
                <w:bCs/>
                <w:color w:val="000000"/>
                <w:sz w:val="32"/>
                <w:szCs w:val="32"/>
              </w:rPr>
            </w:pPr>
            <w:r>
              <w:rPr>
                <w:rFonts w:hint="eastAsia" w:ascii="宋体" w:hAnsi="宋体" w:eastAsia="黑体" w:cs="黑体"/>
                <w:b w:val="0"/>
                <w:bCs/>
                <w:color w:val="000000"/>
                <w:kern w:val="0"/>
                <w:sz w:val="32"/>
                <w:szCs w:val="32"/>
                <w:lang w:bidi="ar"/>
              </w:rPr>
              <w:t>情况</w:t>
            </w:r>
          </w:p>
        </w:tc>
        <w:tc>
          <w:tcPr>
            <w:tcW w:w="480" w:type="dxa"/>
            <w:tcBorders>
              <w:top w:val="single" w:color="000000" w:sz="12"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1</w:t>
            </w:r>
          </w:p>
        </w:tc>
        <w:tc>
          <w:tcPr>
            <w:tcW w:w="2767" w:type="dxa"/>
            <w:tcBorders>
              <w:top w:val="single" w:color="000000" w:sz="12"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企业自查发现的</w:t>
            </w:r>
          </w:p>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重大事故隐患（个）</w:t>
            </w:r>
          </w:p>
        </w:tc>
        <w:tc>
          <w:tcPr>
            <w:tcW w:w="767" w:type="dxa"/>
            <w:tcBorders>
              <w:top w:val="single" w:color="000000" w:sz="12"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left"/>
              <w:outlineLvl w:val="9"/>
              <w:rPr>
                <w:rFonts w:hint="eastAsia" w:ascii="仿宋_GB2312" w:hAnsi="仿宋_GB2312" w:eastAsia="仿宋_GB2312" w:cs="仿宋_GB2312"/>
                <w:b w:val="0"/>
                <w:bCs/>
                <w:color w:val="000000"/>
                <w:sz w:val="28"/>
                <w:szCs w:val="28"/>
              </w:rPr>
            </w:pPr>
          </w:p>
        </w:tc>
        <w:tc>
          <w:tcPr>
            <w:tcW w:w="421" w:type="dxa"/>
            <w:tcBorders>
              <w:top w:val="single" w:color="000000" w:sz="12"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2</w:t>
            </w:r>
          </w:p>
        </w:tc>
        <w:tc>
          <w:tcPr>
            <w:tcW w:w="2835" w:type="dxa"/>
            <w:tcBorders>
              <w:top w:val="single" w:color="000000" w:sz="12"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企业自查发现重大事故隐患中已完成整改的（个）</w:t>
            </w:r>
          </w:p>
        </w:tc>
        <w:tc>
          <w:tcPr>
            <w:tcW w:w="773" w:type="dxa"/>
            <w:tcBorders>
              <w:top w:val="single" w:color="000000" w:sz="12" w:space="0"/>
              <w:left w:val="single" w:color="000000" w:sz="4" w:space="0"/>
              <w:bottom w:val="single" w:color="000000" w:sz="4" w:space="0"/>
              <w:right w:val="single" w:color="000000" w:sz="12" w:space="0"/>
            </w:tcBorders>
            <w:vAlign w:val="center"/>
          </w:tcPr>
          <w:p>
            <w:pPr>
              <w:keepNext w:val="0"/>
              <w:keepLines w:val="0"/>
              <w:pageBreakBefore w:val="0"/>
              <w:widowControl/>
              <w:kinsoku/>
              <w:wordWrap/>
              <w:overflowPunct/>
              <w:topLinePunct w:val="0"/>
              <w:autoSpaceDE/>
              <w:autoSpaceDN/>
              <w:bidi w:val="0"/>
              <w:adjustRightInd/>
              <w:snapToGrid/>
              <w:spacing w:line="360" w:lineRule="exact"/>
              <w:outlineLvl w:val="9"/>
              <w:rPr>
                <w:rFonts w:ascii="宋体" w:hAnsi="宋体" w:eastAsia="宋体" w:cs="宋体"/>
                <w:b/>
                <w:color w:val="000000"/>
                <w:sz w:val="28"/>
                <w:szCs w:val="28"/>
              </w:rPr>
            </w:pPr>
          </w:p>
        </w:tc>
      </w:tr>
      <w:tr>
        <w:tblPrEx>
          <w:tblLayout w:type="fixed"/>
          <w:tblCellMar>
            <w:top w:w="0" w:type="dxa"/>
            <w:left w:w="108" w:type="dxa"/>
            <w:bottom w:w="0" w:type="dxa"/>
            <w:right w:w="108" w:type="dxa"/>
          </w:tblCellMar>
        </w:tblPrEx>
        <w:trPr>
          <w:trHeight w:val="1417" w:hRule="exact"/>
          <w:jc w:val="center"/>
        </w:trPr>
        <w:tc>
          <w:tcPr>
            <w:tcW w:w="1110" w:type="dxa"/>
            <w:vMerge w:val="continue"/>
            <w:tcBorders>
              <w:top w:val="single" w:color="000000" w:sz="4" w:space="0"/>
              <w:left w:val="single" w:color="000000" w:sz="12"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500" w:lineRule="exact"/>
              <w:jc w:val="center"/>
              <w:textAlignment w:val="center"/>
              <w:outlineLvl w:val="9"/>
              <w:rPr>
                <w:rFonts w:ascii="宋体" w:hAnsi="宋体" w:eastAsia="黑体" w:cs="黑体"/>
                <w:b w:val="0"/>
                <w:bCs/>
                <w:color w:val="000000"/>
                <w:kern w:val="0"/>
                <w:sz w:val="32"/>
                <w:szCs w:val="32"/>
                <w:lang w:bidi="ar"/>
              </w:rPr>
            </w:pPr>
          </w:p>
        </w:tc>
        <w:tc>
          <w:tcPr>
            <w:tcW w:w="48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b w:val="0"/>
                <w:bCs/>
                <w:color w:val="000000"/>
                <w:sz w:val="28"/>
                <w:szCs w:val="28"/>
              </w:rPr>
              <w:t>3</w:t>
            </w:r>
          </w:p>
        </w:tc>
        <w:tc>
          <w:tcPr>
            <w:tcW w:w="276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部门检查发现的</w:t>
            </w:r>
          </w:p>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重大事故隐患（个）</w:t>
            </w:r>
          </w:p>
        </w:tc>
        <w:tc>
          <w:tcPr>
            <w:tcW w:w="76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left"/>
              <w:outlineLvl w:val="9"/>
              <w:rPr>
                <w:rFonts w:hint="eastAsia" w:ascii="仿宋_GB2312" w:hAnsi="仿宋_GB2312" w:eastAsia="仿宋_GB2312" w:cs="仿宋_GB2312"/>
                <w:b w:val="0"/>
                <w:bCs/>
                <w:color w:val="000000"/>
                <w:sz w:val="28"/>
                <w:szCs w:val="28"/>
              </w:rPr>
            </w:pPr>
          </w:p>
        </w:tc>
        <w:tc>
          <w:tcPr>
            <w:tcW w:w="421"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4</w:t>
            </w:r>
          </w:p>
        </w:tc>
        <w:tc>
          <w:tcPr>
            <w:tcW w:w="2835"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部门检查发现重大事故隐患中已完成整改的（个）</w:t>
            </w:r>
          </w:p>
        </w:tc>
        <w:tc>
          <w:tcPr>
            <w:tcW w:w="773" w:type="dxa"/>
            <w:tcBorders>
              <w:top w:val="single" w:color="000000" w:sz="4" w:space="0"/>
              <w:left w:val="single" w:color="000000" w:sz="4" w:space="0"/>
              <w:bottom w:val="single" w:color="000000" w:sz="4" w:space="0"/>
              <w:right w:val="single" w:color="000000" w:sz="12" w:space="0"/>
            </w:tcBorders>
            <w:vAlign w:val="center"/>
          </w:tcPr>
          <w:p>
            <w:pPr>
              <w:keepNext w:val="0"/>
              <w:keepLines w:val="0"/>
              <w:pageBreakBefore w:val="0"/>
              <w:widowControl/>
              <w:kinsoku/>
              <w:wordWrap/>
              <w:overflowPunct/>
              <w:topLinePunct w:val="0"/>
              <w:autoSpaceDE/>
              <w:autoSpaceDN/>
              <w:bidi w:val="0"/>
              <w:adjustRightInd/>
              <w:snapToGrid/>
              <w:spacing w:line="360" w:lineRule="exact"/>
              <w:outlineLvl w:val="9"/>
              <w:rPr>
                <w:rFonts w:ascii="宋体" w:hAnsi="宋体" w:eastAsia="宋体" w:cs="宋体"/>
                <w:b/>
                <w:color w:val="000000"/>
                <w:sz w:val="28"/>
                <w:szCs w:val="28"/>
              </w:rPr>
            </w:pPr>
          </w:p>
        </w:tc>
      </w:tr>
      <w:tr>
        <w:tblPrEx>
          <w:tblLayout w:type="fixed"/>
          <w:tblCellMar>
            <w:top w:w="0" w:type="dxa"/>
            <w:left w:w="108" w:type="dxa"/>
            <w:bottom w:w="0" w:type="dxa"/>
            <w:right w:w="108" w:type="dxa"/>
          </w:tblCellMar>
        </w:tblPrEx>
        <w:trPr>
          <w:trHeight w:val="1417" w:hRule="exact"/>
          <w:jc w:val="center"/>
        </w:trPr>
        <w:tc>
          <w:tcPr>
            <w:tcW w:w="1110" w:type="dxa"/>
            <w:vMerge w:val="continue"/>
            <w:tcBorders>
              <w:top w:val="single" w:color="000000" w:sz="4" w:space="0"/>
              <w:left w:val="single" w:color="000000" w:sz="12" w:space="0"/>
              <w:bottom w:val="single" w:color="000000" w:sz="12"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500" w:lineRule="exact"/>
              <w:jc w:val="center"/>
              <w:textAlignment w:val="center"/>
              <w:outlineLvl w:val="9"/>
              <w:rPr>
                <w:rFonts w:ascii="宋体" w:hAnsi="宋体" w:eastAsia="黑体" w:cs="黑体"/>
                <w:b w:val="0"/>
                <w:bCs/>
                <w:color w:val="000000"/>
                <w:kern w:val="0"/>
                <w:sz w:val="32"/>
                <w:szCs w:val="32"/>
                <w:lang w:bidi="ar"/>
              </w:rPr>
            </w:pPr>
          </w:p>
        </w:tc>
        <w:tc>
          <w:tcPr>
            <w:tcW w:w="480"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b w:val="0"/>
                <w:bCs/>
                <w:color w:val="000000"/>
                <w:sz w:val="28"/>
                <w:szCs w:val="28"/>
              </w:rPr>
              <w:t>5</w:t>
            </w:r>
          </w:p>
        </w:tc>
        <w:tc>
          <w:tcPr>
            <w:tcW w:w="2767"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政府挂牌督办的</w:t>
            </w:r>
          </w:p>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重大事故隐患（个）</w:t>
            </w:r>
          </w:p>
        </w:tc>
        <w:tc>
          <w:tcPr>
            <w:tcW w:w="767"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left"/>
              <w:outlineLvl w:val="9"/>
              <w:rPr>
                <w:rFonts w:hint="eastAsia" w:ascii="仿宋_GB2312" w:hAnsi="仿宋_GB2312" w:eastAsia="仿宋_GB2312" w:cs="仿宋_GB2312"/>
                <w:b w:val="0"/>
                <w:bCs/>
                <w:color w:val="000000"/>
                <w:sz w:val="28"/>
                <w:szCs w:val="28"/>
              </w:rPr>
            </w:pPr>
          </w:p>
        </w:tc>
        <w:tc>
          <w:tcPr>
            <w:tcW w:w="421"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6</w:t>
            </w:r>
          </w:p>
        </w:tc>
        <w:tc>
          <w:tcPr>
            <w:tcW w:w="2835"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挂牌督办重大事故隐患中已完成整改的（个）</w:t>
            </w:r>
          </w:p>
        </w:tc>
        <w:tc>
          <w:tcPr>
            <w:tcW w:w="773" w:type="dxa"/>
            <w:tcBorders>
              <w:top w:val="single" w:color="000000" w:sz="4" w:space="0"/>
              <w:left w:val="single" w:color="000000" w:sz="4" w:space="0"/>
              <w:bottom w:val="single" w:color="000000" w:sz="12" w:space="0"/>
              <w:right w:val="single" w:color="000000" w:sz="12" w:space="0"/>
            </w:tcBorders>
            <w:vAlign w:val="center"/>
          </w:tcPr>
          <w:p>
            <w:pPr>
              <w:keepNext w:val="0"/>
              <w:keepLines w:val="0"/>
              <w:pageBreakBefore w:val="0"/>
              <w:widowControl/>
              <w:kinsoku/>
              <w:wordWrap/>
              <w:overflowPunct/>
              <w:topLinePunct w:val="0"/>
              <w:autoSpaceDE/>
              <w:autoSpaceDN/>
              <w:bidi w:val="0"/>
              <w:adjustRightInd/>
              <w:snapToGrid/>
              <w:spacing w:line="360" w:lineRule="exact"/>
              <w:outlineLvl w:val="9"/>
              <w:rPr>
                <w:rFonts w:ascii="宋体" w:hAnsi="宋体" w:eastAsia="宋体" w:cs="宋体"/>
                <w:b/>
                <w:color w:val="000000"/>
                <w:sz w:val="28"/>
                <w:szCs w:val="28"/>
              </w:rPr>
            </w:pPr>
          </w:p>
        </w:tc>
      </w:tr>
      <w:tr>
        <w:tblPrEx>
          <w:tblLayout w:type="fixed"/>
          <w:tblCellMar>
            <w:top w:w="0" w:type="dxa"/>
            <w:left w:w="108" w:type="dxa"/>
            <w:bottom w:w="0" w:type="dxa"/>
            <w:right w:w="108" w:type="dxa"/>
          </w:tblCellMar>
        </w:tblPrEx>
        <w:trPr>
          <w:trHeight w:val="1417" w:hRule="exact"/>
          <w:jc w:val="center"/>
        </w:trPr>
        <w:tc>
          <w:tcPr>
            <w:tcW w:w="1110" w:type="dxa"/>
            <w:vMerge w:val="restart"/>
            <w:tcBorders>
              <w:top w:val="single" w:color="000000" w:sz="12" w:space="0"/>
              <w:left w:val="single" w:color="000000" w:sz="12"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500" w:lineRule="exact"/>
              <w:jc w:val="center"/>
              <w:textAlignment w:val="center"/>
              <w:outlineLvl w:val="9"/>
              <w:rPr>
                <w:rFonts w:ascii="宋体" w:hAnsi="宋体" w:eastAsia="黑体" w:cs="黑体"/>
                <w:b w:val="0"/>
                <w:bCs/>
                <w:color w:val="000000"/>
                <w:kern w:val="0"/>
                <w:sz w:val="28"/>
                <w:szCs w:val="28"/>
                <w:lang w:bidi="ar"/>
              </w:rPr>
            </w:pPr>
            <w:r>
              <w:rPr>
                <w:rFonts w:ascii="宋体" w:hAnsi="宋体" w:eastAsia="黑体" w:cs="黑体"/>
                <w:b w:val="0"/>
                <w:bCs/>
                <w:color w:val="000000"/>
                <w:kern w:val="0"/>
                <w:sz w:val="28"/>
                <w:szCs w:val="28"/>
                <w:lang w:bidi="ar"/>
              </w:rPr>
              <w:t>对</w:t>
            </w:r>
            <w:r>
              <w:rPr>
                <w:rFonts w:hint="eastAsia" w:ascii="宋体" w:hAnsi="宋体" w:eastAsia="黑体" w:cs="黑体"/>
                <w:b w:val="0"/>
                <w:bCs/>
                <w:color w:val="000000"/>
                <w:kern w:val="0"/>
                <w:sz w:val="28"/>
                <w:szCs w:val="28"/>
                <w:lang w:bidi="ar"/>
              </w:rPr>
              <w:t>企业</w:t>
            </w:r>
          </w:p>
          <w:p>
            <w:pPr>
              <w:keepNext w:val="0"/>
              <w:keepLines w:val="0"/>
              <w:pageBreakBefore w:val="0"/>
              <w:widowControl/>
              <w:kinsoku/>
              <w:wordWrap/>
              <w:overflowPunct/>
              <w:topLinePunct w:val="0"/>
              <w:autoSpaceDE/>
              <w:autoSpaceDN/>
              <w:bidi w:val="0"/>
              <w:adjustRightInd/>
              <w:snapToGrid/>
              <w:spacing w:line="500" w:lineRule="exact"/>
              <w:jc w:val="center"/>
              <w:textAlignment w:val="center"/>
              <w:outlineLvl w:val="9"/>
              <w:rPr>
                <w:rFonts w:ascii="宋体" w:hAnsi="宋体" w:eastAsia="黑体" w:cs="黑体"/>
                <w:b w:val="0"/>
                <w:bCs/>
                <w:color w:val="000000"/>
                <w:sz w:val="32"/>
                <w:szCs w:val="32"/>
              </w:rPr>
            </w:pPr>
            <w:r>
              <w:rPr>
                <w:rFonts w:hint="eastAsia" w:ascii="宋体" w:hAnsi="宋体" w:eastAsia="黑体" w:cs="黑体"/>
                <w:b w:val="0"/>
                <w:bCs/>
                <w:color w:val="000000"/>
                <w:kern w:val="0"/>
                <w:sz w:val="28"/>
                <w:szCs w:val="28"/>
                <w:lang w:bidi="ar"/>
              </w:rPr>
              <w:t>自查自改</w:t>
            </w:r>
            <w:r>
              <w:rPr>
                <w:rFonts w:ascii="宋体" w:hAnsi="宋体" w:eastAsia="黑体" w:cs="黑体"/>
                <w:b w:val="0"/>
                <w:bCs/>
                <w:color w:val="000000"/>
                <w:kern w:val="0"/>
                <w:sz w:val="28"/>
                <w:szCs w:val="28"/>
                <w:lang w:bidi="ar"/>
              </w:rPr>
              <w:t>进行抽查检查</w:t>
            </w:r>
            <w:r>
              <w:rPr>
                <w:rFonts w:hint="eastAsia" w:ascii="宋体" w:hAnsi="宋体" w:eastAsia="黑体" w:cs="黑体"/>
                <w:b w:val="0"/>
                <w:bCs/>
                <w:color w:val="000000"/>
                <w:kern w:val="0"/>
                <w:sz w:val="28"/>
                <w:szCs w:val="28"/>
                <w:lang w:bidi="ar"/>
              </w:rPr>
              <w:t>情况</w:t>
            </w:r>
          </w:p>
        </w:tc>
        <w:tc>
          <w:tcPr>
            <w:tcW w:w="480" w:type="dxa"/>
            <w:tcBorders>
              <w:top w:val="single" w:color="000000" w:sz="12"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1</w:t>
            </w:r>
          </w:p>
        </w:tc>
        <w:tc>
          <w:tcPr>
            <w:tcW w:w="2767" w:type="dxa"/>
            <w:tcBorders>
              <w:top w:val="single" w:color="000000" w:sz="12"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b w:val="0"/>
                <w:bCs/>
                <w:color w:val="000000"/>
                <w:kern w:val="0"/>
                <w:sz w:val="28"/>
                <w:szCs w:val="28"/>
                <w:lang w:bidi="ar"/>
              </w:rPr>
              <w:t>部门抽查检查的企业总数（家）</w:t>
            </w:r>
          </w:p>
        </w:tc>
        <w:tc>
          <w:tcPr>
            <w:tcW w:w="767" w:type="dxa"/>
            <w:tcBorders>
              <w:top w:val="single" w:color="000000" w:sz="12"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hint="eastAsia" w:ascii="仿宋_GB2312" w:hAnsi="仿宋_GB2312" w:eastAsia="仿宋_GB2312" w:cs="仿宋_GB2312"/>
                <w:b w:val="0"/>
                <w:bCs/>
                <w:color w:val="000000"/>
                <w:sz w:val="28"/>
                <w:szCs w:val="28"/>
              </w:rPr>
            </w:pPr>
          </w:p>
        </w:tc>
        <w:tc>
          <w:tcPr>
            <w:tcW w:w="421" w:type="dxa"/>
            <w:tcBorders>
              <w:top w:val="single" w:color="000000" w:sz="12"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2</w:t>
            </w:r>
          </w:p>
        </w:tc>
        <w:tc>
          <w:tcPr>
            <w:tcW w:w="2835" w:type="dxa"/>
            <w:tcBorders>
              <w:top w:val="single" w:color="000000" w:sz="12"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企业主要负责人未按</w:t>
            </w:r>
          </w:p>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b w:val="0"/>
                <w:bCs/>
                <w:color w:val="000000"/>
                <w:kern w:val="0"/>
                <w:sz w:val="28"/>
                <w:szCs w:val="28"/>
                <w:lang w:bidi="ar"/>
              </w:rPr>
              <w:t>要求亲自研究排查整治工作（家）</w:t>
            </w:r>
          </w:p>
        </w:tc>
        <w:tc>
          <w:tcPr>
            <w:tcW w:w="773" w:type="dxa"/>
            <w:tcBorders>
              <w:top w:val="single" w:color="000000" w:sz="12" w:space="0"/>
              <w:left w:val="single" w:color="000000" w:sz="4" w:space="0"/>
              <w:bottom w:val="single" w:color="000000" w:sz="4" w:space="0"/>
              <w:right w:val="single" w:color="000000" w:sz="12"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ascii="宋体" w:hAnsi="宋体" w:eastAsia="宋体" w:cs="宋体"/>
                <w:b/>
                <w:color w:val="000000"/>
                <w:sz w:val="28"/>
                <w:szCs w:val="28"/>
              </w:rPr>
            </w:pPr>
          </w:p>
        </w:tc>
      </w:tr>
      <w:tr>
        <w:tblPrEx>
          <w:tblLayout w:type="fixed"/>
          <w:tblCellMar>
            <w:top w:w="0" w:type="dxa"/>
            <w:left w:w="108" w:type="dxa"/>
            <w:bottom w:w="0" w:type="dxa"/>
            <w:right w:w="108" w:type="dxa"/>
          </w:tblCellMar>
        </w:tblPrEx>
        <w:trPr>
          <w:trHeight w:val="1417" w:hRule="exact"/>
          <w:jc w:val="center"/>
        </w:trPr>
        <w:tc>
          <w:tcPr>
            <w:tcW w:w="1110" w:type="dxa"/>
            <w:vMerge w:val="continue"/>
            <w:tcBorders>
              <w:top w:val="single" w:color="000000" w:sz="4" w:space="0"/>
              <w:left w:val="single" w:color="000000" w:sz="12"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500" w:lineRule="exact"/>
              <w:jc w:val="center"/>
              <w:outlineLvl w:val="9"/>
              <w:rPr>
                <w:rFonts w:ascii="宋体" w:hAnsi="宋体" w:eastAsia="黑体" w:cs="黑体"/>
                <w:b w:val="0"/>
                <w:bCs/>
                <w:color w:val="000000"/>
                <w:sz w:val="32"/>
                <w:szCs w:val="32"/>
              </w:rPr>
            </w:pPr>
          </w:p>
        </w:tc>
        <w:tc>
          <w:tcPr>
            <w:tcW w:w="48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3</w:t>
            </w:r>
          </w:p>
        </w:tc>
        <w:tc>
          <w:tcPr>
            <w:tcW w:w="276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企业主要负责人</w:t>
            </w:r>
          </w:p>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b w:val="0"/>
                <w:bCs/>
                <w:color w:val="000000"/>
                <w:kern w:val="0"/>
                <w:sz w:val="28"/>
                <w:szCs w:val="28"/>
                <w:lang w:bidi="ar"/>
              </w:rPr>
              <w:t>未带队检查（家）</w:t>
            </w:r>
          </w:p>
        </w:tc>
        <w:tc>
          <w:tcPr>
            <w:tcW w:w="76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hint="eastAsia" w:ascii="仿宋_GB2312" w:hAnsi="仿宋_GB2312" w:eastAsia="仿宋_GB2312" w:cs="仿宋_GB2312"/>
                <w:b w:val="0"/>
                <w:bCs/>
                <w:color w:val="000000"/>
                <w:sz w:val="28"/>
                <w:szCs w:val="28"/>
              </w:rPr>
            </w:pPr>
          </w:p>
        </w:tc>
        <w:tc>
          <w:tcPr>
            <w:tcW w:w="421"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4</w:t>
            </w:r>
          </w:p>
        </w:tc>
        <w:tc>
          <w:tcPr>
            <w:tcW w:w="2835"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pacing w:val="-11"/>
                <w:kern w:val="0"/>
                <w:sz w:val="28"/>
                <w:szCs w:val="28"/>
                <w:lang w:bidi="ar"/>
              </w:rPr>
            </w:pPr>
            <w:r>
              <w:rPr>
                <w:rFonts w:hint="eastAsia" w:ascii="仿宋_GB2312" w:hAnsi="仿宋_GB2312" w:eastAsia="仿宋_GB2312" w:cs="仿宋_GB2312"/>
                <w:b w:val="0"/>
                <w:bCs/>
                <w:color w:val="000000"/>
                <w:spacing w:val="-11"/>
                <w:kern w:val="0"/>
                <w:sz w:val="28"/>
                <w:szCs w:val="28"/>
                <w:lang w:bidi="ar"/>
              </w:rPr>
              <w:t>企业未制定</w:t>
            </w:r>
          </w:p>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b w:val="0"/>
                <w:bCs/>
                <w:color w:val="000000"/>
                <w:spacing w:val="-11"/>
                <w:kern w:val="0"/>
                <w:sz w:val="28"/>
                <w:szCs w:val="28"/>
                <w:lang w:bidi="ar"/>
              </w:rPr>
              <w:t>分管负责人职责清单（家）</w:t>
            </w:r>
          </w:p>
        </w:tc>
        <w:tc>
          <w:tcPr>
            <w:tcW w:w="773" w:type="dxa"/>
            <w:tcBorders>
              <w:top w:val="single" w:color="000000" w:sz="4" w:space="0"/>
              <w:left w:val="single" w:color="000000" w:sz="4" w:space="0"/>
              <w:bottom w:val="single" w:color="000000" w:sz="4" w:space="0"/>
              <w:right w:val="single" w:color="000000" w:sz="12"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ascii="宋体" w:hAnsi="宋体" w:eastAsia="宋体" w:cs="宋体"/>
                <w:b/>
                <w:color w:val="000000"/>
                <w:sz w:val="28"/>
                <w:szCs w:val="28"/>
              </w:rPr>
            </w:pPr>
          </w:p>
        </w:tc>
      </w:tr>
      <w:tr>
        <w:tblPrEx>
          <w:tblLayout w:type="fixed"/>
          <w:tblCellMar>
            <w:top w:w="0" w:type="dxa"/>
            <w:left w:w="108" w:type="dxa"/>
            <w:bottom w:w="0" w:type="dxa"/>
            <w:right w:w="108" w:type="dxa"/>
          </w:tblCellMar>
        </w:tblPrEx>
        <w:trPr>
          <w:trHeight w:val="1417" w:hRule="exact"/>
          <w:jc w:val="center"/>
        </w:trPr>
        <w:tc>
          <w:tcPr>
            <w:tcW w:w="1110" w:type="dxa"/>
            <w:vMerge w:val="continue"/>
            <w:tcBorders>
              <w:top w:val="single" w:color="000000" w:sz="4" w:space="0"/>
              <w:left w:val="single" w:color="000000" w:sz="12"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500" w:lineRule="exact"/>
              <w:jc w:val="center"/>
              <w:outlineLvl w:val="9"/>
              <w:rPr>
                <w:rFonts w:ascii="宋体" w:hAnsi="宋体" w:eastAsia="黑体" w:cs="黑体"/>
                <w:b w:val="0"/>
                <w:bCs/>
                <w:color w:val="000000"/>
                <w:sz w:val="32"/>
                <w:szCs w:val="32"/>
              </w:rPr>
            </w:pPr>
          </w:p>
        </w:tc>
        <w:tc>
          <w:tcPr>
            <w:tcW w:w="48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5</w:t>
            </w:r>
          </w:p>
        </w:tc>
        <w:tc>
          <w:tcPr>
            <w:tcW w:w="276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b w:val="0"/>
                <w:bCs/>
                <w:color w:val="000000"/>
                <w:kern w:val="0"/>
                <w:sz w:val="28"/>
                <w:szCs w:val="28"/>
                <w:lang w:bidi="ar"/>
              </w:rPr>
              <w:t>企业未依法建立安全管理机构和配足安全管理人员（家）</w:t>
            </w:r>
          </w:p>
        </w:tc>
        <w:tc>
          <w:tcPr>
            <w:tcW w:w="76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hint="eastAsia" w:ascii="仿宋_GB2312" w:hAnsi="仿宋_GB2312" w:eastAsia="仿宋_GB2312" w:cs="仿宋_GB2312"/>
                <w:b w:val="0"/>
                <w:bCs/>
                <w:color w:val="000000"/>
                <w:sz w:val="28"/>
                <w:szCs w:val="28"/>
              </w:rPr>
            </w:pPr>
          </w:p>
        </w:tc>
        <w:tc>
          <w:tcPr>
            <w:tcW w:w="421"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6</w:t>
            </w:r>
          </w:p>
        </w:tc>
        <w:tc>
          <w:tcPr>
            <w:tcW w:w="2835"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pacing w:val="-11"/>
                <w:kern w:val="0"/>
                <w:sz w:val="28"/>
                <w:szCs w:val="28"/>
                <w:lang w:bidi="ar"/>
              </w:rPr>
            </w:pPr>
            <w:r>
              <w:rPr>
                <w:rFonts w:hint="eastAsia" w:ascii="仿宋_GB2312" w:hAnsi="仿宋_GB2312" w:eastAsia="仿宋_GB2312" w:cs="仿宋_GB2312"/>
                <w:b w:val="0"/>
                <w:bCs/>
                <w:color w:val="000000"/>
                <w:spacing w:val="-11"/>
                <w:kern w:val="0"/>
                <w:sz w:val="28"/>
                <w:szCs w:val="28"/>
                <w:lang w:bidi="ar"/>
              </w:rPr>
              <w:t>电焊等特种作业岗位</w:t>
            </w:r>
          </w:p>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b w:val="0"/>
                <w:bCs/>
                <w:color w:val="000000"/>
                <w:spacing w:val="-11"/>
                <w:kern w:val="0"/>
                <w:sz w:val="28"/>
                <w:szCs w:val="28"/>
                <w:lang w:bidi="ar"/>
              </w:rPr>
              <w:t>人员无证上岗作业（家）</w:t>
            </w:r>
          </w:p>
        </w:tc>
        <w:tc>
          <w:tcPr>
            <w:tcW w:w="773" w:type="dxa"/>
            <w:tcBorders>
              <w:top w:val="single" w:color="000000" w:sz="4" w:space="0"/>
              <w:left w:val="single" w:color="000000" w:sz="4" w:space="0"/>
              <w:bottom w:val="single" w:color="000000" w:sz="4" w:space="0"/>
              <w:right w:val="single" w:color="000000" w:sz="12"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ascii="宋体" w:hAnsi="宋体" w:eastAsia="宋体" w:cs="宋体"/>
                <w:b/>
                <w:color w:val="000000"/>
                <w:sz w:val="28"/>
                <w:szCs w:val="28"/>
              </w:rPr>
            </w:pPr>
          </w:p>
        </w:tc>
      </w:tr>
      <w:tr>
        <w:tblPrEx>
          <w:tblLayout w:type="fixed"/>
          <w:tblCellMar>
            <w:top w:w="0" w:type="dxa"/>
            <w:left w:w="108" w:type="dxa"/>
            <w:bottom w:w="0" w:type="dxa"/>
            <w:right w:w="108" w:type="dxa"/>
          </w:tblCellMar>
        </w:tblPrEx>
        <w:trPr>
          <w:trHeight w:val="1417" w:hRule="exact"/>
          <w:jc w:val="center"/>
        </w:trPr>
        <w:tc>
          <w:tcPr>
            <w:tcW w:w="1110" w:type="dxa"/>
            <w:vMerge w:val="continue"/>
            <w:tcBorders>
              <w:top w:val="single" w:color="000000" w:sz="4" w:space="0"/>
              <w:left w:val="single" w:color="000000" w:sz="12" w:space="0"/>
              <w:bottom w:val="single" w:color="000000" w:sz="12"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500" w:lineRule="exact"/>
              <w:jc w:val="center"/>
              <w:outlineLvl w:val="9"/>
              <w:rPr>
                <w:rFonts w:ascii="宋体" w:hAnsi="宋体" w:eastAsia="黑体" w:cs="黑体"/>
                <w:b w:val="0"/>
                <w:bCs/>
                <w:color w:val="000000"/>
                <w:sz w:val="32"/>
                <w:szCs w:val="32"/>
              </w:rPr>
            </w:pPr>
          </w:p>
        </w:tc>
        <w:tc>
          <w:tcPr>
            <w:tcW w:w="480"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7</w:t>
            </w:r>
          </w:p>
        </w:tc>
        <w:tc>
          <w:tcPr>
            <w:tcW w:w="2767"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b w:val="0"/>
                <w:bCs/>
                <w:color w:val="000000"/>
                <w:kern w:val="0"/>
                <w:sz w:val="28"/>
                <w:szCs w:val="28"/>
                <w:lang w:bidi="ar"/>
              </w:rPr>
              <w:t>外包外租安全管理混乱（家）</w:t>
            </w:r>
          </w:p>
        </w:tc>
        <w:tc>
          <w:tcPr>
            <w:tcW w:w="767"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hint="eastAsia" w:ascii="仿宋_GB2312" w:hAnsi="仿宋_GB2312" w:eastAsia="仿宋_GB2312" w:cs="仿宋_GB2312"/>
                <w:b w:val="0"/>
                <w:bCs/>
                <w:color w:val="000000"/>
                <w:sz w:val="28"/>
                <w:szCs w:val="28"/>
              </w:rPr>
            </w:pPr>
          </w:p>
        </w:tc>
        <w:tc>
          <w:tcPr>
            <w:tcW w:w="421"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8</w:t>
            </w:r>
          </w:p>
        </w:tc>
        <w:tc>
          <w:tcPr>
            <w:tcW w:w="2835"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sz w:val="28"/>
                <w:szCs w:val="28"/>
              </w:rPr>
              <w:t>未按规定开展应急演练、</w:t>
            </w:r>
            <w:r>
              <w:rPr>
                <w:rFonts w:hint="eastAsia" w:ascii="仿宋_GB2312" w:hAnsi="仿宋_GB2312" w:eastAsia="仿宋_GB2312" w:cs="仿宋_GB2312"/>
                <w:b w:val="0"/>
                <w:bCs/>
                <w:color w:val="000000"/>
                <w:kern w:val="0"/>
                <w:sz w:val="28"/>
                <w:szCs w:val="28"/>
                <w:lang w:bidi="ar"/>
              </w:rPr>
              <w:t>员工不熟悉逃生</w:t>
            </w:r>
          </w:p>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b w:val="0"/>
                <w:bCs/>
                <w:color w:val="000000"/>
                <w:kern w:val="0"/>
                <w:sz w:val="28"/>
                <w:szCs w:val="28"/>
                <w:lang w:bidi="ar"/>
              </w:rPr>
              <w:t>出口</w:t>
            </w:r>
            <w:r>
              <w:rPr>
                <w:rFonts w:hint="eastAsia" w:ascii="仿宋_GB2312" w:hAnsi="仿宋_GB2312" w:eastAsia="仿宋_GB2312" w:cs="仿宋_GB2312"/>
                <w:b w:val="0"/>
                <w:bCs/>
                <w:color w:val="000000"/>
                <w:sz w:val="28"/>
                <w:szCs w:val="28"/>
              </w:rPr>
              <w:t>（家）</w:t>
            </w:r>
          </w:p>
        </w:tc>
        <w:tc>
          <w:tcPr>
            <w:tcW w:w="773" w:type="dxa"/>
            <w:tcBorders>
              <w:top w:val="single" w:color="000000" w:sz="4" w:space="0"/>
              <w:left w:val="single" w:color="000000" w:sz="4" w:space="0"/>
              <w:bottom w:val="single" w:color="000000" w:sz="12" w:space="0"/>
              <w:right w:val="single" w:color="000000" w:sz="12"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ascii="宋体" w:hAnsi="宋体" w:eastAsia="宋体" w:cs="宋体"/>
                <w:b/>
                <w:color w:val="000000"/>
                <w:sz w:val="28"/>
                <w:szCs w:val="28"/>
              </w:rPr>
            </w:pPr>
          </w:p>
        </w:tc>
      </w:tr>
      <w:tr>
        <w:tblPrEx>
          <w:tblLayout w:type="fixed"/>
          <w:tblCellMar>
            <w:top w:w="0" w:type="dxa"/>
            <w:left w:w="108" w:type="dxa"/>
            <w:bottom w:w="0" w:type="dxa"/>
            <w:right w:w="108" w:type="dxa"/>
          </w:tblCellMar>
        </w:tblPrEx>
        <w:trPr>
          <w:trHeight w:val="1134" w:hRule="exact"/>
          <w:jc w:val="center"/>
        </w:trPr>
        <w:tc>
          <w:tcPr>
            <w:tcW w:w="1110" w:type="dxa"/>
            <w:vMerge w:val="restart"/>
            <w:tcBorders>
              <w:top w:val="single" w:color="000000" w:sz="12" w:space="0"/>
              <w:left w:val="single" w:color="000000" w:sz="12"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500" w:lineRule="exact"/>
              <w:jc w:val="center"/>
              <w:textAlignment w:val="center"/>
              <w:outlineLvl w:val="9"/>
              <w:rPr>
                <w:rFonts w:ascii="宋体" w:hAnsi="宋体" w:eastAsia="黑体" w:cs="黑体"/>
                <w:b w:val="0"/>
                <w:bCs/>
                <w:color w:val="000000"/>
                <w:kern w:val="0"/>
                <w:sz w:val="32"/>
                <w:szCs w:val="32"/>
                <w:lang w:bidi="ar"/>
              </w:rPr>
            </w:pPr>
            <w:r>
              <w:rPr>
                <w:rFonts w:hint="eastAsia" w:ascii="宋体" w:hAnsi="宋体" w:eastAsia="黑体" w:cs="黑体"/>
                <w:b w:val="0"/>
                <w:bCs/>
                <w:color w:val="000000"/>
                <w:kern w:val="0"/>
                <w:sz w:val="32"/>
                <w:szCs w:val="32"/>
                <w:lang w:bidi="ar"/>
              </w:rPr>
              <w:t>部门</w:t>
            </w:r>
          </w:p>
          <w:p>
            <w:pPr>
              <w:keepNext w:val="0"/>
              <w:keepLines w:val="0"/>
              <w:pageBreakBefore w:val="0"/>
              <w:widowControl/>
              <w:kinsoku/>
              <w:wordWrap/>
              <w:overflowPunct/>
              <w:topLinePunct w:val="0"/>
              <w:autoSpaceDE/>
              <w:autoSpaceDN/>
              <w:bidi w:val="0"/>
              <w:adjustRightInd/>
              <w:snapToGrid/>
              <w:spacing w:line="500" w:lineRule="exact"/>
              <w:jc w:val="center"/>
              <w:textAlignment w:val="center"/>
              <w:outlineLvl w:val="9"/>
              <w:rPr>
                <w:rFonts w:ascii="宋体" w:hAnsi="宋体" w:eastAsia="黑体" w:cs="黑体"/>
                <w:b w:val="0"/>
                <w:bCs/>
                <w:color w:val="000000"/>
                <w:kern w:val="0"/>
                <w:sz w:val="32"/>
                <w:szCs w:val="32"/>
                <w:lang w:bidi="ar"/>
              </w:rPr>
            </w:pPr>
            <w:r>
              <w:rPr>
                <w:rFonts w:hint="eastAsia" w:ascii="宋体" w:hAnsi="宋体" w:eastAsia="黑体" w:cs="黑体"/>
                <w:b w:val="0"/>
                <w:bCs/>
                <w:color w:val="000000"/>
                <w:kern w:val="0"/>
                <w:sz w:val="32"/>
                <w:szCs w:val="32"/>
                <w:lang w:bidi="ar"/>
              </w:rPr>
              <w:t>精准</w:t>
            </w:r>
          </w:p>
          <w:p>
            <w:pPr>
              <w:keepNext w:val="0"/>
              <w:keepLines w:val="0"/>
              <w:pageBreakBefore w:val="0"/>
              <w:widowControl/>
              <w:kinsoku/>
              <w:wordWrap/>
              <w:overflowPunct/>
              <w:topLinePunct w:val="0"/>
              <w:autoSpaceDE/>
              <w:autoSpaceDN/>
              <w:bidi w:val="0"/>
              <w:adjustRightInd/>
              <w:snapToGrid/>
              <w:spacing w:line="500" w:lineRule="exact"/>
              <w:jc w:val="center"/>
              <w:textAlignment w:val="center"/>
              <w:outlineLvl w:val="9"/>
              <w:rPr>
                <w:rFonts w:ascii="宋体" w:hAnsi="宋体" w:eastAsia="黑体" w:cs="黑体"/>
                <w:b w:val="0"/>
                <w:bCs/>
                <w:color w:val="000000"/>
                <w:kern w:val="0"/>
                <w:sz w:val="32"/>
                <w:szCs w:val="32"/>
                <w:lang w:bidi="ar"/>
              </w:rPr>
            </w:pPr>
            <w:r>
              <w:rPr>
                <w:rFonts w:hint="eastAsia" w:ascii="宋体" w:hAnsi="宋体" w:eastAsia="黑体" w:cs="黑体"/>
                <w:b w:val="0"/>
                <w:bCs/>
                <w:color w:val="000000"/>
                <w:kern w:val="0"/>
                <w:sz w:val="32"/>
                <w:szCs w:val="32"/>
                <w:lang w:bidi="ar"/>
              </w:rPr>
              <w:t>严格</w:t>
            </w:r>
          </w:p>
          <w:p>
            <w:pPr>
              <w:keepNext w:val="0"/>
              <w:keepLines w:val="0"/>
              <w:pageBreakBefore w:val="0"/>
              <w:widowControl/>
              <w:kinsoku/>
              <w:wordWrap/>
              <w:overflowPunct/>
              <w:topLinePunct w:val="0"/>
              <w:autoSpaceDE/>
              <w:autoSpaceDN/>
              <w:bidi w:val="0"/>
              <w:adjustRightInd/>
              <w:snapToGrid/>
              <w:spacing w:line="500" w:lineRule="exact"/>
              <w:jc w:val="center"/>
              <w:textAlignment w:val="center"/>
              <w:outlineLvl w:val="9"/>
              <w:rPr>
                <w:rFonts w:ascii="宋体" w:hAnsi="宋体" w:eastAsia="黑体" w:cs="黑体"/>
                <w:b w:val="0"/>
                <w:bCs/>
                <w:color w:val="000000"/>
                <w:kern w:val="0"/>
                <w:sz w:val="32"/>
                <w:szCs w:val="32"/>
                <w:lang w:bidi="ar"/>
              </w:rPr>
            </w:pPr>
            <w:r>
              <w:rPr>
                <w:rFonts w:hint="eastAsia" w:ascii="宋体" w:hAnsi="宋体" w:eastAsia="黑体" w:cs="黑体"/>
                <w:b w:val="0"/>
                <w:bCs/>
                <w:color w:val="000000"/>
                <w:kern w:val="0"/>
                <w:sz w:val="32"/>
                <w:szCs w:val="32"/>
                <w:lang w:bidi="ar"/>
              </w:rPr>
              <w:t>执法</w:t>
            </w:r>
          </w:p>
          <w:p>
            <w:pPr>
              <w:keepNext w:val="0"/>
              <w:keepLines w:val="0"/>
              <w:pageBreakBefore w:val="0"/>
              <w:widowControl/>
              <w:kinsoku/>
              <w:wordWrap/>
              <w:overflowPunct/>
              <w:topLinePunct w:val="0"/>
              <w:autoSpaceDE/>
              <w:autoSpaceDN/>
              <w:bidi w:val="0"/>
              <w:adjustRightInd/>
              <w:snapToGrid/>
              <w:spacing w:line="500" w:lineRule="exact"/>
              <w:jc w:val="center"/>
              <w:textAlignment w:val="center"/>
              <w:outlineLvl w:val="9"/>
              <w:rPr>
                <w:rFonts w:ascii="宋体" w:hAnsi="宋体" w:eastAsia="黑体" w:cs="黑体"/>
                <w:b w:val="0"/>
                <w:bCs/>
                <w:color w:val="000000"/>
                <w:sz w:val="32"/>
                <w:szCs w:val="32"/>
              </w:rPr>
            </w:pPr>
            <w:r>
              <w:rPr>
                <w:rFonts w:hint="eastAsia" w:ascii="宋体" w:hAnsi="宋体" w:eastAsia="黑体" w:cs="黑体"/>
                <w:b w:val="0"/>
                <w:bCs/>
                <w:color w:val="000000"/>
                <w:kern w:val="0"/>
                <w:sz w:val="32"/>
                <w:szCs w:val="32"/>
                <w:lang w:bidi="ar"/>
              </w:rPr>
              <w:t>情况</w:t>
            </w:r>
          </w:p>
        </w:tc>
        <w:tc>
          <w:tcPr>
            <w:tcW w:w="480" w:type="dxa"/>
            <w:tcBorders>
              <w:top w:val="single" w:color="000000" w:sz="12" w:space="0"/>
              <w:left w:val="single" w:color="000000" w:sz="4" w:space="0"/>
              <w:bottom w:val="single" w:color="000000" w:sz="4" w:space="0"/>
              <w:right w:val="single" w:color="auto"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1</w:t>
            </w:r>
          </w:p>
        </w:tc>
        <w:tc>
          <w:tcPr>
            <w:tcW w:w="2767" w:type="dxa"/>
            <w:tcBorders>
              <w:top w:val="single" w:color="000000" w:sz="12" w:space="0"/>
              <w:left w:val="single" w:color="auto"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帮扶指导</w:t>
            </w:r>
            <w:r>
              <w:rPr>
                <w:rFonts w:hint="eastAsia" w:ascii="仿宋_GB2312" w:hAnsi="仿宋_GB2312" w:eastAsia="仿宋_GB2312" w:cs="仿宋_GB2312"/>
                <w:b w:val="0"/>
                <w:bCs/>
                <w:color w:val="000000"/>
                <w:kern w:val="0"/>
                <w:sz w:val="28"/>
                <w:szCs w:val="28"/>
                <w:lang w:eastAsia="zh-CN" w:bidi="ar"/>
              </w:rPr>
              <w:t>乡镇、</w:t>
            </w:r>
            <w:r>
              <w:rPr>
                <w:rFonts w:hint="eastAsia" w:ascii="仿宋_GB2312" w:hAnsi="仿宋_GB2312" w:cs="仿宋_GB2312"/>
                <w:b w:val="0"/>
                <w:bCs/>
                <w:color w:val="000000"/>
                <w:kern w:val="0"/>
                <w:sz w:val="28"/>
                <w:szCs w:val="28"/>
                <w:lang w:eastAsia="zh-CN" w:bidi="ar"/>
              </w:rPr>
              <w:t>区</w:t>
            </w:r>
            <w:r>
              <w:rPr>
                <w:rFonts w:hint="eastAsia" w:ascii="仿宋_GB2312" w:hAnsi="仿宋_GB2312" w:eastAsia="仿宋_GB2312" w:cs="仿宋_GB2312"/>
                <w:b w:val="0"/>
                <w:bCs/>
                <w:color w:val="000000"/>
                <w:kern w:val="0"/>
                <w:sz w:val="28"/>
                <w:szCs w:val="28"/>
                <w:lang w:eastAsia="zh-CN" w:bidi="ar"/>
              </w:rPr>
              <w:t>直属</w:t>
            </w:r>
            <w:r>
              <w:rPr>
                <w:rFonts w:hint="eastAsia" w:ascii="仿宋_GB2312" w:hAnsi="仿宋_GB2312" w:cs="仿宋_GB2312"/>
                <w:b w:val="0"/>
                <w:bCs/>
                <w:color w:val="000000"/>
                <w:kern w:val="0"/>
                <w:sz w:val="28"/>
                <w:szCs w:val="28"/>
                <w:lang w:eastAsia="zh-CN" w:bidi="ar"/>
              </w:rPr>
              <w:t>企业</w:t>
            </w:r>
            <w:r>
              <w:rPr>
                <w:rFonts w:hint="eastAsia" w:ascii="仿宋_GB2312" w:hAnsi="仿宋_GB2312" w:eastAsia="仿宋_GB2312" w:cs="仿宋_GB2312"/>
                <w:b w:val="0"/>
                <w:bCs/>
                <w:color w:val="000000"/>
                <w:kern w:val="0"/>
                <w:sz w:val="28"/>
                <w:szCs w:val="28"/>
                <w:lang w:bidi="ar"/>
              </w:rPr>
              <w:t>（个次）</w:t>
            </w:r>
          </w:p>
        </w:tc>
        <w:tc>
          <w:tcPr>
            <w:tcW w:w="767" w:type="dxa"/>
            <w:tcBorders>
              <w:top w:val="single" w:color="000000" w:sz="12"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hint="eastAsia" w:ascii="仿宋_GB2312" w:hAnsi="仿宋_GB2312" w:eastAsia="仿宋_GB2312" w:cs="仿宋_GB2312"/>
                <w:b w:val="0"/>
                <w:bCs/>
                <w:color w:val="000000"/>
                <w:sz w:val="28"/>
                <w:szCs w:val="28"/>
              </w:rPr>
            </w:pPr>
          </w:p>
        </w:tc>
        <w:tc>
          <w:tcPr>
            <w:tcW w:w="421" w:type="dxa"/>
            <w:tcBorders>
              <w:top w:val="single" w:color="000000" w:sz="12" w:space="0"/>
              <w:left w:val="single" w:color="000000" w:sz="4" w:space="0"/>
              <w:bottom w:val="single" w:color="000000" w:sz="4" w:space="0"/>
              <w:right w:val="single" w:color="auto"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2</w:t>
            </w:r>
          </w:p>
        </w:tc>
        <w:tc>
          <w:tcPr>
            <w:tcW w:w="2835" w:type="dxa"/>
            <w:tcBorders>
              <w:top w:val="single" w:color="000000" w:sz="12" w:space="0"/>
              <w:left w:val="single" w:color="auto"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帮扶指导重点企业</w:t>
            </w:r>
          </w:p>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（家次）</w:t>
            </w:r>
          </w:p>
        </w:tc>
        <w:tc>
          <w:tcPr>
            <w:tcW w:w="773" w:type="dxa"/>
            <w:tcBorders>
              <w:top w:val="single" w:color="000000" w:sz="12" w:space="0"/>
              <w:left w:val="single" w:color="000000" w:sz="4" w:space="0"/>
              <w:bottom w:val="single" w:color="000000" w:sz="4" w:space="0"/>
              <w:right w:val="single" w:color="000000" w:sz="12"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ascii="宋体" w:hAnsi="宋体" w:eastAsia="宋体" w:cs="宋体"/>
                <w:b/>
                <w:color w:val="000000"/>
                <w:sz w:val="28"/>
                <w:szCs w:val="28"/>
              </w:rPr>
            </w:pPr>
          </w:p>
        </w:tc>
      </w:tr>
      <w:tr>
        <w:tblPrEx>
          <w:tblLayout w:type="fixed"/>
          <w:tblCellMar>
            <w:top w:w="0" w:type="dxa"/>
            <w:left w:w="108" w:type="dxa"/>
            <w:bottom w:w="0" w:type="dxa"/>
            <w:right w:w="108" w:type="dxa"/>
          </w:tblCellMar>
        </w:tblPrEx>
        <w:trPr>
          <w:trHeight w:val="1134" w:hRule="exact"/>
          <w:jc w:val="center"/>
        </w:trPr>
        <w:tc>
          <w:tcPr>
            <w:tcW w:w="1110" w:type="dxa"/>
            <w:vMerge w:val="continue"/>
            <w:tcBorders>
              <w:left w:val="single" w:color="000000" w:sz="12"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500" w:lineRule="exact"/>
              <w:jc w:val="center"/>
              <w:outlineLvl w:val="9"/>
              <w:rPr>
                <w:rFonts w:ascii="宋体" w:hAnsi="宋体" w:eastAsia="黑体" w:cs="黑体"/>
                <w:b w:val="0"/>
                <w:bCs/>
                <w:color w:val="000000"/>
                <w:sz w:val="32"/>
                <w:szCs w:val="32"/>
              </w:rPr>
            </w:pPr>
          </w:p>
        </w:tc>
        <w:tc>
          <w:tcPr>
            <w:tcW w:w="480" w:type="dxa"/>
            <w:tcBorders>
              <w:top w:val="single" w:color="000000" w:sz="4" w:space="0"/>
              <w:left w:val="single" w:color="000000" w:sz="4" w:space="0"/>
              <w:bottom w:val="single" w:color="000000" w:sz="4" w:space="0"/>
              <w:right w:val="single" w:color="auto"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3</w:t>
            </w:r>
          </w:p>
        </w:tc>
        <w:tc>
          <w:tcPr>
            <w:tcW w:w="2767" w:type="dxa"/>
            <w:tcBorders>
              <w:top w:val="single" w:color="000000" w:sz="4" w:space="0"/>
              <w:left w:val="single" w:color="auto"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行政处罚（次，万元）</w:t>
            </w:r>
          </w:p>
        </w:tc>
        <w:tc>
          <w:tcPr>
            <w:tcW w:w="76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hint="eastAsia" w:ascii="仿宋_GB2312" w:hAnsi="仿宋_GB2312" w:eastAsia="仿宋_GB2312" w:cs="仿宋_GB2312"/>
                <w:b w:val="0"/>
                <w:bCs/>
                <w:color w:val="000000"/>
                <w:sz w:val="28"/>
                <w:szCs w:val="28"/>
              </w:rPr>
            </w:pPr>
          </w:p>
        </w:tc>
        <w:tc>
          <w:tcPr>
            <w:tcW w:w="421" w:type="dxa"/>
            <w:tcBorders>
              <w:top w:val="single" w:color="000000" w:sz="4" w:space="0"/>
              <w:left w:val="single" w:color="000000" w:sz="4" w:space="0"/>
              <w:bottom w:val="single" w:color="000000" w:sz="4" w:space="0"/>
              <w:right w:val="single" w:color="auto"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4</w:t>
            </w:r>
          </w:p>
        </w:tc>
        <w:tc>
          <w:tcPr>
            <w:tcW w:w="2835" w:type="dxa"/>
            <w:tcBorders>
              <w:top w:val="single" w:color="000000" w:sz="4" w:space="0"/>
              <w:left w:val="single" w:color="auto"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企业和企业主要负责人</w:t>
            </w:r>
          </w:p>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“一案双罚”（次）</w:t>
            </w:r>
          </w:p>
        </w:tc>
        <w:tc>
          <w:tcPr>
            <w:tcW w:w="773" w:type="dxa"/>
            <w:tcBorders>
              <w:top w:val="single" w:color="000000" w:sz="4" w:space="0"/>
              <w:left w:val="single" w:color="000000" w:sz="4" w:space="0"/>
              <w:bottom w:val="single" w:color="000000" w:sz="4" w:space="0"/>
              <w:right w:val="single" w:color="000000" w:sz="12"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ascii="宋体" w:hAnsi="宋体" w:eastAsia="宋体" w:cs="宋体"/>
                <w:b/>
                <w:color w:val="000000"/>
                <w:sz w:val="28"/>
                <w:szCs w:val="28"/>
              </w:rPr>
            </w:pPr>
          </w:p>
        </w:tc>
      </w:tr>
      <w:tr>
        <w:tblPrEx>
          <w:tblLayout w:type="fixed"/>
          <w:tblCellMar>
            <w:top w:w="0" w:type="dxa"/>
            <w:left w:w="108" w:type="dxa"/>
            <w:bottom w:w="0" w:type="dxa"/>
            <w:right w:w="108" w:type="dxa"/>
          </w:tblCellMar>
        </w:tblPrEx>
        <w:trPr>
          <w:trHeight w:val="1134" w:hRule="exact"/>
          <w:jc w:val="center"/>
        </w:trPr>
        <w:tc>
          <w:tcPr>
            <w:tcW w:w="1110" w:type="dxa"/>
            <w:vMerge w:val="continue"/>
            <w:tcBorders>
              <w:left w:val="single" w:color="000000" w:sz="12"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500" w:lineRule="exact"/>
              <w:jc w:val="center"/>
              <w:outlineLvl w:val="9"/>
              <w:rPr>
                <w:rFonts w:ascii="宋体" w:hAnsi="宋体" w:eastAsia="黑体" w:cs="黑体"/>
                <w:b w:val="0"/>
                <w:bCs/>
                <w:color w:val="000000"/>
                <w:sz w:val="32"/>
                <w:szCs w:val="32"/>
              </w:rPr>
            </w:pPr>
          </w:p>
        </w:tc>
        <w:tc>
          <w:tcPr>
            <w:tcW w:w="480" w:type="dxa"/>
            <w:tcBorders>
              <w:top w:val="single" w:color="000000" w:sz="4" w:space="0"/>
              <w:left w:val="single" w:color="000000" w:sz="4" w:space="0"/>
              <w:bottom w:val="single" w:color="000000" w:sz="4" w:space="0"/>
              <w:right w:val="single" w:color="auto"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5</w:t>
            </w:r>
          </w:p>
        </w:tc>
        <w:tc>
          <w:tcPr>
            <w:tcW w:w="2767" w:type="dxa"/>
            <w:tcBorders>
              <w:top w:val="single" w:color="000000" w:sz="4" w:space="0"/>
              <w:left w:val="single" w:color="auto"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移送司法机关（人）</w:t>
            </w:r>
          </w:p>
        </w:tc>
        <w:tc>
          <w:tcPr>
            <w:tcW w:w="76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hint="eastAsia" w:ascii="仿宋_GB2312" w:hAnsi="仿宋_GB2312" w:eastAsia="仿宋_GB2312" w:cs="仿宋_GB2312"/>
                <w:b w:val="0"/>
                <w:bCs/>
                <w:color w:val="000000"/>
                <w:sz w:val="28"/>
                <w:szCs w:val="28"/>
              </w:rPr>
            </w:pPr>
          </w:p>
        </w:tc>
        <w:tc>
          <w:tcPr>
            <w:tcW w:w="421" w:type="dxa"/>
            <w:tcBorders>
              <w:top w:val="single" w:color="000000" w:sz="4" w:space="0"/>
              <w:left w:val="single" w:color="000000" w:sz="4" w:space="0"/>
              <w:bottom w:val="single" w:color="000000" w:sz="4" w:space="0"/>
              <w:right w:val="single" w:color="auto"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6</w:t>
            </w:r>
          </w:p>
        </w:tc>
        <w:tc>
          <w:tcPr>
            <w:tcW w:w="2835" w:type="dxa"/>
            <w:tcBorders>
              <w:top w:val="single" w:color="000000" w:sz="4" w:space="0"/>
              <w:left w:val="single" w:color="auto"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b w:val="0"/>
                <w:bCs/>
                <w:color w:val="000000"/>
                <w:kern w:val="0"/>
                <w:sz w:val="28"/>
                <w:szCs w:val="28"/>
                <w:lang w:bidi="ar"/>
              </w:rPr>
              <w:t>责令停产整顿（家）</w:t>
            </w:r>
          </w:p>
        </w:tc>
        <w:tc>
          <w:tcPr>
            <w:tcW w:w="773" w:type="dxa"/>
            <w:tcBorders>
              <w:top w:val="single" w:color="000000" w:sz="4" w:space="0"/>
              <w:left w:val="single" w:color="000000" w:sz="4" w:space="0"/>
              <w:bottom w:val="single" w:color="000000" w:sz="4" w:space="0"/>
              <w:right w:val="single" w:color="000000" w:sz="12"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ascii="宋体" w:hAnsi="宋体" w:eastAsia="宋体" w:cs="宋体"/>
                <w:b/>
                <w:color w:val="000000"/>
                <w:sz w:val="28"/>
                <w:szCs w:val="28"/>
              </w:rPr>
            </w:pPr>
          </w:p>
        </w:tc>
      </w:tr>
      <w:tr>
        <w:tblPrEx>
          <w:tblLayout w:type="fixed"/>
          <w:tblCellMar>
            <w:top w:w="0" w:type="dxa"/>
            <w:left w:w="108" w:type="dxa"/>
            <w:bottom w:w="0" w:type="dxa"/>
            <w:right w:w="108" w:type="dxa"/>
          </w:tblCellMar>
        </w:tblPrEx>
        <w:trPr>
          <w:trHeight w:val="1134" w:hRule="exact"/>
          <w:jc w:val="center"/>
        </w:trPr>
        <w:tc>
          <w:tcPr>
            <w:tcW w:w="1110" w:type="dxa"/>
            <w:vMerge w:val="continue"/>
            <w:tcBorders>
              <w:left w:val="single" w:color="000000" w:sz="12"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500" w:lineRule="exact"/>
              <w:jc w:val="center"/>
              <w:outlineLvl w:val="9"/>
              <w:rPr>
                <w:rFonts w:ascii="宋体" w:hAnsi="宋体" w:eastAsia="黑体" w:cs="黑体"/>
                <w:b w:val="0"/>
                <w:bCs/>
                <w:color w:val="000000"/>
                <w:sz w:val="32"/>
                <w:szCs w:val="32"/>
              </w:rPr>
            </w:pPr>
          </w:p>
        </w:tc>
        <w:tc>
          <w:tcPr>
            <w:tcW w:w="48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7</w:t>
            </w:r>
          </w:p>
        </w:tc>
        <w:tc>
          <w:tcPr>
            <w:tcW w:w="276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曝光、约谈、联合惩戒</w:t>
            </w:r>
          </w:p>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企业（家）</w:t>
            </w:r>
          </w:p>
        </w:tc>
        <w:tc>
          <w:tcPr>
            <w:tcW w:w="76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hint="eastAsia" w:ascii="仿宋_GB2312" w:hAnsi="仿宋_GB2312" w:eastAsia="仿宋_GB2312" w:cs="仿宋_GB2312"/>
                <w:b w:val="0"/>
                <w:bCs/>
                <w:color w:val="000000"/>
                <w:sz w:val="28"/>
                <w:szCs w:val="28"/>
              </w:rPr>
            </w:pPr>
          </w:p>
        </w:tc>
        <w:tc>
          <w:tcPr>
            <w:tcW w:w="421"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8</w:t>
            </w:r>
          </w:p>
        </w:tc>
        <w:tc>
          <w:tcPr>
            <w:tcW w:w="2835"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b w:val="0"/>
                <w:bCs/>
                <w:color w:val="000000"/>
                <w:kern w:val="0"/>
                <w:sz w:val="28"/>
                <w:szCs w:val="28"/>
                <w:lang w:bidi="ar"/>
              </w:rPr>
              <w:t>公布典型执法案例（个），其中危险作业罪案例（个）</w:t>
            </w:r>
          </w:p>
        </w:tc>
        <w:tc>
          <w:tcPr>
            <w:tcW w:w="773" w:type="dxa"/>
            <w:tcBorders>
              <w:top w:val="single" w:color="000000" w:sz="4" w:space="0"/>
              <w:left w:val="single" w:color="000000" w:sz="4" w:space="0"/>
              <w:bottom w:val="single" w:color="000000" w:sz="4" w:space="0"/>
              <w:right w:val="single" w:color="000000" w:sz="12"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ascii="宋体" w:hAnsi="宋体" w:eastAsia="宋体" w:cs="宋体"/>
                <w:b/>
                <w:color w:val="000000"/>
                <w:sz w:val="28"/>
                <w:szCs w:val="28"/>
              </w:rPr>
            </w:pPr>
          </w:p>
        </w:tc>
      </w:tr>
      <w:tr>
        <w:tblPrEx>
          <w:tblLayout w:type="fixed"/>
          <w:tblCellMar>
            <w:top w:w="0" w:type="dxa"/>
            <w:left w:w="108" w:type="dxa"/>
            <w:bottom w:w="0" w:type="dxa"/>
            <w:right w:w="108" w:type="dxa"/>
          </w:tblCellMar>
        </w:tblPrEx>
        <w:trPr>
          <w:trHeight w:val="1134" w:hRule="exact"/>
          <w:jc w:val="center"/>
        </w:trPr>
        <w:tc>
          <w:tcPr>
            <w:tcW w:w="1110" w:type="dxa"/>
            <w:vMerge w:val="continue"/>
            <w:tcBorders>
              <w:left w:val="single" w:color="000000" w:sz="12" w:space="0"/>
              <w:bottom w:val="single" w:color="000000" w:sz="12"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500" w:lineRule="exact"/>
              <w:jc w:val="center"/>
              <w:outlineLvl w:val="9"/>
              <w:rPr>
                <w:rFonts w:ascii="宋体" w:hAnsi="宋体" w:eastAsia="黑体" w:cs="黑体"/>
                <w:b w:val="0"/>
                <w:bCs/>
                <w:color w:val="000000"/>
                <w:sz w:val="32"/>
                <w:szCs w:val="32"/>
              </w:rPr>
            </w:pPr>
          </w:p>
        </w:tc>
        <w:tc>
          <w:tcPr>
            <w:tcW w:w="480"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b w:val="0"/>
                <w:bCs/>
                <w:color w:val="000000"/>
                <w:sz w:val="28"/>
                <w:szCs w:val="28"/>
              </w:rPr>
              <w:t>9</w:t>
            </w:r>
          </w:p>
        </w:tc>
        <w:tc>
          <w:tcPr>
            <w:tcW w:w="2767"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责任倒查</w:t>
            </w:r>
          </w:p>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追责问责（人）</w:t>
            </w:r>
          </w:p>
        </w:tc>
        <w:tc>
          <w:tcPr>
            <w:tcW w:w="767"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hint="eastAsia" w:ascii="仿宋_GB2312" w:hAnsi="仿宋_GB2312" w:eastAsia="仿宋_GB2312" w:cs="仿宋_GB2312"/>
                <w:b w:val="0"/>
                <w:bCs/>
                <w:color w:val="000000"/>
                <w:sz w:val="28"/>
                <w:szCs w:val="28"/>
              </w:rPr>
            </w:pPr>
          </w:p>
        </w:tc>
        <w:tc>
          <w:tcPr>
            <w:tcW w:w="421"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b w:val="0"/>
                <w:bCs/>
                <w:color w:val="000000"/>
                <w:sz w:val="28"/>
                <w:szCs w:val="28"/>
              </w:rPr>
              <w:t>10</w:t>
            </w:r>
          </w:p>
        </w:tc>
        <w:tc>
          <w:tcPr>
            <w:tcW w:w="2835"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约谈通报</w:t>
            </w:r>
          </w:p>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有关部门及单位（次）</w:t>
            </w:r>
          </w:p>
        </w:tc>
        <w:tc>
          <w:tcPr>
            <w:tcW w:w="773" w:type="dxa"/>
            <w:tcBorders>
              <w:top w:val="single" w:color="000000" w:sz="4" w:space="0"/>
              <w:left w:val="single" w:color="000000" w:sz="4" w:space="0"/>
              <w:bottom w:val="single" w:color="000000" w:sz="12" w:space="0"/>
              <w:right w:val="single" w:color="000000" w:sz="12"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ascii="宋体" w:hAnsi="宋体" w:eastAsia="宋体" w:cs="宋体"/>
                <w:b/>
                <w:color w:val="000000"/>
                <w:sz w:val="28"/>
                <w:szCs w:val="28"/>
              </w:rPr>
            </w:pPr>
          </w:p>
        </w:tc>
      </w:tr>
      <w:tr>
        <w:tblPrEx>
          <w:tblLayout w:type="fixed"/>
          <w:tblCellMar>
            <w:top w:w="0" w:type="dxa"/>
            <w:left w:w="108" w:type="dxa"/>
            <w:bottom w:w="0" w:type="dxa"/>
            <w:right w:w="108" w:type="dxa"/>
          </w:tblCellMar>
        </w:tblPrEx>
        <w:trPr>
          <w:trHeight w:val="1134" w:hRule="exact"/>
          <w:jc w:val="center"/>
        </w:trPr>
        <w:tc>
          <w:tcPr>
            <w:tcW w:w="1110" w:type="dxa"/>
            <w:vMerge w:val="restart"/>
            <w:tcBorders>
              <w:top w:val="single" w:color="000000" w:sz="12" w:space="0"/>
              <w:left w:val="single" w:color="000000" w:sz="12" w:space="0"/>
              <w:bottom w:val="single" w:color="000000" w:sz="4" w:space="0"/>
              <w:right w:val="single" w:color="000000" w:sz="4" w:space="0"/>
            </w:tcBorders>
            <w:vAlign w:val="center"/>
          </w:tcPr>
          <w:p>
            <w:pPr>
              <w:keepNext w:val="0"/>
              <w:keepLines w:val="0"/>
              <w:pageBreakBefore w:val="0"/>
              <w:widowControl/>
              <w:kinsoku/>
              <w:wordWrap/>
              <w:overflowPunct/>
              <w:topLinePunct w:val="0"/>
              <w:autoSpaceDE/>
              <w:autoSpaceDN/>
              <w:bidi w:val="0"/>
              <w:adjustRightInd/>
              <w:snapToGrid/>
              <w:spacing w:line="500" w:lineRule="exact"/>
              <w:jc w:val="center"/>
              <w:textAlignment w:val="center"/>
              <w:outlineLvl w:val="9"/>
              <w:rPr>
                <w:rFonts w:ascii="宋体" w:hAnsi="宋体" w:eastAsia="黑体" w:cs="黑体"/>
                <w:b w:val="0"/>
                <w:bCs/>
                <w:color w:val="000000"/>
                <w:kern w:val="0"/>
                <w:sz w:val="32"/>
                <w:szCs w:val="32"/>
                <w:lang w:bidi="ar"/>
              </w:rPr>
            </w:pPr>
            <w:r>
              <w:rPr>
                <w:rFonts w:hint="eastAsia" w:ascii="宋体" w:hAnsi="宋体" w:eastAsia="黑体" w:cs="黑体"/>
                <w:b w:val="0"/>
                <w:bCs/>
                <w:color w:val="000000"/>
                <w:kern w:val="0"/>
                <w:sz w:val="32"/>
                <w:szCs w:val="32"/>
                <w:lang w:bidi="ar"/>
              </w:rPr>
              <w:t>党委</w:t>
            </w:r>
          </w:p>
          <w:p>
            <w:pPr>
              <w:keepNext w:val="0"/>
              <w:keepLines w:val="0"/>
              <w:pageBreakBefore w:val="0"/>
              <w:widowControl/>
              <w:kinsoku/>
              <w:wordWrap/>
              <w:overflowPunct/>
              <w:topLinePunct w:val="0"/>
              <w:autoSpaceDE/>
              <w:autoSpaceDN/>
              <w:bidi w:val="0"/>
              <w:adjustRightInd/>
              <w:snapToGrid/>
              <w:spacing w:line="500" w:lineRule="exact"/>
              <w:jc w:val="center"/>
              <w:textAlignment w:val="center"/>
              <w:outlineLvl w:val="9"/>
              <w:rPr>
                <w:rFonts w:ascii="宋体" w:hAnsi="宋体" w:eastAsia="黑体" w:cs="黑体"/>
                <w:b w:val="0"/>
                <w:bCs/>
                <w:color w:val="000000"/>
                <w:kern w:val="0"/>
                <w:sz w:val="32"/>
                <w:szCs w:val="32"/>
                <w:lang w:bidi="ar"/>
              </w:rPr>
            </w:pPr>
            <w:r>
              <w:rPr>
                <w:rFonts w:hint="eastAsia" w:ascii="宋体" w:hAnsi="宋体" w:eastAsia="黑体" w:cs="黑体"/>
                <w:b w:val="0"/>
                <w:bCs/>
                <w:color w:val="000000"/>
                <w:kern w:val="0"/>
                <w:sz w:val="32"/>
                <w:szCs w:val="32"/>
                <w:lang w:bidi="ar"/>
              </w:rPr>
              <w:t>政府</w:t>
            </w:r>
          </w:p>
          <w:p>
            <w:pPr>
              <w:keepNext w:val="0"/>
              <w:keepLines w:val="0"/>
              <w:pageBreakBefore w:val="0"/>
              <w:widowControl/>
              <w:kinsoku/>
              <w:wordWrap/>
              <w:overflowPunct/>
              <w:topLinePunct w:val="0"/>
              <w:autoSpaceDE/>
              <w:autoSpaceDN/>
              <w:bidi w:val="0"/>
              <w:adjustRightInd/>
              <w:snapToGrid/>
              <w:spacing w:line="500" w:lineRule="exact"/>
              <w:jc w:val="center"/>
              <w:textAlignment w:val="center"/>
              <w:outlineLvl w:val="9"/>
              <w:rPr>
                <w:rFonts w:ascii="宋体" w:hAnsi="宋体" w:eastAsia="黑体" w:cs="黑体"/>
                <w:b w:val="0"/>
                <w:bCs/>
                <w:color w:val="000000"/>
                <w:kern w:val="0"/>
                <w:sz w:val="32"/>
                <w:szCs w:val="32"/>
                <w:lang w:bidi="ar"/>
              </w:rPr>
            </w:pPr>
            <w:r>
              <w:rPr>
                <w:rFonts w:hint="eastAsia" w:ascii="宋体" w:hAnsi="宋体" w:eastAsia="黑体" w:cs="黑体"/>
                <w:b w:val="0"/>
                <w:bCs/>
                <w:color w:val="000000"/>
                <w:kern w:val="0"/>
                <w:sz w:val="32"/>
                <w:szCs w:val="32"/>
                <w:lang w:bidi="ar"/>
              </w:rPr>
              <w:t>组织</w:t>
            </w:r>
          </w:p>
          <w:p>
            <w:pPr>
              <w:keepNext w:val="0"/>
              <w:keepLines w:val="0"/>
              <w:pageBreakBefore w:val="0"/>
              <w:widowControl/>
              <w:kinsoku/>
              <w:wordWrap/>
              <w:overflowPunct/>
              <w:topLinePunct w:val="0"/>
              <w:autoSpaceDE/>
              <w:autoSpaceDN/>
              <w:bidi w:val="0"/>
              <w:adjustRightInd/>
              <w:snapToGrid/>
              <w:spacing w:line="500" w:lineRule="exact"/>
              <w:jc w:val="center"/>
              <w:textAlignment w:val="center"/>
              <w:outlineLvl w:val="9"/>
              <w:rPr>
                <w:rFonts w:ascii="宋体" w:hAnsi="宋体" w:eastAsia="黑体" w:cs="黑体"/>
                <w:b w:val="0"/>
                <w:bCs/>
                <w:color w:val="000000"/>
                <w:kern w:val="0"/>
                <w:sz w:val="32"/>
                <w:szCs w:val="32"/>
                <w:lang w:bidi="ar"/>
              </w:rPr>
            </w:pPr>
            <w:r>
              <w:rPr>
                <w:rFonts w:hint="eastAsia" w:ascii="宋体" w:hAnsi="宋体" w:eastAsia="黑体" w:cs="黑体"/>
                <w:b w:val="0"/>
                <w:bCs/>
                <w:color w:val="000000"/>
                <w:kern w:val="0"/>
                <w:sz w:val="32"/>
                <w:szCs w:val="32"/>
                <w:lang w:bidi="ar"/>
              </w:rPr>
              <w:t>领导</w:t>
            </w:r>
          </w:p>
          <w:p>
            <w:pPr>
              <w:keepNext w:val="0"/>
              <w:keepLines w:val="0"/>
              <w:pageBreakBefore w:val="0"/>
              <w:widowControl/>
              <w:kinsoku/>
              <w:wordWrap/>
              <w:overflowPunct/>
              <w:topLinePunct w:val="0"/>
              <w:autoSpaceDE/>
              <w:autoSpaceDN/>
              <w:bidi w:val="0"/>
              <w:adjustRightInd/>
              <w:snapToGrid/>
              <w:spacing w:line="500" w:lineRule="exact"/>
              <w:jc w:val="center"/>
              <w:textAlignment w:val="center"/>
              <w:outlineLvl w:val="9"/>
              <w:rPr>
                <w:rFonts w:ascii="宋体" w:hAnsi="宋体" w:eastAsia="黑体" w:cs="黑体"/>
                <w:b w:val="0"/>
                <w:bCs/>
                <w:color w:val="000000"/>
                <w:sz w:val="32"/>
                <w:szCs w:val="32"/>
              </w:rPr>
            </w:pPr>
            <w:r>
              <w:rPr>
                <w:rFonts w:hint="eastAsia" w:ascii="宋体" w:hAnsi="宋体" w:eastAsia="黑体" w:cs="黑体"/>
                <w:b w:val="0"/>
                <w:bCs/>
                <w:color w:val="000000"/>
                <w:kern w:val="0"/>
                <w:sz w:val="32"/>
                <w:szCs w:val="32"/>
                <w:lang w:bidi="ar"/>
              </w:rPr>
              <w:t>情况</w:t>
            </w:r>
          </w:p>
        </w:tc>
        <w:tc>
          <w:tcPr>
            <w:tcW w:w="480" w:type="dxa"/>
            <w:tcBorders>
              <w:top w:val="single" w:color="000000" w:sz="12"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1</w:t>
            </w:r>
          </w:p>
        </w:tc>
        <w:tc>
          <w:tcPr>
            <w:tcW w:w="2767" w:type="dxa"/>
            <w:tcBorders>
              <w:top w:val="single" w:color="000000" w:sz="12"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cs="仿宋_GB2312"/>
                <w:b w:val="0"/>
                <w:bCs/>
                <w:color w:val="000000"/>
                <w:spacing w:val="-11"/>
                <w:kern w:val="0"/>
                <w:sz w:val="28"/>
                <w:szCs w:val="28"/>
                <w:lang w:eastAsia="zh-CN" w:bidi="ar"/>
              </w:rPr>
              <w:t>区、</w:t>
            </w:r>
            <w:r>
              <w:rPr>
                <w:rFonts w:hint="eastAsia" w:ascii="仿宋_GB2312" w:hAnsi="仿宋_GB2312" w:eastAsia="仿宋_GB2312" w:cs="仿宋_GB2312"/>
                <w:b w:val="0"/>
                <w:bCs/>
                <w:color w:val="000000"/>
                <w:spacing w:val="-11"/>
                <w:kern w:val="0"/>
                <w:sz w:val="28"/>
                <w:szCs w:val="28"/>
                <w:lang w:eastAsia="zh-CN" w:bidi="ar"/>
              </w:rPr>
              <w:t>乡镇</w:t>
            </w:r>
            <w:r>
              <w:rPr>
                <w:rFonts w:hint="eastAsia" w:ascii="仿宋_GB2312" w:hAnsi="仿宋_GB2312" w:eastAsia="仿宋_GB2312" w:cs="仿宋_GB2312"/>
                <w:b w:val="0"/>
                <w:bCs/>
                <w:color w:val="000000"/>
                <w:spacing w:val="-11"/>
                <w:kern w:val="0"/>
                <w:sz w:val="28"/>
                <w:szCs w:val="28"/>
                <w:lang w:bidi="ar"/>
              </w:rPr>
              <w:t>党委政府分别组织专题学习安全生产十五条硬措施</w:t>
            </w:r>
            <w:r>
              <w:rPr>
                <w:rFonts w:hint="eastAsia" w:ascii="仿宋_GB2312" w:hAnsi="仿宋_GB2312" w:eastAsia="仿宋_GB2312" w:cs="仿宋_GB2312"/>
                <w:b w:val="0"/>
                <w:bCs/>
                <w:color w:val="000000"/>
                <w:spacing w:val="-11"/>
                <w:kern w:val="0"/>
                <w:sz w:val="28"/>
                <w:szCs w:val="28"/>
                <w:lang w:eastAsia="zh-CN" w:bidi="ar"/>
              </w:rPr>
              <w:t>等</w:t>
            </w:r>
            <w:r>
              <w:rPr>
                <w:rFonts w:hint="eastAsia" w:ascii="仿宋_GB2312" w:hAnsi="仿宋_GB2312" w:eastAsia="仿宋_GB2312" w:cs="仿宋_GB2312"/>
                <w:b w:val="0"/>
                <w:bCs/>
                <w:color w:val="000000"/>
                <w:spacing w:val="-11"/>
                <w:kern w:val="0"/>
                <w:sz w:val="28"/>
                <w:szCs w:val="28"/>
                <w:lang w:bidi="ar"/>
              </w:rPr>
              <w:t>（次）</w:t>
            </w:r>
          </w:p>
        </w:tc>
        <w:tc>
          <w:tcPr>
            <w:tcW w:w="767" w:type="dxa"/>
            <w:tcBorders>
              <w:top w:val="single" w:color="000000" w:sz="12"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hint="eastAsia" w:ascii="仿宋_GB2312" w:hAnsi="仿宋_GB2312" w:eastAsia="仿宋_GB2312" w:cs="仿宋_GB2312"/>
                <w:b w:val="0"/>
                <w:bCs/>
                <w:color w:val="000000"/>
                <w:sz w:val="28"/>
                <w:szCs w:val="28"/>
              </w:rPr>
            </w:pPr>
          </w:p>
        </w:tc>
        <w:tc>
          <w:tcPr>
            <w:tcW w:w="421" w:type="dxa"/>
            <w:tcBorders>
              <w:top w:val="single" w:color="000000" w:sz="12"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2</w:t>
            </w:r>
          </w:p>
        </w:tc>
        <w:tc>
          <w:tcPr>
            <w:tcW w:w="2835" w:type="dxa"/>
            <w:tcBorders>
              <w:top w:val="single" w:color="000000" w:sz="12"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cs="仿宋_GB2312"/>
                <w:b w:val="0"/>
                <w:bCs/>
                <w:color w:val="000000"/>
                <w:kern w:val="0"/>
                <w:sz w:val="28"/>
                <w:szCs w:val="28"/>
                <w:lang w:eastAsia="zh-CN" w:bidi="ar"/>
              </w:rPr>
              <w:t>区、</w:t>
            </w:r>
            <w:r>
              <w:rPr>
                <w:rFonts w:hint="eastAsia" w:ascii="仿宋_GB2312" w:hAnsi="仿宋_GB2312" w:eastAsia="仿宋_GB2312" w:cs="仿宋_GB2312"/>
                <w:b w:val="0"/>
                <w:bCs/>
                <w:color w:val="000000"/>
                <w:kern w:val="0"/>
                <w:sz w:val="28"/>
                <w:szCs w:val="28"/>
                <w:lang w:eastAsia="zh-CN" w:bidi="ar"/>
              </w:rPr>
              <w:t>乡镇</w:t>
            </w:r>
            <w:r>
              <w:rPr>
                <w:rFonts w:hint="eastAsia" w:ascii="仿宋_GB2312" w:hAnsi="仿宋_GB2312" w:eastAsia="仿宋_GB2312" w:cs="仿宋_GB2312"/>
                <w:b w:val="0"/>
                <w:bCs/>
                <w:color w:val="000000"/>
                <w:kern w:val="0"/>
                <w:sz w:val="28"/>
                <w:szCs w:val="28"/>
                <w:lang w:bidi="ar"/>
              </w:rPr>
              <w:t>党委政府主要</w:t>
            </w:r>
          </w:p>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b w:val="0"/>
                <w:bCs/>
                <w:color w:val="000000"/>
                <w:kern w:val="0"/>
                <w:sz w:val="28"/>
                <w:szCs w:val="28"/>
                <w:lang w:bidi="ar"/>
              </w:rPr>
              <w:t>负责同志分别专题研究（次）</w:t>
            </w:r>
          </w:p>
        </w:tc>
        <w:tc>
          <w:tcPr>
            <w:tcW w:w="773" w:type="dxa"/>
            <w:tcBorders>
              <w:top w:val="single" w:color="000000" w:sz="12" w:space="0"/>
              <w:left w:val="single" w:color="000000" w:sz="4" w:space="0"/>
              <w:bottom w:val="single" w:color="000000" w:sz="4" w:space="0"/>
              <w:right w:val="single" w:color="000000" w:sz="12"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ascii="宋体" w:hAnsi="宋体" w:eastAsia="宋体" w:cs="宋体"/>
                <w:b/>
                <w:color w:val="000000"/>
                <w:kern w:val="0"/>
                <w:sz w:val="28"/>
                <w:szCs w:val="28"/>
                <w:lang w:bidi="ar"/>
              </w:rPr>
            </w:pPr>
          </w:p>
        </w:tc>
      </w:tr>
      <w:tr>
        <w:tblPrEx>
          <w:tblLayout w:type="fixed"/>
          <w:tblCellMar>
            <w:top w:w="0" w:type="dxa"/>
            <w:left w:w="108" w:type="dxa"/>
            <w:bottom w:w="0" w:type="dxa"/>
            <w:right w:w="108" w:type="dxa"/>
          </w:tblCellMar>
        </w:tblPrEx>
        <w:trPr>
          <w:trHeight w:val="1134" w:hRule="exact"/>
          <w:jc w:val="center"/>
        </w:trPr>
        <w:tc>
          <w:tcPr>
            <w:tcW w:w="1110" w:type="dxa"/>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exact"/>
              <w:jc w:val="center"/>
              <w:rPr>
                <w:rFonts w:ascii="宋体" w:hAnsi="宋体" w:eastAsia="黑体" w:cs="黑体"/>
                <w:b/>
                <w:color w:val="000000"/>
                <w:sz w:val="26"/>
                <w:szCs w:val="26"/>
              </w:rPr>
            </w:pPr>
          </w:p>
        </w:tc>
        <w:tc>
          <w:tcPr>
            <w:tcW w:w="48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3</w:t>
            </w:r>
          </w:p>
        </w:tc>
        <w:tc>
          <w:tcPr>
            <w:tcW w:w="276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cs="仿宋_GB2312"/>
                <w:b w:val="0"/>
                <w:bCs/>
                <w:color w:val="000000"/>
                <w:kern w:val="0"/>
                <w:sz w:val="28"/>
                <w:szCs w:val="28"/>
                <w:lang w:eastAsia="zh-CN" w:bidi="ar"/>
              </w:rPr>
              <w:t>区、</w:t>
            </w:r>
            <w:r>
              <w:rPr>
                <w:rFonts w:hint="eastAsia" w:ascii="仿宋_GB2312" w:hAnsi="仿宋_GB2312" w:eastAsia="仿宋_GB2312" w:cs="仿宋_GB2312"/>
                <w:b w:val="0"/>
                <w:bCs/>
                <w:color w:val="000000"/>
                <w:kern w:val="0"/>
                <w:sz w:val="28"/>
                <w:szCs w:val="28"/>
                <w:lang w:eastAsia="zh-CN" w:bidi="ar"/>
              </w:rPr>
              <w:t>乡镇</w:t>
            </w:r>
            <w:r>
              <w:rPr>
                <w:rFonts w:hint="eastAsia" w:ascii="仿宋_GB2312" w:hAnsi="仿宋_GB2312" w:eastAsia="仿宋_GB2312" w:cs="仿宋_GB2312"/>
                <w:b w:val="0"/>
                <w:bCs/>
                <w:color w:val="000000"/>
                <w:kern w:val="0"/>
                <w:sz w:val="28"/>
                <w:szCs w:val="28"/>
                <w:lang w:bidi="ar"/>
              </w:rPr>
              <w:t>政府负责同志</w:t>
            </w:r>
          </w:p>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b w:val="0"/>
                <w:bCs/>
                <w:color w:val="000000"/>
                <w:kern w:val="0"/>
                <w:sz w:val="28"/>
                <w:szCs w:val="28"/>
                <w:lang w:bidi="ar"/>
              </w:rPr>
              <w:t>分别现场督导检查（次）</w:t>
            </w:r>
          </w:p>
        </w:tc>
        <w:tc>
          <w:tcPr>
            <w:tcW w:w="76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hint="eastAsia" w:ascii="仿宋_GB2312" w:hAnsi="仿宋_GB2312" w:eastAsia="仿宋_GB2312" w:cs="仿宋_GB2312"/>
                <w:b w:val="0"/>
                <w:bCs/>
                <w:color w:val="000000"/>
                <w:sz w:val="28"/>
                <w:szCs w:val="28"/>
              </w:rPr>
            </w:pPr>
          </w:p>
        </w:tc>
        <w:tc>
          <w:tcPr>
            <w:tcW w:w="421"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4</w:t>
            </w:r>
          </w:p>
        </w:tc>
        <w:tc>
          <w:tcPr>
            <w:tcW w:w="2835"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b w:val="0"/>
                <w:bCs/>
                <w:color w:val="000000"/>
                <w:sz w:val="28"/>
                <w:szCs w:val="28"/>
              </w:rPr>
              <w:t>区</w:t>
            </w:r>
            <w:r>
              <w:rPr>
                <w:rFonts w:hint="eastAsia" w:ascii="仿宋_GB2312" w:hAnsi="仿宋_GB2312" w:eastAsia="仿宋_GB2312" w:cs="仿宋_GB2312"/>
                <w:b w:val="0"/>
                <w:bCs/>
                <w:color w:val="000000"/>
                <w:sz w:val="28"/>
                <w:szCs w:val="28"/>
                <w:lang w:eastAsia="zh-CN"/>
              </w:rPr>
              <w:t>、乡镇</w:t>
            </w:r>
            <w:r>
              <w:rPr>
                <w:rFonts w:hint="eastAsia" w:ascii="仿宋_GB2312" w:hAnsi="仿宋_GB2312" w:eastAsia="仿宋_GB2312" w:cs="仿宋_GB2312"/>
                <w:b w:val="0"/>
                <w:bCs/>
                <w:color w:val="000000"/>
                <w:sz w:val="28"/>
                <w:szCs w:val="28"/>
              </w:rPr>
              <w:t>安委会成员单位负责同志分别到企业宣讲（次）</w:t>
            </w:r>
          </w:p>
        </w:tc>
        <w:tc>
          <w:tcPr>
            <w:tcW w:w="773" w:type="dxa"/>
            <w:tcBorders>
              <w:top w:val="single" w:color="000000" w:sz="4" w:space="0"/>
              <w:left w:val="single" w:color="000000" w:sz="4" w:space="0"/>
              <w:bottom w:val="single" w:color="000000" w:sz="4" w:space="0"/>
              <w:right w:val="single" w:color="000000" w:sz="12"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ascii="宋体" w:hAnsi="宋体" w:eastAsia="宋体" w:cs="宋体"/>
                <w:b/>
                <w:color w:val="000000"/>
                <w:sz w:val="28"/>
                <w:szCs w:val="28"/>
              </w:rPr>
            </w:pPr>
          </w:p>
        </w:tc>
      </w:tr>
      <w:tr>
        <w:tblPrEx>
          <w:tblLayout w:type="fixed"/>
          <w:tblCellMar>
            <w:top w:w="0" w:type="dxa"/>
            <w:left w:w="108" w:type="dxa"/>
            <w:bottom w:w="0" w:type="dxa"/>
            <w:right w:w="108" w:type="dxa"/>
          </w:tblCellMar>
        </w:tblPrEx>
        <w:trPr>
          <w:trHeight w:val="1134" w:hRule="exact"/>
          <w:jc w:val="center"/>
        </w:trPr>
        <w:tc>
          <w:tcPr>
            <w:tcW w:w="1110" w:type="dxa"/>
            <w:vMerge w:val="continue"/>
            <w:tcBorders>
              <w:top w:val="single" w:color="000000" w:sz="4" w:space="0"/>
              <w:left w:val="single" w:color="000000" w:sz="12" w:space="0"/>
              <w:bottom w:val="single" w:color="000000" w:sz="4" w:space="0"/>
              <w:right w:val="single" w:color="000000" w:sz="4" w:space="0"/>
            </w:tcBorders>
            <w:vAlign w:val="center"/>
          </w:tcPr>
          <w:p>
            <w:pPr>
              <w:widowControl/>
              <w:spacing w:line="240" w:lineRule="exact"/>
              <w:jc w:val="center"/>
              <w:rPr>
                <w:rFonts w:ascii="宋体" w:hAnsi="宋体" w:eastAsia="黑体" w:cs="黑体"/>
                <w:b/>
                <w:color w:val="000000"/>
                <w:sz w:val="26"/>
                <w:szCs w:val="26"/>
              </w:rPr>
            </w:pPr>
          </w:p>
        </w:tc>
        <w:tc>
          <w:tcPr>
            <w:tcW w:w="480"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5</w:t>
            </w:r>
          </w:p>
        </w:tc>
        <w:tc>
          <w:tcPr>
            <w:tcW w:w="276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b w:val="0"/>
                <w:bCs/>
                <w:color w:val="000000"/>
                <w:kern w:val="0"/>
                <w:sz w:val="28"/>
                <w:szCs w:val="28"/>
                <w:lang w:bidi="ar"/>
              </w:rPr>
              <w:t>举报奖励（万元），其中匿名举报查实奖励（万元）</w:t>
            </w:r>
          </w:p>
        </w:tc>
        <w:tc>
          <w:tcPr>
            <w:tcW w:w="767"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hint="eastAsia" w:ascii="仿宋_GB2312" w:hAnsi="仿宋_GB2312" w:eastAsia="仿宋_GB2312" w:cs="仿宋_GB2312"/>
                <w:b w:val="0"/>
                <w:bCs/>
                <w:color w:val="000000"/>
                <w:sz w:val="28"/>
                <w:szCs w:val="28"/>
              </w:rPr>
            </w:pPr>
          </w:p>
        </w:tc>
        <w:tc>
          <w:tcPr>
            <w:tcW w:w="421"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6</w:t>
            </w:r>
          </w:p>
        </w:tc>
        <w:tc>
          <w:tcPr>
            <w:tcW w:w="2835" w:type="dxa"/>
            <w:tcBorders>
              <w:top w:val="single" w:color="000000" w:sz="4" w:space="0"/>
              <w:left w:val="single" w:color="000000" w:sz="4" w:space="0"/>
              <w:bottom w:val="single" w:color="000000" w:sz="4"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是否在主流媒体</w:t>
            </w:r>
          </w:p>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播放安全生产专题栏目</w:t>
            </w:r>
          </w:p>
        </w:tc>
        <w:tc>
          <w:tcPr>
            <w:tcW w:w="773" w:type="dxa"/>
            <w:tcBorders>
              <w:top w:val="single" w:color="000000" w:sz="4" w:space="0"/>
              <w:left w:val="single" w:color="000000" w:sz="4" w:space="0"/>
              <w:bottom w:val="single" w:color="000000" w:sz="4" w:space="0"/>
              <w:right w:val="single" w:color="000000" w:sz="12"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ascii="宋体" w:hAnsi="宋体" w:eastAsia="宋体" w:cs="宋体"/>
                <w:b/>
                <w:color w:val="000000"/>
                <w:sz w:val="28"/>
                <w:szCs w:val="28"/>
              </w:rPr>
            </w:pPr>
          </w:p>
        </w:tc>
      </w:tr>
      <w:tr>
        <w:tblPrEx>
          <w:tblLayout w:type="fixed"/>
          <w:tblCellMar>
            <w:top w:w="0" w:type="dxa"/>
            <w:left w:w="108" w:type="dxa"/>
            <w:bottom w:w="0" w:type="dxa"/>
            <w:right w:w="108" w:type="dxa"/>
          </w:tblCellMar>
        </w:tblPrEx>
        <w:trPr>
          <w:trHeight w:val="1134" w:hRule="exact"/>
          <w:jc w:val="center"/>
        </w:trPr>
        <w:tc>
          <w:tcPr>
            <w:tcW w:w="1110" w:type="dxa"/>
            <w:vMerge w:val="continue"/>
            <w:tcBorders>
              <w:top w:val="single" w:color="000000" w:sz="4" w:space="0"/>
              <w:left w:val="single" w:color="000000" w:sz="12" w:space="0"/>
              <w:bottom w:val="single" w:color="000000" w:sz="12" w:space="0"/>
              <w:right w:val="single" w:color="000000" w:sz="4" w:space="0"/>
            </w:tcBorders>
            <w:vAlign w:val="center"/>
          </w:tcPr>
          <w:p>
            <w:pPr>
              <w:widowControl/>
              <w:spacing w:line="240" w:lineRule="exact"/>
              <w:jc w:val="center"/>
              <w:rPr>
                <w:rFonts w:ascii="宋体" w:hAnsi="宋体" w:eastAsia="黑体" w:cs="黑体"/>
                <w:b/>
                <w:color w:val="000000"/>
                <w:sz w:val="26"/>
                <w:szCs w:val="26"/>
              </w:rPr>
            </w:pPr>
          </w:p>
        </w:tc>
        <w:tc>
          <w:tcPr>
            <w:tcW w:w="480"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lang w:val="en"/>
              </w:rPr>
              <w:t>7</w:t>
            </w:r>
          </w:p>
        </w:tc>
        <w:tc>
          <w:tcPr>
            <w:tcW w:w="2767"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区、</w:t>
            </w:r>
            <w:r>
              <w:rPr>
                <w:rFonts w:hint="eastAsia" w:ascii="仿宋_GB2312" w:hAnsi="仿宋_GB2312" w:eastAsia="仿宋_GB2312" w:cs="仿宋_GB2312"/>
                <w:b w:val="0"/>
                <w:bCs/>
                <w:color w:val="000000"/>
                <w:kern w:val="0"/>
                <w:sz w:val="28"/>
                <w:szCs w:val="28"/>
                <w:lang w:eastAsia="zh-CN" w:bidi="ar"/>
              </w:rPr>
              <w:t>乡镇</w:t>
            </w:r>
            <w:r>
              <w:rPr>
                <w:rFonts w:hint="eastAsia" w:ascii="仿宋_GB2312" w:hAnsi="仿宋_GB2312" w:eastAsia="仿宋_GB2312" w:cs="仿宋_GB2312"/>
                <w:b w:val="0"/>
                <w:bCs/>
                <w:color w:val="000000"/>
                <w:kern w:val="0"/>
                <w:sz w:val="28"/>
                <w:szCs w:val="28"/>
                <w:lang w:bidi="ar"/>
              </w:rPr>
              <w:t>两级配备专兼职技术检查员数量（人）</w:t>
            </w:r>
          </w:p>
        </w:tc>
        <w:tc>
          <w:tcPr>
            <w:tcW w:w="767"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hint="eastAsia" w:ascii="仿宋_GB2312" w:hAnsi="仿宋_GB2312" w:eastAsia="仿宋_GB2312" w:cs="仿宋_GB2312"/>
                <w:b w:val="0"/>
                <w:bCs/>
                <w:color w:val="000000"/>
                <w:sz w:val="28"/>
                <w:szCs w:val="28"/>
              </w:rPr>
            </w:pPr>
          </w:p>
        </w:tc>
        <w:tc>
          <w:tcPr>
            <w:tcW w:w="421"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lang w:val="en"/>
              </w:rPr>
            </w:pPr>
            <w:r>
              <w:rPr>
                <w:rFonts w:hint="eastAsia" w:ascii="仿宋_GB2312" w:hAnsi="仿宋_GB2312" w:eastAsia="仿宋_GB2312" w:cs="仿宋_GB2312"/>
                <w:b w:val="0"/>
                <w:bCs/>
                <w:color w:val="000000"/>
                <w:sz w:val="28"/>
                <w:szCs w:val="28"/>
              </w:rPr>
              <w:t>8</w:t>
            </w:r>
          </w:p>
        </w:tc>
        <w:tc>
          <w:tcPr>
            <w:tcW w:w="2835" w:type="dxa"/>
            <w:tcBorders>
              <w:top w:val="single" w:color="000000" w:sz="4" w:space="0"/>
              <w:left w:val="single" w:color="000000" w:sz="4" w:space="0"/>
              <w:bottom w:val="single" w:color="000000" w:sz="12" w:space="0"/>
              <w:right w:val="single" w:color="000000" w:sz="4" w:space="0"/>
            </w:tcBorders>
            <w:tcMar>
              <w:top w:w="0" w:type="dxa"/>
              <w:left w:w="0" w:type="dxa"/>
              <w:bottom w:w="0" w:type="dxa"/>
              <w:right w:w="0" w:type="dxa"/>
            </w:tcMar>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kern w:val="0"/>
                <w:sz w:val="28"/>
                <w:szCs w:val="28"/>
                <w:lang w:bidi="ar"/>
              </w:rPr>
            </w:pPr>
            <w:r>
              <w:rPr>
                <w:rFonts w:hint="eastAsia" w:ascii="仿宋_GB2312" w:hAnsi="仿宋_GB2312" w:eastAsia="仿宋_GB2312" w:cs="仿宋_GB2312"/>
                <w:b w:val="0"/>
                <w:bCs/>
                <w:color w:val="000000"/>
                <w:kern w:val="0"/>
                <w:sz w:val="28"/>
                <w:szCs w:val="28"/>
                <w:lang w:bidi="ar"/>
              </w:rPr>
              <w:t>组织开展考核巡查</w:t>
            </w:r>
          </w:p>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_GB2312" w:hAnsi="仿宋_GB2312" w:eastAsia="仿宋_GB2312" w:cs="仿宋_GB2312"/>
                <w:b w:val="0"/>
                <w:bCs/>
                <w:color w:val="000000"/>
                <w:sz w:val="28"/>
                <w:szCs w:val="28"/>
              </w:rPr>
            </w:pPr>
            <w:r>
              <w:rPr>
                <w:rFonts w:hint="eastAsia" w:ascii="仿宋_GB2312" w:hAnsi="仿宋_GB2312" w:eastAsia="仿宋_GB2312" w:cs="仿宋_GB2312"/>
                <w:b w:val="0"/>
                <w:bCs/>
                <w:color w:val="000000"/>
                <w:kern w:val="0"/>
                <w:sz w:val="28"/>
                <w:szCs w:val="28"/>
                <w:lang w:bidi="ar"/>
              </w:rPr>
              <w:t>督导检查（次）</w:t>
            </w:r>
          </w:p>
        </w:tc>
        <w:tc>
          <w:tcPr>
            <w:tcW w:w="773" w:type="dxa"/>
            <w:tcBorders>
              <w:top w:val="single" w:color="000000" w:sz="4" w:space="0"/>
              <w:left w:val="single" w:color="000000" w:sz="4" w:space="0"/>
              <w:bottom w:val="single" w:color="000000" w:sz="12" w:space="0"/>
              <w:right w:val="single" w:color="000000" w:sz="12" w:space="0"/>
            </w:tcBorders>
            <w:vAlign w:val="center"/>
          </w:tcPr>
          <w:p>
            <w:pPr>
              <w:keepNext w:val="0"/>
              <w:keepLines w:val="0"/>
              <w:pageBreakBefore w:val="0"/>
              <w:widowControl/>
              <w:kinsoku/>
              <w:wordWrap/>
              <w:overflowPunct/>
              <w:topLinePunct w:val="0"/>
              <w:autoSpaceDE/>
              <w:autoSpaceDN/>
              <w:bidi w:val="0"/>
              <w:adjustRightInd/>
              <w:snapToGrid/>
              <w:spacing w:line="360" w:lineRule="exact"/>
              <w:jc w:val="center"/>
              <w:outlineLvl w:val="9"/>
              <w:rPr>
                <w:rFonts w:ascii="宋体" w:hAnsi="宋体" w:eastAsia="宋体" w:cs="宋体"/>
                <w:b/>
                <w:color w:val="000000"/>
                <w:sz w:val="28"/>
                <w:szCs w:val="28"/>
              </w:rPr>
            </w:pPr>
          </w:p>
        </w:tc>
      </w:tr>
    </w:tbl>
    <w:p>
      <w:pPr>
        <w:keepNext w:val="0"/>
        <w:keepLines w:val="0"/>
        <w:pageBreakBefore w:val="0"/>
        <w:widowControl w:val="0"/>
        <w:kinsoku/>
        <w:wordWrap/>
        <w:overflowPunct/>
        <w:topLinePunct w:val="0"/>
        <w:autoSpaceDE/>
        <w:autoSpaceDN/>
        <w:bidi w:val="0"/>
        <w:adjustRightInd/>
        <w:snapToGrid/>
        <w:spacing w:line="300" w:lineRule="exact"/>
        <w:textAlignment w:val="auto"/>
        <w:outlineLvl w:val="9"/>
        <w:rPr>
          <w:rFonts w:hint="eastAsia" w:ascii="仿宋" w:hAnsi="仿宋" w:eastAsia="仿宋" w:cs="仿宋"/>
          <w:color w:val="auto"/>
          <w:sz w:val="24"/>
          <w:szCs w:val="24"/>
        </w:rPr>
      </w:pPr>
      <w:r>
        <w:rPr>
          <w:rFonts w:hint="eastAsia" w:ascii="仿宋" w:hAnsi="仿宋" w:eastAsia="仿宋" w:cs="仿宋"/>
          <w:color w:val="auto"/>
          <w:sz w:val="24"/>
          <w:szCs w:val="24"/>
        </w:rPr>
        <w:t>注：1.调度表自5月份开始上报，每月</w:t>
      </w:r>
      <w:r>
        <w:rPr>
          <w:rFonts w:hint="eastAsia" w:ascii="仿宋" w:hAnsi="仿宋" w:eastAsia="仿宋" w:cs="仿宋"/>
          <w:color w:val="auto"/>
          <w:sz w:val="24"/>
          <w:szCs w:val="24"/>
          <w:lang w:val="en-US" w:eastAsia="zh-CN"/>
        </w:rPr>
        <w:t>28</w:t>
      </w:r>
      <w:r>
        <w:rPr>
          <w:rFonts w:hint="eastAsia" w:ascii="仿宋" w:hAnsi="仿宋" w:eastAsia="仿宋" w:cs="仿宋"/>
          <w:color w:val="auto"/>
          <w:sz w:val="24"/>
          <w:szCs w:val="24"/>
        </w:rPr>
        <w:t>日前上报当月的累计情况。</w:t>
      </w:r>
    </w:p>
    <w:p>
      <w:pPr>
        <w:keepNext w:val="0"/>
        <w:keepLines w:val="0"/>
        <w:pageBreakBefore w:val="0"/>
        <w:widowControl w:val="0"/>
        <w:kinsoku/>
        <w:wordWrap/>
        <w:overflowPunct/>
        <w:topLinePunct w:val="0"/>
        <w:autoSpaceDE/>
        <w:autoSpaceDN/>
        <w:bidi w:val="0"/>
        <w:adjustRightInd/>
        <w:snapToGrid/>
        <w:spacing w:line="300" w:lineRule="exact"/>
        <w:ind w:firstLine="480" w:firstLineChars="200"/>
        <w:textAlignment w:val="auto"/>
        <w:outlineLvl w:val="9"/>
      </w:pPr>
      <w:r>
        <w:rPr>
          <w:rFonts w:hint="eastAsia" w:ascii="仿宋" w:hAnsi="仿宋" w:eastAsia="仿宋" w:cs="仿宋"/>
          <w:color w:val="auto"/>
          <w:sz w:val="24"/>
          <w:szCs w:val="24"/>
        </w:rPr>
        <w:t>2.调度表内容应图绕专项排查整治工作并对照具体要求如实填报，特别是对企业自查情况进行抽查检查时，要深挖细查，查出真问题。如：电焊等人员无证上岗作业，既要通过现场检查发现问题，也要通过对企业动火等特种作业存单进行检查核实来发现问题；外包外租管理混乱，是指符合以下情形之一的：承包承租方不具</w:t>
      </w:r>
      <w:r>
        <w:rPr>
          <w:rFonts w:hint="eastAsia" w:ascii="仿宋" w:hAnsi="仿宋" w:eastAsia="仿宋" w:cs="仿宋"/>
          <w:color w:val="auto"/>
          <w:sz w:val="24"/>
          <w:szCs w:val="24"/>
          <w:lang w:eastAsia="zh-CN"/>
        </w:rPr>
        <w:t>备</w:t>
      </w:r>
      <w:r>
        <w:rPr>
          <w:rFonts w:hint="eastAsia" w:ascii="仿宋" w:hAnsi="仿宋" w:eastAsia="仿宋" w:cs="仿宋"/>
          <w:color w:val="auto"/>
          <w:sz w:val="24"/>
          <w:szCs w:val="24"/>
        </w:rPr>
        <w:t>安全生产条件、未取得相应资质，双方未签订安全生产协议，安全生产管理职责不清，未纳入本企业统一管理。</w:t>
      </w: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swiss"/>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imes">
    <w:altName w:val="Times New Roman"/>
    <w:panose1 w:val="02020603060405020304"/>
    <w:charset w:val="00"/>
    <w:family w:val="roman"/>
    <w:pitch w:val="default"/>
    <w:sig w:usb0="00000000" w:usb1="00000000" w:usb2="00000000" w:usb3="00000000" w:csb0="00000093"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国标黑体">
    <w:altName w:val="黑体"/>
    <w:panose1 w:val="02000500000000000000"/>
    <w:charset w:val="86"/>
    <w:family w:val="auto"/>
    <w:pitch w:val="default"/>
    <w:sig w:usb0="00000000" w:usb1="00000000" w:usb2="00000000" w:usb3="00000000" w:csb0="00060007" w:csb1="00000000"/>
  </w:font>
  <w:font w:name="方正黑体_GBK">
    <w:altName w:val="微软雅黑"/>
    <w:panose1 w:val="02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8C74FEE"/>
    <w:multiLevelType w:val="singleLevel"/>
    <w:tmpl w:val="A8C74FEE"/>
    <w:lvl w:ilvl="0" w:tentative="0">
      <w:start w:val="1"/>
      <w:numFmt w:val="chineseCounting"/>
      <w:suff w:val="nothing"/>
      <w:lvlText w:val="（%1）"/>
      <w:lvlJc w:val="left"/>
      <w:rPr>
        <w:rFonts w:hint="eastAsia"/>
      </w:rPr>
    </w:lvl>
  </w:abstractNum>
  <w:abstractNum w:abstractNumId="1">
    <w:nsid w:val="BD76F9ED"/>
    <w:multiLevelType w:val="singleLevel"/>
    <w:tmpl w:val="BD76F9ED"/>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DBB6C29"/>
    <w:rsid w:val="0C335B4B"/>
    <w:rsid w:val="0DBB6C2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w:hAnsi="Times" w:eastAsia="仿宋_GB2312" w:cs="Times New Roman"/>
      <w:kern w:val="2"/>
      <w:sz w:val="32"/>
      <w:szCs w:val="32"/>
      <w:lang w:val="en-US" w:eastAsia="zh-CN" w:bidi="ar-SA"/>
    </w:rPr>
  </w:style>
  <w:style w:type="character" w:default="1" w:styleId="4">
    <w:name w:val="Default Paragraph Font"/>
    <w:semiHidden/>
    <w:qFormat/>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customStyle="1" w:styleId="2">
    <w:name w:val="Default"/>
    <w:qFormat/>
    <w:uiPriority w:val="0"/>
    <w:pPr>
      <w:widowControl w:val="0"/>
      <w:autoSpaceDE w:val="0"/>
      <w:autoSpaceDN w:val="0"/>
      <w:adjustRightInd w:val="0"/>
    </w:pPr>
    <w:rPr>
      <w:rFonts w:ascii="黑体" w:hAnsi="Calibri" w:eastAsia="黑体" w:cs="黑体"/>
      <w:color w:val="000000"/>
      <w:sz w:val="24"/>
      <w:szCs w:val="24"/>
      <w:lang w:val="en-US" w:eastAsia="zh-CN" w:bidi="ar-SA"/>
    </w:rPr>
  </w:style>
  <w:style w:type="paragraph" w:styleId="3">
    <w:name w:val="table of authorities"/>
    <w:basedOn w:val="1"/>
    <w:next w:val="1"/>
    <w:qFormat/>
    <w:uiPriority w:val="0"/>
    <w:pPr>
      <w:ind w:left="200" w:left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上海市崇明区应急管理局</Company>
  <Pages>1</Pages>
  <Words>0</Words>
  <Characters>0</Characters>
  <Lines>0</Lines>
  <Paragraphs>0</Paragraphs>
  <TotalTime>0</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2024-01-11T08:00:00Z</dcterms:created>
  <dc:creator>Administrator</dc:creator>
  <cp:lastModifiedBy>Administrator</cp:lastModifiedBy>
  <dcterms:modified xsi:type="dcterms:W3CDTF">2024-01-11T08:01:51Z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