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rPr>
          <w:sz w:val="32"/>
          <w:szCs w:val="32"/>
        </w:rPr>
      </w:pPr>
    </w:p>
    <w:p>
      <w:pPr>
        <w:spacing w:line="540" w:lineRule="exact"/>
        <w:rPr>
          <w:sz w:val="32"/>
          <w:szCs w:val="32"/>
        </w:rPr>
      </w:pPr>
    </w:p>
    <w:p>
      <w:pPr>
        <w:spacing w:line="540" w:lineRule="exact"/>
        <w:rPr>
          <w:sz w:val="32"/>
          <w:szCs w:val="32"/>
        </w:rPr>
      </w:pPr>
    </w:p>
    <w:p>
      <w:pPr>
        <w:spacing w:line="880" w:lineRule="exact"/>
        <w:jc w:val="distribute"/>
        <w:rPr>
          <w:rFonts w:ascii="方正小标宋简体" w:eastAsia="方正小标宋简体"/>
          <w:color w:val="FF0000"/>
          <w:spacing w:val="-11"/>
          <w:w w:val="75"/>
          <w:sz w:val="80"/>
          <w:szCs w:val="80"/>
        </w:rPr>
      </w:pPr>
      <w:r>
        <w:rPr>
          <w:rFonts w:hint="eastAsia" w:ascii="方正小标宋简体" w:eastAsia="方正小标宋简体"/>
          <w:color w:val="FF0000"/>
          <w:spacing w:val="-11"/>
          <w:w w:val="75"/>
          <w:sz w:val="80"/>
          <w:szCs w:val="80"/>
        </w:rPr>
        <w:t>上海市崇明区农业</w:t>
      </w:r>
      <w:r>
        <w:rPr>
          <w:rFonts w:hint="eastAsia" w:ascii="方正小标宋简体" w:eastAsia="方正小标宋简体"/>
          <w:color w:val="FF0000"/>
          <w:spacing w:val="-11"/>
          <w:w w:val="75"/>
          <w:sz w:val="80"/>
          <w:szCs w:val="80"/>
          <w:lang w:val="en-US" w:eastAsia="zh-CN"/>
        </w:rPr>
        <w:t>农村</w:t>
      </w:r>
      <w:r>
        <w:rPr>
          <w:rFonts w:hint="eastAsia" w:ascii="方正小标宋简体" w:eastAsia="方正小标宋简体"/>
          <w:color w:val="FF0000"/>
          <w:spacing w:val="-11"/>
          <w:w w:val="75"/>
          <w:sz w:val="80"/>
          <w:szCs w:val="80"/>
        </w:rPr>
        <w:t>委员会文件</w:t>
      </w:r>
    </w:p>
    <w:p>
      <w:pPr>
        <w:spacing w:line="560" w:lineRule="exact"/>
        <w:rPr>
          <w:szCs w:val="21"/>
        </w:rPr>
      </w:pPr>
    </w:p>
    <w:p>
      <w:pPr>
        <w:spacing w:line="560" w:lineRule="exact"/>
        <w:rPr>
          <w:szCs w:val="21"/>
        </w:rPr>
      </w:pPr>
    </w:p>
    <w:p>
      <w:pPr>
        <w:spacing w:line="560" w:lineRule="exact"/>
        <w:jc w:val="center"/>
        <w:rPr>
          <w:rFonts w:hint="eastAsia" w:ascii="楷体_GB2312" w:eastAsia="仿宋_GB2312"/>
          <w:sz w:val="32"/>
          <w:lang w:val="en-US" w:eastAsia="zh-CN"/>
        </w:rPr>
      </w:pPr>
      <w:r>
        <w:rPr>
          <w:rFonts w:hint="eastAsia" w:ascii="仿宋_GB2312" w:eastAsia="仿宋_GB2312"/>
          <w:sz w:val="32"/>
        </w:rPr>
        <w:t>沪崇农发〔20</w:t>
      </w:r>
      <w:r>
        <w:rPr>
          <w:rFonts w:hint="eastAsia" w:ascii="仿宋_GB2312" w:eastAsia="仿宋_GB2312"/>
          <w:sz w:val="32"/>
          <w:lang w:val="en-US" w:eastAsia="zh-CN"/>
        </w:rPr>
        <w:t>23</w:t>
      </w:r>
      <w:r>
        <w:rPr>
          <w:rFonts w:hint="eastAsia" w:ascii="仿宋_GB2312" w:eastAsia="仿宋_GB2312"/>
          <w:sz w:val="32"/>
        </w:rPr>
        <w:t>〕</w:t>
      </w:r>
      <w:r>
        <w:rPr>
          <w:rFonts w:hint="eastAsia" w:ascii="仿宋_GB2312" w:eastAsia="仿宋_GB2312"/>
          <w:sz w:val="32"/>
          <w:lang w:val="en-US" w:eastAsia="zh-CN"/>
        </w:rPr>
        <w:t>61</w:t>
      </w:r>
      <w:r>
        <w:rPr>
          <w:rFonts w:hint="eastAsia" w:ascii="仿宋_GB2312" w:eastAsia="仿宋_GB2312"/>
          <w:sz w:val="32"/>
        </w:rPr>
        <w:t>号</w:t>
      </w:r>
    </w:p>
    <w:p>
      <w:pPr>
        <w:spacing w:line="160" w:lineRule="exact"/>
        <w:rPr>
          <w:color w:val="FF0000"/>
          <w:szCs w:val="21"/>
          <w:u w:val="thick"/>
        </w:rPr>
      </w:pPr>
      <w:r>
        <w:rPr>
          <w:rFonts w:hint="eastAsia"/>
          <w:color w:val="FF0000"/>
          <w:szCs w:val="21"/>
          <w:u w:val="thick"/>
        </w:rPr>
        <w:t xml:space="preserve">                                                                                       </w:t>
      </w:r>
    </w:p>
    <w:p>
      <w:pPr>
        <w:keepNext w:val="0"/>
        <w:keepLines w:val="0"/>
        <w:pageBreakBefore w:val="0"/>
        <w:widowControl w:val="0"/>
        <w:kinsoku/>
        <w:wordWrap/>
        <w:overflowPunct/>
        <w:topLinePunct w:val="0"/>
        <w:autoSpaceDE/>
        <w:autoSpaceDN/>
        <w:bidi w:val="0"/>
        <w:adjustRightInd/>
        <w:snapToGrid/>
        <w:spacing w:line="540" w:lineRule="exact"/>
        <w:textAlignment w:val="auto"/>
        <w:outlineLvl w:val="9"/>
        <w:rPr>
          <w:color w:val="FF0000"/>
          <w:sz w:val="32"/>
          <w:szCs w:val="32"/>
        </w:rPr>
      </w:pP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outlineLvl w:val="9"/>
        <w:rPr>
          <w:rFonts w:hint="eastAsia" w:ascii="方正小标宋简体" w:hAnsi="方正小标宋简体" w:eastAsia="方正小标宋简体" w:cs="方正小标宋简体"/>
          <w:w w:val="90"/>
          <w:sz w:val="40"/>
          <w:szCs w:val="40"/>
        </w:rPr>
      </w:pPr>
    </w:p>
    <w:p>
      <w:pPr>
        <w:keepNext w:val="0"/>
        <w:keepLines w:val="0"/>
        <w:pageBreakBefore w:val="0"/>
        <w:widowControl w:val="0"/>
        <w:kinsoku/>
        <w:wordWrap/>
        <w:overflowPunct/>
        <w:topLinePunct w:val="0"/>
        <w:autoSpaceDE/>
        <w:autoSpaceDN/>
        <w:bidi w:val="0"/>
        <w:adjustRightInd w:val="0"/>
        <w:snapToGrid w:val="0"/>
        <w:spacing w:before="0" w:line="560" w:lineRule="exact"/>
        <w:ind w:firstLine="0" w:firstLineChars="0"/>
        <w:jc w:val="center"/>
        <w:textAlignment w:val="auto"/>
        <w:rPr>
          <w:rFonts w:hint="eastAsia" w:ascii="方正小标宋简体" w:hAnsi="方正小标宋简体" w:eastAsia="方正小标宋简体" w:cs="方正小标宋简体"/>
          <w:b w:val="0"/>
          <w:bCs w:val="0"/>
          <w:color w:val="auto"/>
          <w:w w:val="96"/>
          <w:sz w:val="44"/>
          <w:szCs w:val="44"/>
          <w:highlight w:val="none"/>
        </w:rPr>
      </w:pPr>
      <w:r>
        <w:rPr>
          <w:rFonts w:hint="eastAsia" w:ascii="方正小标宋简体" w:hAnsi="方正小标宋简体" w:eastAsia="方正小标宋简体" w:cs="方正小标宋简体"/>
          <w:b w:val="0"/>
          <w:bCs w:val="0"/>
          <w:color w:val="auto"/>
          <w:w w:val="96"/>
          <w:sz w:val="44"/>
          <w:szCs w:val="44"/>
          <w:highlight w:val="none"/>
        </w:rPr>
        <w:t>关于</w:t>
      </w:r>
      <w:r>
        <w:rPr>
          <w:rFonts w:hint="eastAsia" w:ascii="方正小标宋简体" w:hAnsi="方正小标宋简体" w:eastAsia="方正小标宋简体" w:cs="方正小标宋简体"/>
          <w:b w:val="0"/>
          <w:bCs w:val="0"/>
          <w:color w:val="auto"/>
          <w:w w:val="96"/>
          <w:sz w:val="44"/>
          <w:szCs w:val="44"/>
          <w:highlight w:val="none"/>
          <w:lang w:eastAsia="zh-CN"/>
        </w:rPr>
        <w:t>进一步规范</w:t>
      </w:r>
      <w:r>
        <w:rPr>
          <w:rFonts w:hint="eastAsia" w:ascii="方正小标宋简体" w:hAnsi="方正小标宋简体" w:eastAsia="方正小标宋简体" w:cs="方正小标宋简体"/>
          <w:b w:val="0"/>
          <w:bCs w:val="0"/>
          <w:color w:val="auto"/>
          <w:w w:val="96"/>
          <w:sz w:val="44"/>
          <w:szCs w:val="44"/>
          <w:highlight w:val="none"/>
        </w:rPr>
        <w:t>崇明区农兽药残留检测</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0" w:firstLineChars="0"/>
        <w:jc w:val="center"/>
        <w:textAlignment w:val="auto"/>
        <w:rPr>
          <w:rFonts w:hint="eastAsia" w:ascii="方正小标宋简体" w:hAnsi="方正小标宋简体" w:eastAsia="方正小标宋简体" w:cs="方正小标宋简体"/>
          <w:b w:val="0"/>
          <w:bCs w:val="0"/>
          <w:color w:val="auto"/>
          <w:w w:val="96"/>
          <w:sz w:val="44"/>
          <w:szCs w:val="44"/>
          <w:highlight w:val="none"/>
        </w:rPr>
      </w:pPr>
      <w:r>
        <w:rPr>
          <w:rFonts w:hint="eastAsia" w:ascii="方正小标宋简体" w:hAnsi="方正小标宋简体" w:eastAsia="方正小标宋简体" w:cs="方正小标宋简体"/>
          <w:b w:val="0"/>
          <w:bCs w:val="0"/>
          <w:color w:val="auto"/>
          <w:w w:val="96"/>
          <w:sz w:val="44"/>
          <w:szCs w:val="44"/>
          <w:highlight w:val="none"/>
        </w:rPr>
        <w:t>处置流程的通知</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0" w:firstLineChars="0"/>
        <w:textAlignment w:val="auto"/>
        <w:rPr>
          <w:rFonts w:hint="eastAsia" w:ascii="仿宋_GB2312" w:hAnsi="仿宋_GB2312" w:eastAsia="仿宋_GB2312" w:cs="仿宋_GB2312"/>
          <w:b w:val="0"/>
          <w:bCs w:val="0"/>
          <w:color w:val="auto"/>
          <w:sz w:val="32"/>
          <w:szCs w:val="32"/>
          <w:highlight w:val="none"/>
        </w:rPr>
      </w:pPr>
    </w:p>
    <w:p>
      <w:pPr>
        <w:keepNext w:val="0"/>
        <w:keepLines w:val="0"/>
        <w:pageBreakBefore w:val="0"/>
        <w:widowControl w:val="0"/>
        <w:kinsoku/>
        <w:wordWrap/>
        <w:overflowPunct/>
        <w:topLinePunct w:val="0"/>
        <w:autoSpaceDE/>
        <w:autoSpaceDN/>
        <w:bidi w:val="0"/>
        <w:adjustRightInd w:val="0"/>
        <w:snapToGrid w:val="0"/>
        <w:spacing w:before="0" w:line="560" w:lineRule="exact"/>
        <w:ind w:firstLine="0" w:firstLineChars="0"/>
        <w:textAlignment w:val="auto"/>
        <w:rPr>
          <w:rFonts w:hint="eastAsia" w:ascii="仿宋_GB2312" w:hAnsi="仿宋_GB2312" w:eastAsia="仿宋_GB2312" w:cs="仿宋_GB2312"/>
          <w:b w:val="0"/>
          <w:bCs w:val="0"/>
          <w:color w:val="auto"/>
          <w:sz w:val="32"/>
          <w:szCs w:val="32"/>
          <w:highlight w:val="none"/>
          <w:lang w:eastAsia="zh-CN"/>
        </w:rPr>
      </w:pPr>
      <w:r>
        <w:rPr>
          <w:rFonts w:hint="eastAsia" w:ascii="仿宋_GB2312" w:hAnsi="仿宋_GB2312" w:eastAsia="仿宋_GB2312" w:cs="仿宋_GB2312"/>
          <w:b w:val="0"/>
          <w:bCs w:val="0"/>
          <w:color w:val="auto"/>
          <w:sz w:val="32"/>
          <w:szCs w:val="32"/>
          <w:highlight w:val="none"/>
          <w:lang w:eastAsia="zh-CN"/>
        </w:rPr>
        <w:t>各乡镇人民政府、崇明现代农业园区：</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0" w:firstLineChars="200"/>
        <w:textAlignment w:val="auto"/>
        <w:rPr>
          <w:rFonts w:hint="default"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eastAsia="zh-CN"/>
        </w:rPr>
        <w:t>为加强农兽药残留检测能力建设，提升崇明区农产品质量安全监管水平，根据</w:t>
      </w:r>
      <w:r>
        <w:rPr>
          <w:rFonts w:hint="eastAsia" w:ascii="仿宋_GB2312" w:hAnsi="仿宋_GB2312" w:eastAsia="仿宋_GB2312" w:cs="仿宋_GB2312"/>
          <w:b w:val="0"/>
          <w:bCs w:val="0"/>
          <w:color w:val="auto"/>
          <w:sz w:val="32"/>
          <w:szCs w:val="32"/>
          <w:highlight w:val="none"/>
          <w:lang w:val="en-US" w:eastAsia="zh-CN"/>
        </w:rPr>
        <w:t>《中华人民共和国食品安全法》《中华人民共和国农产品质量安全法》等法律法规，</w:t>
      </w:r>
      <w:r>
        <w:rPr>
          <w:rFonts w:hint="eastAsia" w:ascii="仿宋_GB2312" w:hAnsi="仿宋_GB2312" w:eastAsia="仿宋_GB2312" w:cs="仿宋_GB2312"/>
          <w:b w:val="0"/>
          <w:bCs w:val="0"/>
          <w:color w:val="auto"/>
          <w:sz w:val="32"/>
          <w:szCs w:val="32"/>
          <w:highlight w:val="none"/>
          <w:lang w:eastAsia="zh-CN"/>
        </w:rPr>
        <w:t>现将农兽药残留检测工作处置流程通知如下：</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0" w:firstLineChars="200"/>
        <w:textAlignment w:val="auto"/>
        <w:rPr>
          <w:rFonts w:hint="eastAsia" w:ascii="Times New Roman" w:hAnsi="Times New Roman" w:eastAsia="黑体" w:cs="黑体"/>
          <w:b w:val="0"/>
          <w:bCs w:val="0"/>
          <w:color w:val="auto"/>
          <w:sz w:val="32"/>
          <w:szCs w:val="32"/>
          <w:highlight w:val="none"/>
          <w:lang w:val="en-US" w:eastAsia="zh-CN"/>
        </w:rPr>
      </w:pPr>
      <w:r>
        <w:rPr>
          <w:rFonts w:hint="eastAsia" w:ascii="Times New Roman" w:hAnsi="Times New Roman" w:eastAsia="黑体" w:cs="黑体"/>
          <w:b w:val="0"/>
          <w:bCs w:val="0"/>
          <w:color w:val="auto"/>
          <w:sz w:val="32"/>
          <w:szCs w:val="32"/>
          <w:highlight w:val="none"/>
          <w:lang w:val="en-US" w:eastAsia="zh-CN"/>
        </w:rPr>
        <w:t>一、检测类别要求</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0" w:firstLineChars="200"/>
        <w:textAlignment w:val="auto"/>
        <w:rPr>
          <w:rFonts w:hint="eastAsia" w:ascii="仿宋_GB2312" w:hAnsi="仿宋_GB2312" w:eastAsia="仿宋_GB2312" w:cs="仿宋_GB2312"/>
          <w:b w:val="0"/>
          <w:bCs w:val="0"/>
          <w:color w:val="auto"/>
          <w:kern w:val="2"/>
          <w:sz w:val="32"/>
          <w:szCs w:val="32"/>
          <w:highlight w:val="none"/>
          <w:lang w:val="en-US" w:eastAsia="zh-CN" w:bidi="ar-SA"/>
        </w:rPr>
      </w:pPr>
      <w:r>
        <w:rPr>
          <w:rFonts w:hint="eastAsia" w:ascii="仿宋_GB2312" w:hAnsi="仿宋_GB2312" w:eastAsia="仿宋_GB2312" w:cs="仿宋_GB2312"/>
          <w:b w:val="0"/>
          <w:bCs w:val="0"/>
          <w:color w:val="auto"/>
          <w:kern w:val="2"/>
          <w:sz w:val="32"/>
          <w:szCs w:val="32"/>
          <w:highlight w:val="none"/>
          <w:lang w:val="en-US" w:eastAsia="zh-CN" w:bidi="ar-SA"/>
        </w:rPr>
        <w:t>农业业务条线及所属乡镇（园区）负责指导检测机构在采样过程中规范登记确认上市农产品、未上市农产品检测类别（</w:t>
      </w:r>
      <w:r>
        <w:rPr>
          <w:rFonts w:hint="eastAsia" w:ascii="仿宋_GB2312" w:hAnsi="仿宋_GB2312" w:eastAsia="仿宋_GB2312" w:cs="仿宋_GB2312"/>
          <w:b w:val="0"/>
          <w:bCs w:val="0"/>
          <w:color w:val="auto"/>
          <w:sz w:val="32"/>
          <w:szCs w:val="32"/>
          <w:highlight w:val="none"/>
          <w:lang w:val="en-US" w:eastAsia="zh-CN"/>
        </w:rPr>
        <w:t>采样时登记明确是非绿色食品认证产品或绿色食品认证产品</w:t>
      </w:r>
      <w:r>
        <w:rPr>
          <w:rFonts w:hint="eastAsia" w:ascii="仿宋_GB2312" w:hAnsi="仿宋_GB2312" w:eastAsia="仿宋_GB2312" w:cs="仿宋_GB2312"/>
          <w:b w:val="0"/>
          <w:bCs w:val="0"/>
          <w:color w:val="auto"/>
          <w:kern w:val="2"/>
          <w:sz w:val="32"/>
          <w:szCs w:val="32"/>
          <w:highlight w:val="none"/>
          <w:lang w:val="en-US" w:eastAsia="zh-CN" w:bidi="ar-SA"/>
        </w:rPr>
        <w:t>）。</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0" w:firstLineChars="200"/>
        <w:textAlignment w:val="auto"/>
        <w:rPr>
          <w:rFonts w:hint="eastAsia" w:ascii="楷体_GB2312" w:hAnsi="楷体_GB2312" w:eastAsia="楷体_GB2312" w:cs="楷体_GB2312"/>
          <w:b w:val="0"/>
          <w:bCs w:val="0"/>
          <w:color w:val="auto"/>
          <w:sz w:val="32"/>
          <w:szCs w:val="32"/>
          <w:highlight w:val="none"/>
          <w:lang w:eastAsia="zh-CN"/>
        </w:rPr>
      </w:pPr>
      <w:r>
        <w:rPr>
          <w:rFonts w:hint="eastAsia" w:ascii="楷体_GB2312" w:hAnsi="楷体_GB2312" w:eastAsia="楷体_GB2312" w:cs="楷体_GB2312"/>
          <w:b w:val="0"/>
          <w:bCs w:val="0"/>
          <w:color w:val="auto"/>
          <w:sz w:val="32"/>
          <w:szCs w:val="32"/>
          <w:highlight w:val="none"/>
          <w:lang w:eastAsia="zh-CN"/>
        </w:rPr>
        <w:t>（一）上市农产品</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0" w:firstLineChars="200"/>
        <w:textAlignment w:val="auto"/>
        <w:rPr>
          <w:rFonts w:hint="eastAsia" w:ascii="仿宋_GB2312" w:hAnsi="仿宋_GB2312" w:eastAsia="仿宋_GB2312" w:cs="仿宋_GB2312"/>
          <w:b w:val="0"/>
          <w:bCs w:val="0"/>
          <w:color w:val="auto"/>
          <w:sz w:val="32"/>
          <w:szCs w:val="32"/>
          <w:highlight w:val="none"/>
          <w:lang w:eastAsia="zh-CN"/>
        </w:rPr>
      </w:pPr>
      <w:r>
        <w:rPr>
          <w:rFonts w:hint="eastAsia" w:ascii="仿宋_GB2312" w:hAnsi="仿宋_GB2312" w:eastAsia="仿宋_GB2312" w:cs="仿宋_GB2312"/>
          <w:b w:val="0"/>
          <w:bCs w:val="0"/>
          <w:color w:val="auto"/>
          <w:sz w:val="32"/>
          <w:szCs w:val="32"/>
          <w:highlight w:val="none"/>
          <w:lang w:eastAsia="zh-CN"/>
        </w:rPr>
        <w:t>按照</w:t>
      </w:r>
      <w:r>
        <w:rPr>
          <w:rFonts w:hint="eastAsia" w:ascii="仿宋_GB2312" w:hAnsi="仿宋_GB2312" w:eastAsia="仿宋_GB2312" w:cs="仿宋_GB2312"/>
          <w:b w:val="0"/>
          <w:bCs w:val="0"/>
          <w:color w:val="auto"/>
          <w:sz w:val="32"/>
          <w:szCs w:val="32"/>
          <w:highlight w:val="none"/>
          <w:lang w:val="en-US" w:eastAsia="zh-CN"/>
        </w:rPr>
        <w:t>《中华人民共和国食品安全法》《中华人民共和国农产品质量安全法》等规定，</w:t>
      </w:r>
      <w:r>
        <w:rPr>
          <w:rFonts w:hint="eastAsia" w:ascii="仿宋_GB2312" w:hAnsi="仿宋_GB2312" w:eastAsia="仿宋_GB2312" w:cs="仿宋_GB2312"/>
          <w:b w:val="0"/>
          <w:bCs w:val="0"/>
          <w:color w:val="auto"/>
          <w:sz w:val="32"/>
          <w:szCs w:val="32"/>
          <w:highlight w:val="none"/>
          <w:lang w:eastAsia="zh-CN"/>
        </w:rPr>
        <w:t>监管检查农产品符合</w:t>
      </w:r>
      <w:r>
        <w:rPr>
          <w:rFonts w:hint="eastAsia" w:ascii="仿宋_GB2312" w:hAnsi="仿宋_GB2312" w:eastAsia="仿宋_GB2312" w:cs="仿宋_GB2312"/>
          <w:b w:val="0"/>
          <w:bCs w:val="0"/>
          <w:color w:val="auto"/>
          <w:sz w:val="32"/>
          <w:szCs w:val="32"/>
          <w:highlight w:val="none"/>
          <w:lang w:val="en-US" w:eastAsia="zh-CN"/>
        </w:rPr>
        <w:t>上市流通要求的执行情况。</w:t>
      </w:r>
      <w:r>
        <w:rPr>
          <w:rFonts w:hint="eastAsia" w:ascii="仿宋_GB2312" w:hAnsi="仿宋_GB2312" w:eastAsia="仿宋_GB2312" w:cs="仿宋_GB2312"/>
          <w:b w:val="0"/>
          <w:bCs w:val="0"/>
          <w:color w:val="auto"/>
          <w:kern w:val="2"/>
          <w:sz w:val="32"/>
          <w:szCs w:val="32"/>
          <w:highlight w:val="none"/>
          <w:lang w:val="en-US" w:eastAsia="zh-CN" w:bidi="ar-SA"/>
        </w:rPr>
        <w:t>检测样品应为已过休药期（停药期、安全间隔期）、养成、即将上市进行交易的种养殖农产品。</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0" w:firstLineChars="200"/>
        <w:textAlignment w:val="auto"/>
        <w:rPr>
          <w:rFonts w:hint="eastAsia" w:ascii="楷体_GB2312" w:hAnsi="楷体_GB2312" w:eastAsia="楷体_GB2312" w:cs="楷体_GB2312"/>
          <w:b w:val="0"/>
          <w:bCs w:val="0"/>
          <w:color w:val="auto"/>
          <w:sz w:val="32"/>
          <w:szCs w:val="32"/>
          <w:highlight w:val="none"/>
          <w:lang w:val="en-US" w:eastAsia="zh-CN"/>
        </w:rPr>
      </w:pPr>
      <w:r>
        <w:rPr>
          <w:rFonts w:hint="eastAsia" w:ascii="楷体_GB2312" w:hAnsi="楷体_GB2312" w:eastAsia="楷体_GB2312" w:cs="楷体_GB2312"/>
          <w:b w:val="0"/>
          <w:bCs w:val="0"/>
          <w:color w:val="auto"/>
          <w:sz w:val="32"/>
          <w:szCs w:val="32"/>
          <w:highlight w:val="none"/>
          <w:lang w:val="en-US" w:eastAsia="zh-CN"/>
        </w:rPr>
        <w:t>（二）未上市农产品</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0" w:firstLineChars="200"/>
        <w:textAlignment w:val="auto"/>
        <w:rPr>
          <w:rFonts w:hint="default"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监管检查</w:t>
      </w:r>
      <w:r>
        <w:rPr>
          <w:rFonts w:hint="eastAsia" w:ascii="仿宋_GB2312" w:hAnsi="仿宋_GB2312" w:eastAsia="仿宋_GB2312" w:cs="仿宋_GB2312"/>
          <w:b w:val="0"/>
          <w:bCs w:val="0"/>
          <w:color w:val="auto"/>
          <w:sz w:val="32"/>
          <w:szCs w:val="32"/>
          <w:highlight w:val="none"/>
          <w:lang w:eastAsia="zh-CN"/>
        </w:rPr>
        <w:t>近</w:t>
      </w:r>
      <w:r>
        <w:rPr>
          <w:rFonts w:hint="eastAsia" w:ascii="仿宋_GB2312" w:hAnsi="仿宋_GB2312" w:eastAsia="仿宋_GB2312" w:cs="仿宋_GB2312"/>
          <w:b w:val="0"/>
          <w:bCs w:val="0"/>
          <w:color w:val="auto"/>
          <w:sz w:val="32"/>
          <w:szCs w:val="32"/>
          <w:highlight w:val="none"/>
          <w:lang w:val="en-US" w:eastAsia="zh-CN"/>
        </w:rPr>
        <w:t>7日有用药记录真实情况。</w:t>
      </w:r>
      <w:r>
        <w:rPr>
          <w:rFonts w:hint="eastAsia" w:ascii="仿宋_GB2312" w:hAnsi="仿宋_GB2312" w:eastAsia="仿宋_GB2312" w:cs="仿宋_GB2312"/>
          <w:b w:val="0"/>
          <w:bCs w:val="0"/>
          <w:color w:val="auto"/>
          <w:kern w:val="2"/>
          <w:sz w:val="32"/>
          <w:szCs w:val="32"/>
          <w:highlight w:val="none"/>
          <w:lang w:val="en-US" w:eastAsia="zh-CN" w:bidi="ar-SA"/>
        </w:rPr>
        <w:t>未上市农产品如须结合农业相关业务条线管理要求开展相应定量检测（例行监测），应在检测前报区农业农村委监管科备案备查，未提前报备的未上市农产品均按上市农产品统一监管处置及后续</w:t>
      </w:r>
      <w:r>
        <w:rPr>
          <w:rFonts w:hint="eastAsia" w:ascii="仿宋_GB2312" w:hAnsi="仿宋_GB2312" w:eastAsia="仿宋_GB2312" w:cs="仿宋_GB2312"/>
          <w:b w:val="0"/>
          <w:bCs w:val="0"/>
          <w:color w:val="auto"/>
          <w:sz w:val="32"/>
          <w:szCs w:val="32"/>
          <w:highlight w:val="none"/>
          <w:lang w:eastAsia="zh-CN"/>
        </w:rPr>
        <w:t>惩戒</w:t>
      </w:r>
      <w:r>
        <w:rPr>
          <w:rFonts w:hint="eastAsia" w:ascii="仿宋_GB2312" w:hAnsi="仿宋_GB2312" w:eastAsia="仿宋_GB2312" w:cs="仿宋_GB2312"/>
          <w:b w:val="0"/>
          <w:bCs w:val="0"/>
          <w:color w:val="auto"/>
          <w:kern w:val="2"/>
          <w:sz w:val="32"/>
          <w:szCs w:val="32"/>
          <w:highlight w:val="none"/>
          <w:lang w:val="en-US" w:eastAsia="zh-CN" w:bidi="ar-SA"/>
        </w:rPr>
        <w:t>。</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0" w:firstLineChars="200"/>
        <w:textAlignment w:val="auto"/>
        <w:rPr>
          <w:rFonts w:hint="eastAsia" w:ascii="Times New Roman" w:hAnsi="Times New Roman" w:eastAsia="黑体" w:cs="黑体"/>
          <w:b w:val="0"/>
          <w:bCs w:val="0"/>
          <w:color w:val="auto"/>
          <w:sz w:val="32"/>
          <w:szCs w:val="32"/>
          <w:highlight w:val="none"/>
          <w:lang w:val="en-US" w:eastAsia="zh-CN"/>
        </w:rPr>
      </w:pPr>
      <w:r>
        <w:rPr>
          <w:rFonts w:hint="eastAsia" w:ascii="Times New Roman" w:hAnsi="Times New Roman" w:eastAsia="黑体" w:cs="黑体"/>
          <w:b w:val="0"/>
          <w:bCs w:val="0"/>
          <w:color w:val="auto"/>
          <w:sz w:val="32"/>
          <w:szCs w:val="32"/>
          <w:highlight w:val="none"/>
          <w:lang w:val="en-US" w:eastAsia="zh-CN"/>
        </w:rPr>
        <w:t>二、检测方式及处置措施</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0" w:firstLineChars="200"/>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按照拟采取的检测手段，农产品检测分为定性检测和定量检测（例行监测、监督抽检）。</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0" w:firstLineChars="200"/>
        <w:textAlignment w:val="auto"/>
        <w:rPr>
          <w:rFonts w:hint="eastAsia" w:ascii="楷体_GB2312" w:hAnsi="楷体_GB2312" w:eastAsia="楷体_GB2312" w:cs="楷体_GB2312"/>
          <w:b w:val="0"/>
          <w:bCs w:val="0"/>
          <w:color w:val="auto"/>
          <w:sz w:val="32"/>
          <w:szCs w:val="32"/>
          <w:highlight w:val="none"/>
          <w:lang w:val="en-US" w:eastAsia="zh-CN"/>
        </w:rPr>
      </w:pPr>
      <w:r>
        <w:rPr>
          <w:rFonts w:hint="eastAsia" w:ascii="楷体_GB2312" w:hAnsi="楷体_GB2312" w:eastAsia="楷体_GB2312" w:cs="楷体_GB2312"/>
          <w:b w:val="0"/>
          <w:bCs w:val="0"/>
          <w:color w:val="auto"/>
          <w:sz w:val="32"/>
          <w:szCs w:val="32"/>
          <w:highlight w:val="none"/>
          <w:lang w:val="en-US" w:eastAsia="zh-CN"/>
        </w:rPr>
        <w:t>（一）上市农产品检测合格</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3" w:firstLineChars="200"/>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1.定性检测合格。</w:t>
      </w:r>
      <w:r>
        <w:rPr>
          <w:rFonts w:hint="eastAsia" w:ascii="仿宋_GB2312" w:hAnsi="仿宋_GB2312" w:eastAsia="仿宋_GB2312" w:cs="仿宋_GB2312"/>
          <w:b w:val="0"/>
          <w:bCs w:val="0"/>
          <w:color w:val="auto"/>
          <w:sz w:val="32"/>
          <w:szCs w:val="32"/>
          <w:highlight w:val="none"/>
          <w:lang w:val="en-US" w:eastAsia="zh-CN"/>
        </w:rPr>
        <w:t>非绿色食品认证产品或绿色食品认证产品定性检测合格，允许上市。</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3" w:firstLineChars="200"/>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2.定量检测合格。</w:t>
      </w:r>
      <w:r>
        <w:rPr>
          <w:rFonts w:hint="eastAsia" w:ascii="仿宋_GB2312" w:hAnsi="仿宋_GB2312" w:eastAsia="仿宋_GB2312" w:cs="仿宋_GB2312"/>
          <w:b w:val="0"/>
          <w:bCs w:val="0"/>
          <w:color w:val="auto"/>
          <w:sz w:val="32"/>
          <w:szCs w:val="32"/>
          <w:highlight w:val="none"/>
          <w:lang w:val="en-US" w:eastAsia="zh-CN"/>
        </w:rPr>
        <w:t>非绿色食品认证产品或绿色食品认证产品未检测出常规农药超标（包括绿色农药）、禁限用药，允许上市。</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0" w:firstLineChars="200"/>
        <w:textAlignment w:val="auto"/>
        <w:rPr>
          <w:rFonts w:hint="eastAsia" w:ascii="楷体_GB2312" w:hAnsi="楷体_GB2312" w:eastAsia="楷体_GB2312" w:cs="楷体_GB2312"/>
          <w:b w:val="0"/>
          <w:bCs w:val="0"/>
          <w:color w:val="auto"/>
          <w:sz w:val="32"/>
          <w:szCs w:val="32"/>
          <w:highlight w:val="none"/>
          <w:lang w:val="en-US" w:eastAsia="zh-CN"/>
        </w:rPr>
      </w:pPr>
      <w:r>
        <w:rPr>
          <w:rFonts w:hint="eastAsia" w:ascii="楷体_GB2312" w:hAnsi="楷体_GB2312" w:eastAsia="楷体_GB2312" w:cs="楷体_GB2312"/>
          <w:b w:val="0"/>
          <w:bCs w:val="0"/>
          <w:color w:val="auto"/>
          <w:sz w:val="32"/>
          <w:szCs w:val="32"/>
          <w:highlight w:val="none"/>
          <w:lang w:val="en-US" w:eastAsia="zh-CN"/>
        </w:rPr>
        <w:t>（二）上市农产品检测不合格</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3" w:firstLineChars="200"/>
        <w:textAlignment w:val="auto"/>
        <w:rPr>
          <w:rFonts w:hint="eastAsia"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1.定性检测不合格</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0" w:firstLineChars="200"/>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非绿色食品认证产品或绿色食品认证产品定性检测不合格时，则采取后续定量检测（例行监测、监督抽检）进行判定处置。</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3" w:firstLineChars="200"/>
        <w:textAlignment w:val="auto"/>
        <w:rPr>
          <w:rFonts w:hint="eastAsia"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2.定量检测不合格</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3" w:firstLineChars="200"/>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一是</w:t>
      </w:r>
      <w:r>
        <w:rPr>
          <w:rFonts w:hint="eastAsia" w:ascii="仿宋_GB2312" w:hAnsi="仿宋_GB2312" w:eastAsia="仿宋_GB2312" w:cs="仿宋_GB2312"/>
          <w:b w:val="0"/>
          <w:bCs w:val="0"/>
          <w:color w:val="auto"/>
          <w:sz w:val="32"/>
          <w:szCs w:val="32"/>
          <w:highlight w:val="none"/>
          <w:lang w:val="en-US" w:eastAsia="zh-CN"/>
        </w:rPr>
        <w:t>绿色食品认证产品定量检测检出仅为非绿色农药，但不超标。区农业质量安全中心根据绿色食品农药使用准则（NY/T393-2020）,开具整改通知书，督促企业整改，并将该企业列为经常性重点监管对象。</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3" w:firstLineChars="200"/>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二是</w:t>
      </w:r>
      <w:r>
        <w:rPr>
          <w:rFonts w:hint="eastAsia" w:ascii="仿宋_GB2312" w:hAnsi="仿宋_GB2312" w:eastAsia="仿宋_GB2312" w:cs="仿宋_GB2312"/>
          <w:b w:val="0"/>
          <w:bCs w:val="0"/>
          <w:color w:val="auto"/>
          <w:sz w:val="32"/>
          <w:szCs w:val="32"/>
          <w:highlight w:val="none"/>
          <w:lang w:val="en-US" w:eastAsia="zh-CN"/>
        </w:rPr>
        <w:t>非绿色食品认证产品或绿色食品认证产品例行监测检出常规农药超标（包括绿色农药）、禁限用药，后续监督抽检仍不合格，</w:t>
      </w:r>
      <w:r>
        <w:rPr>
          <w:rFonts w:hint="eastAsia" w:ascii="仿宋_GB2312" w:hAnsi="仿宋_GB2312" w:eastAsia="仿宋_GB2312" w:cs="仿宋_GB2312"/>
          <w:b/>
          <w:bCs/>
          <w:color w:val="auto"/>
          <w:sz w:val="32"/>
          <w:szCs w:val="32"/>
          <w:highlight w:val="none"/>
          <w:lang w:val="en-US" w:eastAsia="zh-CN"/>
        </w:rPr>
        <w:t>即判定为不合格</w:t>
      </w:r>
      <w:r>
        <w:rPr>
          <w:rFonts w:hint="eastAsia" w:ascii="黑体" w:hAnsi="黑体" w:eastAsia="黑体" w:cs="黑体"/>
          <w:b w:val="0"/>
          <w:bCs w:val="0"/>
          <w:color w:val="auto"/>
          <w:sz w:val="32"/>
          <w:szCs w:val="32"/>
          <w:highlight w:val="none"/>
          <w:lang w:val="en-US" w:eastAsia="zh-CN"/>
        </w:rPr>
        <w:t>。</w:t>
      </w:r>
      <w:r>
        <w:rPr>
          <w:rFonts w:hint="eastAsia" w:ascii="仿宋_GB2312" w:hAnsi="仿宋_GB2312" w:eastAsia="仿宋_GB2312" w:cs="仿宋_GB2312"/>
          <w:b w:val="0"/>
          <w:bCs w:val="0"/>
          <w:color w:val="auto"/>
          <w:sz w:val="32"/>
          <w:szCs w:val="32"/>
          <w:highlight w:val="none"/>
          <w:lang w:val="en-US" w:eastAsia="zh-CN"/>
        </w:rPr>
        <w:t>区农业农村委执法大队按照《农产品质量安全法》《农药管理条例》相关法律条文进行处罚。同时，针对绿色食品认证产品，区农业质量安全中心根据绿色食品农药使用准则（NY/T393-2020）,开具整改通知书，督促企业整改，并将该企业列为经常性重点监管对象。</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0" w:firstLineChars="200"/>
        <w:textAlignment w:val="auto"/>
        <w:rPr>
          <w:rFonts w:hint="eastAsia" w:ascii="楷体_GB2312" w:hAnsi="楷体_GB2312" w:eastAsia="楷体_GB2312" w:cs="楷体_GB2312"/>
          <w:b w:val="0"/>
          <w:bCs w:val="0"/>
          <w:color w:val="auto"/>
          <w:sz w:val="32"/>
          <w:szCs w:val="32"/>
          <w:highlight w:val="none"/>
          <w:lang w:val="en-US" w:eastAsia="zh-CN"/>
        </w:rPr>
      </w:pPr>
      <w:r>
        <w:rPr>
          <w:rFonts w:hint="eastAsia" w:ascii="楷体_GB2312" w:hAnsi="楷体_GB2312" w:eastAsia="楷体_GB2312" w:cs="楷体_GB2312"/>
          <w:b w:val="0"/>
          <w:bCs w:val="0"/>
          <w:color w:val="auto"/>
          <w:sz w:val="32"/>
          <w:szCs w:val="32"/>
          <w:highlight w:val="none"/>
          <w:lang w:val="en-US" w:eastAsia="zh-CN"/>
        </w:rPr>
        <w:t>（三）未上市农产品检测情况</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0" w:firstLineChars="200"/>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未上市农产品采取定量检测（例行监测），重点检查核对农业生产主体填报“神农口袋”用药记录的及时性、精准性。</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3" w:firstLineChars="200"/>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一是</w:t>
      </w:r>
      <w:r>
        <w:rPr>
          <w:rFonts w:hint="eastAsia" w:ascii="仿宋_GB2312" w:hAnsi="仿宋_GB2312" w:eastAsia="仿宋_GB2312" w:cs="仿宋_GB2312"/>
          <w:b w:val="0"/>
          <w:bCs w:val="0"/>
          <w:color w:val="auto"/>
          <w:sz w:val="32"/>
          <w:szCs w:val="32"/>
          <w:highlight w:val="none"/>
          <w:lang w:val="en-US" w:eastAsia="zh-CN"/>
        </w:rPr>
        <w:t>绿色食品认证产品检出农药均为绿色农药。农业业务条线及区农业农村委执法大队对照“神农口袋”，查看用药记录情况是否一致，若不一致，由区农业农村委执法大队责令限期改正；逾期不改正的，根据《农产品质量安全法》相关法律条文进行处罚。同时，区农业质量安全中心根据《绿色食品农药使用准则》（NY/T393-2020）开具整改通知书，督促企业整改，并将该企业列为经常性监管对象。</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3" w:firstLineChars="200"/>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二是</w:t>
      </w:r>
      <w:r>
        <w:rPr>
          <w:rFonts w:hint="eastAsia" w:ascii="仿宋_GB2312" w:hAnsi="仿宋_GB2312" w:eastAsia="仿宋_GB2312" w:cs="仿宋_GB2312"/>
          <w:b w:val="0"/>
          <w:bCs w:val="0"/>
          <w:color w:val="auto"/>
          <w:sz w:val="32"/>
          <w:szCs w:val="32"/>
          <w:highlight w:val="none"/>
          <w:lang w:val="en-US" w:eastAsia="zh-CN"/>
        </w:rPr>
        <w:t>绿色食品认证产品检出含非绿色农药，区农业质量安全中心根据《绿色食品农药使用准则》（NY/T393-2020）开具整改通知书，督促企业整改，并将该企业列为经常性监管对象。农业业务条线及区农业农村委执法大队对照“神农口袋”，查看用药记录情况是否一致，若不一致，由区农业农村委执法大队责令限期改正；逾期不改正的，根据《农产品质量安全法》相关法律条文进行处罚。</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3" w:firstLineChars="200"/>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三是</w:t>
      </w:r>
      <w:r>
        <w:rPr>
          <w:rFonts w:hint="eastAsia" w:ascii="仿宋_GB2312" w:hAnsi="仿宋_GB2312" w:eastAsia="仿宋_GB2312" w:cs="仿宋_GB2312"/>
          <w:b w:val="0"/>
          <w:bCs w:val="0"/>
          <w:color w:val="auto"/>
          <w:sz w:val="32"/>
          <w:szCs w:val="32"/>
          <w:highlight w:val="none"/>
          <w:lang w:val="en-US" w:eastAsia="zh-CN"/>
        </w:rPr>
        <w:t>非绿色食品认证产品检出常规农药（包括绿色农药）。农业业务条线及区农业农村委执法大队对照“神农口袋”，查看用药记录情况是否一致，若不一致，由区农业农村委执法大队责令限期改正；逾期不改正的，根据《农产品质量安全法》相关法律条文进行处罚。</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3" w:firstLineChars="200"/>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四是</w:t>
      </w:r>
      <w:r>
        <w:rPr>
          <w:rFonts w:hint="eastAsia" w:ascii="仿宋_GB2312" w:hAnsi="仿宋_GB2312" w:eastAsia="仿宋_GB2312" w:cs="仿宋_GB2312"/>
          <w:b w:val="0"/>
          <w:bCs w:val="0"/>
          <w:color w:val="auto"/>
          <w:sz w:val="32"/>
          <w:szCs w:val="32"/>
          <w:highlight w:val="none"/>
          <w:lang w:val="en-US" w:eastAsia="zh-CN"/>
        </w:rPr>
        <w:t>非绿色食品认证产品或绿色食品认证产品检出禁限用药。区农业农村委执法大队开展监督抽检后，仍有禁限用药检出，按照《农产品质量安全法》《农药管理条例》相关法律条文进行处罚。</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0" w:firstLineChars="200"/>
        <w:textAlignment w:val="auto"/>
        <w:rPr>
          <w:rFonts w:hint="eastAsia" w:ascii="Times New Roman" w:hAnsi="Times New Roman" w:eastAsia="黑体" w:cs="黑体"/>
          <w:b w:val="0"/>
          <w:bCs w:val="0"/>
          <w:color w:val="auto"/>
          <w:sz w:val="32"/>
          <w:szCs w:val="32"/>
          <w:highlight w:val="none"/>
          <w:lang w:val="en-US" w:eastAsia="zh-CN"/>
        </w:rPr>
      </w:pPr>
      <w:r>
        <w:rPr>
          <w:rFonts w:hint="eastAsia" w:ascii="Times New Roman" w:hAnsi="Times New Roman" w:eastAsia="黑体" w:cs="黑体"/>
          <w:b w:val="0"/>
          <w:bCs w:val="0"/>
          <w:color w:val="auto"/>
          <w:sz w:val="32"/>
          <w:szCs w:val="32"/>
          <w:highlight w:val="none"/>
          <w:lang w:val="en-US" w:eastAsia="zh-CN"/>
        </w:rPr>
        <w:t>三、工作要求</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0" w:firstLineChars="200"/>
        <w:textAlignment w:val="auto"/>
        <w:rPr>
          <w:rFonts w:hint="eastAsia" w:ascii="楷体_GB2312" w:hAnsi="楷体_GB2312" w:eastAsia="楷体_GB2312" w:cs="楷体_GB2312"/>
          <w:b w:val="0"/>
          <w:bCs w:val="0"/>
          <w:color w:val="auto"/>
          <w:sz w:val="32"/>
          <w:szCs w:val="32"/>
          <w:highlight w:val="none"/>
          <w:lang w:val="en-US" w:eastAsia="zh-CN"/>
        </w:rPr>
      </w:pPr>
      <w:r>
        <w:rPr>
          <w:rFonts w:hint="eastAsia" w:ascii="楷体_GB2312" w:hAnsi="楷体_GB2312" w:eastAsia="楷体_GB2312" w:cs="楷体_GB2312"/>
          <w:b w:val="0"/>
          <w:bCs w:val="0"/>
          <w:color w:val="auto"/>
          <w:sz w:val="32"/>
          <w:szCs w:val="32"/>
          <w:highlight w:val="none"/>
          <w:lang w:val="en-US" w:eastAsia="zh-CN"/>
        </w:rPr>
        <w:t>（一）高度重视，规范抽检</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仿宋_GB2312" w:hAnsi="仿宋_GB2312" w:eastAsia="仿宋_GB2312" w:cs="仿宋_GB2312"/>
          <w:b w:val="0"/>
          <w:bCs w:val="0"/>
          <w:color w:val="auto"/>
          <w:kern w:val="2"/>
          <w:sz w:val="32"/>
          <w:szCs w:val="32"/>
          <w:highlight w:val="none"/>
          <w:lang w:val="en-US" w:eastAsia="zh-CN" w:bidi="ar-SA"/>
        </w:rPr>
      </w:pPr>
      <w:r>
        <w:rPr>
          <w:rFonts w:hint="eastAsia" w:ascii="仿宋_GB2312" w:hAnsi="仿宋_GB2312" w:eastAsia="仿宋_GB2312" w:cs="仿宋_GB2312"/>
          <w:b w:val="0"/>
          <w:bCs w:val="0"/>
          <w:color w:val="auto"/>
          <w:kern w:val="2"/>
          <w:sz w:val="32"/>
          <w:szCs w:val="32"/>
          <w:highlight w:val="none"/>
          <w:lang w:val="en-US" w:eastAsia="zh-CN" w:bidi="ar-SA"/>
        </w:rPr>
        <w:t>各乡镇（园区）和有关单位要不断提高对农兽药残留检测工作的重要性的认识，加强组织领导，采取切实措施，确保本区农产品监管工作顺利开展。各乡镇（园区）要按照《农产品质量安全法》等法律法规和《上海市农产品质量安全例行监测（风险监测）实施细则》的要求，落实好部、市、区级例行监测（风险监测）工作，配合做好监督抽检。</w:t>
      </w:r>
      <w:bookmarkStart w:id="0" w:name="_GoBack"/>
      <w:bookmarkEnd w:id="0"/>
    </w:p>
    <w:p>
      <w:pPr>
        <w:keepNext w:val="0"/>
        <w:keepLines w:val="0"/>
        <w:pageBreakBefore w:val="0"/>
        <w:widowControl w:val="0"/>
        <w:kinsoku/>
        <w:wordWrap/>
        <w:overflowPunct/>
        <w:topLinePunct w:val="0"/>
        <w:autoSpaceDE/>
        <w:autoSpaceDN/>
        <w:bidi w:val="0"/>
        <w:adjustRightInd w:val="0"/>
        <w:snapToGrid w:val="0"/>
        <w:spacing w:before="0" w:line="560" w:lineRule="exact"/>
        <w:ind w:firstLine="640" w:firstLineChars="200"/>
        <w:textAlignment w:val="auto"/>
        <w:rPr>
          <w:rFonts w:hint="eastAsia" w:ascii="楷体_GB2312" w:hAnsi="楷体_GB2312" w:eastAsia="楷体_GB2312" w:cs="楷体_GB2312"/>
          <w:b w:val="0"/>
          <w:bCs w:val="0"/>
          <w:color w:val="auto"/>
          <w:sz w:val="32"/>
          <w:szCs w:val="32"/>
          <w:highlight w:val="none"/>
          <w:lang w:val="en-US" w:eastAsia="zh-CN"/>
        </w:rPr>
      </w:pPr>
      <w:r>
        <w:rPr>
          <w:rFonts w:hint="eastAsia" w:ascii="楷体_GB2312" w:hAnsi="楷体_GB2312" w:eastAsia="楷体_GB2312" w:cs="楷体_GB2312"/>
          <w:b w:val="0"/>
          <w:bCs w:val="0"/>
          <w:color w:val="auto"/>
          <w:sz w:val="32"/>
          <w:szCs w:val="32"/>
          <w:highlight w:val="none"/>
          <w:lang w:val="en-US" w:eastAsia="zh-CN"/>
        </w:rPr>
        <w:t>（二）检打联动，依法查处</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0" w:firstLineChars="200"/>
        <w:textAlignment w:val="auto"/>
        <w:rPr>
          <w:rFonts w:hint="eastAsia" w:ascii="仿宋_GB2312" w:hAnsi="仿宋_GB2312" w:eastAsia="仿宋_GB2312" w:cs="仿宋_GB2312"/>
          <w:b w:val="0"/>
          <w:bCs w:val="0"/>
          <w:color w:val="auto"/>
          <w:sz w:val="32"/>
          <w:szCs w:val="32"/>
          <w:highlight w:val="none"/>
          <w:lang w:eastAsia="zh-CN"/>
        </w:rPr>
      </w:pPr>
      <w:r>
        <w:rPr>
          <w:rFonts w:hint="eastAsia" w:ascii="仿宋_GB2312" w:hAnsi="仿宋_GB2312" w:eastAsia="仿宋_GB2312" w:cs="仿宋_GB2312"/>
          <w:b w:val="0"/>
          <w:bCs w:val="0"/>
          <w:color w:val="auto"/>
          <w:sz w:val="32"/>
          <w:szCs w:val="32"/>
          <w:highlight w:val="none"/>
          <w:lang w:eastAsia="zh-CN"/>
        </w:rPr>
        <w:t>根据检测结果，区农业农村委负责科室会同区农业农村委执法大队、区农业质量安全中心联合认定被抽查人违规类型，第一时间向相关业务科室及行业发布农产品监测情况通报，相关科室联合行业建立本条线监测问题名录，并落实惩戒措施。区农业农村委将问题主体列为各级重点监管巡查对象，并同步将惩戒结果通报至被抽查主体所在乡镇人民政府（园区</w:t>
      </w:r>
      <w:r>
        <w:rPr>
          <w:rFonts w:hint="eastAsia" w:ascii="仿宋_GB2312" w:hAnsi="仿宋_GB2312" w:eastAsia="仿宋_GB2312" w:cs="仿宋_GB2312"/>
          <w:b w:val="0"/>
          <w:bCs w:val="0"/>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0" w:firstLineChars="200"/>
        <w:textAlignment w:val="auto"/>
        <w:rPr>
          <w:rFonts w:hint="default" w:ascii="仿宋_GB2312" w:hAnsi="仿宋_GB2312" w:eastAsia="仿宋_GB2312" w:cs="仿宋_GB2312"/>
          <w:b w:val="0"/>
          <w:bCs w:val="0"/>
          <w:color w:val="auto"/>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val="0"/>
        <w:snapToGrid w:val="0"/>
        <w:spacing w:before="0" w:line="560" w:lineRule="exact"/>
        <w:ind w:firstLine="640" w:firstLineChars="200"/>
        <w:textAlignment w:val="auto"/>
        <w:rPr>
          <w:rFonts w:hint="eastAsia" w:ascii="仿宋_GB2312" w:hAnsi="仿宋_GB2312" w:eastAsia="仿宋_GB2312" w:cs="仿宋_GB2312"/>
          <w:b w:val="0"/>
          <w:bCs w:val="0"/>
          <w:color w:val="auto"/>
          <w:sz w:val="32"/>
          <w:szCs w:val="32"/>
          <w:highlight w:val="none"/>
          <w:lang w:eastAsia="zh-CN"/>
        </w:rPr>
      </w:pPr>
    </w:p>
    <w:p>
      <w:pPr>
        <w:keepNext w:val="0"/>
        <w:keepLines w:val="0"/>
        <w:pageBreakBefore w:val="0"/>
        <w:widowControl w:val="0"/>
        <w:kinsoku/>
        <w:wordWrap/>
        <w:overflowPunct/>
        <w:topLinePunct w:val="0"/>
        <w:autoSpaceDE/>
        <w:autoSpaceDN/>
        <w:bidi w:val="0"/>
        <w:adjustRightInd w:val="0"/>
        <w:snapToGrid w:val="0"/>
        <w:spacing w:before="0" w:line="560" w:lineRule="exact"/>
        <w:ind w:firstLine="4000" w:firstLineChars="1250"/>
        <w:jc w:val="both"/>
        <w:textAlignment w:val="auto"/>
        <w:outlineLvl w:val="9"/>
        <w:rPr>
          <w:rFonts w:hint="eastAsia" w:ascii="仿宋_GB2312" w:hAnsi="华文中宋" w:eastAsia="仿宋_GB2312" w:cs="Times New Roman"/>
          <w:b w:val="0"/>
          <w:bCs w:val="0"/>
          <w:color w:val="auto"/>
          <w:sz w:val="32"/>
          <w:szCs w:val="32"/>
          <w:highlight w:val="none"/>
          <w:lang w:val="en-US" w:eastAsia="zh-CN"/>
        </w:rPr>
      </w:pPr>
      <w:r>
        <w:rPr>
          <w:rFonts w:hint="eastAsia" w:ascii="仿宋_GB2312" w:hAnsi="华文中宋" w:eastAsia="仿宋_GB2312" w:cs="Times New Roman"/>
          <w:b w:val="0"/>
          <w:bCs w:val="0"/>
          <w:color w:val="auto"/>
          <w:sz w:val="32"/>
          <w:szCs w:val="32"/>
          <w:highlight w:val="none"/>
        </w:rPr>
        <w:t>上海市崇明区农业农村委员会</w:t>
      </w: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hint="eastAsia" w:ascii="仿宋_GB2312" w:hAnsi="华文中宋" w:eastAsia="仿宋_GB2312" w:cs="Times New Roman"/>
          <w:b w:val="0"/>
          <w:bCs w:val="0"/>
          <w:color w:val="auto"/>
          <w:kern w:val="2"/>
          <w:sz w:val="32"/>
          <w:szCs w:val="32"/>
          <w:highlight w:val="none"/>
          <w:lang w:val="en-US" w:eastAsia="zh-CN" w:bidi="ar-SA"/>
        </w:rPr>
      </w:pPr>
      <w:r>
        <w:rPr>
          <w:rFonts w:hint="eastAsia" w:ascii="仿宋_GB2312" w:hAnsi="华文中宋" w:eastAsia="仿宋_GB2312" w:cs="Times New Roman"/>
          <w:b w:val="0"/>
          <w:bCs w:val="0"/>
          <w:color w:val="auto"/>
          <w:kern w:val="2"/>
          <w:sz w:val="32"/>
          <w:szCs w:val="32"/>
          <w:highlight w:val="none"/>
          <w:lang w:val="en-US" w:eastAsia="zh-CN" w:bidi="ar-SA"/>
        </w:rPr>
        <w:t xml:space="preserve">                     2023年7月19日</w:t>
      </w:r>
    </w:p>
    <w:p>
      <w:pPr>
        <w:keepNext w:val="0"/>
        <w:keepLines w:val="0"/>
        <w:pageBreakBefore w:val="0"/>
        <w:widowControl w:val="0"/>
        <w:kinsoku/>
        <w:wordWrap/>
        <w:overflowPunct/>
        <w:topLinePunct w:val="0"/>
        <w:autoSpaceDE/>
        <w:autoSpaceDN/>
        <w:bidi w:val="0"/>
        <w:spacing w:line="540" w:lineRule="exact"/>
        <w:jc w:val="center"/>
        <w:textAlignment w:val="auto"/>
        <w:outlineLvl w:val="9"/>
        <w:rPr>
          <w:rFonts w:hint="eastAsia" w:ascii="方正小标宋简体" w:hAnsi="方正小标宋简体" w:eastAsia="方正小标宋简体" w:cs="方正小标宋简体"/>
          <w:b w:val="0"/>
          <w:bCs/>
          <w:sz w:val="44"/>
          <w:szCs w:val="44"/>
        </w:rPr>
      </w:pPr>
    </w:p>
    <w:p>
      <w:pPr>
        <w:keepNext w:val="0"/>
        <w:keepLines w:val="0"/>
        <w:pageBreakBefore w:val="0"/>
        <w:widowControl w:val="0"/>
        <w:kinsoku/>
        <w:wordWrap/>
        <w:overflowPunct/>
        <w:topLinePunct w:val="0"/>
        <w:autoSpaceDE/>
        <w:autoSpaceDN/>
        <w:bidi w:val="0"/>
        <w:spacing w:line="540" w:lineRule="exact"/>
        <w:jc w:val="center"/>
        <w:textAlignment w:val="auto"/>
        <w:outlineLvl w:val="9"/>
        <w:rPr>
          <w:rFonts w:hint="eastAsia" w:ascii="方正小标宋简体" w:hAnsi="方正小标宋简体" w:eastAsia="方正小标宋简体" w:cs="方正小标宋简体"/>
          <w:b/>
          <w:sz w:val="40"/>
          <w:szCs w:val="44"/>
        </w:rPr>
      </w:pPr>
    </w:p>
    <w:p>
      <w:pPr>
        <w:keepNext w:val="0"/>
        <w:keepLines w:val="0"/>
        <w:pageBreakBefore w:val="0"/>
        <w:widowControl w:val="0"/>
        <w:kinsoku/>
        <w:wordWrap/>
        <w:overflowPunct/>
        <w:topLinePunct w:val="0"/>
        <w:autoSpaceDE/>
        <w:autoSpaceDN/>
        <w:bidi w:val="0"/>
        <w:adjustRightInd/>
        <w:snapToGrid/>
        <w:spacing w:after="157" w:afterLines="50" w:line="540" w:lineRule="exact"/>
        <w:ind w:firstLine="640" w:firstLineChars="200"/>
        <w:textAlignment w:val="auto"/>
        <w:outlineLvl w:val="9"/>
        <w:rPr>
          <w:rFonts w:hint="eastAsia" w:ascii="仿宋_GB2312" w:eastAsia="仿宋_GB2312"/>
          <w:sz w:val="32"/>
          <w:szCs w:val="32"/>
        </w:rPr>
      </w:pPr>
    </w:p>
    <w:p>
      <w:pPr>
        <w:spacing w:line="14" w:lineRule="exact"/>
        <w:rPr>
          <w:rFonts w:ascii="仿宋_GB2312" w:eastAsia="仿宋_GB2312"/>
          <w:sz w:val="32"/>
          <w:szCs w:val="32"/>
        </w:rPr>
      </w:pPr>
    </w:p>
    <w:p>
      <w:pPr>
        <w:bidi w:val="0"/>
        <w:rPr>
          <w:rFonts w:ascii="Times New Roman" w:hAnsi="Times New Roman" w:eastAsia="宋体" w:cs="Times New Roman"/>
          <w:kern w:val="2"/>
          <w:sz w:val="21"/>
          <w:szCs w:val="24"/>
          <w:lang w:val="en-US" w:eastAsia="zh-CN" w:bidi="ar-SA"/>
        </w:rPr>
      </w:pPr>
    </w:p>
    <w:p>
      <w:pPr>
        <w:bidi w:val="0"/>
        <w:rPr>
          <w:lang w:val="en-US" w:eastAsia="zh-CN"/>
        </w:rPr>
      </w:pPr>
    </w:p>
    <w:p>
      <w:pPr>
        <w:bidi w:val="0"/>
        <w:rPr>
          <w:lang w:val="en-US" w:eastAsia="zh-CN"/>
        </w:rPr>
      </w:pPr>
    </w:p>
    <w:p>
      <w:pPr>
        <w:bidi w:val="0"/>
        <w:ind w:firstLine="375" w:firstLineChars="0"/>
        <w:jc w:val="left"/>
        <w:rPr>
          <w:lang w:val="en-US" w:eastAsia="zh-CN"/>
        </w:rPr>
      </w:pPr>
    </w:p>
    <w:p>
      <w:pPr>
        <w:pStyle w:val="2"/>
        <w:rPr>
          <w:lang w:val="en-US" w:eastAsia="zh-CN"/>
        </w:rPr>
      </w:pPr>
    </w:p>
    <w:p>
      <w:pPr>
        <w:rPr>
          <w:lang w:val="en-US" w:eastAsia="zh-CN"/>
        </w:rPr>
      </w:pPr>
    </w:p>
    <w:p>
      <w:pPr>
        <w:pStyle w:val="2"/>
        <w:rPr>
          <w:lang w:val="en-US" w:eastAsia="zh-CN"/>
        </w:rPr>
      </w:pPr>
    </w:p>
    <w:p>
      <w:pPr>
        <w:rPr>
          <w:lang w:val="en-US" w:eastAsia="zh-CN"/>
        </w:rPr>
      </w:pPr>
    </w:p>
    <w:p>
      <w:pPr>
        <w:pStyle w:val="2"/>
        <w:rPr>
          <w:lang w:val="en-US" w:eastAsia="zh-CN"/>
        </w:rPr>
      </w:pPr>
    </w:p>
    <w:p>
      <w:pPr>
        <w:rPr>
          <w:lang w:val="en-US" w:eastAsia="zh-CN"/>
        </w:rPr>
      </w:pPr>
    </w:p>
    <w:p>
      <w:pPr>
        <w:pStyle w:val="2"/>
        <w:rPr>
          <w:lang w:val="en-US" w:eastAsia="zh-CN"/>
        </w:rPr>
      </w:pPr>
    </w:p>
    <w:p>
      <w:pPr>
        <w:rPr>
          <w:lang w:val="en-US" w:eastAsia="zh-CN"/>
        </w:rPr>
      </w:pPr>
    </w:p>
    <w:p>
      <w:pPr>
        <w:pStyle w:val="2"/>
        <w:rPr>
          <w:lang w:val="en-US" w:eastAsia="zh-CN"/>
        </w:rPr>
      </w:pPr>
    </w:p>
    <w:tbl>
      <w:tblPr>
        <w:tblStyle w:val="5"/>
        <w:tblW w:w="9060" w:type="dxa"/>
        <w:tblInd w:w="0" w:type="dxa"/>
        <w:tblBorders>
          <w:top w:val="single" w:color="auto" w:sz="12" w:space="0"/>
          <w:left w:val="none" w:color="auto" w:sz="0" w:space="0"/>
          <w:bottom w:val="single" w:color="auto" w:sz="12"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060"/>
      </w:tblGrid>
      <w:tr>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c>
          <w:tcPr>
            <w:tcW w:w="906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500" w:lineRule="exact"/>
              <w:ind w:right="28"/>
              <w:textAlignment w:val="auto"/>
              <w:outlineLvl w:val="9"/>
              <w:rPr>
                <w:rFonts w:ascii="仿宋_GB2312" w:eastAsia="仿宋_GB2312"/>
                <w:sz w:val="32"/>
                <w:szCs w:val="32"/>
              </w:rPr>
            </w:pPr>
            <w:r>
              <w:rPr>
                <w:rFonts w:hint="eastAsia" w:ascii="仿宋_GB2312" w:eastAsia="仿宋_GB2312"/>
                <w:sz w:val="32"/>
                <w:szCs w:val="32"/>
              </w:rPr>
              <w:t xml:space="preserve"> </w:t>
            </w:r>
            <w:r>
              <w:rPr>
                <w:rFonts w:hint="eastAsia" w:ascii="仿宋_GB2312" w:eastAsia="仿宋_GB2312"/>
                <w:sz w:val="28"/>
                <w:szCs w:val="28"/>
              </w:rPr>
              <w:t>上海市崇明区农业</w:t>
            </w:r>
            <w:r>
              <w:rPr>
                <w:rFonts w:hint="eastAsia" w:ascii="仿宋_GB2312" w:eastAsia="仿宋_GB2312"/>
                <w:sz w:val="28"/>
                <w:szCs w:val="28"/>
                <w:lang w:eastAsia="zh-CN"/>
              </w:rPr>
              <w:t>农村</w:t>
            </w:r>
            <w:r>
              <w:rPr>
                <w:rFonts w:hint="eastAsia" w:ascii="仿宋_GB2312" w:eastAsia="仿宋_GB2312"/>
                <w:sz w:val="28"/>
                <w:szCs w:val="28"/>
              </w:rPr>
              <w:t xml:space="preserve">委员会办公室      </w:t>
            </w:r>
            <w:r>
              <w:rPr>
                <w:rFonts w:hint="eastAsia" w:ascii="仿宋_GB2312" w:eastAsia="仿宋_GB2312"/>
                <w:sz w:val="28"/>
                <w:szCs w:val="28"/>
                <w:lang w:val="en-US" w:eastAsia="zh-CN"/>
              </w:rPr>
              <w:t xml:space="preserve">  </w:t>
            </w:r>
            <w:r>
              <w:rPr>
                <w:rFonts w:hint="eastAsia" w:ascii="仿宋_GB2312" w:eastAsia="仿宋_GB2312"/>
                <w:sz w:val="28"/>
                <w:szCs w:val="28"/>
              </w:rPr>
              <w:t xml:space="preserve"> 20</w:t>
            </w:r>
            <w:r>
              <w:rPr>
                <w:rFonts w:hint="eastAsia" w:ascii="仿宋_GB2312" w:eastAsia="仿宋_GB2312"/>
                <w:sz w:val="28"/>
                <w:szCs w:val="28"/>
                <w:lang w:val="en-US" w:eastAsia="zh-CN"/>
              </w:rPr>
              <w:t>23</w:t>
            </w:r>
            <w:r>
              <w:rPr>
                <w:rFonts w:hint="eastAsia" w:ascii="仿宋_GB2312" w:eastAsia="仿宋_GB2312"/>
                <w:sz w:val="28"/>
                <w:szCs w:val="28"/>
              </w:rPr>
              <w:t>年</w:t>
            </w:r>
            <w:r>
              <w:rPr>
                <w:rFonts w:hint="eastAsia" w:ascii="仿宋_GB2312" w:eastAsia="仿宋_GB2312"/>
                <w:sz w:val="28"/>
                <w:szCs w:val="28"/>
                <w:lang w:val="en-US" w:eastAsia="zh-CN"/>
              </w:rPr>
              <w:t>7</w:t>
            </w:r>
            <w:r>
              <w:rPr>
                <w:rFonts w:hint="eastAsia" w:ascii="仿宋_GB2312" w:eastAsia="仿宋_GB2312"/>
                <w:sz w:val="28"/>
                <w:szCs w:val="28"/>
              </w:rPr>
              <w:t>月</w:t>
            </w:r>
            <w:r>
              <w:rPr>
                <w:rFonts w:hint="eastAsia" w:ascii="仿宋_GB2312" w:eastAsia="仿宋_GB2312"/>
                <w:sz w:val="28"/>
                <w:szCs w:val="28"/>
                <w:lang w:val="en-US" w:eastAsia="zh-CN"/>
              </w:rPr>
              <w:t>19</w:t>
            </w:r>
            <w:r>
              <w:rPr>
                <w:rFonts w:hint="eastAsia" w:ascii="仿宋_GB2312" w:eastAsia="仿宋_GB2312"/>
                <w:sz w:val="28"/>
                <w:szCs w:val="28"/>
              </w:rPr>
              <w:t>日印发</w:t>
            </w:r>
          </w:p>
        </w:tc>
      </w:tr>
    </w:tbl>
    <w:p>
      <w:pPr>
        <w:pStyle w:val="2"/>
        <w:keepNext w:val="0"/>
        <w:keepLines w:val="0"/>
        <w:pageBreakBefore w:val="0"/>
        <w:widowControl w:val="0"/>
        <w:kinsoku/>
        <w:wordWrap/>
        <w:overflowPunct/>
        <w:topLinePunct w:val="0"/>
        <w:autoSpaceDE/>
        <w:autoSpaceDN/>
        <w:bidi w:val="0"/>
        <w:adjustRightInd/>
        <w:snapToGrid w:val="0"/>
        <w:spacing w:line="20" w:lineRule="exact"/>
        <w:textAlignment w:val="auto"/>
        <w:outlineLvl w:val="9"/>
        <w:rPr>
          <w:lang w:val="en-US" w:eastAsia="zh-CN"/>
        </w:rPr>
      </w:pPr>
    </w:p>
    <w:sectPr>
      <w:headerReference r:id="rId6" w:type="first"/>
      <w:footerReference r:id="rId9" w:type="first"/>
      <w:footerReference r:id="rId7" w:type="default"/>
      <w:headerReference r:id="rId5" w:type="even"/>
      <w:footerReference r:id="rId8" w:type="even"/>
      <w:pgSz w:w="11906" w:h="16838"/>
      <w:pgMar w:top="2098" w:right="1474" w:bottom="1984" w:left="1587" w:header="851" w:footer="1247" w:gutter="0"/>
      <w:pgBorders>
        <w:top w:val="none" w:sz="0" w:space="0"/>
        <w:left w:val="none" w:sz="0" w:space="0"/>
        <w:bottom w:val="none" w:sz="0" w:space="0"/>
        <w:right w:val="none" w:sz="0" w:space="0"/>
      </w:pgBorders>
      <w:pgNumType w:fmt="numberInDash"/>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34"/>
    <w:family w:val="swiss"/>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微软雅黑"/>
    <w:panose1 w:val="020F0502020204030204"/>
    <w:charset w:val="00"/>
    <w:family w:val="swiss"/>
    <w:pitch w:val="default"/>
    <w:sig w:usb0="00000000" w:usb1="00000000" w:usb2="00000001" w:usb3="00000000" w:csb0="0000019F" w:csb1="00000000"/>
  </w:font>
  <w:font w:name="方正小标宋简体">
    <w:panose1 w:val="02000000000000000000"/>
    <w:charset w:val="86"/>
    <w:family w:val="script"/>
    <w:pitch w:val="default"/>
    <w:sig w:usb0="A00002BF" w:usb1="184F6CFA" w:usb2="00000012" w:usb3="00000000" w:csb0="00040001" w:csb1="00000000"/>
  </w:font>
  <w:font w:name="楷体_GB2312">
    <w:panose1 w:val="02010609030101010101"/>
    <w:charset w:val="86"/>
    <w:family w:val="decorative"/>
    <w:pitch w:val="default"/>
    <w:sig w:usb0="00000001" w:usb1="080E0000" w:usb2="00000000" w:usb3="00000000" w:csb0="00040000" w:csb1="00000000"/>
  </w:font>
  <w:font w:name="仿宋_GB2312">
    <w:panose1 w:val="02010609030101010101"/>
    <w:charset w:val="86"/>
    <w:family w:val="decorative"/>
    <w:pitch w:val="default"/>
    <w:sig w:usb0="00000001" w:usb1="080E0000" w:usb2="00000000" w:usb3="00000000" w:csb0="00040000" w:csb1="00000000"/>
  </w:font>
  <w:font w:name="华文中宋">
    <w:altName w:val="汉仪中宋简"/>
    <w:panose1 w:val="02010600040101010101"/>
    <w:charset w:val="86"/>
    <w:family w:val="auto"/>
    <w:pitch w:val="default"/>
    <w:sig w:usb0="00000000" w:usb1="00000000" w:usb2="00000000" w:usb3="00000000" w:csb0="0004009F" w:csb1="DFD7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汉仪中宋简">
    <w:panose1 w:val="02010600000101010101"/>
    <w:charset w:val="86"/>
    <w:family w:val="auto"/>
    <w:pitch w:val="default"/>
    <w:sig w:usb0="00000001" w:usb1="080E0800" w:usb2="00000002" w:usb3="00000000" w:csb0="00040000" w:csb1="00000000"/>
  </w:font>
  <w:font w:name="微软雅黑">
    <w:panose1 w:val="020B0503020204020204"/>
    <w:charset w:val="86"/>
    <w:family w:val="auto"/>
    <w:pitch w:val="default"/>
    <w:sig w:usb0="80000287" w:usb1="2ACF3C50" w:usb2="00000016" w:usb3="00000000" w:csb0="0004001F"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jc w:val="right"/>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- 1 -</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- 1 -</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6639632"/>
    </w:sdtPr>
    <w:sdtContent>
      <w:p>
        <w:pPr>
          <w:pStyle w:val="2"/>
          <w:ind w:firstLine="180" w:firstLineChars="100"/>
        </w:pP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   \* MERGEFORMAT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w:t>
        </w:r>
        <w:r>
          <w:rPr>
            <w:rFonts w:asciiTheme="minorEastAsia" w:hAnsiTheme="minorEastAsia" w:eastAsiaTheme="minorEastAsia"/>
            <w:sz w:val="28"/>
            <w:szCs w:val="28"/>
          </w:rPr>
          <w:t xml:space="preserve"> 2 -</w:t>
        </w:r>
        <w:r>
          <w:rPr>
            <w:rFonts w:asciiTheme="minorEastAsia" w:hAnsiTheme="minorEastAsia" w:eastAsiaTheme="minorEastAsia"/>
            <w:sz w:val="28"/>
            <w:szCs w:val="28"/>
          </w:rPr>
          <w:fldChar w:fldCharType="end"/>
        </w:r>
      </w:p>
    </w:sdtContent>
  </w:sdt>
  <w:p>
    <w:pPr>
      <w:pStyle w:val="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true"/>
  <w:bordersDoNotSurroundFooter w:val="true"/>
  <w:documentProtection w:enforcement="0"/>
  <w:defaultTabStop w:val="420"/>
  <w:drawingGridHorizontalSpacing w:val="105"/>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5045"/>
    <w:rsid w:val="00002667"/>
    <w:rsid w:val="0004504A"/>
    <w:rsid w:val="00052038"/>
    <w:rsid w:val="000A30C9"/>
    <w:rsid w:val="0013714C"/>
    <w:rsid w:val="001562E9"/>
    <w:rsid w:val="00180A71"/>
    <w:rsid w:val="001E1D35"/>
    <w:rsid w:val="001F39D8"/>
    <w:rsid w:val="0022312E"/>
    <w:rsid w:val="00232F36"/>
    <w:rsid w:val="0026506F"/>
    <w:rsid w:val="00270770"/>
    <w:rsid w:val="002A1834"/>
    <w:rsid w:val="00364AFB"/>
    <w:rsid w:val="00395936"/>
    <w:rsid w:val="00466422"/>
    <w:rsid w:val="004A652C"/>
    <w:rsid w:val="00512A54"/>
    <w:rsid w:val="00545AC5"/>
    <w:rsid w:val="005463E7"/>
    <w:rsid w:val="005670B4"/>
    <w:rsid w:val="005E13CB"/>
    <w:rsid w:val="005E2E11"/>
    <w:rsid w:val="006326A2"/>
    <w:rsid w:val="00641D88"/>
    <w:rsid w:val="006A4FFB"/>
    <w:rsid w:val="00717904"/>
    <w:rsid w:val="00721C46"/>
    <w:rsid w:val="00763E67"/>
    <w:rsid w:val="00775EF0"/>
    <w:rsid w:val="00785641"/>
    <w:rsid w:val="00796975"/>
    <w:rsid w:val="007F599C"/>
    <w:rsid w:val="008C5D06"/>
    <w:rsid w:val="009133B7"/>
    <w:rsid w:val="009421D7"/>
    <w:rsid w:val="00986EBD"/>
    <w:rsid w:val="0099392C"/>
    <w:rsid w:val="009A1E79"/>
    <w:rsid w:val="009A38E0"/>
    <w:rsid w:val="009B0560"/>
    <w:rsid w:val="009E5E2F"/>
    <w:rsid w:val="00AF7AE8"/>
    <w:rsid w:val="00BA4B06"/>
    <w:rsid w:val="00BA5C14"/>
    <w:rsid w:val="00BB5814"/>
    <w:rsid w:val="00BD591D"/>
    <w:rsid w:val="00BF1105"/>
    <w:rsid w:val="00C11B56"/>
    <w:rsid w:val="00C219BD"/>
    <w:rsid w:val="00C372DC"/>
    <w:rsid w:val="00C85251"/>
    <w:rsid w:val="00C945AA"/>
    <w:rsid w:val="00CB6736"/>
    <w:rsid w:val="00D57723"/>
    <w:rsid w:val="00D93834"/>
    <w:rsid w:val="00E13CAF"/>
    <w:rsid w:val="00E30AC2"/>
    <w:rsid w:val="00E748FD"/>
    <w:rsid w:val="00E76BAF"/>
    <w:rsid w:val="00ED5A2E"/>
    <w:rsid w:val="00F207B9"/>
    <w:rsid w:val="00F25488"/>
    <w:rsid w:val="00F31E6B"/>
    <w:rsid w:val="00FB10D2"/>
    <w:rsid w:val="00FC5045"/>
    <w:rsid w:val="074B6C7D"/>
    <w:rsid w:val="07986C27"/>
    <w:rsid w:val="085C75CA"/>
    <w:rsid w:val="088C3BBA"/>
    <w:rsid w:val="0E1B71D9"/>
    <w:rsid w:val="10142552"/>
    <w:rsid w:val="125F0E4A"/>
    <w:rsid w:val="12C25BF5"/>
    <w:rsid w:val="145B5532"/>
    <w:rsid w:val="1CCE72D7"/>
    <w:rsid w:val="22DE6C8D"/>
    <w:rsid w:val="2ABB21C3"/>
    <w:rsid w:val="3171476F"/>
    <w:rsid w:val="34B953AD"/>
    <w:rsid w:val="34F77DF8"/>
    <w:rsid w:val="39E61519"/>
    <w:rsid w:val="3BF0012E"/>
    <w:rsid w:val="3C881EC8"/>
    <w:rsid w:val="3F1A556B"/>
    <w:rsid w:val="401F40F2"/>
    <w:rsid w:val="42E43A3B"/>
    <w:rsid w:val="430D4C6B"/>
    <w:rsid w:val="4A552F74"/>
    <w:rsid w:val="4B93267E"/>
    <w:rsid w:val="4E2A219E"/>
    <w:rsid w:val="52313438"/>
    <w:rsid w:val="523A6313"/>
    <w:rsid w:val="5363107C"/>
    <w:rsid w:val="5A9F69C2"/>
    <w:rsid w:val="60FD3817"/>
    <w:rsid w:val="61F32D38"/>
    <w:rsid w:val="62314B77"/>
    <w:rsid w:val="63404068"/>
    <w:rsid w:val="650F2AEB"/>
    <w:rsid w:val="6A9D79F0"/>
    <w:rsid w:val="6B755BB7"/>
    <w:rsid w:val="7002039C"/>
    <w:rsid w:val="71A8161F"/>
    <w:rsid w:val="74A0466C"/>
    <w:rsid w:val="75BE5E21"/>
    <w:rsid w:val="78E66175"/>
    <w:rsid w:val="78E94955"/>
    <w:rsid w:val="79D67AD5"/>
    <w:rsid w:val="7A3361A8"/>
    <w:rsid w:val="7C00503C"/>
    <w:rsid w:val="7FDE0340"/>
    <w:rsid w:val="7FE5529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before="0" w:line="240" w:lineRule="auto"/>
      <w:ind w:firstLine="0" w:firstLineChars="0"/>
      <w:jc w:val="both"/>
    </w:pPr>
    <w:rPr>
      <w:rFonts w:ascii="Times New Roman" w:hAnsi="Times New Roman" w:eastAsia="宋体" w:cs="Times New Roman"/>
      <w:kern w:val="2"/>
      <w:sz w:val="21"/>
      <w:szCs w:val="24"/>
      <w:lang w:val="en-US" w:eastAsia="zh-CN" w:bidi="ar-SA"/>
    </w:rPr>
  </w:style>
  <w:style w:type="character" w:default="1" w:styleId="7">
    <w:name w:val="Default Paragraph Font"/>
    <w:unhideWhenUsed/>
    <w:qFormat/>
    <w:uiPriority w:val="1"/>
  </w:style>
  <w:style w:type="table" w:default="1" w:styleId="5">
    <w:name w:val="Normal Table"/>
    <w:unhideWhenUsed/>
    <w:qFormat/>
    <w:uiPriority w:val="99"/>
    <w:tblPr>
      <w:tblCellMar>
        <w:top w:w="0" w:type="dxa"/>
        <w:left w:w="108" w:type="dxa"/>
        <w:bottom w:w="0" w:type="dxa"/>
        <w:right w:w="108" w:type="dxa"/>
      </w:tblCellMar>
    </w:tblPr>
  </w:style>
  <w:style w:type="paragraph" w:styleId="2">
    <w:name w:val="footer"/>
    <w:basedOn w:val="1"/>
    <w:next w:val="1"/>
    <w:link w:val="10"/>
    <w:unhideWhenUsed/>
    <w:qFormat/>
    <w:uiPriority w:val="99"/>
    <w:pPr>
      <w:tabs>
        <w:tab w:val="center" w:pos="4153"/>
        <w:tab w:val="right" w:pos="8306"/>
      </w:tabs>
      <w:snapToGrid w:val="0"/>
      <w:jc w:val="left"/>
    </w:pPr>
    <w:rPr>
      <w:sz w:val="18"/>
      <w:szCs w:val="18"/>
    </w:rPr>
  </w:style>
  <w:style w:type="paragraph" w:styleId="3">
    <w:name w:val="Balloon Text"/>
    <w:basedOn w:val="1"/>
    <w:link w:val="11"/>
    <w:unhideWhenUsed/>
    <w:qFormat/>
    <w:uiPriority w:val="99"/>
    <w:rPr>
      <w:sz w:val="18"/>
      <w:szCs w:val="18"/>
    </w:rPr>
  </w:style>
  <w:style w:type="paragraph" w:styleId="4">
    <w:name w:val="header"/>
    <w:basedOn w:val="1"/>
    <w:link w:val="9"/>
    <w:unhideWhenUsed/>
    <w:qFormat/>
    <w:uiPriority w:val="99"/>
    <w:pPr>
      <w:tabs>
        <w:tab w:val="center" w:pos="4153"/>
        <w:tab w:val="right" w:pos="8306"/>
      </w:tabs>
      <w:snapToGrid w:val="0"/>
      <w:jc w:val="center"/>
    </w:pPr>
    <w:rPr>
      <w:sz w:val="18"/>
      <w:szCs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page number"/>
    <w:basedOn w:val="7"/>
    <w:qFormat/>
    <w:uiPriority w:val="0"/>
  </w:style>
  <w:style w:type="character" w:customStyle="1" w:styleId="9">
    <w:name w:val="页眉 Char"/>
    <w:basedOn w:val="7"/>
    <w:link w:val="4"/>
    <w:qFormat/>
    <w:uiPriority w:val="99"/>
    <w:rPr>
      <w:kern w:val="2"/>
      <w:sz w:val="18"/>
      <w:szCs w:val="18"/>
    </w:rPr>
  </w:style>
  <w:style w:type="character" w:customStyle="1" w:styleId="10">
    <w:name w:val="页脚 Char"/>
    <w:basedOn w:val="7"/>
    <w:link w:val="2"/>
    <w:qFormat/>
    <w:uiPriority w:val="99"/>
    <w:rPr>
      <w:kern w:val="2"/>
      <w:sz w:val="18"/>
      <w:szCs w:val="18"/>
    </w:rPr>
  </w:style>
  <w:style w:type="character" w:customStyle="1" w:styleId="11">
    <w:name w:val="批注框文本 Char"/>
    <w:basedOn w:val="7"/>
    <w:link w:val="3"/>
    <w:semiHidden/>
    <w:qFormat/>
    <w:uiPriority w:val="99"/>
    <w:rPr>
      <w:kern w:val="2"/>
      <w:sz w:val="18"/>
      <w:szCs w:val="18"/>
    </w:rPr>
  </w:style>
  <w:style w:type="character" w:customStyle="1" w:styleId="12">
    <w:name w:val="font11"/>
    <w:basedOn w:val="7"/>
    <w:qFormat/>
    <w:uiPriority w:val="0"/>
    <w:rPr>
      <w:rFonts w:hint="default" w:ascii="Times New Roman" w:hAnsi="Times New Roman" w:cs="Times New Roman"/>
      <w:color w:val="000000"/>
      <w:sz w:val="22"/>
      <w:szCs w:val="22"/>
      <w:u w:val="none"/>
    </w:rPr>
  </w:style>
  <w:style w:type="character" w:customStyle="1" w:styleId="13">
    <w:name w:val="font21"/>
    <w:basedOn w:val="7"/>
    <w:qFormat/>
    <w:uiPriority w:val="0"/>
    <w:rPr>
      <w:rFonts w:hint="eastAsia" w:ascii="宋体" w:hAnsi="宋体" w:eastAsia="宋体" w:cs="宋体"/>
      <w:color w:val="000000"/>
      <w:sz w:val="22"/>
      <w:szCs w:val="22"/>
      <w:u w:val="none"/>
    </w:rPr>
  </w:style>
  <w:style w:type="paragraph" w:customStyle="1" w:styleId="14">
    <w:name w:val="列出段落1"/>
    <w:basedOn w:val="1"/>
    <w:qFormat/>
    <w:uiPriority w:val="0"/>
    <w:pPr>
      <w:ind w:firstLine="420" w:firstLineChars="200"/>
    </w:pPr>
    <w:rPr>
      <w:rFonts w:ascii="Calibri" w:hAnsi="Calibri" w:eastAsia="宋体" w:cs="Times New Roman"/>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C.Y.H(201411)</Company>
  <Pages>2</Pages>
  <Words>30</Words>
  <Characters>175</Characters>
  <Lines>1</Lines>
  <Paragraphs>1</Paragraphs>
  <TotalTime>10</TotalTime>
  <ScaleCrop>false</ScaleCrop>
  <LinksUpToDate>false</LinksUpToDate>
  <CharactersWithSpaces>204</CharactersWithSpaces>
  <Application>WPS Office_11.8.2.9980_F1E327BC-269C-435d-A152-05C5408002CA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2017-08-14T17:04:00Z</dcterms:created>
  <dc:creator>cm</dc:creator>
  <cp:lastModifiedBy>user</cp:lastModifiedBy>
  <cp:lastPrinted>2023-07-19T10:57:41Z</cp:lastPrinted>
  <dcterms:modified xsi:type="dcterms:W3CDTF">2023-07-19T10:58:09Z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2052-11.8.2.9980</vt:lpwstr>
  </property>
</Properties>
</file>