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56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w:t>
      </w: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pacing w:line="560" w:lineRule="exact"/>
        <w:jc w:val="center"/>
        <w:textAlignment w:val="auto"/>
        <w:rPr>
          <w:rFonts w:ascii="方正小标宋简体" w:hAnsi="方正小标宋简体" w:eastAsia="方正小标宋简体" w:cs="方正小标宋简体"/>
          <w:kern w:val="0"/>
          <w:sz w:val="44"/>
          <w:szCs w:val="44"/>
          <w:shd w:val="clear" w:color="auto" w:fill="FFFFFF"/>
        </w:rPr>
      </w:pPr>
      <w:bookmarkStart w:id="0" w:name="_GoBack"/>
      <w:r>
        <w:rPr>
          <w:rFonts w:hint="eastAsia" w:ascii="方正小标宋简体" w:hAnsi="方正小标宋简体" w:eastAsia="方正小标宋简体" w:cs="方正小标宋简体"/>
          <w:kern w:val="0"/>
          <w:sz w:val="44"/>
          <w:szCs w:val="44"/>
          <w:shd w:val="clear" w:color="auto" w:fill="FFFFFF"/>
        </w:rPr>
        <w:t>2022年崇明蔬菜绿色生产“机器换人”示范基地建设方案</w:t>
      </w:r>
    </w:p>
    <w:bookmarkEnd w:id="0"/>
    <w:p>
      <w:pPr>
        <w:keepNext w:val="0"/>
        <w:keepLines w:val="0"/>
        <w:pageBreakBefore w:val="0"/>
        <w:widowControl w:val="0"/>
        <w:kinsoku/>
        <w:wordWrap/>
        <w:overflowPunct/>
        <w:topLinePunct w:val="0"/>
        <w:autoSpaceDE/>
        <w:autoSpaceDN/>
        <w:bidi w:val="0"/>
        <w:adjustRightInd/>
        <w:spacing w:line="560" w:lineRule="exact"/>
        <w:jc w:val="center"/>
        <w:textAlignment w:val="auto"/>
        <w:rPr>
          <w:rFonts w:ascii="方正小标宋简体" w:hAnsi="方正小标宋简体" w:eastAsia="方正小标宋简体" w:cs="方正小标宋简体"/>
          <w:kern w:val="0"/>
          <w:sz w:val="44"/>
          <w:szCs w:val="44"/>
          <w:shd w:val="clear" w:color="auto" w:fill="FFFFFF"/>
        </w:rPr>
      </w:pP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eastAsia="仿宋_GB2312"/>
          <w:sz w:val="32"/>
          <w:szCs w:val="32"/>
        </w:rPr>
      </w:pPr>
      <w:r>
        <w:rPr>
          <w:rFonts w:hint="eastAsia" w:ascii="仿宋_GB2312" w:eastAsia="仿宋_GB2312"/>
          <w:sz w:val="32"/>
          <w:szCs w:val="32"/>
        </w:rPr>
        <w:t>为深入贯彻落实市政府关于《上海市乡村振兴战略规划</w:t>
      </w:r>
    </w:p>
    <w:p>
      <w:pPr>
        <w:keepNext w:val="0"/>
        <w:keepLines w:val="0"/>
        <w:pageBreakBefore w:val="0"/>
        <w:widowControl w:val="0"/>
        <w:kinsoku/>
        <w:wordWrap/>
        <w:overflowPunct/>
        <w:topLinePunct w:val="0"/>
        <w:autoSpaceDE/>
        <w:autoSpaceDN/>
        <w:bidi w:val="0"/>
        <w:adjustRightInd/>
        <w:spacing w:line="560" w:lineRule="exact"/>
        <w:textAlignment w:val="auto"/>
        <w:outlineLvl w:val="9"/>
        <w:rPr>
          <w:rFonts w:ascii="仿宋_GB2312" w:eastAsia="仿宋_GB2312"/>
          <w:sz w:val="32"/>
          <w:szCs w:val="32"/>
        </w:rPr>
      </w:pPr>
      <w:r>
        <w:rPr>
          <w:rFonts w:hint="eastAsia" w:ascii="仿宋_GB2312" w:eastAsia="仿宋_GB2312"/>
          <w:sz w:val="32"/>
          <w:szCs w:val="32"/>
        </w:rPr>
        <w:t>（2018-2022年)》和《上海市乡村振兴战略实施方案(2018-2022年)》部署和要求，为树典型、立标杆，促进崇明都市现代农业发展和农民增收，加快蔬菜“机器换人”步伐，结合实际，制定本方案。</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黑体" w:hAnsi="黑体" w:eastAsia="黑体" w:cs="黑体"/>
          <w:sz w:val="32"/>
          <w:szCs w:val="32"/>
        </w:rPr>
      </w:pPr>
      <w:r>
        <w:rPr>
          <w:rFonts w:hint="eastAsia" w:ascii="黑体" w:hAnsi="黑体" w:eastAsia="黑体" w:cs="黑体"/>
          <w:sz w:val="32"/>
          <w:szCs w:val="32"/>
        </w:rPr>
        <w:t>一、创建主体概况</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2022年崇明区蔬菜“机器换人”示范基地创建主体为上海净达蔬菜专业合作社，合作社位于崇明区长兴镇光荣村，占地320亩，连栋棚1个，8型棚105个，露地面积20亩，计划创建面积150亩。目前主要种植品种为青菜、鸡毛菜、杭白菜等，现有拖拉机 3台、旋耕机2台、播种机2台、起垄机1台、撒肥机1台 、植保机2台。合作社产销方式为自产自销、统一经营，对接商超、政府食堂、学校食堂等。</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黑体" w:hAnsi="黑体" w:eastAsia="黑体" w:cs="黑体"/>
          <w:sz w:val="32"/>
          <w:szCs w:val="32"/>
        </w:rPr>
      </w:pPr>
      <w:r>
        <w:rPr>
          <w:rFonts w:hint="eastAsia" w:ascii="黑体" w:hAnsi="黑体" w:eastAsia="黑体" w:cs="黑体"/>
          <w:sz w:val="32"/>
          <w:szCs w:val="32"/>
        </w:rPr>
        <w:t>二、目标任务</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到2022年底，完成创建蔬菜绿色生产“机器换人”示范基地，示范基地绿叶菜种植占比达到80%以上，绿叶菜机械化生产作业不少于</w:t>
      </w:r>
      <w:r>
        <w:rPr>
          <w:rFonts w:hint="eastAsia" w:ascii="仿宋_GB2312" w:eastAsia="仿宋_GB2312"/>
          <w:sz w:val="32"/>
          <w:szCs w:val="32"/>
          <w:lang w:val="en-US" w:eastAsia="zh-CN"/>
        </w:rPr>
        <w:t>6</w:t>
      </w:r>
      <w:r>
        <w:rPr>
          <w:rFonts w:hint="eastAsia" w:ascii="仿宋_GB2312" w:eastAsia="仿宋_GB2312"/>
          <w:sz w:val="32"/>
          <w:szCs w:val="32"/>
        </w:rPr>
        <w:t>0%。</w:t>
      </w:r>
    </w:p>
    <w:p>
      <w:pPr>
        <w:rPr>
          <w:rFonts w:hint="eastAsia" w:ascii="黑体" w:hAnsi="黑体" w:eastAsia="黑体" w:cs="黑体"/>
          <w:sz w:val="32"/>
          <w:szCs w:val="32"/>
        </w:rPr>
      </w:pPr>
      <w:r>
        <w:rPr>
          <w:rFonts w:hint="eastAsia" w:ascii="黑体" w:hAnsi="黑体" w:eastAsia="黑体" w:cs="黑体"/>
          <w:sz w:val="32"/>
          <w:szCs w:val="32"/>
        </w:rPr>
        <w:br w:type="page"/>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黑体" w:hAnsi="黑体" w:eastAsia="黑体" w:cs="黑体"/>
          <w:sz w:val="32"/>
          <w:szCs w:val="32"/>
        </w:rPr>
      </w:pPr>
      <w:r>
        <w:rPr>
          <w:rFonts w:hint="eastAsia" w:ascii="黑体" w:hAnsi="黑体" w:eastAsia="黑体" w:cs="黑体"/>
          <w:sz w:val="32"/>
          <w:szCs w:val="32"/>
        </w:rPr>
        <w:t>三、年度生产计划</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2022年创建基地筛选适宜机械化种植品种，调整种植品种后，拟计划：</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7月份种植青菜100亩，杭白菜50亩，鸡毛菜100亩，合计250亩。</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8月份种植鸡毛菜70亩，合计70亩。</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9月份种植青菜125亩，杭白菜</w:t>
      </w:r>
      <w:r>
        <w:rPr>
          <w:rFonts w:hint="eastAsia" w:ascii="仿宋_GB2312" w:eastAsia="仿宋_GB2312"/>
          <w:sz w:val="32"/>
          <w:szCs w:val="32"/>
          <w:lang w:val="en-US" w:eastAsia="zh-CN"/>
        </w:rPr>
        <w:t>80</w:t>
      </w:r>
      <w:r>
        <w:rPr>
          <w:rFonts w:hint="eastAsia" w:ascii="仿宋_GB2312" w:eastAsia="仿宋_GB2312"/>
          <w:sz w:val="32"/>
          <w:szCs w:val="32"/>
        </w:rPr>
        <w:t>亩，鸡毛菜</w:t>
      </w:r>
      <w:r>
        <w:rPr>
          <w:rFonts w:hint="eastAsia" w:ascii="仿宋_GB2312" w:eastAsia="仿宋_GB2312"/>
          <w:sz w:val="32"/>
          <w:szCs w:val="32"/>
          <w:lang w:val="en-US" w:eastAsia="zh-CN"/>
        </w:rPr>
        <w:t>70</w:t>
      </w:r>
      <w:r>
        <w:rPr>
          <w:rFonts w:hint="eastAsia" w:ascii="仿宋_GB2312" w:eastAsia="仿宋_GB2312"/>
          <w:sz w:val="32"/>
          <w:szCs w:val="32"/>
        </w:rPr>
        <w:t>亩，广东菜心25亩,合计300亩。</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10月份种植，鸡毛菜50亩，广东菜心20亩,合计70亩。</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11月份种植鸡毛菜60亩，杭白菜50亩，青菜100亩，合计210亩。</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7-11月份合计种植900亩。</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黑体" w:hAnsi="黑体" w:eastAsia="黑体" w:cs="黑体"/>
          <w:sz w:val="32"/>
          <w:szCs w:val="32"/>
        </w:rPr>
      </w:pPr>
      <w:r>
        <w:rPr>
          <w:rFonts w:hint="eastAsia" w:ascii="黑体" w:hAnsi="黑体" w:eastAsia="黑体" w:cs="黑体"/>
          <w:sz w:val="32"/>
          <w:szCs w:val="32"/>
        </w:rPr>
        <w:t>四、建设内容</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（一）蔬菜生产机械配置</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仿宋" w:hAnsi="仿宋" w:eastAsia="仿宋" w:cs="仿宋"/>
          <w:sz w:val="32"/>
          <w:szCs w:val="32"/>
        </w:rPr>
      </w:pPr>
      <w:r>
        <w:rPr>
          <w:rFonts w:hint="eastAsia" w:ascii="仿宋_GB2312" w:eastAsia="仿宋_GB2312"/>
          <w:sz w:val="32"/>
          <w:szCs w:val="32"/>
        </w:rPr>
        <w:t>根据种植品种和面积，参考相关创建经验，引进国内外适应性强、可靠性好、性能优良的蔬菜机械，计划引进深松深翻机1台、悬挂式起垄机1台、叶菜收获机1台。</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（二）调整蔬菜种植品种</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仿宋" w:hAnsi="仿宋" w:eastAsia="仿宋" w:cs="仿宋"/>
          <w:sz w:val="32"/>
          <w:szCs w:val="32"/>
        </w:rPr>
      </w:pPr>
      <w:r>
        <w:rPr>
          <w:rFonts w:hint="eastAsia" w:ascii="仿宋_GB2312" w:eastAsia="仿宋_GB2312"/>
          <w:sz w:val="32"/>
          <w:szCs w:val="32"/>
        </w:rPr>
        <w:t>调整蔬菜产品结构，减少主栽品种数量。调整后的绿叶蔬菜种植种类为:青菜、杭白菜、鸡毛菜等，优先种植适应机械化生产的蔬菜品种。种植主要蔬菜品种数量不超过5种，种植面积占80%以上。</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（三）探索机械化生产技术模式</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outlineLvl w:val="9"/>
        <w:rPr>
          <w:rFonts w:ascii="楷体_GB2312" w:hAnsi="楷体_GB2312" w:eastAsia="楷体_GB2312" w:cs="楷体_GB2312"/>
          <w:sz w:val="32"/>
          <w:szCs w:val="32"/>
        </w:rPr>
      </w:pPr>
      <w:r>
        <w:rPr>
          <w:rFonts w:hint="eastAsia" w:ascii="仿宋_GB2312" w:eastAsia="仿宋_GB2312"/>
          <w:sz w:val="32"/>
          <w:szCs w:val="32"/>
        </w:rPr>
        <w:t>围绕机械化种植、机械化采收等关键环节，探索主要菜品机械化技术集成与应用，形成本蔬菜基地主要蔬菜种类的机械化生产模式和技术集成，包括青菜机械化生产模式、鸡毛菜机械化生产模式、杭白菜机械化生产模式等。</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（四）完善“宜机化”改造</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 w:hAnsi="仿宋" w:eastAsia="仿宋" w:cs="仿宋"/>
          <w:sz w:val="32"/>
          <w:szCs w:val="32"/>
        </w:rPr>
      </w:pPr>
      <w:r>
        <w:rPr>
          <w:rFonts w:hint="eastAsia" w:ascii="仿宋_GB2312" w:eastAsia="仿宋_GB2312"/>
          <w:sz w:val="32"/>
          <w:szCs w:val="32"/>
        </w:rPr>
        <w:t>积极完善灌溉追肥机械、设施环境调控装备等设施“宜机化”改造，重点完成8型棚和连栋棚的电动卷膜机改造106套、门头及过桥板改造36个。</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（五）资金(计划）配置明细</w:t>
      </w:r>
    </w:p>
    <w:tbl>
      <w:tblPr>
        <w:tblStyle w:val="7"/>
        <w:tblW w:w="8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9"/>
        <w:gridCol w:w="915"/>
        <w:gridCol w:w="1140"/>
        <w:gridCol w:w="2401"/>
        <w:gridCol w:w="1397"/>
        <w:gridCol w:w="13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9"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机具类别</w:t>
            </w:r>
          </w:p>
        </w:tc>
        <w:tc>
          <w:tcPr>
            <w:tcW w:w="91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单价</w:t>
            </w:r>
          </w:p>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/万元</w:t>
            </w:r>
          </w:p>
        </w:tc>
        <w:tc>
          <w:tcPr>
            <w:tcW w:w="1140"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数量</w:t>
            </w:r>
          </w:p>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/台（个）</w:t>
            </w:r>
          </w:p>
        </w:tc>
        <w:tc>
          <w:tcPr>
            <w:tcW w:w="2401"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型号</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金额</w:t>
            </w:r>
          </w:p>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/万元</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购置补贴</w:t>
            </w:r>
          </w:p>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9" w:type="dxa"/>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悬挂式起垄机</w:t>
            </w:r>
          </w:p>
        </w:tc>
        <w:tc>
          <w:tcPr>
            <w:tcW w:w="91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5.6</w:t>
            </w:r>
          </w:p>
        </w:tc>
        <w:tc>
          <w:tcPr>
            <w:tcW w:w="1140"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1</w:t>
            </w:r>
          </w:p>
        </w:tc>
        <w:tc>
          <w:tcPr>
            <w:tcW w:w="2401"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JT-QL1200A</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5.6</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9" w:type="dxa"/>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深松深翻机</w:t>
            </w:r>
          </w:p>
        </w:tc>
        <w:tc>
          <w:tcPr>
            <w:tcW w:w="91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9</w:t>
            </w:r>
          </w:p>
        </w:tc>
        <w:tc>
          <w:tcPr>
            <w:tcW w:w="1140"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1</w:t>
            </w:r>
          </w:p>
        </w:tc>
        <w:tc>
          <w:tcPr>
            <w:tcW w:w="2401"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DMSS-152</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9</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9" w:type="dxa"/>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叶菜采收机</w:t>
            </w:r>
          </w:p>
        </w:tc>
        <w:tc>
          <w:tcPr>
            <w:tcW w:w="91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5.6</w:t>
            </w:r>
          </w:p>
        </w:tc>
        <w:tc>
          <w:tcPr>
            <w:tcW w:w="1140"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1</w:t>
            </w:r>
          </w:p>
        </w:tc>
        <w:tc>
          <w:tcPr>
            <w:tcW w:w="2401"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4VYC-120(A)-锂电池</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5.6</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9" w:type="dxa"/>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电动卷膜机</w:t>
            </w:r>
          </w:p>
        </w:tc>
        <w:tc>
          <w:tcPr>
            <w:tcW w:w="91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0.3</w:t>
            </w:r>
          </w:p>
        </w:tc>
        <w:tc>
          <w:tcPr>
            <w:tcW w:w="1140"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106</w:t>
            </w:r>
          </w:p>
        </w:tc>
        <w:tc>
          <w:tcPr>
            <w:tcW w:w="2401"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31.8</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9" w:type="dxa"/>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过桥板</w:t>
            </w:r>
          </w:p>
        </w:tc>
        <w:tc>
          <w:tcPr>
            <w:tcW w:w="91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0.35</w:t>
            </w:r>
          </w:p>
        </w:tc>
        <w:tc>
          <w:tcPr>
            <w:tcW w:w="1140"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36</w:t>
            </w:r>
          </w:p>
        </w:tc>
        <w:tc>
          <w:tcPr>
            <w:tcW w:w="2401"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12.6</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9" w:type="dxa"/>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合计</w:t>
            </w:r>
          </w:p>
        </w:tc>
        <w:tc>
          <w:tcPr>
            <w:tcW w:w="4456" w:type="dxa"/>
            <w:gridSpan w:val="3"/>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64.6</w:t>
            </w:r>
          </w:p>
        </w:tc>
        <w:tc>
          <w:tcPr>
            <w:tcW w:w="1397"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1.5</w:t>
            </w:r>
          </w:p>
        </w:tc>
      </w:tr>
    </w:tbl>
    <w:p>
      <w:pPr>
        <w:pStyle w:val="5"/>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eastAsia="仿宋_GB2312"/>
          <w:sz w:val="32"/>
          <w:szCs w:val="32"/>
        </w:rPr>
      </w:pPr>
      <w:r>
        <w:rPr>
          <w:rFonts w:hint="eastAsia" w:ascii="仿宋_GB2312" w:eastAsia="仿宋_GB2312"/>
          <w:sz w:val="32"/>
          <w:szCs w:val="32"/>
        </w:rPr>
        <w:t>结合本年度新增蔬菜采收试验及应用等创建内容，参照2021年一次性项目《创建蔬菜机器换人示范基地》补助标准及市相关文件，拟补助如下：</w:t>
      </w:r>
    </w:p>
    <w:tbl>
      <w:tblPr>
        <w:tblStyle w:val="7"/>
        <w:tblpPr w:leftFromText="180" w:rightFromText="180" w:vertAnchor="text" w:horzAnchor="page" w:tblpX="1770" w:tblpY="140"/>
        <w:tblOverlap w:val="never"/>
        <w:tblW w:w="89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5"/>
        <w:gridCol w:w="735"/>
        <w:gridCol w:w="2250"/>
        <w:gridCol w:w="1425"/>
        <w:gridCol w:w="2160"/>
        <w:gridCol w:w="9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134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市级</w:t>
            </w:r>
          </w:p>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基地名称</w:t>
            </w:r>
          </w:p>
        </w:tc>
        <w:tc>
          <w:tcPr>
            <w:tcW w:w="73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创建面积</w:t>
            </w:r>
          </w:p>
        </w:tc>
        <w:tc>
          <w:tcPr>
            <w:tcW w:w="2250"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eastAsiaTheme="minorEastAsia"/>
                <w:b/>
                <w:bCs/>
                <w:szCs w:val="21"/>
              </w:rPr>
            </w:pPr>
            <w:r>
              <w:rPr>
                <w:rFonts w:hint="eastAsia"/>
                <w:b/>
                <w:bCs/>
                <w:szCs w:val="21"/>
              </w:rPr>
              <w:t>机械配置补助</w:t>
            </w:r>
          </w:p>
        </w:tc>
        <w:tc>
          <w:tcPr>
            <w:tcW w:w="142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损耗补助</w:t>
            </w:r>
          </w:p>
        </w:tc>
        <w:tc>
          <w:tcPr>
            <w:tcW w:w="2160"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eastAsiaTheme="minorEastAsia"/>
                <w:b/>
                <w:bCs/>
                <w:szCs w:val="21"/>
              </w:rPr>
            </w:pPr>
            <w:r>
              <w:rPr>
                <w:rFonts w:hint="eastAsia"/>
                <w:b/>
                <w:bCs/>
                <w:szCs w:val="21"/>
              </w:rPr>
              <w:t>种植补助</w:t>
            </w:r>
          </w:p>
        </w:tc>
        <w:tc>
          <w:tcPr>
            <w:tcW w:w="990"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b/>
                <w:bCs/>
                <w:szCs w:val="21"/>
              </w:rPr>
            </w:pPr>
            <w:r>
              <w:rPr>
                <w:rFonts w:hint="eastAsia"/>
                <w:b/>
                <w:bCs/>
                <w:szCs w:val="21"/>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上海净达蔬菜专业合作社</w:t>
            </w:r>
          </w:p>
        </w:tc>
        <w:tc>
          <w:tcPr>
            <w:tcW w:w="73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sz w:val="18"/>
                <w:szCs w:val="18"/>
              </w:rPr>
            </w:pPr>
            <w:r>
              <w:rPr>
                <w:rFonts w:hint="eastAsia" w:asciiTheme="minorEastAsia" w:hAnsiTheme="minorEastAsia"/>
                <w:sz w:val="18"/>
                <w:szCs w:val="18"/>
              </w:rPr>
              <w:t>150亩</w:t>
            </w:r>
          </w:p>
        </w:tc>
        <w:tc>
          <w:tcPr>
            <w:tcW w:w="2250" w:type="dxa"/>
            <w:vAlign w:val="center"/>
          </w:tcPr>
          <w:p>
            <w:pPr>
              <w:keepNext w:val="0"/>
              <w:keepLines w:val="0"/>
              <w:pageBreakBefore w:val="0"/>
              <w:widowControl w:val="0"/>
              <w:kinsoku/>
              <w:wordWrap/>
              <w:overflowPunct/>
              <w:topLinePunct w:val="0"/>
              <w:autoSpaceDE/>
              <w:autoSpaceDN/>
              <w:bidi w:val="0"/>
              <w:adjustRightInd/>
              <w:spacing w:line="560" w:lineRule="exact"/>
              <w:jc w:val="left"/>
              <w:textAlignment w:val="auto"/>
              <w:outlineLvl w:val="9"/>
              <w:rPr>
                <w:rFonts w:asciiTheme="minorEastAsia" w:hAnsiTheme="minorEastAsia"/>
                <w:sz w:val="18"/>
                <w:szCs w:val="18"/>
              </w:rPr>
            </w:pPr>
            <w:r>
              <w:rPr>
                <w:rFonts w:hint="eastAsia" w:asciiTheme="minorEastAsia" w:hAnsiTheme="minorEastAsia"/>
                <w:sz w:val="18"/>
                <w:szCs w:val="18"/>
              </w:rPr>
              <w:t>宜机化改造106个棚，补助50%，15.9万</w:t>
            </w:r>
          </w:p>
          <w:p>
            <w:pPr>
              <w:keepNext w:val="0"/>
              <w:keepLines w:val="0"/>
              <w:pageBreakBefore w:val="0"/>
              <w:widowControl w:val="0"/>
              <w:kinsoku/>
              <w:wordWrap/>
              <w:overflowPunct/>
              <w:topLinePunct w:val="0"/>
              <w:autoSpaceDE/>
              <w:autoSpaceDN/>
              <w:bidi w:val="0"/>
              <w:adjustRightInd/>
              <w:spacing w:line="560" w:lineRule="exact"/>
              <w:jc w:val="left"/>
              <w:textAlignment w:val="auto"/>
              <w:outlineLvl w:val="9"/>
              <w:rPr>
                <w:rFonts w:asciiTheme="minorEastAsia" w:hAnsiTheme="minorEastAsia" w:eastAsiaTheme="minorEastAsia"/>
                <w:sz w:val="18"/>
                <w:szCs w:val="18"/>
              </w:rPr>
            </w:pPr>
            <w:r>
              <w:rPr>
                <w:rFonts w:hint="eastAsia" w:asciiTheme="minorEastAsia" w:hAnsiTheme="minorEastAsia"/>
                <w:sz w:val="18"/>
                <w:szCs w:val="18"/>
              </w:rPr>
              <w:t>过桥板改造36个，补助50%，6.3万元</w:t>
            </w:r>
          </w:p>
          <w:p>
            <w:pPr>
              <w:keepNext w:val="0"/>
              <w:keepLines w:val="0"/>
              <w:pageBreakBefore w:val="0"/>
              <w:widowControl w:val="0"/>
              <w:kinsoku/>
              <w:wordWrap/>
              <w:overflowPunct/>
              <w:topLinePunct w:val="0"/>
              <w:autoSpaceDE/>
              <w:autoSpaceDN/>
              <w:bidi w:val="0"/>
              <w:adjustRightInd/>
              <w:spacing w:line="560" w:lineRule="exact"/>
              <w:jc w:val="left"/>
              <w:textAlignment w:val="auto"/>
              <w:outlineLvl w:val="9"/>
              <w:rPr>
                <w:rFonts w:asciiTheme="minorEastAsia" w:hAnsiTheme="minorEastAsia"/>
                <w:sz w:val="18"/>
                <w:szCs w:val="18"/>
              </w:rPr>
            </w:pPr>
            <w:r>
              <w:rPr>
                <w:rFonts w:hint="eastAsia" w:asciiTheme="minorEastAsia" w:hAnsiTheme="minorEastAsia"/>
                <w:sz w:val="18"/>
                <w:szCs w:val="18"/>
              </w:rPr>
              <w:t>补助合计2</w:t>
            </w:r>
            <w:r>
              <w:rPr>
                <w:rFonts w:hint="eastAsia" w:asciiTheme="minorEastAsia" w:hAnsiTheme="minorEastAsia"/>
                <w:sz w:val="18"/>
                <w:szCs w:val="18"/>
                <w:lang w:val="en-US" w:eastAsia="zh-CN"/>
              </w:rPr>
              <w:t>2.2</w:t>
            </w:r>
            <w:r>
              <w:rPr>
                <w:rFonts w:hint="eastAsia" w:asciiTheme="minorEastAsia" w:hAnsiTheme="minorEastAsia"/>
                <w:sz w:val="18"/>
                <w:szCs w:val="18"/>
              </w:rPr>
              <w:t>万元</w:t>
            </w:r>
          </w:p>
        </w:tc>
        <w:tc>
          <w:tcPr>
            <w:tcW w:w="142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eastAsiaTheme="minorEastAsia"/>
                <w:sz w:val="18"/>
                <w:szCs w:val="18"/>
              </w:rPr>
            </w:pPr>
            <w:r>
              <w:rPr>
                <w:rFonts w:hint="eastAsia" w:asciiTheme="minorEastAsia" w:hAnsiTheme="minorEastAsia"/>
                <w:sz w:val="18"/>
                <w:szCs w:val="18"/>
              </w:rPr>
              <w:t>7万元</w:t>
            </w:r>
          </w:p>
        </w:tc>
        <w:tc>
          <w:tcPr>
            <w:tcW w:w="2160" w:type="dxa"/>
            <w:vAlign w:val="center"/>
          </w:tcPr>
          <w:p>
            <w:pPr>
              <w:keepNext w:val="0"/>
              <w:keepLines w:val="0"/>
              <w:pageBreakBefore w:val="0"/>
              <w:widowControl w:val="0"/>
              <w:kinsoku/>
              <w:wordWrap/>
              <w:overflowPunct/>
              <w:topLinePunct w:val="0"/>
              <w:autoSpaceDE/>
              <w:autoSpaceDN/>
              <w:bidi w:val="0"/>
              <w:adjustRightInd/>
              <w:spacing w:line="560" w:lineRule="exact"/>
              <w:jc w:val="left"/>
              <w:textAlignment w:val="auto"/>
              <w:outlineLvl w:val="9"/>
              <w:rPr>
                <w:rFonts w:asciiTheme="minorEastAsia" w:hAnsiTheme="minorEastAsia"/>
                <w:sz w:val="18"/>
                <w:szCs w:val="18"/>
              </w:rPr>
            </w:pPr>
            <w:r>
              <w:rPr>
                <w:rFonts w:hint="eastAsia" w:asciiTheme="minorEastAsia" w:hAnsiTheme="minorEastAsia"/>
                <w:sz w:val="18"/>
                <w:szCs w:val="18"/>
              </w:rPr>
              <w:t>按年平均作业6茬，</w:t>
            </w:r>
          </w:p>
          <w:p>
            <w:pPr>
              <w:keepNext w:val="0"/>
              <w:keepLines w:val="0"/>
              <w:pageBreakBefore w:val="0"/>
              <w:widowControl w:val="0"/>
              <w:kinsoku/>
              <w:wordWrap/>
              <w:overflowPunct/>
              <w:topLinePunct w:val="0"/>
              <w:autoSpaceDE/>
              <w:autoSpaceDN/>
              <w:bidi w:val="0"/>
              <w:adjustRightInd/>
              <w:spacing w:line="560" w:lineRule="exact"/>
              <w:jc w:val="left"/>
              <w:textAlignment w:val="auto"/>
              <w:outlineLvl w:val="9"/>
              <w:rPr>
                <w:rFonts w:asciiTheme="minorEastAsia" w:hAnsiTheme="minorEastAsia"/>
                <w:sz w:val="18"/>
                <w:szCs w:val="18"/>
              </w:rPr>
            </w:pPr>
            <w:r>
              <w:rPr>
                <w:rFonts w:hint="eastAsia" w:asciiTheme="minorEastAsia" w:hAnsiTheme="minorEastAsia"/>
                <w:sz w:val="18"/>
                <w:szCs w:val="18"/>
              </w:rPr>
              <w:t>0.015万元/亩次*150亩*6=13.5万元</w:t>
            </w:r>
          </w:p>
        </w:tc>
        <w:tc>
          <w:tcPr>
            <w:tcW w:w="990"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eastAsiaTheme="minorEastAsia"/>
                <w:sz w:val="18"/>
                <w:szCs w:val="18"/>
              </w:rPr>
            </w:pPr>
            <w:r>
              <w:rPr>
                <w:rFonts w:hint="eastAsia" w:asciiTheme="minorEastAsia" w:hAnsiTheme="minorEastAsia"/>
                <w:sz w:val="18"/>
                <w:szCs w:val="18"/>
                <w:lang w:val="en-US" w:eastAsia="zh-CN"/>
              </w:rPr>
              <w:t>42.7</w:t>
            </w:r>
            <w:r>
              <w:rPr>
                <w:rFonts w:hint="eastAsia" w:asciiTheme="minorEastAsia" w:hAnsiTheme="minorEastAsia"/>
                <w:sz w:val="18"/>
                <w:szCs w:val="18"/>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5"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仿宋_GB2312" w:eastAsia="仿宋_GB2312"/>
                <w:sz w:val="24"/>
              </w:rPr>
            </w:pPr>
            <w:r>
              <w:rPr>
                <w:rFonts w:hint="eastAsia" w:ascii="仿宋_GB2312" w:eastAsia="仿宋_GB2312"/>
                <w:sz w:val="24"/>
              </w:rPr>
              <w:t>合计</w:t>
            </w:r>
          </w:p>
        </w:tc>
        <w:tc>
          <w:tcPr>
            <w:tcW w:w="6570" w:type="dxa"/>
            <w:gridSpan w:val="4"/>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仿宋_GB2312" w:eastAsia="仿宋_GB2312"/>
                <w:sz w:val="24"/>
              </w:rPr>
            </w:pPr>
            <w:r>
              <w:rPr>
                <w:rFonts w:hint="eastAsia" w:ascii="仿宋_GB2312" w:eastAsia="仿宋_GB2312"/>
                <w:sz w:val="24"/>
              </w:rPr>
              <w:t>/</w:t>
            </w:r>
          </w:p>
        </w:tc>
        <w:tc>
          <w:tcPr>
            <w:tcW w:w="990" w:type="dxa"/>
            <w:vAlign w:val="center"/>
          </w:tcPr>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Theme="minorEastAsia" w:hAnsiTheme="minorEastAsia" w:eastAsiaTheme="minorEastAsia"/>
                <w:sz w:val="18"/>
                <w:szCs w:val="18"/>
              </w:rPr>
            </w:pPr>
            <w:r>
              <w:rPr>
                <w:rFonts w:hint="eastAsia" w:asciiTheme="minorEastAsia" w:hAnsiTheme="minorEastAsia"/>
                <w:sz w:val="18"/>
                <w:szCs w:val="18"/>
                <w:lang w:val="en-US" w:eastAsia="zh-CN"/>
              </w:rPr>
              <w:t>42.7</w:t>
            </w:r>
            <w:r>
              <w:rPr>
                <w:rFonts w:hint="eastAsia" w:asciiTheme="minorEastAsia" w:hAnsiTheme="minorEastAsia"/>
                <w:sz w:val="18"/>
                <w:szCs w:val="18"/>
              </w:rPr>
              <w:t>万元</w:t>
            </w:r>
          </w:p>
        </w:tc>
      </w:tr>
    </w:tbl>
    <w:p>
      <w:pPr>
        <w:keepNext w:val="0"/>
        <w:keepLines w:val="0"/>
        <w:pageBreakBefore w:val="0"/>
        <w:widowControl w:val="0"/>
        <w:numPr>
          <w:ilvl w:val="0"/>
          <w:numId w:val="1"/>
        </w:numPr>
        <w:kinsoku/>
        <w:wordWrap/>
        <w:overflowPunct/>
        <w:topLinePunct w:val="0"/>
        <w:autoSpaceDE/>
        <w:autoSpaceDN/>
        <w:bidi w:val="0"/>
        <w:adjustRightInd/>
        <w:spacing w:line="560" w:lineRule="exact"/>
        <w:ind w:firstLine="640" w:firstLineChars="200"/>
        <w:textAlignment w:val="auto"/>
        <w:outlineLvl w:val="9"/>
        <w:rPr>
          <w:rFonts w:ascii="黑体" w:hAnsi="黑体" w:eastAsia="黑体" w:cs="黑体"/>
          <w:sz w:val="32"/>
          <w:szCs w:val="32"/>
        </w:rPr>
      </w:pPr>
      <w:r>
        <w:rPr>
          <w:rFonts w:hint="eastAsia" w:ascii="黑体" w:hAnsi="黑体" w:eastAsia="黑体" w:cs="黑体"/>
          <w:sz w:val="32"/>
          <w:szCs w:val="32"/>
        </w:rPr>
        <w:t>时间节点</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eastAsia="仿宋_GB2312"/>
          <w:sz w:val="32"/>
          <w:szCs w:val="32"/>
        </w:rPr>
      </w:pPr>
      <w:r>
        <w:rPr>
          <w:rFonts w:hint="eastAsia" w:ascii="仿宋_GB2312" w:eastAsia="仿宋_GB2312"/>
          <w:sz w:val="32"/>
          <w:szCs w:val="32"/>
        </w:rPr>
        <w:t>1月确定年度工作目标和任务；2月制定工作方案和生产计划，并组织实施；3月细化建设内容和任务指标；4月完成示范基地和示范场机械配置与机械化作业计划，开展操作人员技术培训；5月开展新农机农艺技术融合生产指导，进行蔬菜机械化配套作业试验；6月完善绿叶菜生产机械化作业技术路线和鸡毛菜生产全程机械化技术路线；7月完成主要农机具购置，组织开展蔬菜机械的使用与维护保养等指导服务；8月全面实施蔬菜生产机械化作业，做好机械化作业月度报送工作；9月完成设施“宜机化”改造；10月组织开展蔬菜机械化生产的农机与农艺融合指导，进行生产性作业检查核对，确保完成年度计划。11月完成年度各项目标任务，结合工作推进、技术完善和生产指标等，完成年度工作总结；12月组织开展考核验收。</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 w:hAnsi="仿宋" w:eastAsia="仿宋" w:cs="仿宋"/>
          <w:sz w:val="32"/>
          <w:szCs w:val="32"/>
        </w:rPr>
      </w:pPr>
      <w:r>
        <w:rPr>
          <w:rFonts w:hint="eastAsia" w:ascii="黑体" w:hAnsi="黑体" w:eastAsia="黑体" w:cs="黑体"/>
          <w:sz w:val="32"/>
          <w:szCs w:val="32"/>
          <w:lang w:eastAsia="zh-CN"/>
        </w:rPr>
        <w:t>（一）</w:t>
      </w:r>
      <w:r>
        <w:rPr>
          <w:rFonts w:hint="eastAsia" w:ascii="楷体_GB2312" w:hAnsi="楷体_GB2312" w:eastAsia="楷体_GB2312" w:cs="楷体_GB2312"/>
          <w:sz w:val="32"/>
          <w:szCs w:val="32"/>
        </w:rPr>
        <w:t>加强组织领导，明确工作责任</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区农</w:t>
      </w:r>
      <w:r>
        <w:rPr>
          <w:rFonts w:hint="eastAsia" w:ascii="仿宋_GB2312" w:hAnsi="仿宋_GB2312" w:eastAsia="仿宋_GB2312" w:cs="仿宋_GB2312"/>
          <w:sz w:val="32"/>
          <w:szCs w:val="32"/>
          <w:lang w:val="en-US" w:eastAsia="zh-CN"/>
        </w:rPr>
        <w:t>业农村</w:t>
      </w:r>
      <w:r>
        <w:rPr>
          <w:rFonts w:hint="eastAsia" w:ascii="仿宋_GB2312" w:hAnsi="仿宋_GB2312" w:eastAsia="仿宋_GB2312" w:cs="仿宋_GB2312"/>
          <w:sz w:val="32"/>
          <w:szCs w:val="32"/>
        </w:rPr>
        <w:t>委蔬菜科、区农机站成立崇明区蔬菜绿色生产“机械换人”示范基地建设推进小组，加大技术指导力度，保证新农机新技术尽快应用到生产中。示范基地成立“机械换人”工作小组，明确示范基地建设推进责任人、技术指导人员等专职人员；制定各蔬菜机械化生产示范基地建设方案，为推进蔬菜生产全程机械化打好</w:t>
      </w:r>
      <w:r>
        <w:rPr>
          <w:rFonts w:hint="eastAsia" w:ascii="仿宋_GB2312" w:hAnsi="仿宋_GB2312" w:eastAsia="仿宋_GB2312" w:cs="仿宋_GB2312"/>
          <w:sz w:val="32"/>
          <w:szCs w:val="32"/>
          <w:lang w:val="en-US" w:eastAsia="zh-CN"/>
        </w:rPr>
        <w:t>基础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 w:hAnsi="仿宋" w:eastAsia="楷体_GB2312" w:cs="仿宋"/>
          <w:sz w:val="32"/>
          <w:szCs w:val="32"/>
        </w:rPr>
      </w:pPr>
      <w:r>
        <w:rPr>
          <w:rFonts w:hint="eastAsia" w:ascii="楷体_GB2312" w:hAnsi="楷体_GB2312" w:eastAsia="楷体_GB2312" w:cs="楷体_GB2312"/>
          <w:sz w:val="32"/>
          <w:szCs w:val="32"/>
          <w:lang w:eastAsia="zh-CN"/>
        </w:rPr>
        <w:t>（二）</w:t>
      </w:r>
      <w:r>
        <w:rPr>
          <w:rFonts w:hint="eastAsia" w:ascii="楷体_GB2312" w:hAnsi="楷体_GB2312" w:eastAsia="楷体_GB2312" w:cs="楷体_GB2312"/>
          <w:sz w:val="32"/>
          <w:szCs w:val="32"/>
        </w:rPr>
        <w:t>加大财政支持力度，落实惠农政策</w:t>
      </w:r>
    </w:p>
    <w:p>
      <w:pPr>
        <w:keepNext w:val="0"/>
        <w:keepLines w:val="0"/>
        <w:pageBreakBefore w:val="0"/>
        <w:widowControl w:val="0"/>
        <w:kinsoku/>
        <w:wordWrap/>
        <w:overflowPunct/>
        <w:topLinePunct w:val="0"/>
        <w:autoSpaceDE/>
        <w:autoSpaceDN/>
        <w:bidi w:val="0"/>
        <w:adjustRightInd/>
        <w:spacing w:line="560" w:lineRule="exact"/>
        <w:jc w:val="both"/>
        <w:textAlignment w:val="auto"/>
        <w:outlineLvl w:val="9"/>
        <w:rPr>
          <w:rFonts w:hint="eastAsia" w:ascii="仿宋_GB2312" w:hAnsi="仿宋_GB2312" w:eastAsia="仿宋_GB2312" w:cs="仿宋_GB2312"/>
          <w:sz w:val="32"/>
          <w:szCs w:val="32"/>
        </w:rPr>
      </w:pPr>
      <w:r>
        <w:rPr>
          <w:rFonts w:hint="eastAsia" w:ascii="仿宋" w:hAnsi="仿宋" w:eastAsia="仿宋" w:cs="仿宋"/>
          <w:sz w:val="32"/>
          <w:szCs w:val="32"/>
        </w:rPr>
        <w:t xml:space="preserve">    </w:t>
      </w:r>
      <w:r>
        <w:rPr>
          <w:rFonts w:hint="eastAsia" w:ascii="仿宋_GB2312" w:hAnsi="仿宋_GB2312" w:eastAsia="仿宋_GB2312" w:cs="仿宋_GB2312"/>
          <w:sz w:val="32"/>
          <w:szCs w:val="32"/>
        </w:rPr>
        <w:t>认真落实农机购置补贴政策以及蔬菜机械地方专项补贴等政策，确保相关资金精准实施蔬菜绿色生产“机器换人”示范基地建设，优先保证示范基地购买国内外先进适用农机，满足蔬菜机械化生产需要。</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 w:hAnsi="仿宋" w:eastAsia="仿宋" w:cs="仿宋"/>
          <w:sz w:val="32"/>
          <w:szCs w:val="32"/>
        </w:rPr>
      </w:pPr>
      <w:r>
        <w:rPr>
          <w:rFonts w:hint="eastAsia" w:ascii="楷体_GB2312" w:hAnsi="楷体_GB2312" w:eastAsia="楷体_GB2312" w:cs="楷体_GB2312"/>
          <w:sz w:val="32"/>
          <w:szCs w:val="32"/>
          <w:lang w:eastAsia="zh-CN"/>
        </w:rPr>
        <w:t>（三）</w:t>
      </w:r>
      <w:r>
        <w:rPr>
          <w:rFonts w:hint="eastAsia" w:ascii="楷体_GB2312" w:hAnsi="楷体_GB2312" w:eastAsia="楷体_GB2312" w:cs="楷体_GB2312"/>
          <w:sz w:val="32"/>
          <w:szCs w:val="32"/>
        </w:rPr>
        <w:t>强化社会化服务和农机技术培训</w:t>
      </w:r>
    </w:p>
    <w:p>
      <w:pPr>
        <w:keepNext w:val="0"/>
        <w:keepLines w:val="0"/>
        <w:pageBreakBefore w:val="0"/>
        <w:widowControl w:val="0"/>
        <w:kinsoku/>
        <w:wordWrap/>
        <w:overflowPunct/>
        <w:topLinePunct w:val="0"/>
        <w:autoSpaceDE/>
        <w:autoSpaceDN/>
        <w:bidi w:val="0"/>
        <w:adjustRightInd/>
        <w:spacing w:line="560" w:lineRule="exact"/>
        <w:jc w:val="left"/>
        <w:textAlignment w:val="auto"/>
        <w:outlineLvl w:val="9"/>
        <w:rPr>
          <w:rFonts w:hint="eastAsia" w:ascii="仿宋_GB2312" w:hAnsi="仿宋_GB2312" w:eastAsia="仿宋_GB2312" w:cs="仿宋_GB2312"/>
          <w:sz w:val="32"/>
          <w:szCs w:val="32"/>
        </w:rPr>
      </w:pPr>
      <w:r>
        <w:rPr>
          <w:rFonts w:hint="eastAsia" w:ascii="仿宋" w:hAnsi="仿宋" w:eastAsia="仿宋" w:cs="仿宋"/>
          <w:sz w:val="32"/>
          <w:szCs w:val="32"/>
        </w:rPr>
        <w:t xml:space="preserve">   </w:t>
      </w:r>
      <w:r>
        <w:rPr>
          <w:rFonts w:hint="eastAsia" w:ascii="仿宋_GB2312" w:hAnsi="仿宋_GB2312" w:eastAsia="仿宋_GB2312" w:cs="仿宋_GB2312"/>
          <w:sz w:val="32"/>
          <w:szCs w:val="32"/>
        </w:rPr>
        <w:t xml:space="preserve"> 探索蔬菜机械化生产服务体系建设，鼓励有条件的示范基地为其他蔬菜园艺场提供农机作业服务；鼓励农机产销企业设店开展维修保养和配件供应等售后服务。组织开展示范基地农机化生产管理人员、农机技术人员和驾驶操作人员技能培训，打造一支农机农艺复合型专业人才队伍。</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lang w:eastAsia="zh-CN"/>
        </w:rPr>
        <w:t>（四）</w:t>
      </w:r>
      <w:r>
        <w:rPr>
          <w:rFonts w:hint="eastAsia" w:ascii="楷体_GB2312" w:hAnsi="楷体_GB2312" w:eastAsia="楷体_GB2312" w:cs="楷体_GB2312"/>
          <w:sz w:val="32"/>
          <w:szCs w:val="32"/>
        </w:rPr>
        <w:t>加强总结和宣传，突出典型引领</w:t>
      </w:r>
    </w:p>
    <w:p>
      <w:pPr>
        <w:keepNext w:val="0"/>
        <w:keepLines w:val="0"/>
        <w:pageBreakBefore w:val="0"/>
        <w:widowControl w:val="0"/>
        <w:kinsoku/>
        <w:wordWrap/>
        <w:overflowPunct/>
        <w:topLinePunct w:val="0"/>
        <w:autoSpaceDE/>
        <w:autoSpaceDN/>
        <w:bidi w:val="0"/>
        <w:adjustRightInd/>
        <w:spacing w:line="560" w:lineRule="exac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及时总结示范基地</w:t>
      </w:r>
      <w:r>
        <w:rPr>
          <w:rFonts w:hint="eastAsia" w:ascii="仿宋_GB2312" w:hAnsi="仿宋_GB2312" w:eastAsia="仿宋_GB2312" w:cs="仿宋_GB2312"/>
          <w:sz w:val="32"/>
          <w:szCs w:val="32"/>
          <w:lang w:val="en-US" w:eastAsia="zh-CN"/>
        </w:rPr>
        <w:t>实施</w:t>
      </w:r>
      <w:r>
        <w:rPr>
          <w:rFonts w:hint="eastAsia" w:ascii="仿宋_GB2312" w:hAnsi="仿宋_GB2312" w:eastAsia="仿宋_GB2312" w:cs="仿宋_GB2312"/>
          <w:sz w:val="32"/>
          <w:szCs w:val="32"/>
        </w:rPr>
        <w:t>绿色生产“机器换人”的好经验、好做法，树立典型，宣传推广成熟模式。大力宣传推进工作的成效和经验，引导各有关方面积极参与推进工作，营造有利于蔬菜绿色生产“机器换人”示范基地建设的良好氛围。</w:t>
      </w:r>
    </w:p>
    <w:p>
      <w:pPr>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eastAsia="仿宋_GB2312"/>
          <w:sz w:val="32"/>
          <w:szCs w:val="32"/>
        </w:rPr>
      </w:pPr>
    </w:p>
    <w:p>
      <w:pPr>
        <w:pStyle w:val="2"/>
        <w:rPr>
          <w:rFonts w:hint="eastAsia" w:ascii="仿宋_GB2312" w:eastAsia="仿宋_GB2312"/>
          <w:sz w:val="32"/>
          <w:szCs w:val="32"/>
        </w:rPr>
      </w:pPr>
    </w:p>
    <w:p>
      <w:pPr>
        <w:rPr>
          <w:rFonts w:hint="eastAsia" w:ascii="仿宋_GB2312" w:eastAsia="仿宋_GB2312"/>
          <w:sz w:val="32"/>
          <w:szCs w:val="32"/>
        </w:rPr>
      </w:pPr>
    </w:p>
    <w:p>
      <w:pPr>
        <w:pStyle w:val="2"/>
        <w:rPr>
          <w:rFonts w:hint="eastAsia" w:ascii="仿宋_GB2312" w:eastAsia="仿宋_GB2312"/>
          <w:sz w:val="32"/>
          <w:szCs w:val="32"/>
        </w:rPr>
      </w:pPr>
    </w:p>
    <w:p>
      <w:pPr>
        <w:rPr>
          <w:rFonts w:hint="eastAsia" w:ascii="仿宋_GB2312" w:eastAsia="仿宋_GB2312"/>
          <w:sz w:val="32"/>
          <w:szCs w:val="32"/>
        </w:rPr>
      </w:pPr>
    </w:p>
    <w:p>
      <w:pPr>
        <w:pStyle w:val="2"/>
        <w:rPr>
          <w:rFonts w:hint="eastAsia" w:ascii="仿宋_GB2312" w:eastAsia="仿宋_GB2312"/>
          <w:sz w:val="32"/>
          <w:szCs w:val="32"/>
        </w:rPr>
      </w:pPr>
    </w:p>
    <w:p>
      <w:pPr>
        <w:rPr>
          <w:rFonts w:hint="eastAsia" w:ascii="仿宋_GB2312" w:eastAsia="仿宋_GB2312"/>
          <w:sz w:val="32"/>
          <w:szCs w:val="32"/>
        </w:rPr>
      </w:pPr>
    </w:p>
    <w:p>
      <w:pPr>
        <w:pStyle w:val="2"/>
        <w:rPr>
          <w:rFonts w:hint="eastAsia" w:ascii="仿宋_GB2312" w:eastAsia="仿宋_GB2312"/>
          <w:sz w:val="32"/>
          <w:szCs w:val="32"/>
        </w:rPr>
      </w:pPr>
    </w:p>
    <w:p>
      <w:pPr>
        <w:rPr>
          <w:rFonts w:hint="eastAsia" w:ascii="仿宋_GB2312" w:eastAsia="仿宋_GB2312"/>
          <w:sz w:val="32"/>
          <w:szCs w:val="32"/>
        </w:rPr>
      </w:pPr>
    </w:p>
    <w:p>
      <w:pPr>
        <w:pStyle w:val="2"/>
        <w:rPr>
          <w:rFonts w:hint="eastAsia" w:ascii="仿宋_GB2312" w:eastAsia="仿宋_GB2312"/>
          <w:sz w:val="32"/>
          <w:szCs w:val="32"/>
        </w:rPr>
      </w:pPr>
    </w:p>
    <w:p>
      <w:pPr>
        <w:rPr>
          <w:rFonts w:hint="eastAsia" w:ascii="仿宋_GB2312" w:eastAsia="仿宋_GB2312"/>
          <w:sz w:val="32"/>
          <w:szCs w:val="32"/>
        </w:rPr>
      </w:pPr>
    </w:p>
    <w:p>
      <w:pPr>
        <w:pStyle w:val="2"/>
        <w:rPr>
          <w:rFonts w:hint="eastAsia" w:ascii="仿宋_GB2312" w:eastAsia="仿宋_GB2312"/>
          <w:sz w:val="32"/>
          <w:szCs w:val="32"/>
        </w:rPr>
      </w:pPr>
    </w:p>
    <w:p>
      <w:pPr>
        <w:rPr>
          <w:rFonts w:hint="eastAsia" w:ascii="仿宋_GB2312" w:eastAsia="仿宋_GB2312"/>
          <w:sz w:val="32"/>
          <w:szCs w:val="32"/>
        </w:rPr>
      </w:pPr>
    </w:p>
    <w:p>
      <w:pPr>
        <w:pStyle w:val="2"/>
        <w:rPr>
          <w:rFonts w:hint="eastAsia" w:ascii="仿宋_GB2312" w:eastAsia="仿宋_GB2312"/>
          <w:sz w:val="32"/>
          <w:szCs w:val="32"/>
        </w:rPr>
      </w:pPr>
    </w:p>
    <w:p>
      <w:pPr>
        <w:rPr>
          <w:rFonts w:hint="eastAsia" w:ascii="仿宋_GB2312" w:eastAsia="仿宋_GB2312"/>
          <w:sz w:val="32"/>
          <w:szCs w:val="32"/>
        </w:rPr>
      </w:pPr>
    </w:p>
    <w:p>
      <w:pPr>
        <w:pStyle w:val="2"/>
        <w:rPr>
          <w:rFonts w:hint="eastAsia" w:ascii="仿宋_GB2312" w:eastAsia="仿宋_GB2312"/>
          <w:sz w:val="32"/>
          <w:szCs w:val="32"/>
        </w:rPr>
      </w:pPr>
    </w:p>
    <w:p>
      <w:pPr>
        <w:rPr>
          <w:rFonts w:hint="eastAsia"/>
        </w:rPr>
      </w:pPr>
    </w:p>
    <w:p>
      <w:pPr>
        <w:pStyle w:val="2"/>
        <w:rPr>
          <w:rFonts w:hint="eastAsia" w:ascii="仿宋_GB2312" w:eastAsia="仿宋_GB2312"/>
          <w:sz w:val="32"/>
          <w:szCs w:val="32"/>
        </w:rPr>
      </w:pPr>
    </w:p>
    <w:p>
      <w:pPr>
        <w:rPr>
          <w:rFonts w:hint="eastAsia" w:ascii="仿宋_GB2312" w:eastAsia="仿宋_GB2312"/>
          <w:sz w:val="32"/>
          <w:szCs w:val="32"/>
        </w:rPr>
      </w:pPr>
    </w:p>
    <w:p>
      <w:pPr>
        <w:pStyle w:val="2"/>
        <w:rPr>
          <w:rFonts w:hint="eastAsia" w:ascii="仿宋_GB2312" w:eastAsia="仿宋_GB2312"/>
          <w:sz w:val="32"/>
          <w:szCs w:val="32"/>
        </w:rPr>
      </w:pPr>
    </w:p>
    <w:p>
      <w:pPr>
        <w:rPr>
          <w:rFonts w:hint="eastAsia" w:ascii="仿宋_GB2312" w:eastAsia="仿宋_GB2312"/>
          <w:sz w:val="32"/>
          <w:szCs w:val="32"/>
        </w:rPr>
      </w:pPr>
    </w:p>
    <w:p>
      <w:pPr>
        <w:bidi w:val="0"/>
        <w:rPr>
          <w:lang w:val="en-US" w:eastAsia="zh-CN"/>
        </w:rPr>
      </w:pPr>
    </w:p>
    <w:p>
      <w:pPr>
        <w:bidi w:val="0"/>
        <w:ind w:firstLine="375" w:firstLineChars="0"/>
        <w:jc w:val="left"/>
        <w:rPr>
          <w:lang w:val="en-US" w:eastAsia="zh-CN"/>
        </w:rPr>
      </w:pPr>
    </w:p>
    <w:tbl>
      <w:tblPr>
        <w:tblStyle w:val="6"/>
        <w:tblW w:w="9060" w:type="dxa"/>
        <w:tblInd w:w="0" w:type="dxa"/>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60"/>
      </w:tblGrid>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c>
          <w:tcPr>
            <w:tcW w:w="906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500" w:lineRule="exact"/>
              <w:ind w:right="28"/>
              <w:textAlignment w:val="auto"/>
              <w:outlineLvl w:val="9"/>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28"/>
                <w:szCs w:val="28"/>
              </w:rPr>
              <w:t>上海市崇明区农业</w:t>
            </w:r>
            <w:r>
              <w:rPr>
                <w:rFonts w:hint="eastAsia" w:ascii="仿宋_GB2312" w:eastAsia="仿宋_GB2312"/>
                <w:sz w:val="28"/>
                <w:szCs w:val="28"/>
                <w:lang w:eastAsia="zh-CN"/>
              </w:rPr>
              <w:t>农村</w:t>
            </w:r>
            <w:r>
              <w:rPr>
                <w:rFonts w:hint="eastAsia" w:ascii="仿宋_GB2312" w:eastAsia="仿宋_GB2312"/>
                <w:sz w:val="28"/>
                <w:szCs w:val="28"/>
              </w:rPr>
              <w:t xml:space="preserve">委员会办公室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20</w:t>
            </w:r>
            <w:r>
              <w:rPr>
                <w:rFonts w:hint="eastAsia" w:ascii="仿宋_GB2312" w:eastAsia="仿宋_GB2312"/>
                <w:sz w:val="28"/>
                <w:szCs w:val="28"/>
                <w:lang w:val="en-US" w:eastAsia="zh-CN"/>
              </w:rPr>
              <w:t>22</w:t>
            </w:r>
            <w:r>
              <w:rPr>
                <w:rFonts w:hint="eastAsia" w:ascii="仿宋_GB2312" w:eastAsia="仿宋_GB2312"/>
                <w:sz w:val="28"/>
                <w:szCs w:val="28"/>
              </w:rPr>
              <w:t>年</w:t>
            </w:r>
            <w:r>
              <w:rPr>
                <w:rFonts w:hint="eastAsia" w:ascii="仿宋_GB2312" w:eastAsia="仿宋_GB2312"/>
                <w:sz w:val="28"/>
                <w:szCs w:val="28"/>
                <w:lang w:val="en-US" w:eastAsia="zh-CN"/>
              </w:rPr>
              <w:t>7</w:t>
            </w:r>
            <w:r>
              <w:rPr>
                <w:rFonts w:hint="eastAsia" w:ascii="仿宋_GB2312" w:eastAsia="仿宋_GB2312"/>
                <w:sz w:val="28"/>
                <w:szCs w:val="28"/>
              </w:rPr>
              <w:t>月</w:t>
            </w:r>
            <w:r>
              <w:rPr>
                <w:rFonts w:hint="eastAsia" w:ascii="仿宋_GB2312" w:eastAsia="仿宋_GB2312"/>
                <w:sz w:val="28"/>
                <w:szCs w:val="28"/>
                <w:lang w:val="en-US" w:eastAsia="zh-CN"/>
              </w:rPr>
              <w:t>14</w:t>
            </w:r>
            <w:r>
              <w:rPr>
                <w:rFonts w:hint="eastAsia" w:ascii="仿宋_GB2312" w:eastAsia="仿宋_GB2312"/>
                <w:sz w:val="28"/>
                <w:szCs w:val="28"/>
              </w:rPr>
              <w:t>日印发</w:t>
            </w:r>
          </w:p>
        </w:tc>
      </w:tr>
    </w:tbl>
    <w:p>
      <w:pPr>
        <w:pStyle w:val="2"/>
        <w:rPr>
          <w:lang w:val="en-US" w:eastAsia="zh-CN"/>
        </w:rPr>
      </w:pPr>
    </w:p>
    <w:sectPr>
      <w:headerReference r:id="rId6" w:type="first"/>
      <w:footerReference r:id="rId9" w:type="first"/>
      <w:footerReference r:id="rId7" w:type="default"/>
      <w:headerReference r:id="rId5" w:type="even"/>
      <w:footerReference r:id="rId8" w:type="even"/>
      <w:pgSz w:w="11906" w:h="16838"/>
      <w:pgMar w:top="2098" w:right="1474" w:bottom="1984" w:left="1588" w:header="851" w:footer="1247"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decorative"/>
    <w:pitch w:val="default"/>
    <w:sig w:usb0="00000001" w:usb1="080E0000" w:usb2="00000000" w:usb3="00000000" w:csb0="00040000" w:csb1="00000000"/>
  </w:font>
  <w:font w:name="仿宋_GB2312">
    <w:panose1 w:val="02010609030101010101"/>
    <w:charset w:val="86"/>
    <w:family w:val="decorative"/>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jc w:val="right"/>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639632"/>
    </w:sdtPr>
    <w:sdtContent>
      <w:p>
        <w:pPr>
          <w:pStyle w:val="2"/>
          <w:ind w:firstLine="180" w:firstLineChars="100"/>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2 -</w:t>
        </w:r>
        <w:r>
          <w:rPr>
            <w:rFonts w:asciiTheme="minorEastAsia" w:hAnsiTheme="minorEastAsia" w:eastAsiaTheme="minorEastAsia"/>
            <w:sz w:val="28"/>
            <w:szCs w:val="28"/>
          </w:rPr>
          <w:fldChar w:fldCharType="end"/>
        </w:r>
      </w:p>
    </w:sdtContent>
  </w:sdt>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227669A"/>
    <w:multiLevelType w:val="singleLevel"/>
    <w:tmpl w:val="D227669A"/>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NhZjBjNmE5YjU5ZDU0OTE5YTU5OGJiNzg3ZWY0NzcifQ=="/>
  </w:docVars>
  <w:rsids>
    <w:rsidRoot w:val="00FC5045"/>
    <w:rsid w:val="00002667"/>
    <w:rsid w:val="0004504A"/>
    <w:rsid w:val="00052038"/>
    <w:rsid w:val="000A30C9"/>
    <w:rsid w:val="0013714C"/>
    <w:rsid w:val="001562E9"/>
    <w:rsid w:val="00180A71"/>
    <w:rsid w:val="001E1D35"/>
    <w:rsid w:val="001F39D8"/>
    <w:rsid w:val="0022312E"/>
    <w:rsid w:val="00232F36"/>
    <w:rsid w:val="0026506F"/>
    <w:rsid w:val="00270770"/>
    <w:rsid w:val="002A1834"/>
    <w:rsid w:val="00364AFB"/>
    <w:rsid w:val="00395936"/>
    <w:rsid w:val="00466422"/>
    <w:rsid w:val="004A652C"/>
    <w:rsid w:val="00512A54"/>
    <w:rsid w:val="00545AC5"/>
    <w:rsid w:val="005463E7"/>
    <w:rsid w:val="005670B4"/>
    <w:rsid w:val="005E13CB"/>
    <w:rsid w:val="005E2E11"/>
    <w:rsid w:val="006326A2"/>
    <w:rsid w:val="00641D88"/>
    <w:rsid w:val="006A4FFB"/>
    <w:rsid w:val="00717904"/>
    <w:rsid w:val="00721C46"/>
    <w:rsid w:val="00763E67"/>
    <w:rsid w:val="00775EF0"/>
    <w:rsid w:val="00785641"/>
    <w:rsid w:val="00796975"/>
    <w:rsid w:val="007F599C"/>
    <w:rsid w:val="008C5D06"/>
    <w:rsid w:val="009133B7"/>
    <w:rsid w:val="009421D7"/>
    <w:rsid w:val="00986EBD"/>
    <w:rsid w:val="0099392C"/>
    <w:rsid w:val="009A1E79"/>
    <w:rsid w:val="009A38E0"/>
    <w:rsid w:val="009B0560"/>
    <w:rsid w:val="009E5E2F"/>
    <w:rsid w:val="00AF7AE8"/>
    <w:rsid w:val="00BA4B06"/>
    <w:rsid w:val="00BA5C14"/>
    <w:rsid w:val="00BB5814"/>
    <w:rsid w:val="00BD591D"/>
    <w:rsid w:val="00BF1105"/>
    <w:rsid w:val="00C11B56"/>
    <w:rsid w:val="00C219BD"/>
    <w:rsid w:val="00C372DC"/>
    <w:rsid w:val="00C85251"/>
    <w:rsid w:val="00C945AA"/>
    <w:rsid w:val="00CB6736"/>
    <w:rsid w:val="00D57723"/>
    <w:rsid w:val="00D93834"/>
    <w:rsid w:val="00E13CAF"/>
    <w:rsid w:val="00E30AC2"/>
    <w:rsid w:val="00E748FD"/>
    <w:rsid w:val="00E76BAF"/>
    <w:rsid w:val="00ED5A2E"/>
    <w:rsid w:val="00F207B9"/>
    <w:rsid w:val="00F25488"/>
    <w:rsid w:val="00F31E6B"/>
    <w:rsid w:val="00FB10D2"/>
    <w:rsid w:val="00FC5045"/>
    <w:rsid w:val="074B6C7D"/>
    <w:rsid w:val="07986C27"/>
    <w:rsid w:val="088C3BBA"/>
    <w:rsid w:val="0E1B71D9"/>
    <w:rsid w:val="125F0E4A"/>
    <w:rsid w:val="12C25BF5"/>
    <w:rsid w:val="2ABB21C3"/>
    <w:rsid w:val="2B286E04"/>
    <w:rsid w:val="2F3A5F53"/>
    <w:rsid w:val="3171476F"/>
    <w:rsid w:val="34F77DF8"/>
    <w:rsid w:val="39065D14"/>
    <w:rsid w:val="39E61519"/>
    <w:rsid w:val="3BF0012E"/>
    <w:rsid w:val="3C881EC8"/>
    <w:rsid w:val="401F40F2"/>
    <w:rsid w:val="405C4814"/>
    <w:rsid w:val="42D86EE0"/>
    <w:rsid w:val="42E43A3B"/>
    <w:rsid w:val="430D4C6B"/>
    <w:rsid w:val="4B93267E"/>
    <w:rsid w:val="523A6313"/>
    <w:rsid w:val="5363107C"/>
    <w:rsid w:val="5A9F69C2"/>
    <w:rsid w:val="5BB16E51"/>
    <w:rsid w:val="61F32D38"/>
    <w:rsid w:val="62314B77"/>
    <w:rsid w:val="63404068"/>
    <w:rsid w:val="6A9D79F0"/>
    <w:rsid w:val="6B755BB7"/>
    <w:rsid w:val="7002039C"/>
    <w:rsid w:val="71A8161F"/>
    <w:rsid w:val="74A0466C"/>
    <w:rsid w:val="752661DD"/>
    <w:rsid w:val="75BE5E21"/>
    <w:rsid w:val="78E66175"/>
    <w:rsid w:val="78E94955"/>
    <w:rsid w:val="79D67AD5"/>
    <w:rsid w:val="7A3361A8"/>
    <w:rsid w:val="7FDE034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before="0" w:line="240" w:lineRule="auto"/>
      <w:ind w:firstLine="0" w:firstLineChars="0"/>
      <w:jc w:val="both"/>
    </w:pPr>
    <w:rPr>
      <w:rFonts w:ascii="Times New Roman" w:hAnsi="Times New Roman" w:eastAsia="宋体" w:cs="Times New Roman"/>
      <w:kern w:val="2"/>
      <w:sz w:val="21"/>
      <w:szCs w:val="24"/>
      <w:lang w:val="en-US" w:eastAsia="zh-CN" w:bidi="ar-SA"/>
    </w:rPr>
  </w:style>
  <w:style w:type="character" w:default="1" w:styleId="8">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footer"/>
    <w:basedOn w:val="1"/>
    <w:next w:val="1"/>
    <w:link w:val="11"/>
    <w:unhideWhenUsed/>
    <w:qFormat/>
    <w:uiPriority w:val="99"/>
    <w:pPr>
      <w:tabs>
        <w:tab w:val="center" w:pos="4153"/>
        <w:tab w:val="right" w:pos="8306"/>
      </w:tabs>
      <w:snapToGrid w:val="0"/>
      <w:jc w:val="left"/>
    </w:pPr>
    <w:rPr>
      <w:sz w:val="18"/>
      <w:szCs w:val="18"/>
    </w:rPr>
  </w:style>
  <w:style w:type="paragraph" w:styleId="3">
    <w:name w:val="Balloon Text"/>
    <w:basedOn w:val="1"/>
    <w:link w:val="12"/>
    <w:unhideWhenUsed/>
    <w:qFormat/>
    <w:uiPriority w:val="99"/>
    <w:rPr>
      <w:sz w:val="18"/>
      <w:szCs w:val="18"/>
    </w:rPr>
  </w:style>
  <w:style w:type="paragraph" w:styleId="4">
    <w:name w:val="header"/>
    <w:basedOn w:val="1"/>
    <w:link w:val="10"/>
    <w:unhideWhenUsed/>
    <w:qFormat/>
    <w:uiPriority w:val="99"/>
    <w:pPr>
      <w:tabs>
        <w:tab w:val="center" w:pos="4153"/>
        <w:tab w:val="right" w:pos="8306"/>
      </w:tabs>
      <w:snapToGrid w:val="0"/>
      <w:jc w:val="center"/>
    </w:pPr>
    <w:rPr>
      <w:sz w:val="18"/>
      <w:szCs w:val="18"/>
    </w:rPr>
  </w:style>
  <w:style w:type="paragraph" w:styleId="5">
    <w:name w:val="Body Text 2"/>
    <w:basedOn w:val="1"/>
    <w:qFormat/>
    <w:uiPriority w:val="0"/>
    <w:pPr>
      <w:ind w:firstLine="1840"/>
    </w:p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0"/>
  </w:style>
  <w:style w:type="character" w:customStyle="1" w:styleId="10">
    <w:name w:val="页眉 Char"/>
    <w:basedOn w:val="8"/>
    <w:link w:val="4"/>
    <w:qFormat/>
    <w:uiPriority w:val="99"/>
    <w:rPr>
      <w:kern w:val="2"/>
      <w:sz w:val="18"/>
      <w:szCs w:val="18"/>
    </w:rPr>
  </w:style>
  <w:style w:type="character" w:customStyle="1" w:styleId="11">
    <w:name w:val="页脚 Char"/>
    <w:basedOn w:val="8"/>
    <w:link w:val="2"/>
    <w:qFormat/>
    <w:uiPriority w:val="99"/>
    <w:rPr>
      <w:kern w:val="2"/>
      <w:sz w:val="18"/>
      <w:szCs w:val="18"/>
    </w:rPr>
  </w:style>
  <w:style w:type="character" w:customStyle="1" w:styleId="12">
    <w:name w:val="批注框文本 Char"/>
    <w:basedOn w:val="8"/>
    <w:link w:val="3"/>
    <w:semiHidden/>
    <w:qFormat/>
    <w:uiPriority w:val="99"/>
    <w:rPr>
      <w:kern w:val="2"/>
      <w:sz w:val="18"/>
      <w:szCs w:val="18"/>
    </w:rPr>
  </w:style>
  <w:style w:type="character" w:customStyle="1" w:styleId="13">
    <w:name w:val="font11"/>
    <w:basedOn w:val="8"/>
    <w:qFormat/>
    <w:uiPriority w:val="0"/>
    <w:rPr>
      <w:rFonts w:hint="default" w:ascii="Times New Roman" w:hAnsi="Times New Roman" w:cs="Times New Roman"/>
      <w:color w:val="000000"/>
      <w:sz w:val="22"/>
      <w:szCs w:val="22"/>
      <w:u w:val="none"/>
    </w:rPr>
  </w:style>
  <w:style w:type="character" w:customStyle="1" w:styleId="14">
    <w:name w:val="font21"/>
    <w:basedOn w:val="8"/>
    <w:qFormat/>
    <w:uiPriority w:val="0"/>
    <w:rPr>
      <w:rFonts w:hint="eastAsia" w:ascii="宋体" w:hAnsi="宋体" w:eastAsia="宋体" w:cs="宋体"/>
      <w:color w:val="000000"/>
      <w:sz w:val="22"/>
      <w:szCs w:val="22"/>
      <w:u w:val="none"/>
    </w:rPr>
  </w:style>
  <w:style w:type="paragraph" w:customStyle="1" w:styleId="15">
    <w:name w:val="列出段落1"/>
    <w:basedOn w:val="1"/>
    <w:qFormat/>
    <w:uiPriority w:val="0"/>
    <w:pPr>
      <w:ind w:firstLine="420" w:firstLineChars="200"/>
    </w:pPr>
    <w:rPr>
      <w:rFonts w:ascii="Calibri" w:hAnsi="Calibri" w:eastAsia="宋体" w:cs="Times New Roman"/>
      <w:szCs w:val="24"/>
    </w:rPr>
  </w:style>
  <w:style w:type="character" w:customStyle="1" w:styleId="16">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C.Y.H(201411)</Company>
  <Pages>6</Pages>
  <Words>2081</Words>
  <Characters>2260</Characters>
  <Lines>1</Lines>
  <Paragraphs>1</Paragraphs>
  <TotalTime>9</TotalTime>
  <ScaleCrop>false</ScaleCrop>
  <LinksUpToDate>false</LinksUpToDate>
  <CharactersWithSpaces>2284</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2017-08-14T09:04:00Z</dcterms:created>
  <dc:creator>cm</dc:creator>
  <cp:lastModifiedBy>Adobe.Lu</cp:lastModifiedBy>
  <cp:lastPrinted>2022-07-14T02:48:00Z</cp:lastPrinted>
  <dcterms:modified xsi:type="dcterms:W3CDTF">2022-10-26T08:55:05Z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33F83496A10B4611BC48F771BAB2F9AA</vt:lpwstr>
  </property>
</Properties>
</file>