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kinsoku/>
        <w:wordWrap/>
        <w:overflowPunct/>
        <w:topLinePunct w:val="0"/>
        <w:autoSpaceDE/>
        <w:autoSpaceDN/>
        <w:bidi w:val="0"/>
        <w:adjustRightInd/>
        <w:snapToGrid/>
        <w:spacing w:after="0" w:line="560" w:lineRule="exact"/>
        <w:ind w:left="0" w:leftChars="0" w:right="0" w:rightChars="0" w:firstLine="0" w:firstLineChars="0"/>
        <w:jc w:val="left"/>
        <w:textAlignment w:val="auto"/>
        <w:outlineLvl w:val="9"/>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附件1:</w:t>
      </w:r>
    </w:p>
    <w:p>
      <w:pPr>
        <w:keepNext w:val="0"/>
        <w:keepLines w:val="0"/>
        <w:pageBreakBefore w:val="0"/>
        <w:widowControl/>
        <w:kinsoku/>
        <w:wordWrap/>
        <w:overflowPunct/>
        <w:topLinePunct w:val="0"/>
        <w:autoSpaceDE/>
        <w:autoSpaceDN/>
        <w:bidi w:val="0"/>
        <w:adjustRightInd/>
        <w:snapToGrid/>
        <w:spacing w:after="0" w:line="560" w:lineRule="exact"/>
        <w:ind w:left="0" w:leftChars="0" w:right="0" w:rightChars="0" w:firstLine="0" w:firstLineChars="0"/>
        <w:jc w:val="left"/>
        <w:textAlignment w:val="auto"/>
        <w:outlineLvl w:val="9"/>
        <w:rPr>
          <w:rFonts w:hint="eastAsia" w:ascii="黑体" w:hAnsi="黑体" w:eastAsia="黑体" w:cs="黑体"/>
          <w:sz w:val="32"/>
          <w:szCs w:val="32"/>
          <w:lang w:val="en-US" w:eastAsia="zh-CN"/>
        </w:rPr>
      </w:pPr>
      <w:bookmarkStart w:id="0" w:name="_GoBack"/>
      <w:bookmarkEnd w:id="0"/>
    </w:p>
    <w:p>
      <w:pPr>
        <w:keepNext w:val="0"/>
        <w:keepLines w:val="0"/>
        <w:pageBreakBefore w:val="0"/>
        <w:widowControl w:val="0"/>
        <w:kinsoku/>
        <w:wordWrap/>
        <w:overflowPunct/>
        <w:topLinePunct w:val="0"/>
        <w:autoSpaceDE/>
        <w:autoSpaceDN/>
        <w:bidi w:val="0"/>
        <w:adjustRightInd/>
        <w:snapToGrid/>
        <w:spacing w:after="0" w:line="560" w:lineRule="exact"/>
        <w:ind w:left="0" w:leftChars="0" w:right="0" w:rightChars="0" w:firstLine="0" w:firstLineChars="0"/>
        <w:jc w:val="center"/>
        <w:textAlignment w:val="auto"/>
        <w:outlineLvl w:val="9"/>
        <w:rPr>
          <w:rFonts w:hint="eastAsia" w:ascii="方正小标宋简体" w:hAnsi="方正小标宋简体" w:eastAsia="方正小标宋简体" w:cs="方正小标宋简体"/>
          <w:bCs/>
          <w:kern w:val="2"/>
          <w:sz w:val="44"/>
          <w:szCs w:val="44"/>
        </w:rPr>
      </w:pPr>
      <w:r>
        <w:rPr>
          <w:rFonts w:hint="eastAsia" w:ascii="方正小标宋简体" w:hAnsi="方正小标宋简体" w:eastAsia="方正小标宋简体" w:cs="方正小标宋简体"/>
          <w:bCs/>
          <w:kern w:val="2"/>
          <w:sz w:val="44"/>
          <w:szCs w:val="44"/>
          <w:lang w:eastAsia="zh-CN"/>
        </w:rPr>
        <w:t>中兴</w:t>
      </w:r>
      <w:r>
        <w:rPr>
          <w:rFonts w:hint="eastAsia" w:ascii="方正小标宋简体" w:hAnsi="方正小标宋简体" w:eastAsia="方正小标宋简体" w:cs="方正小标宋简体"/>
          <w:bCs/>
          <w:kern w:val="2"/>
          <w:sz w:val="44"/>
          <w:szCs w:val="44"/>
        </w:rPr>
        <w:t>镇</w:t>
      </w:r>
      <w:r>
        <w:rPr>
          <w:rFonts w:hint="eastAsia" w:ascii="方正小标宋简体" w:hAnsi="方正小标宋简体" w:eastAsia="方正小标宋简体" w:cs="方正小标宋简体"/>
          <w:bCs/>
          <w:kern w:val="2"/>
          <w:sz w:val="44"/>
          <w:szCs w:val="44"/>
          <w:lang w:val="en-US" w:eastAsia="zh-CN"/>
        </w:rPr>
        <w:t>2023</w:t>
      </w:r>
      <w:r>
        <w:rPr>
          <w:rFonts w:hint="eastAsia" w:ascii="方正小标宋简体" w:hAnsi="方正小标宋简体" w:eastAsia="方正小标宋简体" w:cs="方正小标宋简体"/>
          <w:bCs/>
          <w:kern w:val="2"/>
          <w:sz w:val="44"/>
          <w:szCs w:val="44"/>
        </w:rPr>
        <w:t>年度经济果林生态补偿实施方案</w:t>
      </w:r>
    </w:p>
    <w:p>
      <w:pPr>
        <w:widowControl w:val="0"/>
        <w:adjustRightInd/>
        <w:snapToGrid/>
        <w:spacing w:after="0" w:line="560" w:lineRule="exact"/>
        <w:jc w:val="center"/>
        <w:rPr>
          <w:rFonts w:hint="eastAsia" w:ascii="仿宋" w:hAnsi="仿宋" w:eastAsia="仿宋" w:cs="仿宋"/>
          <w:bCs/>
          <w:kern w:val="2"/>
          <w:sz w:val="30"/>
          <w:szCs w:val="30"/>
        </w:rPr>
      </w:pPr>
    </w:p>
    <w:p>
      <w:pPr>
        <w:keepNext w:val="0"/>
        <w:keepLines w:val="0"/>
        <w:pageBreakBefore w:val="0"/>
        <w:widowControl w:val="0"/>
        <w:kinsoku/>
        <w:wordWrap/>
        <w:overflowPunct/>
        <w:topLinePunct w:val="0"/>
        <w:autoSpaceDE/>
        <w:autoSpaceDN/>
        <w:bidi w:val="0"/>
        <w:adjustRightInd/>
        <w:snapToGrid/>
        <w:spacing w:after="0" w:line="560" w:lineRule="exact"/>
        <w:ind w:left="0" w:leftChars="0" w:right="0" w:rightChars="0" w:firstLine="640" w:firstLineChars="200"/>
        <w:jc w:val="both"/>
        <w:textAlignment w:val="auto"/>
        <w:outlineLvl w:val="9"/>
        <w:rPr>
          <w:rFonts w:hint="eastAsia" w:ascii="仿宋_GB2312" w:hAnsi="仿宋_GB2312" w:eastAsia="仿宋_GB2312" w:cs="仿宋_GB2312"/>
          <w:kern w:val="2"/>
          <w:sz w:val="32"/>
          <w:szCs w:val="32"/>
        </w:rPr>
      </w:pPr>
      <w:r>
        <w:rPr>
          <w:rFonts w:hint="eastAsia" w:ascii="仿宋_GB2312" w:hAnsi="仿宋_GB2312" w:eastAsia="仿宋_GB2312" w:cs="仿宋_GB2312"/>
          <w:kern w:val="2"/>
          <w:sz w:val="32"/>
          <w:szCs w:val="32"/>
          <w:lang w:eastAsia="zh-CN"/>
        </w:rPr>
        <w:t>根据《关于印发</w:t>
      </w:r>
      <w:r>
        <w:rPr>
          <w:rFonts w:hint="eastAsia" w:ascii="仿宋_GB2312" w:hAnsi="仿宋_GB2312" w:eastAsia="仿宋_GB2312" w:cs="仿宋_GB2312"/>
          <w:kern w:val="2"/>
          <w:sz w:val="32"/>
          <w:szCs w:val="32"/>
          <w:lang w:val="en-US" w:eastAsia="zh-CN"/>
        </w:rPr>
        <w:t>&lt;</w:t>
      </w:r>
      <w:r>
        <w:rPr>
          <w:rFonts w:hint="eastAsia" w:ascii="仿宋_GB2312" w:hAnsi="仿宋_GB2312" w:eastAsia="仿宋_GB2312" w:cs="仿宋_GB2312"/>
          <w:kern w:val="2"/>
          <w:sz w:val="32"/>
          <w:szCs w:val="32"/>
          <w:lang w:eastAsia="zh-CN"/>
        </w:rPr>
        <w:t>崇明区经济果林补贴实施方案（试行）</w:t>
      </w:r>
      <w:r>
        <w:rPr>
          <w:rFonts w:hint="eastAsia" w:ascii="仿宋_GB2312" w:hAnsi="仿宋_GB2312" w:eastAsia="仿宋_GB2312" w:cs="仿宋_GB2312"/>
          <w:kern w:val="2"/>
          <w:sz w:val="32"/>
          <w:szCs w:val="32"/>
          <w:lang w:val="en-US" w:eastAsia="zh-CN"/>
        </w:rPr>
        <w:t>&gt;</w:t>
      </w:r>
      <w:r>
        <w:rPr>
          <w:rFonts w:hint="eastAsia" w:ascii="仿宋_GB2312" w:hAnsi="仿宋_GB2312" w:eastAsia="仿宋_GB2312" w:cs="仿宋_GB2312"/>
          <w:kern w:val="2"/>
          <w:sz w:val="32"/>
          <w:szCs w:val="32"/>
          <w:lang w:eastAsia="zh-CN"/>
        </w:rPr>
        <w:t>的通知》（沪崇绿容〔2023〕57 号）和市绿化和市容管理局等三部门发布的《上海市林地生态补偿工作考核办法（试行）》（沪绿容〔2017〕374号）等文件精神，</w:t>
      </w:r>
      <w:r>
        <w:rPr>
          <w:rFonts w:hint="eastAsia" w:ascii="仿宋_GB2312" w:hAnsi="仿宋_GB2312" w:eastAsia="仿宋_GB2312" w:cs="仿宋_GB2312"/>
          <w:kern w:val="2"/>
          <w:sz w:val="32"/>
          <w:szCs w:val="32"/>
          <w:lang w:val="en-US" w:eastAsia="zh-CN"/>
        </w:rPr>
        <w:t>为进一步加强经济果林补贴资金管理，持续提升特色林果产业发展水平，</w:t>
      </w:r>
      <w:r>
        <w:rPr>
          <w:rFonts w:hint="eastAsia" w:ascii="仿宋_GB2312" w:hAnsi="仿宋_GB2312" w:eastAsia="仿宋_GB2312" w:cs="仿宋_GB2312"/>
          <w:kern w:val="2"/>
          <w:sz w:val="32"/>
          <w:szCs w:val="32"/>
        </w:rPr>
        <w:t>结合本镇经济果林资源保护和产业发展的实际情况，特制定本实施方案。</w:t>
      </w:r>
    </w:p>
    <w:p>
      <w:pPr>
        <w:keepNext w:val="0"/>
        <w:keepLines w:val="0"/>
        <w:pageBreakBefore w:val="0"/>
        <w:widowControl w:val="0"/>
        <w:numPr>
          <w:ilvl w:val="0"/>
          <w:numId w:val="0"/>
        </w:numPr>
        <w:kinsoku/>
        <w:wordWrap/>
        <w:overflowPunct/>
        <w:topLinePunct w:val="0"/>
        <w:autoSpaceDE/>
        <w:autoSpaceDN/>
        <w:bidi w:val="0"/>
        <w:adjustRightInd/>
        <w:snapToGrid/>
        <w:spacing w:after="0" w:line="560" w:lineRule="exact"/>
        <w:ind w:left="0" w:leftChars="0" w:right="0" w:rightChars="0" w:firstLine="640" w:firstLineChars="200"/>
        <w:jc w:val="both"/>
        <w:textAlignment w:val="auto"/>
        <w:outlineLvl w:val="9"/>
        <w:rPr>
          <w:rFonts w:hint="eastAsia" w:ascii="黑体" w:hAnsi="黑体" w:eastAsia="黑体" w:cs="黑体"/>
          <w:kern w:val="2"/>
          <w:sz w:val="32"/>
          <w:szCs w:val="32"/>
        </w:rPr>
      </w:pPr>
      <w:r>
        <w:rPr>
          <w:rFonts w:hint="eastAsia" w:ascii="黑体" w:hAnsi="黑体" w:eastAsia="黑体" w:cs="黑体"/>
          <w:kern w:val="2"/>
          <w:sz w:val="32"/>
          <w:szCs w:val="32"/>
        </w:rPr>
        <w:t>一、基本原则及发展目标</w:t>
      </w:r>
    </w:p>
    <w:p>
      <w:pPr>
        <w:keepNext w:val="0"/>
        <w:keepLines w:val="0"/>
        <w:pageBreakBefore w:val="0"/>
        <w:widowControl w:val="0"/>
        <w:kinsoku/>
        <w:wordWrap/>
        <w:overflowPunct/>
        <w:topLinePunct w:val="0"/>
        <w:autoSpaceDE/>
        <w:autoSpaceDN/>
        <w:bidi w:val="0"/>
        <w:adjustRightInd/>
        <w:snapToGrid/>
        <w:spacing w:after="0" w:line="560" w:lineRule="exact"/>
        <w:ind w:left="0" w:leftChars="0" w:right="0" w:rightChars="0" w:firstLine="640" w:firstLineChars="200"/>
        <w:jc w:val="both"/>
        <w:textAlignment w:val="auto"/>
        <w:outlineLvl w:val="9"/>
        <w:rPr>
          <w:rFonts w:hint="eastAsia" w:ascii="仿宋_GB2312" w:hAnsi="仿宋_GB2312" w:eastAsia="仿宋_GB2312" w:cs="仿宋_GB2312"/>
          <w:kern w:val="2"/>
          <w:sz w:val="32"/>
          <w:szCs w:val="32"/>
        </w:rPr>
      </w:pPr>
      <w:r>
        <w:rPr>
          <w:rFonts w:hint="eastAsia" w:ascii="仿宋_GB2312" w:hAnsi="仿宋_GB2312" w:eastAsia="仿宋_GB2312" w:cs="仿宋_GB2312"/>
          <w:kern w:val="2"/>
          <w:sz w:val="32"/>
          <w:szCs w:val="32"/>
        </w:rPr>
        <w:t>1、资源保护原则。根据本镇上年度森林资源监测结果，明确本年度经济果林资源保护目标，确保经济果林面积不减少、资源不流失。</w:t>
      </w:r>
    </w:p>
    <w:p>
      <w:pPr>
        <w:keepNext w:val="0"/>
        <w:keepLines w:val="0"/>
        <w:pageBreakBefore w:val="0"/>
        <w:widowControl w:val="0"/>
        <w:kinsoku/>
        <w:wordWrap/>
        <w:overflowPunct/>
        <w:topLinePunct w:val="0"/>
        <w:autoSpaceDE/>
        <w:autoSpaceDN/>
        <w:bidi w:val="0"/>
        <w:adjustRightInd/>
        <w:snapToGrid/>
        <w:spacing w:after="0" w:line="560" w:lineRule="exact"/>
        <w:ind w:left="0" w:leftChars="0" w:right="0" w:rightChars="0" w:firstLine="640" w:firstLineChars="200"/>
        <w:jc w:val="both"/>
        <w:textAlignment w:val="auto"/>
        <w:outlineLvl w:val="9"/>
        <w:rPr>
          <w:rFonts w:hint="eastAsia" w:ascii="仿宋_GB2312" w:hAnsi="仿宋_GB2312" w:eastAsia="仿宋_GB2312" w:cs="仿宋_GB2312"/>
          <w:kern w:val="2"/>
          <w:sz w:val="32"/>
          <w:szCs w:val="32"/>
        </w:rPr>
      </w:pPr>
      <w:r>
        <w:rPr>
          <w:rFonts w:hint="eastAsia" w:ascii="仿宋_GB2312" w:hAnsi="仿宋_GB2312" w:eastAsia="仿宋_GB2312" w:cs="仿宋_GB2312"/>
          <w:kern w:val="2"/>
          <w:sz w:val="32"/>
          <w:szCs w:val="32"/>
        </w:rPr>
        <w:t>2、产业发展原则。通过运用科技创新手段，推进经济果林规模化、标准化生产，集约化，产业化经营，鼓励新增经济果林发展，培育新型经营主体、扶持产业龙头，达到进一步改良品种，提升品质，打造品牌的成效。</w:t>
      </w:r>
    </w:p>
    <w:p>
      <w:pPr>
        <w:keepNext w:val="0"/>
        <w:keepLines w:val="0"/>
        <w:pageBreakBefore w:val="0"/>
        <w:widowControl w:val="0"/>
        <w:kinsoku/>
        <w:wordWrap/>
        <w:overflowPunct/>
        <w:topLinePunct w:val="0"/>
        <w:autoSpaceDE/>
        <w:autoSpaceDN/>
        <w:bidi w:val="0"/>
        <w:adjustRightInd/>
        <w:snapToGrid/>
        <w:spacing w:after="0" w:line="560" w:lineRule="exact"/>
        <w:ind w:left="0" w:leftChars="0" w:right="0" w:rightChars="0" w:firstLine="640" w:firstLineChars="200"/>
        <w:jc w:val="both"/>
        <w:textAlignment w:val="auto"/>
        <w:outlineLvl w:val="9"/>
        <w:rPr>
          <w:rFonts w:hint="eastAsia" w:ascii="仿宋_GB2312" w:hAnsi="仿宋_GB2312" w:eastAsia="仿宋_GB2312" w:cs="仿宋_GB2312"/>
          <w:kern w:val="2"/>
          <w:sz w:val="32"/>
          <w:szCs w:val="32"/>
        </w:rPr>
      </w:pPr>
      <w:r>
        <w:rPr>
          <w:rFonts w:hint="eastAsia" w:ascii="仿宋_GB2312" w:hAnsi="仿宋_GB2312" w:eastAsia="仿宋_GB2312" w:cs="仿宋_GB2312"/>
          <w:kern w:val="2"/>
          <w:sz w:val="32"/>
          <w:szCs w:val="32"/>
        </w:rPr>
        <w:t>3、专款专用原则。镇财政设立专项资金，按实施方案统筹支配，专款专用于镇区域内经济果林的结构调整和改造提升等。奖励形式采用物化补贴、林果基地基础设施提升改造等形式。</w:t>
      </w:r>
    </w:p>
    <w:p>
      <w:pPr>
        <w:keepNext w:val="0"/>
        <w:keepLines w:val="0"/>
        <w:pageBreakBefore w:val="0"/>
        <w:widowControl w:val="0"/>
        <w:numPr>
          <w:ilvl w:val="0"/>
          <w:numId w:val="0"/>
        </w:numPr>
        <w:kinsoku/>
        <w:wordWrap/>
        <w:overflowPunct/>
        <w:topLinePunct w:val="0"/>
        <w:autoSpaceDE/>
        <w:autoSpaceDN/>
        <w:bidi w:val="0"/>
        <w:adjustRightInd/>
        <w:snapToGrid/>
        <w:spacing w:after="0" w:line="560" w:lineRule="exact"/>
        <w:ind w:left="0" w:leftChars="0" w:right="0" w:rightChars="0" w:firstLine="640" w:firstLineChars="200"/>
        <w:jc w:val="both"/>
        <w:textAlignment w:val="auto"/>
        <w:outlineLvl w:val="9"/>
        <w:rPr>
          <w:rFonts w:hint="eastAsia" w:ascii="仿宋_GB2312" w:hAnsi="仿宋_GB2312" w:eastAsia="仿宋_GB2312" w:cs="仿宋_GB2312"/>
          <w:kern w:val="2"/>
          <w:sz w:val="32"/>
          <w:szCs w:val="32"/>
        </w:rPr>
      </w:pPr>
      <w:r>
        <w:rPr>
          <w:rFonts w:hint="eastAsia" w:ascii="黑体" w:hAnsi="黑体" w:eastAsia="黑体" w:cs="黑体"/>
          <w:kern w:val="2"/>
          <w:sz w:val="32"/>
          <w:szCs w:val="32"/>
        </w:rPr>
        <w:t>二、补偿对象</w:t>
      </w:r>
    </w:p>
    <w:p>
      <w:pPr>
        <w:keepNext w:val="0"/>
        <w:keepLines w:val="0"/>
        <w:pageBreakBefore w:val="0"/>
        <w:widowControl w:val="0"/>
        <w:numPr>
          <w:ilvl w:val="0"/>
          <w:numId w:val="0"/>
        </w:numPr>
        <w:kinsoku/>
        <w:wordWrap/>
        <w:overflowPunct/>
        <w:topLinePunct w:val="0"/>
        <w:autoSpaceDE/>
        <w:autoSpaceDN/>
        <w:bidi w:val="0"/>
        <w:adjustRightInd/>
        <w:snapToGrid/>
        <w:spacing w:after="0" w:line="560" w:lineRule="exact"/>
        <w:ind w:left="0" w:leftChars="0" w:right="0" w:rightChars="0" w:firstLine="640" w:firstLineChars="200"/>
        <w:jc w:val="both"/>
        <w:textAlignment w:val="auto"/>
        <w:outlineLvl w:val="9"/>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适用于我镇辖区范围内开展林果生产的农户及家庭农场、农民合作社、产业化龙头企业、集体经济组织等，且其生产经营的经济果林已被纳入本乡森林资源管理范围。</w:t>
      </w:r>
    </w:p>
    <w:p>
      <w:pPr>
        <w:keepNext w:val="0"/>
        <w:keepLines w:val="0"/>
        <w:pageBreakBefore w:val="0"/>
        <w:widowControl w:val="0"/>
        <w:numPr>
          <w:ilvl w:val="0"/>
          <w:numId w:val="0"/>
        </w:numPr>
        <w:kinsoku/>
        <w:wordWrap/>
        <w:overflowPunct/>
        <w:topLinePunct w:val="0"/>
        <w:autoSpaceDE/>
        <w:autoSpaceDN/>
        <w:bidi w:val="0"/>
        <w:adjustRightInd/>
        <w:snapToGrid/>
        <w:spacing w:after="0" w:line="560" w:lineRule="exact"/>
        <w:ind w:left="0" w:leftChars="0" w:right="0" w:rightChars="0" w:firstLine="640" w:firstLineChars="200"/>
        <w:jc w:val="both"/>
        <w:textAlignment w:val="auto"/>
        <w:outlineLvl w:val="9"/>
        <w:rPr>
          <w:rFonts w:hint="eastAsia" w:ascii="黑体" w:hAnsi="黑体" w:eastAsia="黑体" w:cs="黑体"/>
          <w:kern w:val="2"/>
          <w:sz w:val="32"/>
          <w:szCs w:val="32"/>
        </w:rPr>
      </w:pPr>
      <w:r>
        <w:rPr>
          <w:rFonts w:hint="eastAsia" w:ascii="黑体" w:hAnsi="黑体" w:eastAsia="黑体" w:cs="黑体"/>
          <w:kern w:val="2"/>
          <w:sz w:val="32"/>
          <w:szCs w:val="32"/>
        </w:rPr>
        <w:t>三、资金使用</w:t>
      </w:r>
    </w:p>
    <w:p>
      <w:pPr>
        <w:keepNext w:val="0"/>
        <w:keepLines w:val="0"/>
        <w:pageBreakBefore w:val="0"/>
        <w:widowControl w:val="0"/>
        <w:kinsoku/>
        <w:wordWrap/>
        <w:overflowPunct/>
        <w:topLinePunct w:val="0"/>
        <w:autoSpaceDE/>
        <w:autoSpaceDN/>
        <w:bidi w:val="0"/>
        <w:adjustRightInd/>
        <w:snapToGrid/>
        <w:spacing w:after="0" w:line="560" w:lineRule="exact"/>
        <w:ind w:left="0" w:leftChars="0" w:right="0" w:rightChars="0" w:firstLine="640" w:firstLineChars="200"/>
        <w:jc w:val="both"/>
        <w:textAlignment w:val="auto"/>
        <w:outlineLvl w:val="9"/>
        <w:rPr>
          <w:rFonts w:hint="eastAsia" w:ascii="仿宋_GB2312" w:hAnsi="仿宋_GB2312" w:eastAsia="仿宋_GB2312" w:cs="仿宋_GB2312"/>
          <w:kern w:val="2"/>
          <w:sz w:val="32"/>
          <w:szCs w:val="32"/>
        </w:rPr>
      </w:pPr>
      <w:r>
        <w:rPr>
          <w:rFonts w:hint="eastAsia" w:ascii="仿宋_GB2312" w:hAnsi="仿宋_GB2312" w:eastAsia="仿宋_GB2312" w:cs="仿宋_GB2312"/>
          <w:kern w:val="2"/>
          <w:sz w:val="32"/>
          <w:szCs w:val="32"/>
        </w:rPr>
        <w:t>我镇纳入经济果林生态补偿范围的考核后下拨的补偿资金设立专项资金，实行专款专用，用于本镇区域内经济果林的保护、结构调整和改造提升。</w:t>
      </w:r>
    </w:p>
    <w:p>
      <w:pPr>
        <w:keepNext w:val="0"/>
        <w:keepLines w:val="0"/>
        <w:pageBreakBefore w:val="0"/>
        <w:widowControl w:val="0"/>
        <w:kinsoku/>
        <w:wordWrap/>
        <w:overflowPunct/>
        <w:topLinePunct w:val="0"/>
        <w:autoSpaceDE/>
        <w:autoSpaceDN/>
        <w:bidi w:val="0"/>
        <w:adjustRightInd/>
        <w:snapToGrid/>
        <w:spacing w:after="0" w:line="560" w:lineRule="exact"/>
        <w:ind w:left="0" w:leftChars="0" w:right="0" w:rightChars="0" w:firstLine="640" w:firstLineChars="200"/>
        <w:jc w:val="both"/>
        <w:textAlignment w:val="auto"/>
        <w:outlineLvl w:val="9"/>
        <w:rPr>
          <w:rFonts w:hint="eastAsia" w:ascii="楷体_GB2312" w:hAnsi="楷体_GB2312" w:eastAsia="楷体_GB2312" w:cs="楷体_GB2312"/>
          <w:kern w:val="2"/>
          <w:sz w:val="32"/>
          <w:szCs w:val="32"/>
          <w:lang w:val="en-US"/>
        </w:rPr>
      </w:pPr>
      <w:r>
        <w:rPr>
          <w:rFonts w:hint="eastAsia" w:ascii="楷体_GB2312" w:hAnsi="楷体_GB2312" w:eastAsia="楷体_GB2312" w:cs="楷体_GB2312"/>
          <w:kern w:val="2"/>
          <w:sz w:val="32"/>
          <w:szCs w:val="32"/>
        </w:rPr>
        <w:t>（一）</w:t>
      </w:r>
      <w:r>
        <w:rPr>
          <w:rFonts w:hint="eastAsia" w:ascii="楷体_GB2312" w:hAnsi="楷体_GB2312" w:eastAsia="楷体_GB2312" w:cs="楷体_GB2312"/>
          <w:sz w:val="32"/>
          <w:szCs w:val="32"/>
          <w:lang w:eastAsia="zh-CN"/>
        </w:rPr>
        <w:t>提高果农种植积极性，</w:t>
      </w:r>
      <w:r>
        <w:rPr>
          <w:rFonts w:hint="eastAsia" w:ascii="楷体_GB2312" w:hAnsi="楷体_GB2312" w:eastAsia="楷体_GB2312" w:cs="楷体_GB2312"/>
          <w:kern w:val="2"/>
          <w:sz w:val="32"/>
          <w:szCs w:val="32"/>
          <w:lang w:eastAsia="zh-CN"/>
        </w:rPr>
        <w:t>确保经济果林资源稳定，</w:t>
      </w:r>
      <w:r>
        <w:rPr>
          <w:rFonts w:hint="eastAsia" w:ascii="楷体_GB2312" w:hAnsi="楷体_GB2312" w:eastAsia="楷体_GB2312" w:cs="楷体_GB2312"/>
          <w:sz w:val="32"/>
          <w:szCs w:val="32"/>
          <w:lang w:val="en-US" w:eastAsia="zh-CN"/>
        </w:rPr>
        <w:t>持续提升特色林果产业发展水平。</w:t>
      </w:r>
    </w:p>
    <w:p>
      <w:pPr>
        <w:keepNext w:val="0"/>
        <w:keepLines w:val="0"/>
        <w:pageBreakBefore w:val="0"/>
        <w:widowControl w:val="0"/>
        <w:kinsoku/>
        <w:wordWrap/>
        <w:overflowPunct/>
        <w:topLinePunct w:val="0"/>
        <w:autoSpaceDE/>
        <w:autoSpaceDN/>
        <w:bidi w:val="0"/>
        <w:adjustRightInd/>
        <w:snapToGrid/>
        <w:spacing w:after="0" w:line="560" w:lineRule="exact"/>
        <w:ind w:left="0" w:leftChars="0" w:right="0" w:rightChars="0" w:firstLine="640" w:firstLineChars="200"/>
        <w:jc w:val="both"/>
        <w:textAlignment w:val="auto"/>
        <w:outlineLvl w:val="9"/>
        <w:rPr>
          <w:rFonts w:hint="eastAsia" w:ascii="仿宋_GB2312" w:hAnsi="仿宋_GB2312" w:eastAsia="仿宋_GB2312" w:cs="仿宋_GB2312"/>
          <w:kern w:val="2"/>
          <w:sz w:val="32"/>
          <w:szCs w:val="32"/>
          <w:lang w:val="en-US" w:eastAsia="zh-CN"/>
        </w:rPr>
      </w:pPr>
      <w:r>
        <w:rPr>
          <w:rFonts w:hint="eastAsia" w:ascii="仿宋_GB2312" w:hAnsi="仿宋_GB2312" w:eastAsia="仿宋_GB2312" w:cs="仿宋_GB2312"/>
          <w:kern w:val="2"/>
          <w:sz w:val="32"/>
          <w:szCs w:val="32"/>
        </w:rPr>
        <w:t>1、促进品质提升。有效推进质量兴农、绿色兴农的发展方向，以绿色增效、节本增效、提质增效为目标，减少化肥用量，针对</w:t>
      </w:r>
      <w:r>
        <w:rPr>
          <w:rFonts w:hint="eastAsia" w:ascii="仿宋_GB2312" w:hAnsi="仿宋_GB2312" w:eastAsia="仿宋_GB2312" w:cs="仿宋_GB2312"/>
          <w:kern w:val="2"/>
          <w:sz w:val="32"/>
          <w:szCs w:val="32"/>
          <w:lang w:val="en-US" w:eastAsia="zh-CN"/>
        </w:rPr>
        <w:t>百</w:t>
      </w:r>
      <w:r>
        <w:rPr>
          <w:rFonts w:hint="eastAsia" w:ascii="仿宋_GB2312" w:hAnsi="仿宋_GB2312" w:eastAsia="仿宋_GB2312" w:cs="仿宋_GB2312"/>
          <w:kern w:val="2"/>
          <w:sz w:val="32"/>
          <w:szCs w:val="32"/>
        </w:rPr>
        <w:t>亩以</w:t>
      </w:r>
      <w:r>
        <w:rPr>
          <w:rFonts w:hint="eastAsia" w:ascii="仿宋_GB2312" w:hAnsi="仿宋_GB2312" w:eastAsia="仿宋_GB2312" w:cs="仿宋_GB2312"/>
          <w:kern w:val="2"/>
          <w:sz w:val="32"/>
          <w:szCs w:val="32"/>
          <w:lang w:eastAsia="zh-CN"/>
        </w:rPr>
        <w:t>下</w:t>
      </w:r>
      <w:r>
        <w:rPr>
          <w:rFonts w:hint="eastAsia" w:ascii="仿宋_GB2312" w:hAnsi="仿宋_GB2312" w:eastAsia="仿宋_GB2312" w:cs="仿宋_GB2312"/>
          <w:kern w:val="2"/>
          <w:sz w:val="32"/>
          <w:szCs w:val="32"/>
        </w:rPr>
        <w:t>经济果林</w:t>
      </w:r>
      <w:r>
        <w:rPr>
          <w:rFonts w:hint="eastAsia" w:ascii="仿宋_GB2312" w:hAnsi="仿宋_GB2312" w:eastAsia="仿宋_GB2312" w:cs="仿宋_GB2312"/>
          <w:kern w:val="2"/>
          <w:sz w:val="32"/>
          <w:szCs w:val="32"/>
          <w:lang w:eastAsia="zh-CN"/>
        </w:rPr>
        <w:t>散户和合作社</w:t>
      </w:r>
      <w:r>
        <w:rPr>
          <w:rFonts w:hint="eastAsia" w:ascii="仿宋_GB2312" w:hAnsi="仿宋_GB2312" w:eastAsia="仿宋_GB2312" w:cs="仿宋_GB2312"/>
          <w:kern w:val="2"/>
          <w:sz w:val="32"/>
          <w:szCs w:val="32"/>
        </w:rPr>
        <w:t>大力推广有机肥、生物肥、缓释肥等</w:t>
      </w:r>
      <w:r>
        <w:rPr>
          <w:rFonts w:hint="eastAsia" w:ascii="仿宋_GB2312" w:hAnsi="仿宋_GB2312" w:eastAsia="仿宋_GB2312" w:cs="仿宋_GB2312"/>
          <w:kern w:val="2"/>
          <w:sz w:val="32"/>
          <w:szCs w:val="32"/>
          <w:lang w:eastAsia="zh-CN"/>
        </w:rPr>
        <w:t>，</w:t>
      </w:r>
      <w:r>
        <w:rPr>
          <w:rFonts w:hint="eastAsia" w:ascii="仿宋_GB2312" w:hAnsi="仿宋_GB2312" w:eastAsia="仿宋_GB2312" w:cs="仿宋_GB2312"/>
          <w:kern w:val="2"/>
          <w:sz w:val="32"/>
          <w:szCs w:val="32"/>
        </w:rPr>
        <w:t>占区下拨经济果林生态补偿金</w:t>
      </w:r>
      <w:r>
        <w:rPr>
          <w:rFonts w:hint="eastAsia" w:ascii="仿宋_GB2312" w:hAnsi="仿宋_GB2312" w:eastAsia="仿宋_GB2312" w:cs="仿宋_GB2312"/>
          <w:kern w:val="2"/>
          <w:sz w:val="32"/>
          <w:szCs w:val="32"/>
          <w:lang w:eastAsia="zh-CN"/>
        </w:rPr>
        <w:t>的</w:t>
      </w:r>
      <w:r>
        <w:rPr>
          <w:rFonts w:hint="eastAsia" w:ascii="仿宋_GB2312" w:hAnsi="仿宋_GB2312" w:eastAsia="仿宋_GB2312" w:cs="仿宋_GB2312"/>
          <w:kern w:val="2"/>
          <w:sz w:val="32"/>
          <w:szCs w:val="32"/>
          <w:lang w:val="en-US" w:eastAsia="zh-CN"/>
        </w:rPr>
        <w:t>56</w:t>
      </w:r>
      <w:r>
        <w:rPr>
          <w:rFonts w:hint="eastAsia" w:ascii="仿宋_GB2312" w:hAnsi="仿宋_GB2312" w:eastAsia="仿宋_GB2312" w:cs="仿宋_GB2312"/>
          <w:kern w:val="2"/>
          <w:sz w:val="32"/>
          <w:szCs w:val="32"/>
          <w:lang w:eastAsia="zh-CN"/>
        </w:rPr>
        <w:t>％（约</w:t>
      </w:r>
      <w:r>
        <w:rPr>
          <w:rFonts w:hint="eastAsia" w:ascii="仿宋_GB2312" w:hAnsi="仿宋_GB2312" w:eastAsia="仿宋_GB2312" w:cs="仿宋_GB2312"/>
          <w:kern w:val="2"/>
          <w:sz w:val="32"/>
          <w:szCs w:val="32"/>
          <w:lang w:val="en-US" w:eastAsia="zh-CN"/>
        </w:rPr>
        <w:t>13.7万元</w:t>
      </w:r>
      <w:r>
        <w:rPr>
          <w:rFonts w:hint="eastAsia" w:ascii="仿宋_GB2312" w:hAnsi="仿宋_GB2312" w:eastAsia="仿宋_GB2312" w:cs="仿宋_GB2312"/>
          <w:kern w:val="2"/>
          <w:sz w:val="32"/>
          <w:szCs w:val="32"/>
          <w:lang w:eastAsia="zh-CN"/>
        </w:rPr>
        <w:t>）。</w:t>
      </w:r>
    </w:p>
    <w:p>
      <w:pPr>
        <w:keepNext w:val="0"/>
        <w:keepLines w:val="0"/>
        <w:pageBreakBefore w:val="0"/>
        <w:widowControl w:val="0"/>
        <w:kinsoku/>
        <w:wordWrap/>
        <w:overflowPunct/>
        <w:topLinePunct w:val="0"/>
        <w:autoSpaceDE/>
        <w:autoSpaceDN/>
        <w:bidi w:val="0"/>
        <w:adjustRightInd/>
        <w:snapToGrid/>
        <w:spacing w:after="0" w:line="560" w:lineRule="exact"/>
        <w:ind w:left="0" w:leftChars="0" w:right="0" w:rightChars="0" w:firstLine="640" w:firstLineChars="200"/>
        <w:jc w:val="both"/>
        <w:textAlignment w:val="auto"/>
        <w:outlineLvl w:val="9"/>
        <w:rPr>
          <w:rFonts w:hint="eastAsia" w:ascii="仿宋_GB2312" w:hAnsi="仿宋_GB2312" w:eastAsia="仿宋_GB2312" w:cs="仿宋_GB2312"/>
          <w:kern w:val="2"/>
          <w:sz w:val="32"/>
          <w:szCs w:val="32"/>
        </w:rPr>
      </w:pPr>
      <w:r>
        <w:rPr>
          <w:rFonts w:hint="eastAsia" w:ascii="仿宋_GB2312" w:hAnsi="仿宋_GB2312" w:eastAsia="仿宋_GB2312" w:cs="仿宋_GB2312"/>
          <w:kern w:val="2"/>
          <w:sz w:val="32"/>
          <w:szCs w:val="32"/>
        </w:rPr>
        <w:t>2、果园环境提升。为改善本镇果园形象，提升果园环境，保证果园农机具便于出入田间地头，对经济果林合作社进行果园环境优化建设，重点对果园内道路设施、沟渠、废弃物处置、垃圾分类等进行改善和提升</w:t>
      </w:r>
      <w:r>
        <w:rPr>
          <w:rFonts w:hint="eastAsia" w:ascii="仿宋_GB2312" w:hAnsi="仿宋_GB2312" w:eastAsia="仿宋_GB2312" w:cs="仿宋_GB2312"/>
          <w:kern w:val="2"/>
          <w:sz w:val="32"/>
          <w:szCs w:val="32"/>
          <w:lang w:eastAsia="zh-CN"/>
        </w:rPr>
        <w:t>，</w:t>
      </w:r>
      <w:r>
        <w:rPr>
          <w:rFonts w:hint="eastAsia" w:ascii="仿宋_GB2312" w:hAnsi="仿宋_GB2312" w:eastAsia="仿宋_GB2312" w:cs="仿宋_GB2312"/>
          <w:kern w:val="2"/>
          <w:sz w:val="32"/>
          <w:szCs w:val="32"/>
        </w:rPr>
        <w:t>占区下拨经济果林生态补偿金</w:t>
      </w:r>
      <w:r>
        <w:rPr>
          <w:rFonts w:hint="eastAsia" w:ascii="仿宋_GB2312" w:hAnsi="仿宋_GB2312" w:eastAsia="仿宋_GB2312" w:cs="仿宋_GB2312"/>
          <w:kern w:val="2"/>
          <w:sz w:val="32"/>
          <w:szCs w:val="32"/>
          <w:lang w:eastAsia="zh-CN"/>
        </w:rPr>
        <w:t>的</w:t>
      </w:r>
      <w:r>
        <w:rPr>
          <w:rFonts w:hint="eastAsia" w:ascii="仿宋_GB2312" w:hAnsi="仿宋_GB2312" w:eastAsia="仿宋_GB2312" w:cs="仿宋_GB2312"/>
          <w:kern w:val="2"/>
          <w:sz w:val="32"/>
          <w:szCs w:val="32"/>
          <w:lang w:val="en-US" w:eastAsia="zh-CN"/>
        </w:rPr>
        <w:t>24</w:t>
      </w:r>
      <w:r>
        <w:rPr>
          <w:rFonts w:hint="eastAsia" w:ascii="仿宋_GB2312" w:hAnsi="仿宋_GB2312" w:eastAsia="仿宋_GB2312" w:cs="仿宋_GB2312"/>
          <w:kern w:val="2"/>
          <w:sz w:val="32"/>
          <w:szCs w:val="32"/>
          <w:lang w:eastAsia="zh-CN"/>
        </w:rPr>
        <w:t>％（约</w:t>
      </w:r>
      <w:r>
        <w:rPr>
          <w:rFonts w:hint="eastAsia" w:ascii="仿宋_GB2312" w:hAnsi="仿宋_GB2312" w:eastAsia="仿宋_GB2312" w:cs="仿宋_GB2312"/>
          <w:kern w:val="2"/>
          <w:sz w:val="32"/>
          <w:szCs w:val="32"/>
          <w:lang w:val="en-US" w:eastAsia="zh-CN"/>
        </w:rPr>
        <w:t>5.8万元</w:t>
      </w:r>
      <w:r>
        <w:rPr>
          <w:rFonts w:hint="eastAsia" w:ascii="仿宋_GB2312" w:hAnsi="仿宋_GB2312" w:eastAsia="仿宋_GB2312" w:cs="仿宋_GB2312"/>
          <w:kern w:val="2"/>
          <w:sz w:val="32"/>
          <w:szCs w:val="32"/>
          <w:lang w:eastAsia="zh-CN"/>
        </w:rPr>
        <w:t>）。</w:t>
      </w:r>
    </w:p>
    <w:p>
      <w:pPr>
        <w:keepNext w:val="0"/>
        <w:keepLines w:val="0"/>
        <w:pageBreakBefore w:val="0"/>
        <w:widowControl w:val="0"/>
        <w:kinsoku/>
        <w:wordWrap/>
        <w:overflowPunct/>
        <w:topLinePunct w:val="0"/>
        <w:autoSpaceDE/>
        <w:autoSpaceDN/>
        <w:bidi w:val="0"/>
        <w:adjustRightInd/>
        <w:snapToGrid/>
        <w:spacing w:after="0" w:line="560" w:lineRule="exact"/>
        <w:ind w:left="0" w:leftChars="0" w:right="0" w:rightChars="0" w:firstLine="640" w:firstLineChars="200"/>
        <w:jc w:val="both"/>
        <w:textAlignment w:val="auto"/>
        <w:outlineLvl w:val="9"/>
        <w:rPr>
          <w:rFonts w:hint="eastAsia" w:ascii="楷体_GB2312" w:hAnsi="楷体_GB2312" w:eastAsia="楷体_GB2312" w:cs="楷体_GB2312"/>
          <w:kern w:val="2"/>
          <w:sz w:val="32"/>
          <w:szCs w:val="32"/>
        </w:rPr>
      </w:pPr>
      <w:r>
        <w:rPr>
          <w:rFonts w:hint="eastAsia" w:ascii="楷体_GB2312" w:hAnsi="楷体_GB2312" w:eastAsia="楷体_GB2312" w:cs="楷体_GB2312"/>
          <w:kern w:val="2"/>
          <w:sz w:val="32"/>
          <w:szCs w:val="32"/>
        </w:rPr>
        <w:t>（二）新增经济果林发展、老果林提升</w:t>
      </w:r>
      <w:r>
        <w:rPr>
          <w:rFonts w:hint="eastAsia" w:ascii="楷体_GB2312" w:hAnsi="楷体_GB2312" w:eastAsia="楷体_GB2312" w:cs="楷体_GB2312"/>
          <w:kern w:val="2"/>
          <w:sz w:val="32"/>
          <w:szCs w:val="32"/>
          <w:lang w:eastAsia="zh-CN"/>
        </w:rPr>
        <w:t>、果林保险约</w:t>
      </w:r>
      <w:r>
        <w:rPr>
          <w:rFonts w:hint="eastAsia" w:ascii="楷体_GB2312" w:hAnsi="楷体_GB2312" w:eastAsia="楷体_GB2312" w:cs="楷体_GB2312"/>
          <w:kern w:val="2"/>
          <w:sz w:val="32"/>
          <w:szCs w:val="32"/>
        </w:rPr>
        <w:t>占区下拨经济果林生态补偿金</w:t>
      </w:r>
      <w:r>
        <w:rPr>
          <w:rFonts w:hint="eastAsia" w:ascii="楷体_GB2312" w:hAnsi="楷体_GB2312" w:eastAsia="楷体_GB2312" w:cs="楷体_GB2312"/>
          <w:kern w:val="2"/>
          <w:sz w:val="32"/>
          <w:szCs w:val="32"/>
          <w:lang w:eastAsia="zh-CN"/>
        </w:rPr>
        <w:t>的</w:t>
      </w:r>
      <w:r>
        <w:rPr>
          <w:rFonts w:hint="eastAsia" w:ascii="楷体_GB2312" w:hAnsi="楷体_GB2312" w:eastAsia="楷体_GB2312" w:cs="楷体_GB2312"/>
          <w:kern w:val="2"/>
          <w:sz w:val="32"/>
          <w:szCs w:val="32"/>
          <w:lang w:val="en-US" w:eastAsia="zh-CN"/>
        </w:rPr>
        <w:t>20</w:t>
      </w:r>
      <w:r>
        <w:rPr>
          <w:rFonts w:hint="eastAsia" w:ascii="楷体_GB2312" w:hAnsi="楷体_GB2312" w:eastAsia="楷体_GB2312" w:cs="楷体_GB2312"/>
          <w:kern w:val="2"/>
          <w:sz w:val="32"/>
          <w:szCs w:val="32"/>
          <w:lang w:eastAsia="zh-CN"/>
        </w:rPr>
        <w:t>％（约</w:t>
      </w:r>
      <w:r>
        <w:rPr>
          <w:rFonts w:hint="eastAsia" w:ascii="楷体_GB2312" w:hAnsi="楷体_GB2312" w:eastAsia="楷体_GB2312" w:cs="楷体_GB2312"/>
          <w:kern w:val="2"/>
          <w:sz w:val="32"/>
          <w:szCs w:val="32"/>
          <w:lang w:val="en-US" w:eastAsia="zh-CN"/>
        </w:rPr>
        <w:t>5万元</w:t>
      </w:r>
      <w:r>
        <w:rPr>
          <w:rFonts w:hint="eastAsia" w:ascii="楷体_GB2312" w:hAnsi="楷体_GB2312" w:eastAsia="楷体_GB2312" w:cs="楷体_GB2312"/>
          <w:kern w:val="2"/>
          <w:sz w:val="32"/>
          <w:szCs w:val="32"/>
          <w:lang w:eastAsia="zh-CN"/>
        </w:rPr>
        <w:t>）</w:t>
      </w:r>
      <w:r>
        <w:rPr>
          <w:rFonts w:hint="eastAsia" w:ascii="楷体_GB2312" w:hAnsi="楷体_GB2312" w:eastAsia="楷体_GB2312" w:cs="楷体_GB2312"/>
          <w:kern w:val="2"/>
          <w:sz w:val="32"/>
          <w:szCs w:val="32"/>
        </w:rPr>
        <w:t>。</w:t>
      </w:r>
    </w:p>
    <w:p>
      <w:pPr>
        <w:keepNext w:val="0"/>
        <w:keepLines w:val="0"/>
        <w:pageBreakBefore w:val="0"/>
        <w:widowControl w:val="0"/>
        <w:kinsoku/>
        <w:wordWrap/>
        <w:overflowPunct/>
        <w:topLinePunct w:val="0"/>
        <w:autoSpaceDE/>
        <w:autoSpaceDN/>
        <w:bidi w:val="0"/>
        <w:adjustRightInd/>
        <w:snapToGrid/>
        <w:spacing w:after="0" w:line="560" w:lineRule="exact"/>
        <w:ind w:left="0" w:leftChars="0" w:right="0" w:rightChars="0" w:firstLine="640" w:firstLineChars="200"/>
        <w:jc w:val="both"/>
        <w:textAlignment w:val="auto"/>
        <w:outlineLvl w:val="9"/>
        <w:rPr>
          <w:rFonts w:hint="eastAsia" w:ascii="仿宋_GB2312" w:hAnsi="仿宋_GB2312" w:eastAsia="仿宋_GB2312" w:cs="仿宋_GB2312"/>
          <w:kern w:val="2"/>
          <w:sz w:val="32"/>
          <w:szCs w:val="32"/>
        </w:rPr>
      </w:pPr>
      <w:r>
        <w:rPr>
          <w:rFonts w:hint="eastAsia" w:ascii="仿宋_GB2312" w:hAnsi="仿宋_GB2312" w:eastAsia="仿宋_GB2312" w:cs="仿宋_GB2312"/>
          <w:kern w:val="2"/>
          <w:sz w:val="32"/>
          <w:szCs w:val="32"/>
          <w:lang w:val="en-US" w:eastAsia="zh-CN"/>
        </w:rPr>
        <w:t>1</w:t>
      </w:r>
      <w:r>
        <w:rPr>
          <w:rFonts w:hint="eastAsia" w:ascii="仿宋_GB2312" w:hAnsi="仿宋_GB2312" w:eastAsia="仿宋_GB2312" w:cs="仿宋_GB2312"/>
          <w:kern w:val="2"/>
          <w:sz w:val="32"/>
          <w:szCs w:val="32"/>
        </w:rPr>
        <w:t>、优化栽种模式。加强省力化栽培模式，在新增或品种改良经济果林中推广机械化施肥穴播、机械化开沟等模式，为生产效率的提高和品质的提升打牢基础。</w:t>
      </w:r>
    </w:p>
    <w:p>
      <w:pPr>
        <w:keepNext w:val="0"/>
        <w:keepLines w:val="0"/>
        <w:pageBreakBefore w:val="0"/>
        <w:widowControl w:val="0"/>
        <w:kinsoku/>
        <w:wordWrap/>
        <w:overflowPunct/>
        <w:topLinePunct w:val="0"/>
        <w:autoSpaceDE/>
        <w:autoSpaceDN/>
        <w:bidi w:val="0"/>
        <w:adjustRightInd/>
        <w:snapToGrid/>
        <w:spacing w:after="0" w:line="560" w:lineRule="exact"/>
        <w:ind w:left="0" w:leftChars="0" w:right="0" w:rightChars="0" w:firstLine="640" w:firstLineChars="200"/>
        <w:jc w:val="both"/>
        <w:textAlignment w:val="auto"/>
        <w:outlineLvl w:val="9"/>
        <w:rPr>
          <w:rFonts w:hint="eastAsia" w:ascii="仿宋_GB2312" w:hAnsi="仿宋_GB2312" w:eastAsia="仿宋_GB2312" w:cs="仿宋_GB2312"/>
          <w:kern w:val="2"/>
          <w:sz w:val="32"/>
          <w:szCs w:val="32"/>
          <w:lang w:val="en-US" w:eastAsia="zh-CN"/>
        </w:rPr>
      </w:pPr>
      <w:r>
        <w:rPr>
          <w:rFonts w:hint="eastAsia" w:ascii="仿宋_GB2312" w:hAnsi="仿宋_GB2312" w:eastAsia="仿宋_GB2312" w:cs="仿宋_GB2312"/>
          <w:kern w:val="2"/>
          <w:sz w:val="32"/>
          <w:szCs w:val="32"/>
          <w:lang w:val="en-US" w:eastAsia="zh-CN"/>
        </w:rPr>
        <w:t>2、</w:t>
      </w:r>
      <w:r>
        <w:rPr>
          <w:rFonts w:hint="eastAsia" w:ascii="仿宋_GB2312" w:hAnsi="仿宋_GB2312" w:eastAsia="仿宋_GB2312" w:cs="仿宋_GB2312"/>
          <w:kern w:val="2"/>
          <w:sz w:val="32"/>
          <w:szCs w:val="32"/>
          <w:lang w:eastAsia="zh-CN"/>
        </w:rPr>
        <w:t>经济果林保险。经济果林根据应保尽保的原则，以中兴镇人民政府为单位统一投保，保障乡镇辖区内管理或拥有经济果林的单位或农户。经济果林林木保险额为</w:t>
      </w:r>
      <w:r>
        <w:rPr>
          <w:rFonts w:hint="eastAsia" w:ascii="仿宋_GB2312" w:hAnsi="仿宋_GB2312" w:eastAsia="仿宋_GB2312" w:cs="仿宋_GB2312"/>
          <w:kern w:val="2"/>
          <w:sz w:val="32"/>
          <w:szCs w:val="32"/>
          <w:lang w:val="en-US" w:eastAsia="zh-CN"/>
        </w:rPr>
        <w:t>4000元/亩，费率为5‰，保费为20元/亩。保费由镇级专项资金支出。</w:t>
      </w:r>
    </w:p>
    <w:p>
      <w:pPr>
        <w:keepNext w:val="0"/>
        <w:keepLines w:val="0"/>
        <w:pageBreakBefore w:val="0"/>
        <w:widowControl w:val="0"/>
        <w:kinsoku/>
        <w:wordWrap/>
        <w:overflowPunct/>
        <w:topLinePunct w:val="0"/>
        <w:autoSpaceDE/>
        <w:autoSpaceDN/>
        <w:bidi w:val="0"/>
        <w:adjustRightInd/>
        <w:snapToGrid/>
        <w:spacing w:after="0" w:line="560" w:lineRule="exact"/>
        <w:ind w:left="0" w:leftChars="0" w:right="0" w:rightChars="0" w:firstLine="640" w:firstLineChars="200"/>
        <w:jc w:val="both"/>
        <w:textAlignment w:val="auto"/>
        <w:outlineLvl w:val="9"/>
        <w:rPr>
          <w:rFonts w:hint="eastAsia" w:ascii="楷体_GB2312" w:hAnsi="楷体_GB2312" w:eastAsia="楷体_GB2312" w:cs="楷体_GB2312"/>
          <w:kern w:val="2"/>
          <w:sz w:val="32"/>
          <w:szCs w:val="32"/>
          <w:lang w:val="en-US" w:eastAsia="zh-CN"/>
        </w:rPr>
      </w:pPr>
      <w:r>
        <w:rPr>
          <w:rFonts w:hint="eastAsia" w:ascii="楷体_GB2312" w:hAnsi="楷体_GB2312" w:eastAsia="楷体_GB2312" w:cs="楷体_GB2312"/>
          <w:kern w:val="2"/>
          <w:sz w:val="32"/>
          <w:szCs w:val="32"/>
        </w:rPr>
        <w:t>（</w:t>
      </w:r>
      <w:r>
        <w:rPr>
          <w:rFonts w:hint="eastAsia" w:ascii="楷体_GB2312" w:hAnsi="楷体_GB2312" w:eastAsia="楷体_GB2312" w:cs="楷体_GB2312"/>
          <w:kern w:val="2"/>
          <w:sz w:val="32"/>
          <w:szCs w:val="32"/>
          <w:lang w:eastAsia="zh-CN"/>
        </w:rPr>
        <w:t>三</w:t>
      </w:r>
      <w:r>
        <w:rPr>
          <w:rFonts w:hint="eastAsia" w:ascii="楷体_GB2312" w:hAnsi="楷体_GB2312" w:eastAsia="楷体_GB2312" w:cs="楷体_GB2312"/>
          <w:kern w:val="2"/>
          <w:sz w:val="32"/>
          <w:szCs w:val="32"/>
        </w:rPr>
        <w:t>）我镇将按照明细表预安排资金实施，并根据实际实施情况进行项目内调整。</w:t>
      </w:r>
    </w:p>
    <w:p>
      <w:pPr>
        <w:keepNext w:val="0"/>
        <w:keepLines w:val="0"/>
        <w:pageBreakBefore w:val="0"/>
        <w:widowControl w:val="0"/>
        <w:numPr>
          <w:ilvl w:val="0"/>
          <w:numId w:val="0"/>
        </w:numPr>
        <w:kinsoku/>
        <w:wordWrap/>
        <w:overflowPunct/>
        <w:topLinePunct w:val="0"/>
        <w:autoSpaceDE/>
        <w:autoSpaceDN/>
        <w:bidi w:val="0"/>
        <w:adjustRightInd/>
        <w:snapToGrid/>
        <w:spacing w:after="0" w:line="560" w:lineRule="exact"/>
        <w:ind w:left="0" w:leftChars="0" w:right="0" w:rightChars="0" w:firstLine="640" w:firstLineChars="200"/>
        <w:jc w:val="both"/>
        <w:textAlignment w:val="auto"/>
        <w:outlineLvl w:val="9"/>
        <w:rPr>
          <w:rFonts w:hint="eastAsia" w:ascii="黑体" w:hAnsi="黑体" w:eastAsia="黑体" w:cs="黑体"/>
          <w:kern w:val="2"/>
          <w:sz w:val="32"/>
          <w:szCs w:val="32"/>
        </w:rPr>
      </w:pPr>
      <w:r>
        <w:rPr>
          <w:rFonts w:hint="eastAsia" w:ascii="黑体" w:hAnsi="黑体" w:eastAsia="黑体" w:cs="黑体"/>
          <w:kern w:val="2"/>
          <w:sz w:val="32"/>
          <w:szCs w:val="32"/>
        </w:rPr>
        <w:t>四、工作步骤</w:t>
      </w:r>
    </w:p>
    <w:p>
      <w:pPr>
        <w:keepNext w:val="0"/>
        <w:keepLines w:val="0"/>
        <w:pageBreakBefore w:val="0"/>
        <w:widowControl w:val="0"/>
        <w:kinsoku/>
        <w:wordWrap/>
        <w:overflowPunct/>
        <w:topLinePunct w:val="0"/>
        <w:autoSpaceDE/>
        <w:autoSpaceDN/>
        <w:bidi w:val="0"/>
        <w:adjustRightInd/>
        <w:snapToGrid/>
        <w:spacing w:after="0" w:line="560" w:lineRule="exact"/>
        <w:ind w:left="0" w:leftChars="0" w:right="0" w:rightChars="0" w:firstLine="640" w:firstLineChars="200"/>
        <w:jc w:val="both"/>
        <w:textAlignment w:val="auto"/>
        <w:outlineLvl w:val="9"/>
        <w:rPr>
          <w:rFonts w:hint="eastAsia" w:ascii="楷体_GB2312" w:hAnsi="楷体_GB2312" w:eastAsia="楷体_GB2312" w:cs="楷体_GB2312"/>
          <w:kern w:val="2"/>
          <w:sz w:val="32"/>
          <w:szCs w:val="32"/>
        </w:rPr>
      </w:pPr>
      <w:r>
        <w:rPr>
          <w:rFonts w:hint="eastAsia" w:ascii="楷体_GB2312" w:hAnsi="楷体_GB2312" w:eastAsia="楷体_GB2312" w:cs="楷体_GB2312"/>
          <w:kern w:val="2"/>
          <w:sz w:val="32"/>
          <w:szCs w:val="32"/>
        </w:rPr>
        <w:t>（一）成立机构成立</w:t>
      </w:r>
      <w:r>
        <w:rPr>
          <w:rFonts w:hint="eastAsia" w:ascii="楷体_GB2312" w:hAnsi="楷体_GB2312" w:eastAsia="楷体_GB2312" w:cs="楷体_GB2312"/>
          <w:kern w:val="2"/>
          <w:sz w:val="32"/>
          <w:szCs w:val="32"/>
          <w:lang w:eastAsia="zh-CN"/>
        </w:rPr>
        <w:t>中兴</w:t>
      </w:r>
      <w:r>
        <w:rPr>
          <w:rFonts w:hint="eastAsia" w:ascii="楷体_GB2312" w:hAnsi="楷体_GB2312" w:eastAsia="楷体_GB2312" w:cs="楷体_GB2312"/>
          <w:kern w:val="2"/>
          <w:sz w:val="32"/>
          <w:szCs w:val="32"/>
        </w:rPr>
        <w:t>镇经济果林生态补偿工作领导小组，镇长任组长，分管副镇长任副组长，镇纪委、经济办、财政所、规保办、镇农技中心、资产管理公司、各涉及村等为成员单位，下设镇经济果林生态补偿工作小组办公室，办公室设在镇农技中心，统筹协调全镇经济果林生态补偿工作。</w:t>
      </w:r>
    </w:p>
    <w:p>
      <w:pPr>
        <w:keepNext w:val="0"/>
        <w:keepLines w:val="0"/>
        <w:pageBreakBefore w:val="0"/>
        <w:widowControl w:val="0"/>
        <w:kinsoku/>
        <w:wordWrap/>
        <w:overflowPunct/>
        <w:topLinePunct w:val="0"/>
        <w:autoSpaceDE/>
        <w:autoSpaceDN/>
        <w:bidi w:val="0"/>
        <w:adjustRightInd/>
        <w:snapToGrid/>
        <w:spacing w:after="0" w:line="560" w:lineRule="exact"/>
        <w:ind w:left="0" w:leftChars="0" w:right="0" w:rightChars="0" w:firstLine="640" w:firstLineChars="200"/>
        <w:jc w:val="both"/>
        <w:textAlignment w:val="auto"/>
        <w:outlineLvl w:val="9"/>
        <w:rPr>
          <w:rFonts w:hint="eastAsia" w:ascii="楷体_GB2312" w:hAnsi="楷体_GB2312" w:eastAsia="楷体_GB2312" w:cs="楷体_GB2312"/>
          <w:kern w:val="2"/>
          <w:sz w:val="32"/>
          <w:szCs w:val="32"/>
        </w:rPr>
      </w:pPr>
      <w:r>
        <w:rPr>
          <w:rFonts w:hint="eastAsia" w:ascii="楷体_GB2312" w:hAnsi="楷体_GB2312" w:eastAsia="楷体_GB2312" w:cs="楷体_GB2312"/>
          <w:kern w:val="2"/>
          <w:sz w:val="32"/>
          <w:szCs w:val="32"/>
        </w:rPr>
        <w:t>（二）宣传部署与企业、合作社签订林果资源保有协议、生态补偿协议，同时下发考核办法、监管措施，统一部署推进工作。</w:t>
      </w:r>
    </w:p>
    <w:p>
      <w:pPr>
        <w:keepNext w:val="0"/>
        <w:keepLines w:val="0"/>
        <w:pageBreakBefore w:val="0"/>
        <w:widowControl w:val="0"/>
        <w:kinsoku/>
        <w:wordWrap/>
        <w:overflowPunct/>
        <w:topLinePunct w:val="0"/>
        <w:autoSpaceDE/>
        <w:autoSpaceDN/>
        <w:bidi w:val="0"/>
        <w:adjustRightInd/>
        <w:snapToGrid/>
        <w:spacing w:after="0" w:line="560" w:lineRule="exact"/>
        <w:ind w:left="0" w:leftChars="0" w:right="0" w:rightChars="0" w:firstLine="640" w:firstLineChars="200"/>
        <w:jc w:val="both"/>
        <w:textAlignment w:val="auto"/>
        <w:outlineLvl w:val="9"/>
        <w:rPr>
          <w:rFonts w:hint="eastAsia" w:ascii="楷体_GB2312" w:hAnsi="楷体_GB2312" w:eastAsia="楷体_GB2312" w:cs="楷体_GB2312"/>
          <w:kern w:val="2"/>
          <w:sz w:val="32"/>
          <w:szCs w:val="32"/>
        </w:rPr>
      </w:pPr>
      <w:r>
        <w:rPr>
          <w:rFonts w:hint="eastAsia" w:ascii="楷体_GB2312" w:hAnsi="楷体_GB2312" w:eastAsia="楷体_GB2312" w:cs="楷体_GB2312"/>
          <w:kern w:val="2"/>
          <w:sz w:val="32"/>
          <w:szCs w:val="32"/>
        </w:rPr>
        <w:t>（三）操作流程</w:t>
      </w:r>
    </w:p>
    <w:p>
      <w:pPr>
        <w:keepNext w:val="0"/>
        <w:keepLines w:val="0"/>
        <w:pageBreakBefore w:val="0"/>
        <w:widowControl w:val="0"/>
        <w:kinsoku/>
        <w:wordWrap/>
        <w:overflowPunct/>
        <w:topLinePunct w:val="0"/>
        <w:autoSpaceDE/>
        <w:autoSpaceDN/>
        <w:bidi w:val="0"/>
        <w:adjustRightInd/>
        <w:snapToGrid/>
        <w:spacing w:after="0" w:line="560" w:lineRule="exact"/>
        <w:ind w:left="0" w:leftChars="0" w:right="0" w:rightChars="0" w:firstLine="640" w:firstLineChars="200"/>
        <w:jc w:val="both"/>
        <w:textAlignment w:val="auto"/>
        <w:outlineLvl w:val="9"/>
        <w:rPr>
          <w:rFonts w:hint="eastAsia" w:ascii="仿宋_GB2312" w:hAnsi="仿宋_GB2312" w:eastAsia="仿宋_GB2312" w:cs="仿宋_GB2312"/>
          <w:kern w:val="2"/>
          <w:sz w:val="32"/>
          <w:szCs w:val="32"/>
        </w:rPr>
      </w:pPr>
      <w:r>
        <w:rPr>
          <w:rFonts w:hint="eastAsia" w:ascii="仿宋_GB2312" w:hAnsi="仿宋_GB2312" w:eastAsia="仿宋_GB2312" w:cs="仿宋_GB2312"/>
          <w:kern w:val="2"/>
          <w:sz w:val="32"/>
          <w:szCs w:val="32"/>
          <w:lang w:val="en-US" w:eastAsia="zh-CN"/>
        </w:rPr>
        <w:t>1</w:t>
      </w:r>
      <w:r>
        <w:rPr>
          <w:rFonts w:hint="eastAsia" w:ascii="仿宋_GB2312" w:hAnsi="仿宋_GB2312" w:eastAsia="仿宋_GB2312" w:cs="仿宋_GB2312"/>
          <w:kern w:val="2"/>
          <w:sz w:val="32"/>
          <w:szCs w:val="32"/>
        </w:rPr>
        <w:t>、组织公示与项目实施。对扶持企业、合作社名单进行公示，公示完成后确定项目实施内容并组织项目实施、政府采购等相关工作。</w:t>
      </w:r>
    </w:p>
    <w:p>
      <w:pPr>
        <w:keepNext w:val="0"/>
        <w:keepLines w:val="0"/>
        <w:pageBreakBefore w:val="0"/>
        <w:widowControl w:val="0"/>
        <w:kinsoku/>
        <w:wordWrap/>
        <w:overflowPunct/>
        <w:topLinePunct w:val="0"/>
        <w:autoSpaceDE/>
        <w:autoSpaceDN/>
        <w:bidi w:val="0"/>
        <w:adjustRightInd/>
        <w:snapToGrid/>
        <w:spacing w:after="0" w:line="560" w:lineRule="exact"/>
        <w:ind w:left="0" w:leftChars="0" w:right="0" w:rightChars="0" w:firstLine="640" w:firstLineChars="200"/>
        <w:jc w:val="both"/>
        <w:textAlignment w:val="auto"/>
        <w:outlineLvl w:val="9"/>
        <w:rPr>
          <w:rFonts w:hint="eastAsia" w:ascii="仿宋_GB2312" w:hAnsi="仿宋_GB2312" w:eastAsia="仿宋_GB2312" w:cs="仿宋_GB2312"/>
          <w:kern w:val="2"/>
          <w:sz w:val="32"/>
          <w:szCs w:val="32"/>
        </w:rPr>
      </w:pPr>
      <w:r>
        <w:rPr>
          <w:rFonts w:hint="eastAsia" w:ascii="仿宋_GB2312" w:hAnsi="仿宋_GB2312" w:eastAsia="仿宋_GB2312" w:cs="仿宋_GB2312"/>
          <w:kern w:val="2"/>
          <w:sz w:val="32"/>
          <w:szCs w:val="32"/>
          <w:lang w:val="en-US" w:eastAsia="zh-CN"/>
        </w:rPr>
        <w:t>2</w:t>
      </w:r>
      <w:r>
        <w:rPr>
          <w:rFonts w:hint="eastAsia" w:ascii="仿宋_GB2312" w:hAnsi="仿宋_GB2312" w:eastAsia="仿宋_GB2312" w:cs="仿宋_GB2312"/>
          <w:kern w:val="2"/>
          <w:sz w:val="32"/>
          <w:szCs w:val="32"/>
        </w:rPr>
        <w:t>、资金结算与拨付。由镇农技中心建立当年经济果林补偿项目相关台账。在项目实施过程中，乡镇对符合要求的企业、合作社进行统一拨付物化补贴物品，基础设施改造提升基建按政府采购方式进行。</w:t>
      </w:r>
    </w:p>
    <w:p>
      <w:pPr>
        <w:keepNext w:val="0"/>
        <w:keepLines w:val="0"/>
        <w:pageBreakBefore w:val="0"/>
        <w:widowControl w:val="0"/>
        <w:numPr>
          <w:ilvl w:val="0"/>
          <w:numId w:val="0"/>
        </w:numPr>
        <w:kinsoku/>
        <w:wordWrap/>
        <w:overflowPunct/>
        <w:topLinePunct w:val="0"/>
        <w:autoSpaceDE/>
        <w:autoSpaceDN/>
        <w:bidi w:val="0"/>
        <w:adjustRightInd/>
        <w:snapToGrid/>
        <w:spacing w:after="0" w:line="560" w:lineRule="exact"/>
        <w:ind w:left="0" w:leftChars="0" w:right="0" w:rightChars="0" w:firstLine="640" w:firstLineChars="200"/>
        <w:jc w:val="both"/>
        <w:textAlignment w:val="auto"/>
        <w:outlineLvl w:val="9"/>
        <w:rPr>
          <w:rFonts w:hint="eastAsia" w:ascii="黑体" w:hAnsi="黑体" w:eastAsia="黑体" w:cs="黑体"/>
          <w:kern w:val="2"/>
          <w:sz w:val="32"/>
          <w:szCs w:val="32"/>
        </w:rPr>
      </w:pPr>
      <w:r>
        <w:rPr>
          <w:rFonts w:hint="eastAsia" w:ascii="黑体" w:hAnsi="黑体" w:eastAsia="黑体" w:cs="黑体"/>
          <w:kern w:val="2"/>
          <w:sz w:val="32"/>
          <w:szCs w:val="32"/>
        </w:rPr>
        <w:t>五、其他</w:t>
      </w:r>
    </w:p>
    <w:p>
      <w:pPr>
        <w:keepNext w:val="0"/>
        <w:keepLines w:val="0"/>
        <w:pageBreakBefore w:val="0"/>
        <w:widowControl w:val="0"/>
        <w:kinsoku/>
        <w:wordWrap/>
        <w:overflowPunct/>
        <w:topLinePunct w:val="0"/>
        <w:autoSpaceDE/>
        <w:autoSpaceDN/>
        <w:bidi w:val="0"/>
        <w:adjustRightInd/>
        <w:snapToGrid/>
        <w:spacing w:after="0" w:line="560" w:lineRule="exact"/>
        <w:ind w:left="0" w:leftChars="0" w:right="0" w:rightChars="0" w:firstLine="640" w:firstLineChars="200"/>
        <w:jc w:val="both"/>
        <w:textAlignment w:val="auto"/>
        <w:outlineLvl w:val="9"/>
        <w:rPr>
          <w:rFonts w:hint="eastAsia" w:ascii="仿宋_GB2312" w:hAnsi="仿宋_GB2312" w:eastAsia="仿宋_GB2312" w:cs="仿宋_GB2312"/>
          <w:kern w:val="2"/>
          <w:sz w:val="32"/>
          <w:szCs w:val="32"/>
          <w:lang w:val="en-US" w:eastAsia="zh-CN"/>
        </w:rPr>
      </w:pPr>
      <w:r>
        <w:rPr>
          <w:rFonts w:hint="eastAsia" w:ascii="仿宋_GB2312" w:hAnsi="仿宋_GB2312" w:eastAsia="仿宋_GB2312" w:cs="仿宋_GB2312"/>
          <w:kern w:val="2"/>
          <w:sz w:val="32"/>
          <w:szCs w:val="32"/>
        </w:rPr>
        <w:t>本年度经济果林生态补偿资金由区财政统一拨付至</w:t>
      </w:r>
      <w:r>
        <w:rPr>
          <w:rFonts w:hint="eastAsia" w:ascii="仿宋_GB2312" w:hAnsi="仿宋_GB2312" w:eastAsia="仿宋_GB2312" w:cs="仿宋_GB2312"/>
          <w:kern w:val="2"/>
          <w:sz w:val="32"/>
          <w:szCs w:val="32"/>
          <w:lang w:eastAsia="zh-CN"/>
        </w:rPr>
        <w:t>中兴</w:t>
      </w:r>
      <w:r>
        <w:rPr>
          <w:rFonts w:hint="eastAsia" w:ascii="仿宋_GB2312" w:hAnsi="仿宋_GB2312" w:eastAsia="仿宋_GB2312" w:cs="仿宋_GB2312"/>
          <w:kern w:val="2"/>
          <w:sz w:val="32"/>
          <w:szCs w:val="32"/>
        </w:rPr>
        <w:t>镇人民政府。</w:t>
      </w:r>
      <w:r>
        <w:rPr>
          <w:rFonts w:hint="eastAsia" w:ascii="仿宋_GB2312" w:hAnsi="仿宋_GB2312" w:eastAsia="仿宋_GB2312" w:cs="仿宋_GB2312"/>
          <w:kern w:val="2"/>
          <w:sz w:val="32"/>
          <w:szCs w:val="32"/>
          <w:lang w:eastAsia="zh-CN"/>
        </w:rPr>
        <w:t>中兴</w:t>
      </w:r>
      <w:r>
        <w:rPr>
          <w:rFonts w:hint="eastAsia" w:ascii="仿宋_GB2312" w:hAnsi="仿宋_GB2312" w:eastAsia="仿宋_GB2312" w:cs="仿宋_GB2312"/>
          <w:kern w:val="2"/>
          <w:sz w:val="32"/>
          <w:szCs w:val="32"/>
        </w:rPr>
        <w:t>镇人民政府委派镇农技中心按照本实施方案对相关工作进行具体落实。</w:t>
      </w:r>
    </w:p>
    <w:p>
      <w:pPr>
        <w:keepNext w:val="0"/>
        <w:keepLines w:val="0"/>
        <w:pageBreakBefore w:val="0"/>
        <w:widowControl w:val="0"/>
        <w:kinsoku/>
        <w:wordWrap/>
        <w:overflowPunct/>
        <w:topLinePunct w:val="0"/>
        <w:autoSpaceDE/>
        <w:autoSpaceDN/>
        <w:bidi w:val="0"/>
        <w:adjustRightInd/>
        <w:snapToGrid/>
        <w:spacing w:after="0" w:line="560" w:lineRule="exact"/>
        <w:ind w:left="0" w:leftChars="0" w:right="0" w:rightChars="0"/>
        <w:jc w:val="both"/>
        <w:textAlignment w:val="auto"/>
        <w:outlineLvl w:val="9"/>
        <w:rPr>
          <w:rFonts w:hint="eastAsia" w:ascii="仿宋_GB2312" w:hAnsi="仿宋_GB2312" w:eastAsia="仿宋_GB2312" w:cs="仿宋_GB2312"/>
          <w:kern w:val="2"/>
          <w:sz w:val="32"/>
          <w:szCs w:val="32"/>
        </w:rPr>
      </w:pPr>
    </w:p>
    <w:p>
      <w:pPr>
        <w:keepNext w:val="0"/>
        <w:keepLines w:val="0"/>
        <w:pageBreakBefore w:val="0"/>
        <w:widowControl w:val="0"/>
        <w:kinsoku/>
        <w:wordWrap/>
        <w:overflowPunct/>
        <w:topLinePunct w:val="0"/>
        <w:autoSpaceDE/>
        <w:autoSpaceDN/>
        <w:bidi w:val="0"/>
        <w:adjustRightInd/>
        <w:snapToGrid/>
        <w:spacing w:after="0" w:line="560" w:lineRule="exact"/>
        <w:ind w:left="0" w:leftChars="0" w:right="0" w:rightChars="0"/>
        <w:jc w:val="both"/>
        <w:textAlignment w:val="auto"/>
        <w:outlineLvl w:val="9"/>
        <w:rPr>
          <w:rFonts w:hint="eastAsia" w:ascii="仿宋_GB2312" w:hAnsi="仿宋_GB2312" w:eastAsia="仿宋_GB2312" w:cs="仿宋_GB2312"/>
          <w:kern w:val="2"/>
          <w:sz w:val="32"/>
          <w:szCs w:val="32"/>
        </w:rPr>
      </w:pPr>
    </w:p>
    <w:p>
      <w:pPr>
        <w:keepNext w:val="0"/>
        <w:keepLines w:val="0"/>
        <w:pageBreakBefore w:val="0"/>
        <w:widowControl w:val="0"/>
        <w:kinsoku/>
        <w:wordWrap/>
        <w:overflowPunct/>
        <w:topLinePunct w:val="0"/>
        <w:autoSpaceDE/>
        <w:autoSpaceDN/>
        <w:bidi w:val="0"/>
        <w:adjustRightInd/>
        <w:snapToGrid/>
        <w:spacing w:after="0" w:line="560" w:lineRule="exact"/>
        <w:ind w:left="0" w:leftChars="0" w:right="0" w:rightChars="0" w:firstLine="2880" w:firstLineChars="900"/>
        <w:jc w:val="both"/>
        <w:textAlignment w:val="auto"/>
        <w:outlineLvl w:val="9"/>
        <w:rPr>
          <w:rFonts w:hint="eastAsia" w:ascii="仿宋_GB2312" w:hAnsi="仿宋_GB2312" w:eastAsia="仿宋_GB2312" w:cs="仿宋_GB2312"/>
          <w:kern w:val="2"/>
          <w:sz w:val="32"/>
          <w:szCs w:val="32"/>
          <w:lang w:eastAsia="zh-CN"/>
        </w:rPr>
      </w:pPr>
      <w:r>
        <w:rPr>
          <w:rFonts w:hint="eastAsia" w:ascii="仿宋_GB2312" w:hAnsi="仿宋_GB2312" w:eastAsia="仿宋_GB2312" w:cs="仿宋_GB2312"/>
          <w:kern w:val="2"/>
          <w:sz w:val="32"/>
          <w:szCs w:val="32"/>
          <w:lang w:eastAsia="zh-CN"/>
        </w:rPr>
        <w:t>中兴</w:t>
      </w:r>
      <w:r>
        <w:rPr>
          <w:rFonts w:hint="eastAsia" w:ascii="仿宋_GB2312" w:hAnsi="仿宋_GB2312" w:eastAsia="仿宋_GB2312" w:cs="仿宋_GB2312"/>
          <w:kern w:val="2"/>
          <w:sz w:val="32"/>
          <w:szCs w:val="32"/>
        </w:rPr>
        <w:t>镇</w:t>
      </w:r>
      <w:r>
        <w:rPr>
          <w:rFonts w:hint="eastAsia" w:ascii="仿宋_GB2312" w:hAnsi="仿宋_GB2312" w:eastAsia="仿宋_GB2312" w:cs="仿宋_GB2312"/>
          <w:kern w:val="2"/>
          <w:sz w:val="32"/>
          <w:szCs w:val="32"/>
          <w:lang w:eastAsia="zh-CN"/>
        </w:rPr>
        <w:t>农业综合技术推广服务中心</w:t>
      </w:r>
    </w:p>
    <w:p>
      <w:pPr>
        <w:keepNext w:val="0"/>
        <w:keepLines w:val="0"/>
        <w:pageBreakBefore w:val="0"/>
        <w:widowControl w:val="0"/>
        <w:kinsoku/>
        <w:wordWrap/>
        <w:overflowPunct/>
        <w:topLinePunct w:val="0"/>
        <w:autoSpaceDE/>
        <w:autoSpaceDN/>
        <w:bidi w:val="0"/>
        <w:adjustRightInd/>
        <w:snapToGrid/>
        <w:spacing w:after="0" w:line="560" w:lineRule="exact"/>
        <w:ind w:left="0" w:leftChars="0" w:right="0" w:rightChars="0" w:firstLine="4160" w:firstLineChars="1300"/>
        <w:jc w:val="both"/>
        <w:textAlignment w:val="auto"/>
        <w:outlineLvl w:val="9"/>
        <w:rPr>
          <w:rFonts w:hint="eastAsia" w:ascii="仿宋_GB2312" w:hAnsi="仿宋_GB2312" w:eastAsia="仿宋_GB2312" w:cs="仿宋_GB2312"/>
          <w:kern w:val="2"/>
          <w:sz w:val="32"/>
          <w:szCs w:val="32"/>
        </w:rPr>
      </w:pPr>
      <w:r>
        <w:rPr>
          <w:rFonts w:hint="eastAsia" w:ascii="仿宋_GB2312" w:hAnsi="仿宋_GB2312" w:eastAsia="仿宋_GB2312" w:cs="仿宋_GB2312"/>
          <w:kern w:val="2"/>
          <w:sz w:val="32"/>
          <w:szCs w:val="32"/>
          <w:lang w:val="en-US" w:eastAsia="zh-CN"/>
        </w:rPr>
        <w:t>2023</w:t>
      </w:r>
      <w:r>
        <w:rPr>
          <w:rFonts w:hint="eastAsia" w:ascii="仿宋_GB2312" w:hAnsi="仿宋_GB2312" w:eastAsia="仿宋_GB2312" w:cs="仿宋_GB2312"/>
          <w:kern w:val="2"/>
          <w:sz w:val="32"/>
          <w:szCs w:val="32"/>
        </w:rPr>
        <w:t>年</w:t>
      </w:r>
      <w:r>
        <w:rPr>
          <w:rFonts w:hint="eastAsia" w:ascii="仿宋_GB2312" w:hAnsi="仿宋_GB2312" w:eastAsia="仿宋_GB2312" w:cs="仿宋_GB2312"/>
          <w:kern w:val="2"/>
          <w:sz w:val="32"/>
          <w:szCs w:val="32"/>
          <w:lang w:val="en-US" w:eastAsia="zh-CN"/>
        </w:rPr>
        <w:t>7</w:t>
      </w:r>
      <w:r>
        <w:rPr>
          <w:rFonts w:hint="eastAsia" w:ascii="仿宋_GB2312" w:hAnsi="仿宋_GB2312" w:eastAsia="仿宋_GB2312" w:cs="仿宋_GB2312"/>
          <w:kern w:val="2"/>
          <w:sz w:val="32"/>
          <w:szCs w:val="32"/>
        </w:rPr>
        <w:t>月</w:t>
      </w:r>
      <w:r>
        <w:rPr>
          <w:rFonts w:hint="eastAsia" w:ascii="仿宋_GB2312" w:hAnsi="仿宋_GB2312" w:eastAsia="仿宋_GB2312" w:cs="仿宋_GB2312"/>
          <w:kern w:val="2"/>
          <w:sz w:val="32"/>
          <w:szCs w:val="32"/>
          <w:lang w:val="en-US" w:eastAsia="zh-CN"/>
        </w:rPr>
        <w:t>12</w:t>
      </w:r>
      <w:r>
        <w:rPr>
          <w:rFonts w:hint="eastAsia" w:ascii="仿宋_GB2312" w:hAnsi="仿宋_GB2312" w:eastAsia="仿宋_GB2312" w:cs="仿宋_GB2312"/>
          <w:kern w:val="2"/>
          <w:sz w:val="32"/>
          <w:szCs w:val="32"/>
        </w:rPr>
        <w:t>日</w:t>
      </w:r>
    </w:p>
    <w:sectPr>
      <w:footerReference r:id="rId3" w:type="default"/>
      <w:pgSz w:w="11906" w:h="16838"/>
      <w:pgMar w:top="2098" w:right="1474" w:bottom="1984" w:left="1587" w:header="709" w:footer="709" w:gutter="0"/>
      <w:pgNumType w:fmt="numberInDash"/>
      <w:cols w:space="708" w:num="1"/>
      <w:docGrid w:type="lines" w:linePitch="360"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8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10002FF" w:usb1="4000ACFF" w:usb2="00000009" w:usb3="00000000" w:csb0="2000019F" w:csb1="00000000"/>
  </w:font>
  <w:font w:name="Tahoma">
    <w:panose1 w:val="020B0604030504040204"/>
    <w:charset w:val="00"/>
    <w:family w:val="swiss"/>
    <w:pitch w:val="default"/>
    <w:sig w:usb0="E1002EFF" w:usb1="C000605B" w:usb2="00000029" w:usb3="00000000" w:csb0="200101FF" w:csb1="20280000"/>
  </w:font>
  <w:font w:name="微软雅黑">
    <w:panose1 w:val="020B0503020204020204"/>
    <w:charset w:val="86"/>
    <w:family w:val="swiss"/>
    <w:pitch w:val="default"/>
    <w:sig w:usb0="80000287" w:usb1="280F3C52" w:usb2="00000016" w:usb3="00000000" w:csb0="0004001F" w:csb1="00000000"/>
  </w:font>
  <w:font w:name="仿宋">
    <w:panose1 w:val="02010609060101010101"/>
    <w:charset w:val="86"/>
    <w:family w:val="modern"/>
    <w:pitch w:val="default"/>
    <w:sig w:usb0="800002BF" w:usb1="38CF7CFA" w:usb2="00000016" w:usb3="00000000" w:csb0="00040001" w:csb1="00000000"/>
  </w:font>
  <w:font w:name="仿宋_GB2312">
    <w:panose1 w:val="02010609030101010101"/>
    <w:charset w:val="86"/>
    <w:family w:val="auto"/>
    <w:pitch w:val="default"/>
    <w:sig w:usb0="00000001" w:usb1="080E0000" w:usb2="00000000" w:usb3="00000000" w:csb0="00040000" w:csb1="00000000"/>
  </w:font>
  <w:font w:name="楷体_GB2312">
    <w:panose1 w:val="02010609030101010101"/>
    <w:charset w:val="86"/>
    <w:family w:val="auto"/>
    <w:pitch w:val="default"/>
    <w:sig w:usb0="00000001" w:usb1="080E0000" w:usb2="00000000" w:usb3="00000000" w:csb0="00040000" w:csb1="00000000"/>
  </w:font>
  <w:font w:name="方正小标宋简体">
    <w:panose1 w:val="02010601030101010101"/>
    <w:charset w:val="86"/>
    <w:family w:val="auto"/>
    <w:pitch w:val="default"/>
    <w:sig w:usb0="00000001" w:usb1="080E0000" w:usb2="00000000" w:usb3="00000000" w:csb0="00040000" w:csb1="00000000"/>
  </w:font>
  <w:font w:name="新宋体">
    <w:panose1 w:val="02010609030101010101"/>
    <w:charset w:val="86"/>
    <w:family w:val="auto"/>
    <w:pitch w:val="default"/>
    <w:sig w:usb0="00000003" w:usb1="288F0000" w:usb2="0000000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w:rPr>
        <w:sz w:val="18"/>
      </w:rPr>
      <w:pict>
        <v:shape id="_x0000_s2049" o:spid="_x0000_s2049" o:spt="202" type="#_x0000_t202" style="position:absolute;left:0pt;margin-top:0pt;height:144pt;width:144pt;mso-position-horizontal:outside;mso-position-horizontal-relative:margin;mso-wrap-style:none;z-index:251658240;mso-width-relative:page;mso-height-relative:page;" filled="f" stroked="f" coordsize="21600,21600">
          <v:path/>
          <v:fill on="f" focussize="0,0"/>
          <v:stroke on="f"/>
          <v:imagedata o:title=""/>
          <o:lock v:ext="edit" aspectratio="f"/>
          <v:textbox inset="0mm,0mm,0mm,0mm" style="mso-fit-shape-to-text:t;">
            <w:txbxContent>
              <w:p>
                <w:pPr>
                  <w:snapToGrid w:val="0"/>
                  <w:rPr>
                    <w:rFonts w:hint="eastAsia" w:eastAsia="微软雅黑"/>
                    <w:sz w:val="18"/>
                    <w:lang w:eastAsia="zh-CN"/>
                  </w:rPr>
                </w:pPr>
                <w:r>
                  <w:rPr>
                    <w:rFonts w:hint="eastAsia" w:asciiTheme="majorEastAsia" w:hAnsiTheme="majorEastAsia" w:eastAsiaTheme="majorEastAsia" w:cstheme="majorEastAsia"/>
                    <w:sz w:val="28"/>
                    <w:szCs w:val="28"/>
                    <w:lang w:eastAsia="zh-CN"/>
                  </w:rPr>
                  <w:fldChar w:fldCharType="begin"/>
                </w:r>
                <w:r>
                  <w:rPr>
                    <w:rFonts w:hint="eastAsia" w:asciiTheme="majorEastAsia" w:hAnsiTheme="majorEastAsia" w:eastAsiaTheme="majorEastAsia" w:cstheme="majorEastAsia"/>
                    <w:sz w:val="28"/>
                    <w:szCs w:val="28"/>
                    <w:lang w:eastAsia="zh-CN"/>
                  </w:rPr>
                  <w:instrText xml:space="preserve"> PAGE  \* MERGEFORMAT </w:instrText>
                </w:r>
                <w:r>
                  <w:rPr>
                    <w:rFonts w:hint="eastAsia" w:asciiTheme="majorEastAsia" w:hAnsiTheme="majorEastAsia" w:eastAsiaTheme="majorEastAsia" w:cstheme="majorEastAsia"/>
                    <w:sz w:val="28"/>
                    <w:szCs w:val="28"/>
                    <w:lang w:eastAsia="zh-CN"/>
                  </w:rPr>
                  <w:fldChar w:fldCharType="separate"/>
                </w:r>
                <w:r>
                  <w:rPr>
                    <w:rFonts w:hint="eastAsia" w:asciiTheme="majorEastAsia" w:hAnsiTheme="majorEastAsia" w:eastAsiaTheme="majorEastAsia" w:cstheme="majorEastAsia"/>
                    <w:sz w:val="28"/>
                    <w:szCs w:val="28"/>
                    <w:lang w:eastAsia="zh-CN"/>
                  </w:rPr>
                  <w:t>1</w:t>
                </w:r>
                <w:r>
                  <w:rPr>
                    <w:rFonts w:hint="eastAsia" w:asciiTheme="majorEastAsia" w:hAnsiTheme="majorEastAsia" w:eastAsiaTheme="majorEastAsia" w:cstheme="majorEastAsia"/>
                    <w:sz w:val="28"/>
                    <w:szCs w:val="28"/>
                    <w:lang w:eastAsia="zh-CN"/>
                  </w:rPr>
                  <w:fldChar w:fldCharType="end"/>
                </w:r>
              </w:p>
            </w:txbxContent>
          </v:textbox>
        </v:shape>
      </w:pic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bordersDoNotSurroundHeader w:val="0"/>
  <w:bordersDoNotSurroundFooter w:val="0"/>
  <w:documentProtection w:enforcement="0"/>
  <w:defaultTabStop w:val="720"/>
  <w:drawingGridHorizontalSpacing w:val="110"/>
  <w:displayHorizontalDrawingGridEvery w:val="1"/>
  <w:displayVerticalDrawingGridEvery w:val="1"/>
  <w:noPunctuationKerning w:val="1"/>
  <w:characterSpacingControl w:val="doNotCompress"/>
  <w:hdrShapeDefaults>
    <o:shapelayout v:ext="edit">
      <o:idmap v:ext="edit" data="2"/>
    </o:shapelayout>
  </w:hdrShapeDefaults>
  <w:compat>
    <w:doNotExpandShiftReturn/>
    <w:doNotWrapTextWithPunct/>
    <w:doNotUseEastAsianBreakRules/>
    <w:useFELayout/>
    <w:doNotUseIndentAsNumberingTabStop/>
    <w:compatSetting w:name="compatibilityMode" w:uri="http://schemas.microsoft.com/office/word" w:val="12"/>
  </w:compat>
  <w:docVars>
    <w:docVar w:name="commondata" w:val="eyJoZGlkIjoiM2JkNTA3NDMwMDAxMDQ1ODJkZjc0MDRjZDI1YjIwMzAifQ=="/>
  </w:docVars>
  <w:rsids>
    <w:rsidRoot w:val="004D7CC9"/>
    <w:rsid w:val="00002B3C"/>
    <w:rsid w:val="00006616"/>
    <w:rsid w:val="0002459E"/>
    <w:rsid w:val="0003680B"/>
    <w:rsid w:val="00037D59"/>
    <w:rsid w:val="00050930"/>
    <w:rsid w:val="00075373"/>
    <w:rsid w:val="000850AC"/>
    <w:rsid w:val="000D4526"/>
    <w:rsid w:val="001050E1"/>
    <w:rsid w:val="00110729"/>
    <w:rsid w:val="00146886"/>
    <w:rsid w:val="0015570C"/>
    <w:rsid w:val="00167313"/>
    <w:rsid w:val="001D24EE"/>
    <w:rsid w:val="0022192F"/>
    <w:rsid w:val="002237FE"/>
    <w:rsid w:val="00263E88"/>
    <w:rsid w:val="0026554B"/>
    <w:rsid w:val="002808ED"/>
    <w:rsid w:val="00281C9E"/>
    <w:rsid w:val="00285A47"/>
    <w:rsid w:val="0029586D"/>
    <w:rsid w:val="002B2109"/>
    <w:rsid w:val="00323B43"/>
    <w:rsid w:val="00332001"/>
    <w:rsid w:val="00337DD2"/>
    <w:rsid w:val="003778C9"/>
    <w:rsid w:val="003C1D52"/>
    <w:rsid w:val="003D37D8"/>
    <w:rsid w:val="004322F3"/>
    <w:rsid w:val="004358AB"/>
    <w:rsid w:val="004724B6"/>
    <w:rsid w:val="0049468B"/>
    <w:rsid w:val="004D23A3"/>
    <w:rsid w:val="004D7CC9"/>
    <w:rsid w:val="00572620"/>
    <w:rsid w:val="00577B6C"/>
    <w:rsid w:val="00591EE7"/>
    <w:rsid w:val="006312FD"/>
    <w:rsid w:val="0063609E"/>
    <w:rsid w:val="00645468"/>
    <w:rsid w:val="0067306C"/>
    <w:rsid w:val="00673306"/>
    <w:rsid w:val="0069636E"/>
    <w:rsid w:val="006F7C47"/>
    <w:rsid w:val="0073634F"/>
    <w:rsid w:val="007448BD"/>
    <w:rsid w:val="00750BBB"/>
    <w:rsid w:val="008018C1"/>
    <w:rsid w:val="008220D6"/>
    <w:rsid w:val="00896C37"/>
    <w:rsid w:val="008A3217"/>
    <w:rsid w:val="008A7412"/>
    <w:rsid w:val="008B7726"/>
    <w:rsid w:val="008C1FFA"/>
    <w:rsid w:val="008E00E0"/>
    <w:rsid w:val="008E1127"/>
    <w:rsid w:val="009165DC"/>
    <w:rsid w:val="009202CF"/>
    <w:rsid w:val="0092221A"/>
    <w:rsid w:val="00976817"/>
    <w:rsid w:val="009902BB"/>
    <w:rsid w:val="00992FB2"/>
    <w:rsid w:val="009C19F2"/>
    <w:rsid w:val="00A369B8"/>
    <w:rsid w:val="00A42562"/>
    <w:rsid w:val="00A73480"/>
    <w:rsid w:val="00A81C0D"/>
    <w:rsid w:val="00A941E1"/>
    <w:rsid w:val="00A95BF2"/>
    <w:rsid w:val="00AC180D"/>
    <w:rsid w:val="00AC5701"/>
    <w:rsid w:val="00AF3192"/>
    <w:rsid w:val="00B155F5"/>
    <w:rsid w:val="00B263CC"/>
    <w:rsid w:val="00B3312C"/>
    <w:rsid w:val="00B92F95"/>
    <w:rsid w:val="00BC7ADC"/>
    <w:rsid w:val="00BD1C00"/>
    <w:rsid w:val="00BF3CD4"/>
    <w:rsid w:val="00C04DD3"/>
    <w:rsid w:val="00C10C43"/>
    <w:rsid w:val="00C8303F"/>
    <w:rsid w:val="00CD184B"/>
    <w:rsid w:val="00CE1F78"/>
    <w:rsid w:val="00D612C4"/>
    <w:rsid w:val="00D82520"/>
    <w:rsid w:val="00DC4D00"/>
    <w:rsid w:val="00DD3905"/>
    <w:rsid w:val="00DE00CD"/>
    <w:rsid w:val="00DE6BF4"/>
    <w:rsid w:val="00E03724"/>
    <w:rsid w:val="00E1208E"/>
    <w:rsid w:val="00E33D82"/>
    <w:rsid w:val="00E92426"/>
    <w:rsid w:val="00EA49E8"/>
    <w:rsid w:val="00EC1E3D"/>
    <w:rsid w:val="00EC614B"/>
    <w:rsid w:val="00EE1AA4"/>
    <w:rsid w:val="00F04D60"/>
    <w:rsid w:val="00F27297"/>
    <w:rsid w:val="00F32B33"/>
    <w:rsid w:val="00F75CFD"/>
    <w:rsid w:val="00F95AAA"/>
    <w:rsid w:val="01CB7D7F"/>
    <w:rsid w:val="02A91875"/>
    <w:rsid w:val="031B3153"/>
    <w:rsid w:val="05504F57"/>
    <w:rsid w:val="08E25FED"/>
    <w:rsid w:val="12D403D5"/>
    <w:rsid w:val="1373634C"/>
    <w:rsid w:val="140B464A"/>
    <w:rsid w:val="14652025"/>
    <w:rsid w:val="16D662A2"/>
    <w:rsid w:val="17F6653B"/>
    <w:rsid w:val="186E293D"/>
    <w:rsid w:val="19CB6DBC"/>
    <w:rsid w:val="1DBF5B4C"/>
    <w:rsid w:val="1FB2006F"/>
    <w:rsid w:val="218B7820"/>
    <w:rsid w:val="21FA6472"/>
    <w:rsid w:val="285F3759"/>
    <w:rsid w:val="2DA45F70"/>
    <w:rsid w:val="2E0E4F95"/>
    <w:rsid w:val="2F523ED8"/>
    <w:rsid w:val="3009586D"/>
    <w:rsid w:val="324234D5"/>
    <w:rsid w:val="340B78F6"/>
    <w:rsid w:val="34C53E7A"/>
    <w:rsid w:val="37384104"/>
    <w:rsid w:val="38A33B2E"/>
    <w:rsid w:val="3A50473A"/>
    <w:rsid w:val="40BD28D3"/>
    <w:rsid w:val="42B850ED"/>
    <w:rsid w:val="44CC06FD"/>
    <w:rsid w:val="456E7AAC"/>
    <w:rsid w:val="45C76831"/>
    <w:rsid w:val="45C87A31"/>
    <w:rsid w:val="49443317"/>
    <w:rsid w:val="4BC0573E"/>
    <w:rsid w:val="4CDE46F8"/>
    <w:rsid w:val="4EFE4CEA"/>
    <w:rsid w:val="50A75455"/>
    <w:rsid w:val="511F13C0"/>
    <w:rsid w:val="59561A3E"/>
    <w:rsid w:val="5BC51BC0"/>
    <w:rsid w:val="5D8B36D2"/>
    <w:rsid w:val="60891C59"/>
    <w:rsid w:val="61C92371"/>
    <w:rsid w:val="63C4297D"/>
    <w:rsid w:val="64406787"/>
    <w:rsid w:val="645764FA"/>
    <w:rsid w:val="64F15008"/>
    <w:rsid w:val="66A235E4"/>
    <w:rsid w:val="6D9E6B0A"/>
    <w:rsid w:val="6F3977DF"/>
    <w:rsid w:val="71B87508"/>
    <w:rsid w:val="71D329A8"/>
    <w:rsid w:val="72A0292D"/>
    <w:rsid w:val="770E32D9"/>
    <w:rsid w:val="78EB6FA2"/>
    <w:rsid w:val="7B836F4C"/>
    <w:rsid w:val="7C553CCC"/>
    <w:rsid w:val="7D00126D"/>
    <w:rsid w:val="7D4D4DE1"/>
    <w:rsid w:val="7D885903"/>
    <w:rsid w:val="7FC14D2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qFormat="1"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adjustRightInd w:val="0"/>
      <w:snapToGrid w:val="0"/>
      <w:spacing w:after="200" w:line="240" w:lineRule="auto"/>
    </w:pPr>
    <w:rPr>
      <w:rFonts w:ascii="Tahoma" w:hAnsi="Tahoma" w:eastAsia="微软雅黑" w:cstheme="minorBidi"/>
      <w:sz w:val="22"/>
      <w:szCs w:val="22"/>
      <w:lang w:val="en-US" w:eastAsia="zh-CN" w:bidi="ar-SA"/>
    </w:rPr>
  </w:style>
  <w:style w:type="paragraph" w:styleId="2">
    <w:name w:val="heading 2"/>
    <w:basedOn w:val="1"/>
    <w:next w:val="1"/>
    <w:link w:val="12"/>
    <w:qFormat/>
    <w:uiPriority w:val="0"/>
    <w:pPr>
      <w:widowControl w:val="0"/>
      <w:adjustRightInd/>
      <w:snapToGrid/>
      <w:spacing w:before="260" w:after="260" w:line="416" w:lineRule="auto"/>
      <w:jc w:val="both"/>
      <w:outlineLvl w:val="1"/>
    </w:pPr>
    <w:rPr>
      <w:rFonts w:ascii="Calibri" w:hAnsi="Calibri" w:eastAsia="宋体" w:cs="Arial"/>
      <w:b/>
      <w:bCs/>
      <w:kern w:val="2"/>
      <w:sz w:val="32"/>
      <w:szCs w:val="32"/>
    </w:rPr>
  </w:style>
  <w:style w:type="character" w:default="1" w:styleId="7">
    <w:name w:val="Default Paragraph Font"/>
    <w:unhideWhenUsed/>
    <w:qFormat/>
    <w:uiPriority w:val="1"/>
  </w:style>
  <w:style w:type="table" w:default="1" w:styleId="8">
    <w:name w:val="Normal Table"/>
    <w:unhideWhenUsed/>
    <w:qFormat/>
    <w:uiPriority w:val="99"/>
    <w:tblPr>
      <w:tblLayout w:type="fixed"/>
      <w:tblCellMar>
        <w:top w:w="0" w:type="dxa"/>
        <w:left w:w="108" w:type="dxa"/>
        <w:bottom w:w="0" w:type="dxa"/>
        <w:right w:w="108" w:type="dxa"/>
      </w:tblCellMar>
    </w:tblPr>
  </w:style>
  <w:style w:type="paragraph" w:styleId="3">
    <w:name w:val="Balloon Text"/>
    <w:basedOn w:val="1"/>
    <w:link w:val="14"/>
    <w:unhideWhenUsed/>
    <w:qFormat/>
    <w:uiPriority w:val="99"/>
    <w:pPr>
      <w:spacing w:after="0"/>
    </w:pPr>
    <w:rPr>
      <w:sz w:val="18"/>
      <w:szCs w:val="18"/>
    </w:rPr>
  </w:style>
  <w:style w:type="paragraph" w:styleId="4">
    <w:name w:val="footer"/>
    <w:basedOn w:val="1"/>
    <w:link w:val="11"/>
    <w:unhideWhenUsed/>
    <w:qFormat/>
    <w:uiPriority w:val="99"/>
    <w:pPr>
      <w:tabs>
        <w:tab w:val="center" w:pos="4153"/>
        <w:tab w:val="right" w:pos="8306"/>
      </w:tabs>
    </w:pPr>
    <w:rPr>
      <w:sz w:val="18"/>
      <w:szCs w:val="18"/>
    </w:rPr>
  </w:style>
  <w:style w:type="paragraph" w:styleId="5">
    <w:name w:val="header"/>
    <w:basedOn w:val="1"/>
    <w:link w:val="10"/>
    <w:unhideWhenUsed/>
    <w:qFormat/>
    <w:uiPriority w:val="99"/>
    <w:pPr>
      <w:pBdr>
        <w:bottom w:val="single" w:color="auto" w:sz="6" w:space="1"/>
      </w:pBdr>
      <w:tabs>
        <w:tab w:val="center" w:pos="4153"/>
        <w:tab w:val="right" w:pos="8306"/>
      </w:tabs>
      <w:jc w:val="center"/>
    </w:pPr>
    <w:rPr>
      <w:sz w:val="18"/>
      <w:szCs w:val="18"/>
    </w:rPr>
  </w:style>
  <w:style w:type="paragraph" w:styleId="6">
    <w:name w:val="Normal (Web)"/>
    <w:basedOn w:val="1"/>
    <w:unhideWhenUsed/>
    <w:qFormat/>
    <w:uiPriority w:val="99"/>
    <w:pPr>
      <w:adjustRightInd/>
      <w:snapToGrid/>
      <w:spacing w:before="100" w:beforeAutospacing="1" w:after="100" w:afterAutospacing="1"/>
    </w:pPr>
    <w:rPr>
      <w:rFonts w:ascii="宋体" w:hAnsi="宋体" w:eastAsia="宋体" w:cs="宋体"/>
      <w:sz w:val="24"/>
      <w:szCs w:val="24"/>
    </w:rPr>
  </w:style>
  <w:style w:type="table" w:styleId="9">
    <w:name w:val="Table Grid"/>
    <w:basedOn w:val="8"/>
    <w:qFormat/>
    <w:uiPriority w:val="0"/>
    <w:pPr>
      <w:widowControl w:val="0"/>
      <w:spacing w:after="0" w:line="240" w:lineRule="auto"/>
      <w:jc w:val="both"/>
    </w:pPr>
    <w:rPr>
      <w:rFonts w:ascii="Times New Roman" w:hAnsi="Times New Roman" w:eastAsia="宋体" w:cs="Times New Roman"/>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style>
  <w:style w:type="character" w:customStyle="1" w:styleId="10">
    <w:name w:val="页眉 Char"/>
    <w:basedOn w:val="7"/>
    <w:link w:val="5"/>
    <w:semiHidden/>
    <w:qFormat/>
    <w:uiPriority w:val="99"/>
    <w:rPr>
      <w:rFonts w:ascii="Tahoma" w:hAnsi="Tahoma"/>
      <w:sz w:val="18"/>
      <w:szCs w:val="18"/>
    </w:rPr>
  </w:style>
  <w:style w:type="character" w:customStyle="1" w:styleId="11">
    <w:name w:val="页脚 Char"/>
    <w:basedOn w:val="7"/>
    <w:link w:val="4"/>
    <w:semiHidden/>
    <w:qFormat/>
    <w:uiPriority w:val="99"/>
    <w:rPr>
      <w:rFonts w:ascii="Tahoma" w:hAnsi="Tahoma"/>
      <w:sz w:val="18"/>
      <w:szCs w:val="18"/>
    </w:rPr>
  </w:style>
  <w:style w:type="character" w:customStyle="1" w:styleId="12">
    <w:name w:val="标题 2 Char"/>
    <w:basedOn w:val="7"/>
    <w:link w:val="2"/>
    <w:qFormat/>
    <w:uiPriority w:val="0"/>
    <w:rPr>
      <w:rFonts w:ascii="Calibri" w:hAnsi="Calibri" w:eastAsia="宋体" w:cs="Arial"/>
      <w:b/>
      <w:bCs/>
      <w:kern w:val="2"/>
      <w:sz w:val="32"/>
      <w:szCs w:val="32"/>
    </w:rPr>
  </w:style>
  <w:style w:type="paragraph" w:customStyle="1" w:styleId="13">
    <w:name w:val="List Paragraph"/>
    <w:basedOn w:val="1"/>
    <w:qFormat/>
    <w:uiPriority w:val="34"/>
    <w:pPr>
      <w:ind w:firstLine="420" w:firstLineChars="200"/>
    </w:pPr>
  </w:style>
  <w:style w:type="character" w:customStyle="1" w:styleId="14">
    <w:name w:val="批注框文本 Char"/>
    <w:basedOn w:val="7"/>
    <w:link w:val="3"/>
    <w:semiHidden/>
    <w:qFormat/>
    <w:uiPriority w:val="99"/>
    <w:rPr>
      <w:rFonts w:ascii="Tahoma" w:hAnsi="Tahoma"/>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2049"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3</Pages>
  <Words>1528</Words>
  <Characters>1556</Characters>
  <Lines>14</Lines>
  <Paragraphs>4</Paragraphs>
  <TotalTime>8</TotalTime>
  <ScaleCrop>false</ScaleCrop>
  <LinksUpToDate>false</LinksUpToDate>
  <CharactersWithSpaces>1557</CharactersWithSpaces>
  <Application>WPS Office_10.8.0.6501_F1E327BC-269C-435d-A152-05C5408002CA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2017-12-08T03:01:00Z</dcterms:created>
  <dc:creator>Administrator</dc:creator>
  <cp:lastModifiedBy>Administrator</cp:lastModifiedBy>
  <cp:lastPrinted>2023-07-24T02:04:00Z</cp:lastPrinted>
  <dcterms:modified xsi:type="dcterms:W3CDTF">2023-08-24T05:58:01Z</dcterms:modified>
  <cp:revision>22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2052-10.8.0.6501</vt:lpwstr>
  </property>
  <property fmtid="{D5CDD505-2E9C-101B-9397-08002B2CF9AE}" pid="3" name="ICV">
    <vt:lpwstr>0E9FF67DC9DA49869A33958C871BA809</vt:lpwstr>
  </property>
</Properties>
</file>