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val="0"/>
        <w:autoSpaceDN/>
        <w:bidi w:val="0"/>
        <w:adjustRightInd/>
        <w:ind w:left="0" w:leftChars="0" w:firstLine="0" w:firstLineChars="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w:t>
      </w:r>
      <w:bookmarkStart w:id="407" w:name="_GoBack"/>
      <w:bookmarkEnd w:id="407"/>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0" w:firstLineChars="0"/>
        <w:jc w:val="center"/>
        <w:textAlignment w:val="auto"/>
        <w:outlineLvl w:val="9"/>
        <w:rPr>
          <w:rFonts w:hint="eastAsia" w:ascii="黑体" w:hAnsi="黑体" w:eastAsia="黑体" w:cs="黑体"/>
          <w:b/>
          <w:bCs/>
          <w:sz w:val="44"/>
          <w:szCs w:val="44"/>
        </w:rPr>
      </w:pPr>
      <w:r>
        <w:rPr>
          <w:rFonts w:hint="eastAsia" w:ascii="黑体" w:hAnsi="黑体" w:eastAsia="黑体" w:cs="黑体"/>
          <w:b/>
          <w:bCs/>
          <w:sz w:val="44"/>
          <w:szCs w:val="44"/>
        </w:rPr>
        <w:t>上海市</w:t>
      </w:r>
      <w:r>
        <w:rPr>
          <w:rFonts w:hint="eastAsia" w:ascii="黑体" w:hAnsi="黑体" w:eastAsia="黑体" w:cs="黑体"/>
          <w:b/>
          <w:bCs/>
          <w:sz w:val="44"/>
          <w:szCs w:val="44"/>
          <w:lang w:val="en-US"/>
        </w:rPr>
        <w:t>崇明区</w:t>
      </w:r>
      <w:r>
        <w:rPr>
          <w:rFonts w:hint="eastAsia" w:ascii="黑体" w:hAnsi="黑体" w:eastAsia="黑体" w:cs="黑体"/>
          <w:b/>
          <w:bCs/>
          <w:sz w:val="44"/>
          <w:szCs w:val="44"/>
        </w:rPr>
        <w:t>第一次全国自然灾害综合</w:t>
      </w: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0" w:firstLineChars="0"/>
        <w:jc w:val="center"/>
        <w:textAlignment w:val="auto"/>
        <w:outlineLvl w:val="9"/>
        <w:rPr>
          <w:rFonts w:hint="eastAsia" w:ascii="黑体" w:hAnsi="黑体" w:eastAsia="黑体" w:cs="黑体"/>
          <w:b/>
          <w:bCs/>
          <w:sz w:val="44"/>
          <w:szCs w:val="44"/>
          <w:lang w:val="en-US" w:eastAsia="zh-CN"/>
        </w:rPr>
      </w:pPr>
      <w:r>
        <w:rPr>
          <w:rFonts w:hint="eastAsia" w:ascii="黑体" w:hAnsi="黑体" w:eastAsia="黑体" w:cs="黑体"/>
          <w:b/>
          <w:bCs/>
          <w:sz w:val="44"/>
          <w:szCs w:val="44"/>
        </w:rPr>
        <w:t>风险普查实施</w:t>
      </w:r>
      <w:r>
        <w:rPr>
          <w:rFonts w:hint="eastAsia" w:ascii="黑体" w:hAnsi="黑体" w:eastAsia="黑体" w:cs="黑体"/>
          <w:b/>
          <w:bCs/>
          <w:sz w:val="44"/>
          <w:szCs w:val="44"/>
          <w:lang w:val="en-US" w:eastAsia="zh-CN"/>
        </w:rPr>
        <w:t>细则</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640" w:firstLineChars="20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rightChars="0" w:firstLine="0" w:firstLineChars="0"/>
        <w:jc w:val="center"/>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0" w:firstLineChars="0"/>
        <w:jc w:val="center"/>
        <w:textAlignment w:val="auto"/>
        <w:rPr>
          <w:rFonts w:hint="eastAsia" w:ascii="黑体" w:hAnsi="黑体" w:eastAsia="黑体" w:cs="黑体"/>
          <w:b/>
          <w:bCs/>
          <w:sz w:val="30"/>
          <w:szCs w:val="30"/>
        </w:rPr>
      </w:pPr>
      <w:bookmarkStart w:id="0" w:name="_Toc20290"/>
      <w:bookmarkStart w:id="1" w:name="_Toc22504"/>
      <w:r>
        <w:rPr>
          <w:rFonts w:hint="eastAsia" w:ascii="黑体" w:hAnsi="黑体" w:eastAsia="黑体" w:cs="黑体"/>
          <w:b/>
          <w:bCs/>
          <w:sz w:val="30"/>
          <w:szCs w:val="30"/>
          <w:lang w:val="en-US" w:eastAsia="zh-CN"/>
        </w:rPr>
        <w:t>崇明区</w:t>
      </w:r>
      <w:r>
        <w:rPr>
          <w:rFonts w:hint="eastAsia" w:ascii="黑体" w:hAnsi="黑体" w:eastAsia="黑体" w:cs="黑体"/>
          <w:b/>
          <w:bCs/>
          <w:sz w:val="30"/>
          <w:szCs w:val="30"/>
        </w:rPr>
        <w:t>第一次自然灾害综合风险普查</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0" w:firstLineChars="0"/>
        <w:jc w:val="center"/>
        <w:textAlignment w:val="auto"/>
        <w:rPr>
          <w:rFonts w:hint="eastAsia" w:ascii="黑体" w:hAnsi="黑体" w:eastAsia="黑体" w:cs="黑体"/>
          <w:b/>
          <w:bCs/>
          <w:sz w:val="30"/>
          <w:szCs w:val="30"/>
        </w:rPr>
      </w:pPr>
      <w:r>
        <w:rPr>
          <w:rFonts w:hint="eastAsia" w:ascii="黑体" w:hAnsi="黑体" w:eastAsia="黑体" w:cs="黑体"/>
          <w:b/>
          <w:bCs/>
          <w:sz w:val="30"/>
          <w:szCs w:val="30"/>
        </w:rPr>
        <w:t>领导小组办公室</w:t>
      </w:r>
      <w:bookmarkEnd w:id="0"/>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0" w:firstLineChars="0"/>
        <w:jc w:val="center"/>
        <w:textAlignment w:val="auto"/>
        <w:rPr>
          <w:rFonts w:hint="default" w:ascii="黑体" w:hAnsi="黑体" w:eastAsia="黑体" w:cs="黑体"/>
          <w:b/>
          <w:bCs/>
          <w:sz w:val="30"/>
          <w:szCs w:val="30"/>
          <w:lang w:val="en-US" w:eastAsia="zh-CN"/>
        </w:rPr>
        <w:sectPr>
          <w:headerReference r:id="rId3" w:type="default"/>
          <w:footerReference r:id="rId4" w:type="default"/>
          <w:pgSz w:w="11910" w:h="16840"/>
          <w:pgMar w:top="2098" w:right="1474" w:bottom="1984" w:left="1587" w:header="720" w:footer="720" w:gutter="0"/>
          <w:pgNumType w:fmt="decimal" w:start="1"/>
          <w:cols w:space="720" w:num="1"/>
          <w:rtlGutter w:val="0"/>
          <w:docGrid w:linePitch="0" w:charSpace="0"/>
        </w:sectPr>
      </w:pPr>
      <w:bookmarkStart w:id="2" w:name="_Toc14176"/>
      <w:r>
        <w:rPr>
          <w:rFonts w:hint="eastAsia" w:ascii="黑体" w:hAnsi="黑体" w:eastAsia="黑体" w:cs="黑体"/>
          <w:b/>
          <w:bCs/>
          <w:sz w:val="30"/>
          <w:szCs w:val="30"/>
          <w:lang w:val="en-US" w:eastAsia="zh-CN"/>
        </w:rPr>
        <w:t>2021年9月</w:t>
      </w:r>
      <w:bookmarkEnd w:id="1"/>
      <w:bookmarkEnd w:id="2"/>
    </w:p>
    <w:sdt>
      <w:sdtPr>
        <w:rPr>
          <w:rFonts w:hint="eastAsia" w:ascii="仿宋" w:hAnsi="仿宋" w:eastAsia="仿宋" w:cs="仿宋"/>
          <w:b/>
          <w:bCs/>
          <w:sz w:val="32"/>
          <w:szCs w:val="32"/>
          <w:lang w:val="zh-CN" w:eastAsia="zh-CN" w:bidi="zh-CN"/>
        </w:rPr>
        <w:id w:val="147468716"/>
        <w15:color w:val="DBDBDB"/>
        <w:docPartObj>
          <w:docPartGallery w:val="Table of Contents"/>
          <w:docPartUnique/>
        </w:docPartObj>
      </w:sdtPr>
      <w:sdtEndPr>
        <w:rPr>
          <w:rFonts w:hint="eastAsia" w:ascii="仿宋" w:hAnsi="仿宋" w:eastAsia="仿宋" w:cs="仿宋"/>
          <w:b/>
          <w:bCs/>
          <w:sz w:val="22"/>
          <w:szCs w:val="32"/>
          <w:lang w:val="zh-CN" w:eastAsia="zh-CN" w:bidi="zh-CN"/>
        </w:rPr>
      </w:sdtEndPr>
      <w:sdtContent>
        <w:p>
          <w:pPr>
            <w:keepNext w:val="0"/>
            <w:keepLines w:val="0"/>
            <w:pageBreakBefore w:val="0"/>
            <w:widowControl w:val="0"/>
            <w:kinsoku/>
            <w:wordWrap/>
            <w:overflowPunct/>
            <w:topLinePunct w:val="0"/>
            <w:autoSpaceDE w:val="0"/>
            <w:autoSpaceDN/>
            <w:bidi w:val="0"/>
            <w:adjustRightInd/>
            <w:snapToGrid/>
            <w:spacing w:before="0" w:beforeLines="0" w:after="0" w:afterLines="0" w:line="320" w:lineRule="exact"/>
            <w:ind w:left="0" w:leftChars="0" w:right="0" w:rightChars="0" w:firstLine="0" w:firstLineChars="0"/>
            <w:jc w:val="center"/>
            <w:textAlignment w:val="auto"/>
            <w:rPr>
              <w:rFonts w:hint="eastAsia" w:ascii="仿宋" w:hAnsi="仿宋" w:eastAsia="仿宋" w:cs="仿宋"/>
              <w:b/>
              <w:bCs/>
              <w:sz w:val="32"/>
              <w:szCs w:val="32"/>
            </w:rPr>
          </w:pPr>
          <w:r>
            <w:rPr>
              <w:rFonts w:hint="eastAsia" w:ascii="仿宋" w:hAnsi="仿宋" w:eastAsia="仿宋" w:cs="仿宋"/>
              <w:b/>
              <w:bCs/>
              <w:sz w:val="32"/>
              <w:szCs w:val="32"/>
            </w:rPr>
            <w:t>目</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录</w:t>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TOC \o "1-2" \h \u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_Toc29272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第1章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t>总体方案</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_Toc29272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_Toc4189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 xml:space="preserve">1.1 </w:t>
          </w:r>
          <w:r>
            <w:rPr>
              <w:rFonts w:hint="eastAsia" w:ascii="仿宋" w:hAnsi="仿宋" w:eastAsia="仿宋" w:cs="仿宋"/>
              <w:b w:val="0"/>
              <w:bCs w:val="0"/>
              <w:sz w:val="32"/>
              <w:szCs w:val="32"/>
            </w:rPr>
            <w:t>总体目标与主要任务</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_Toc4189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_Toc2886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1.2 普查范围与内容</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_Toc2886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12</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_Toc14287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1.3 总体技术路线与方法</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_Toc14287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_Toc17879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1.4 质量管理</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_Toc17879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15</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_Toc24197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1.5 普查质检核查与成果汇交</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_Toc24197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17</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_Toc4891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1.6 编制说明及参考依据</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_Toc4891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18</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_Toc25765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 xml:space="preserve">2章 </w:t>
          </w:r>
          <w:r>
            <w:rPr>
              <w:rFonts w:hint="eastAsia" w:ascii="仿宋" w:hAnsi="仿宋" w:eastAsia="仿宋" w:cs="仿宋"/>
              <w:b w:val="0"/>
              <w:bCs w:val="0"/>
              <w:sz w:val="32"/>
              <w:szCs w:val="32"/>
              <w:lang w:eastAsia="zh-CN"/>
            </w:rPr>
            <w:t>职责分工</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_Toc25765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20</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_Toc8337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2.1 区负责的工作</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_Toc8337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20</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_Toc8161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2.2 区各委办局负责的工作</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_Toc8161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20</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_Toc31398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主要灾害致灾调查与评估</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_Toc31398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27</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_Toc19050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3.1 地震灾害</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_Toc19050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27</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_Toc15447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3.2 地质灾害</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_Toc15447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31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_Toc32400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val="en-US"/>
            </w:rPr>
            <w:t>.3 气象灾害</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_Toc32400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32</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_Toc31962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3.4 水旱灾害</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_Toc31962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71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_Toc19533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3.5 海洋灾害</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_Toc19533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81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_Toc29548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3.6 森林火灾</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_Toc29548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97</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_Toc8277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承灾体调查与评估</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_Toc8277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105</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_Toc19132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4.1 城镇房屋建筑调查</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_Toc19132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105</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_Toc12373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4.2 农村房屋建筑调查</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_Toc12373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113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_Toc10380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4.3 交通运输设施调查</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_Toc10380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115</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_Toc32399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4.4 公共服务设施调查</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_Toc32399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125</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_Toc21376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4.5 危险化学品企业调查</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_Toc21376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128</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_Toc22261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eastAsia="zh-CN"/>
            </w:rPr>
            <w:t>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历史灾害调查与评估</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_Toc22261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131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_Toc28717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eastAsia="zh-CN"/>
            </w:rPr>
            <w:t>.1 调查</w:t>
          </w:r>
          <w:r>
            <w:rPr>
              <w:rFonts w:hint="eastAsia" w:ascii="仿宋" w:hAnsi="仿宋" w:eastAsia="仿宋" w:cs="仿宋"/>
              <w:b w:val="0"/>
              <w:bCs w:val="0"/>
              <w:sz w:val="32"/>
              <w:szCs w:val="32"/>
              <w:lang w:val="en-US" w:eastAsia="zh-CN"/>
            </w:rPr>
            <w:t>目标</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_Toc28717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131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_Toc31339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 xml:space="preserve">5.2 </w:t>
          </w:r>
          <w:r>
            <w:rPr>
              <w:rFonts w:hint="eastAsia" w:ascii="仿宋" w:hAnsi="仿宋" w:eastAsia="仿宋" w:cs="仿宋"/>
              <w:b w:val="0"/>
              <w:bCs w:val="0"/>
              <w:sz w:val="32"/>
              <w:szCs w:val="32"/>
              <w:lang w:eastAsia="zh-CN"/>
            </w:rPr>
            <w:t>调查范围</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_Toc31339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131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_Toc22510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调查内容</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_Toc22510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132</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_Toc4320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工作流程与技术方法</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_Toc4320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134</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_Toc24325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lang w:eastAsia="zh-CN"/>
            </w:rPr>
            <w:t xml:space="preserve"> </w:t>
          </w:r>
          <w:r>
            <w:rPr>
              <w:rFonts w:hint="eastAsia" w:ascii="仿宋" w:hAnsi="仿宋" w:eastAsia="仿宋" w:cs="仿宋"/>
              <w:b w:val="0"/>
              <w:bCs w:val="0"/>
              <w:sz w:val="32"/>
              <w:szCs w:val="32"/>
              <w:lang w:val="en-US" w:eastAsia="zh-CN"/>
            </w:rPr>
            <w:t>成果</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_Toc24325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_Toc344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6</w:t>
          </w:r>
          <w:r>
            <w:rPr>
              <w:rFonts w:hint="eastAsia" w:ascii="仿宋" w:hAnsi="仿宋" w:eastAsia="仿宋" w:cs="仿宋"/>
              <w:b w:val="0"/>
              <w:bCs w:val="0"/>
              <w:sz w:val="32"/>
              <w:szCs w:val="32"/>
              <w:lang w:eastAsia="zh-CN"/>
            </w:rPr>
            <w:t>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综合减灾能力调查与评估</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_Toc344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_Toc19723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6.1 调查目标</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_Toc19723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_Toc1822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6.2 调查范围</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_Toc1822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_Toc8652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6.3 调查内容</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_Toc8652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_Toc21947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 xml:space="preserve">6.4 </w:t>
          </w:r>
          <w:r>
            <w:rPr>
              <w:rFonts w:hint="eastAsia" w:ascii="仿宋" w:hAnsi="仿宋" w:eastAsia="仿宋" w:cs="仿宋"/>
              <w:b w:val="0"/>
              <w:bCs w:val="0"/>
              <w:sz w:val="32"/>
              <w:szCs w:val="32"/>
              <w:lang w:eastAsia="zh-CN"/>
            </w:rPr>
            <w:t>工作流程与技术方法</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_Toc21947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145</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_Toc20982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6.5 数据质量控制</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_Toc20982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146</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_Toc26976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6.6 成果</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_Toc26976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147</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_Toc16963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7</w:t>
          </w:r>
          <w:r>
            <w:rPr>
              <w:rFonts w:hint="eastAsia" w:ascii="仿宋" w:hAnsi="仿宋" w:eastAsia="仿宋" w:cs="仿宋"/>
              <w:b w:val="0"/>
              <w:bCs w:val="0"/>
              <w:sz w:val="32"/>
              <w:szCs w:val="32"/>
              <w:lang w:eastAsia="zh-CN"/>
            </w:rPr>
            <w:t>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质检核查与成果汇集</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_Toc16963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149</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_Toc20452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7.1 具体内容</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_Toc20452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149</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_Toc15632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7.2 工作流程与方法</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_Toc15632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149</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_Toc22161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8</w:t>
          </w:r>
          <w:r>
            <w:rPr>
              <w:rFonts w:hint="eastAsia" w:ascii="仿宋" w:hAnsi="仿宋" w:eastAsia="仿宋" w:cs="仿宋"/>
              <w:b w:val="0"/>
              <w:bCs w:val="0"/>
              <w:sz w:val="32"/>
              <w:szCs w:val="32"/>
              <w:lang w:eastAsia="zh-CN"/>
            </w:rPr>
            <w:t>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宣传与培训</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_Toc22161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153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_Toc15733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8.1 宣传工作</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_Toc15733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153</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_Toc11073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8.2 培训工作</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_Toc11073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157</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_Toc1119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eastAsia="zh-CN"/>
            </w:rPr>
            <w:t>第</w:t>
          </w:r>
          <w:r>
            <w:rPr>
              <w:rFonts w:hint="eastAsia" w:ascii="仿宋" w:hAnsi="仿宋" w:eastAsia="仿宋" w:cs="仿宋"/>
              <w:b w:val="0"/>
              <w:bCs w:val="0"/>
              <w:sz w:val="32"/>
              <w:szCs w:val="32"/>
              <w:lang w:val="en-US" w:eastAsia="zh-CN"/>
            </w:rPr>
            <w:t>9</w:t>
          </w:r>
          <w:r>
            <w:rPr>
              <w:rFonts w:hint="eastAsia" w:ascii="仿宋" w:hAnsi="仿宋" w:eastAsia="仿宋" w:cs="仿宋"/>
              <w:b w:val="0"/>
              <w:bCs w:val="0"/>
              <w:sz w:val="32"/>
              <w:szCs w:val="32"/>
              <w:lang w:eastAsia="zh-CN"/>
            </w:rPr>
            <w:t>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eastAsia="zh-CN"/>
            </w:rPr>
            <w:t>组织实施</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_Toc1119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164</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_Toc13229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9.1 实施原则</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_Toc13229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164</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_Toc20285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9.2 组织领导</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_Toc20285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165</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lang w:val="en-US" w:eastAsia="zh-CN"/>
            </w:rPr>
            <w:fldChar w:fldCharType="begin"/>
          </w:r>
          <w:r>
            <w:rPr>
              <w:rFonts w:hint="eastAsia" w:ascii="仿宋" w:hAnsi="仿宋" w:eastAsia="仿宋" w:cs="仿宋"/>
              <w:b w:val="0"/>
              <w:bCs w:val="0"/>
              <w:sz w:val="32"/>
              <w:szCs w:val="32"/>
              <w:lang w:val="en-US" w:eastAsia="zh-CN"/>
            </w:rPr>
            <w:instrText xml:space="preserve"> HYPERLINK \l _Toc13266 </w:instrText>
          </w:r>
          <w:r>
            <w:rPr>
              <w:rFonts w:hint="eastAsia" w:ascii="仿宋" w:hAnsi="仿宋" w:eastAsia="仿宋" w:cs="仿宋"/>
              <w:b w:val="0"/>
              <w:bCs w:val="0"/>
              <w:sz w:val="32"/>
              <w:szCs w:val="32"/>
              <w:lang w:val="en-US" w:eastAsia="zh-CN"/>
            </w:rPr>
            <w:fldChar w:fldCharType="separate"/>
          </w:r>
          <w:r>
            <w:rPr>
              <w:rFonts w:hint="eastAsia" w:ascii="仿宋" w:hAnsi="仿宋" w:eastAsia="仿宋" w:cs="仿宋"/>
              <w:b w:val="0"/>
              <w:bCs w:val="0"/>
              <w:sz w:val="32"/>
              <w:szCs w:val="32"/>
              <w:lang w:val="en-US" w:eastAsia="zh-CN"/>
            </w:rPr>
            <w:t>9.3 保障措施</w:t>
          </w:r>
          <w:r>
            <w:rPr>
              <w:rFonts w:hint="eastAsia" w:ascii="仿宋" w:hAnsi="仿宋" w:eastAsia="仿宋" w:cs="仿宋"/>
              <w:b w:val="0"/>
              <w:bCs w:val="0"/>
              <w:sz w:val="32"/>
              <w:szCs w:val="32"/>
              <w:lang w:val="en-US" w:eastAsia="zh-CN"/>
            </w:rPr>
            <w:tab/>
          </w:r>
          <w:r>
            <w:rPr>
              <w:rFonts w:hint="eastAsia" w:ascii="仿宋" w:hAnsi="仿宋" w:eastAsia="仿宋" w:cs="仿宋"/>
              <w:b w:val="0"/>
              <w:bCs w:val="0"/>
              <w:sz w:val="32"/>
              <w:szCs w:val="32"/>
              <w:lang w:val="en-US" w:eastAsia="zh-CN"/>
            </w:rPr>
            <w:fldChar w:fldCharType="begin"/>
          </w:r>
          <w:r>
            <w:rPr>
              <w:rFonts w:hint="eastAsia" w:ascii="仿宋" w:hAnsi="仿宋" w:eastAsia="仿宋" w:cs="仿宋"/>
              <w:b w:val="0"/>
              <w:bCs w:val="0"/>
              <w:sz w:val="32"/>
              <w:szCs w:val="32"/>
              <w:lang w:val="en-US" w:eastAsia="zh-CN"/>
            </w:rPr>
            <w:instrText xml:space="preserve"> PAGEREF _Toc13266 \h </w:instrText>
          </w:r>
          <w:r>
            <w:rPr>
              <w:rFonts w:hint="eastAsia" w:ascii="仿宋" w:hAnsi="仿宋" w:eastAsia="仿宋" w:cs="仿宋"/>
              <w:b w:val="0"/>
              <w:bCs w:val="0"/>
              <w:sz w:val="32"/>
              <w:szCs w:val="32"/>
              <w:lang w:val="en-US" w:eastAsia="zh-CN"/>
            </w:rPr>
            <w:fldChar w:fldCharType="separate"/>
          </w:r>
          <w:r>
            <w:rPr>
              <w:rFonts w:hint="eastAsia" w:ascii="仿宋" w:hAnsi="仿宋" w:eastAsia="仿宋" w:cs="仿宋"/>
              <w:b w:val="0"/>
              <w:bCs w:val="0"/>
              <w:sz w:val="32"/>
              <w:szCs w:val="32"/>
              <w:lang w:val="en-US" w:eastAsia="zh-CN"/>
            </w:rPr>
            <w:t>165</w:t>
          </w:r>
          <w:r>
            <w:rPr>
              <w:rFonts w:hint="eastAsia" w:ascii="仿宋" w:hAnsi="仿宋" w:eastAsia="仿宋" w:cs="仿宋"/>
              <w:b w:val="0"/>
              <w:bCs w:val="0"/>
              <w:sz w:val="32"/>
              <w:szCs w:val="32"/>
              <w:lang w:val="en-US" w:eastAsia="zh-CN"/>
            </w:rPr>
            <w:fldChar w:fldCharType="end"/>
          </w:r>
          <w:r>
            <w:rPr>
              <w:rFonts w:hint="eastAsia" w:ascii="仿宋" w:hAnsi="仿宋" w:eastAsia="仿宋" w:cs="仿宋"/>
              <w:b w:val="0"/>
              <w:bCs w:val="0"/>
              <w:sz w:val="32"/>
              <w:szCs w:val="32"/>
              <w:lang w:val="en-US" w:eastAsia="zh-CN"/>
            </w:rPr>
            <w:fldChar w:fldCharType="end"/>
          </w:r>
        </w:p>
        <w:p>
          <w:pPr>
            <w:pStyle w:val="19"/>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fldChar w:fldCharType="begin"/>
          </w:r>
          <w:r>
            <w:rPr>
              <w:rFonts w:hint="eastAsia" w:ascii="仿宋" w:hAnsi="仿宋" w:eastAsia="仿宋" w:cs="仿宋"/>
              <w:b w:val="0"/>
              <w:bCs w:val="0"/>
              <w:sz w:val="32"/>
              <w:szCs w:val="32"/>
              <w:lang w:val="en-US" w:eastAsia="zh-CN"/>
            </w:rPr>
            <w:instrText xml:space="preserve"> HYPERLINK \l _Toc1333 </w:instrText>
          </w:r>
          <w:r>
            <w:rPr>
              <w:rFonts w:hint="eastAsia" w:ascii="仿宋" w:hAnsi="仿宋" w:eastAsia="仿宋" w:cs="仿宋"/>
              <w:b w:val="0"/>
              <w:bCs w:val="0"/>
              <w:sz w:val="32"/>
              <w:szCs w:val="32"/>
              <w:lang w:val="en-US" w:eastAsia="zh-CN"/>
            </w:rPr>
            <w:fldChar w:fldCharType="separate"/>
          </w:r>
          <w:r>
            <w:rPr>
              <w:rFonts w:hint="eastAsia" w:ascii="仿宋" w:hAnsi="仿宋" w:eastAsia="仿宋" w:cs="仿宋"/>
              <w:b w:val="0"/>
              <w:bCs w:val="0"/>
              <w:sz w:val="32"/>
              <w:szCs w:val="32"/>
              <w:lang w:val="en-US" w:eastAsia="zh-CN"/>
            </w:rPr>
            <w:t>附件一：进度安排</w:t>
          </w:r>
          <w:r>
            <w:rPr>
              <w:rFonts w:hint="eastAsia" w:ascii="仿宋" w:hAnsi="仿宋" w:eastAsia="仿宋" w:cs="仿宋"/>
              <w:b w:val="0"/>
              <w:bCs w:val="0"/>
              <w:sz w:val="32"/>
              <w:szCs w:val="32"/>
              <w:lang w:val="en-US" w:eastAsia="zh-CN"/>
            </w:rPr>
            <w:tab/>
          </w:r>
          <w:r>
            <w:rPr>
              <w:rFonts w:hint="eastAsia" w:ascii="仿宋" w:hAnsi="仿宋" w:eastAsia="仿宋" w:cs="仿宋"/>
              <w:b w:val="0"/>
              <w:bCs w:val="0"/>
              <w:sz w:val="32"/>
              <w:szCs w:val="32"/>
              <w:lang w:val="en-US" w:eastAsia="zh-CN"/>
            </w:rPr>
            <w:fldChar w:fldCharType="begin"/>
          </w:r>
          <w:r>
            <w:rPr>
              <w:rFonts w:hint="eastAsia" w:ascii="仿宋" w:hAnsi="仿宋" w:eastAsia="仿宋" w:cs="仿宋"/>
              <w:b w:val="0"/>
              <w:bCs w:val="0"/>
              <w:sz w:val="32"/>
              <w:szCs w:val="32"/>
              <w:lang w:val="en-US" w:eastAsia="zh-CN"/>
            </w:rPr>
            <w:instrText xml:space="preserve"> PAGEREF _Toc1333 \h </w:instrText>
          </w:r>
          <w:r>
            <w:rPr>
              <w:rFonts w:hint="eastAsia" w:ascii="仿宋" w:hAnsi="仿宋" w:eastAsia="仿宋" w:cs="仿宋"/>
              <w:b w:val="0"/>
              <w:bCs w:val="0"/>
              <w:sz w:val="32"/>
              <w:szCs w:val="32"/>
              <w:lang w:val="en-US" w:eastAsia="zh-CN"/>
            </w:rPr>
            <w:fldChar w:fldCharType="separate"/>
          </w:r>
          <w:r>
            <w:rPr>
              <w:rFonts w:hint="eastAsia" w:ascii="仿宋" w:hAnsi="仿宋" w:eastAsia="仿宋" w:cs="仿宋"/>
              <w:b w:val="0"/>
              <w:bCs w:val="0"/>
              <w:sz w:val="32"/>
              <w:szCs w:val="32"/>
              <w:lang w:val="en-US" w:eastAsia="zh-CN"/>
            </w:rPr>
            <w:t>169</w:t>
          </w:r>
          <w:r>
            <w:rPr>
              <w:rFonts w:hint="eastAsia" w:ascii="仿宋" w:hAnsi="仿宋" w:eastAsia="仿宋" w:cs="仿宋"/>
              <w:b w:val="0"/>
              <w:bCs w:val="0"/>
              <w:sz w:val="32"/>
              <w:szCs w:val="32"/>
              <w:lang w:val="en-US" w:eastAsia="zh-CN"/>
            </w:rPr>
            <w:fldChar w:fldCharType="end"/>
          </w:r>
          <w:r>
            <w:rPr>
              <w:rFonts w:hint="eastAsia" w:ascii="仿宋" w:hAnsi="仿宋" w:eastAsia="仿宋" w:cs="仿宋"/>
              <w:b w:val="0"/>
              <w:bCs w:val="0"/>
              <w:sz w:val="32"/>
              <w:szCs w:val="32"/>
              <w:lang w:val="en-US" w:eastAsia="zh-CN"/>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_Toc25814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附件二：行业领域任务分工</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_Toc25814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170</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bidi w:val="0"/>
            <w:adjustRightInd/>
            <w:snapToGrid/>
            <w:spacing w:line="32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_Toc5896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附件三：任务量测算</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_Toc5896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180</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autoSpaceDN w:val="0"/>
            <w:bidi w:val="0"/>
            <w:adjustRightInd/>
            <w:snapToGrid/>
            <w:spacing w:line="320" w:lineRule="exact"/>
            <w:ind w:right="334"/>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_Toc26589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zh-CN" w:eastAsia="zh-CN"/>
            </w:rPr>
            <w:t>附件</w:t>
          </w:r>
          <w:r>
            <w:rPr>
              <w:rFonts w:hint="eastAsia" w:ascii="仿宋" w:hAnsi="仿宋" w:eastAsia="仿宋" w:cs="仿宋"/>
              <w:b w:val="0"/>
              <w:bCs w:val="0"/>
              <w:sz w:val="32"/>
              <w:szCs w:val="32"/>
              <w:lang w:val="en-US" w:eastAsia="zh-CN"/>
            </w:rPr>
            <w:t>四：成果目录</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_Toc26589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191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pStyle w:val="17"/>
            <w:keepNext w:val="0"/>
            <w:keepLines w:val="0"/>
            <w:pageBreakBefore w:val="0"/>
            <w:widowControl w:val="0"/>
            <w:tabs>
              <w:tab w:val="right" w:leader="dot" w:pos="8304"/>
            </w:tabs>
            <w:kinsoku/>
            <w:wordWrap/>
            <w:overflowPunct/>
            <w:topLinePunct w:val="0"/>
            <w:autoSpaceDE w:val="0"/>
            <w:autoSpaceDN w:val="0"/>
            <w:bidi w:val="0"/>
            <w:adjustRightInd/>
            <w:snapToGrid/>
            <w:spacing w:line="320" w:lineRule="exact"/>
            <w:ind w:right="334"/>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HYPERLINK \l _Toc28428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lang w:val="en-US" w:eastAsia="zh-CN"/>
            </w:rPr>
            <w:t>附件五：分管领导及联络员</w:t>
          </w:r>
          <w:r>
            <w:rPr>
              <w:rFonts w:hint="eastAsia" w:ascii="仿宋" w:hAnsi="仿宋" w:eastAsia="仿宋" w:cs="仿宋"/>
              <w:b w:val="0"/>
              <w:bCs w:val="0"/>
              <w:sz w:val="32"/>
              <w:szCs w:val="32"/>
            </w:rPr>
            <w:tab/>
          </w:r>
          <w:r>
            <w:rPr>
              <w:rFonts w:hint="eastAsia" w:ascii="仿宋" w:hAnsi="仿宋" w:eastAsia="仿宋" w:cs="仿宋"/>
              <w:b w:val="0"/>
              <w:bCs w:val="0"/>
              <w:sz w:val="32"/>
              <w:szCs w:val="32"/>
            </w:rPr>
            <w:fldChar w:fldCharType="begin"/>
          </w:r>
          <w:r>
            <w:rPr>
              <w:rFonts w:hint="eastAsia" w:ascii="仿宋" w:hAnsi="仿宋" w:eastAsia="仿宋" w:cs="仿宋"/>
              <w:b w:val="0"/>
              <w:bCs w:val="0"/>
              <w:sz w:val="32"/>
              <w:szCs w:val="32"/>
            </w:rPr>
            <w:instrText xml:space="preserve"> PAGEREF _Toc28428 \h </w:instrText>
          </w:r>
          <w:r>
            <w:rPr>
              <w:rFonts w:hint="eastAsia" w:ascii="仿宋" w:hAnsi="仿宋" w:eastAsia="仿宋" w:cs="仿宋"/>
              <w:b w:val="0"/>
              <w:bCs w:val="0"/>
              <w:sz w:val="32"/>
              <w:szCs w:val="32"/>
            </w:rPr>
            <w:fldChar w:fldCharType="separate"/>
          </w:r>
          <w:r>
            <w:rPr>
              <w:rFonts w:hint="eastAsia" w:ascii="仿宋" w:hAnsi="仿宋" w:eastAsia="仿宋" w:cs="仿宋"/>
              <w:b w:val="0"/>
              <w:bCs w:val="0"/>
              <w:sz w:val="32"/>
              <w:szCs w:val="32"/>
            </w:rPr>
            <w:t>201</w:t>
          </w:r>
          <w:r>
            <w:rPr>
              <w:rFonts w:hint="eastAsia" w:ascii="仿宋" w:hAnsi="仿宋" w:eastAsia="仿宋" w:cs="仿宋"/>
              <w:b w:val="0"/>
              <w:bCs w:val="0"/>
              <w:sz w:val="32"/>
              <w:szCs w:val="32"/>
            </w:rPr>
            <w:fldChar w:fldCharType="end"/>
          </w:r>
          <w:r>
            <w:rPr>
              <w:rFonts w:hint="eastAsia" w:ascii="仿宋" w:hAnsi="仿宋" w:eastAsia="仿宋" w:cs="仿宋"/>
              <w:b w:val="0"/>
              <w:bCs w:val="0"/>
              <w:sz w:val="32"/>
              <w:szCs w:val="32"/>
            </w:rPr>
            <w:fldChar w:fldCharType="end"/>
          </w:r>
        </w:p>
        <w:p>
          <w:pPr>
            <w:keepNext w:val="0"/>
            <w:keepLines w:val="0"/>
            <w:pageBreakBefore w:val="0"/>
            <w:widowControl w:val="0"/>
            <w:tabs>
              <w:tab w:val="left" w:pos="791"/>
              <w:tab w:val="left" w:pos="1084"/>
            </w:tabs>
            <w:kinsoku/>
            <w:wordWrap/>
            <w:overflowPunct/>
            <w:topLinePunct w:val="0"/>
            <w:autoSpaceDE w:val="0"/>
            <w:autoSpaceDN/>
            <w:bidi w:val="0"/>
            <w:adjustRightInd/>
            <w:snapToGrid/>
            <w:spacing w:line="320" w:lineRule="exact"/>
            <w:ind w:right="0"/>
            <w:textAlignment w:val="auto"/>
            <w:rPr>
              <w:rFonts w:hint="eastAsia" w:ascii="仿宋" w:hAnsi="仿宋" w:eastAsia="仿宋" w:cs="仿宋"/>
              <w:b/>
              <w:bCs/>
              <w:sz w:val="22"/>
              <w:szCs w:val="32"/>
              <w:lang w:val="zh-CN" w:eastAsia="zh-CN" w:bidi="zh-CN"/>
            </w:rPr>
            <w:sectPr>
              <w:footerReference r:id="rId5" w:type="default"/>
              <w:pgSz w:w="11910" w:h="16840"/>
              <w:pgMar w:top="1440" w:right="1803" w:bottom="1440" w:left="1803" w:header="0" w:footer="1607" w:gutter="0"/>
              <w:pgNumType w:fmt="upperRoman" w:start="1"/>
              <w:cols w:space="720" w:num="1"/>
              <w:rtlGutter w:val="0"/>
              <w:docGrid w:linePitch="0" w:charSpace="0"/>
            </w:sectPr>
          </w:pPr>
          <w:r>
            <w:rPr>
              <w:rFonts w:hint="eastAsia" w:ascii="仿宋" w:hAnsi="仿宋" w:eastAsia="仿宋" w:cs="仿宋"/>
              <w:b w:val="0"/>
              <w:bCs w:val="0"/>
              <w:sz w:val="32"/>
              <w:szCs w:val="32"/>
            </w:rPr>
            <w:fldChar w:fldCharType="end"/>
          </w:r>
        </w:p>
      </w:sdtContent>
    </w:sdt>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3" w:name="_Toc829"/>
      <w:bookmarkStart w:id="4" w:name="_Toc29272"/>
      <w:bookmarkStart w:id="5" w:name="_Toc3721"/>
      <w:r>
        <w:rPr>
          <w:rFonts w:hint="eastAsia" w:ascii="黑体" w:hAnsi="黑体" w:eastAsia="黑体" w:cs="黑体"/>
          <w:b/>
          <w:bCs/>
          <w:sz w:val="36"/>
          <w:szCs w:val="36"/>
          <w:lang w:eastAsia="zh-CN"/>
        </w:rPr>
        <w:t>第1章</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总体方案</w:t>
      </w:r>
      <w:bookmarkEnd w:id="3"/>
      <w:bookmarkEnd w:id="4"/>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rPr>
      </w:pPr>
      <w:bookmarkStart w:id="6" w:name="1.1_总体目标与主要任务"/>
      <w:bookmarkEnd w:id="6"/>
      <w:bookmarkStart w:id="7" w:name="_Toc4189"/>
      <w:bookmarkStart w:id="8" w:name="_Toc14127"/>
      <w:r>
        <w:rPr>
          <w:rFonts w:hint="eastAsia" w:ascii="楷体" w:hAnsi="楷体" w:eastAsia="楷体" w:cs="楷体"/>
          <w:b/>
          <w:bCs/>
          <w:sz w:val="32"/>
          <w:szCs w:val="32"/>
          <w:lang w:val="en-US" w:eastAsia="zh-CN"/>
        </w:rPr>
        <w:t xml:space="preserve">1.1 </w:t>
      </w:r>
      <w:r>
        <w:rPr>
          <w:rFonts w:hint="eastAsia" w:ascii="楷体" w:hAnsi="楷体" w:eastAsia="楷体" w:cs="楷体"/>
          <w:b/>
          <w:bCs/>
          <w:sz w:val="32"/>
          <w:szCs w:val="32"/>
        </w:rPr>
        <w:t>总体目标与主要任务</w:t>
      </w:r>
      <w:bookmarkEnd w:id="7"/>
      <w:bookmarkEnd w:id="8"/>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rPr>
      </w:pPr>
      <w:bookmarkStart w:id="9" w:name="1.1.1_总体目标"/>
      <w:bookmarkEnd w:id="9"/>
      <w:r>
        <w:rPr>
          <w:rFonts w:hint="eastAsia" w:ascii="仿宋" w:hAnsi="仿宋" w:eastAsia="仿宋" w:cs="仿宋"/>
          <w:b/>
          <w:bCs/>
          <w:sz w:val="32"/>
          <w:szCs w:val="32"/>
          <w:lang w:val="en-US" w:eastAsia="zh-CN"/>
        </w:rPr>
        <w:t xml:space="preserve">1.1.1 </w:t>
      </w:r>
      <w:r>
        <w:rPr>
          <w:rFonts w:hint="eastAsia" w:ascii="仿宋" w:hAnsi="仿宋" w:eastAsia="仿宋" w:cs="仿宋"/>
          <w:b/>
          <w:bCs/>
          <w:sz w:val="32"/>
          <w:szCs w:val="32"/>
        </w:rPr>
        <w:t>总体目标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bookmarkStart w:id="10" w:name="1.1.2_主要任务"/>
      <w:bookmarkEnd w:id="10"/>
      <w:r>
        <w:rPr>
          <w:rFonts w:hint="eastAsia" w:ascii="仿宋" w:hAnsi="仿宋" w:eastAsia="仿宋" w:cs="仿宋"/>
          <w:spacing w:val="-5"/>
          <w:sz w:val="32"/>
          <w:szCs w:val="32"/>
          <w:lang w:val="zh-CN" w:eastAsia="zh-CN" w:bidi="zh-CN"/>
        </w:rPr>
        <w:t>根据第一次全国自然灾害综合风险普查工作要求，崇明区</w:t>
      </w:r>
      <w:r>
        <w:rPr>
          <w:rFonts w:hint="eastAsia" w:ascii="仿宋" w:hAnsi="仿宋" w:eastAsia="仿宋" w:cs="仿宋"/>
          <w:spacing w:val="-5"/>
          <w:sz w:val="32"/>
          <w:szCs w:val="32"/>
          <w:lang w:val="en-US" w:eastAsia="zh-CN" w:bidi="zh-CN"/>
        </w:rPr>
        <w:t>将</w:t>
      </w:r>
      <w:r>
        <w:rPr>
          <w:rFonts w:hint="eastAsia" w:ascii="仿宋" w:hAnsi="仿宋" w:eastAsia="仿宋" w:cs="仿宋"/>
          <w:spacing w:val="-5"/>
          <w:sz w:val="32"/>
          <w:szCs w:val="32"/>
          <w:lang w:val="zh-CN" w:eastAsia="zh-CN" w:bidi="zh-CN"/>
        </w:rPr>
        <w:t>开展第一次全国自然灾害综合风险普查，</w:t>
      </w:r>
      <w:r>
        <w:rPr>
          <w:rFonts w:hint="eastAsia" w:ascii="仿宋" w:hAnsi="仿宋" w:eastAsia="仿宋" w:cs="仿宋"/>
          <w:spacing w:val="-5"/>
          <w:sz w:val="32"/>
          <w:szCs w:val="32"/>
          <w:lang w:val="en-US" w:eastAsia="zh-CN" w:bidi="zh-CN"/>
        </w:rPr>
        <w:t>通过开展普查工作，全面</w:t>
      </w:r>
      <w:r>
        <w:rPr>
          <w:rFonts w:hint="eastAsia" w:ascii="仿宋" w:hAnsi="仿宋" w:eastAsia="仿宋" w:cs="仿宋"/>
          <w:spacing w:val="-5"/>
          <w:sz w:val="32"/>
          <w:szCs w:val="32"/>
          <w:lang w:val="zh-CN" w:eastAsia="zh-CN" w:bidi="zh-CN"/>
        </w:rPr>
        <w:t>摸清</w:t>
      </w:r>
      <w:r>
        <w:rPr>
          <w:rFonts w:hint="eastAsia" w:ascii="仿宋" w:hAnsi="仿宋" w:eastAsia="仿宋" w:cs="仿宋"/>
          <w:spacing w:val="-5"/>
          <w:sz w:val="32"/>
          <w:szCs w:val="32"/>
          <w:lang w:val="en-US" w:eastAsia="zh-CN" w:bidi="zh-CN"/>
        </w:rPr>
        <w:t>我</w:t>
      </w:r>
      <w:r>
        <w:rPr>
          <w:rFonts w:hint="eastAsia" w:ascii="仿宋" w:hAnsi="仿宋" w:eastAsia="仿宋" w:cs="仿宋"/>
          <w:spacing w:val="-5"/>
          <w:sz w:val="32"/>
          <w:szCs w:val="32"/>
          <w:lang w:val="zh-CN" w:eastAsia="zh-CN" w:bidi="zh-CN"/>
        </w:rPr>
        <w:t>区灾害风险隐患底数，</w:t>
      </w:r>
      <w:r>
        <w:rPr>
          <w:rFonts w:hint="eastAsia" w:ascii="仿宋" w:hAnsi="仿宋" w:eastAsia="仿宋" w:cs="仿宋"/>
          <w:spacing w:val="-5"/>
          <w:sz w:val="32"/>
          <w:szCs w:val="32"/>
          <w:lang w:val="en-US" w:eastAsia="zh-CN" w:bidi="zh-CN"/>
        </w:rPr>
        <w:t>了解我区</w:t>
      </w:r>
      <w:r>
        <w:rPr>
          <w:rFonts w:hint="eastAsia" w:ascii="仿宋" w:hAnsi="仿宋" w:eastAsia="仿宋" w:cs="仿宋"/>
          <w:spacing w:val="-5"/>
          <w:sz w:val="32"/>
          <w:szCs w:val="32"/>
          <w:lang w:val="zh-CN" w:eastAsia="zh-CN" w:bidi="zh-CN"/>
        </w:rPr>
        <w:t>防灾减灾救灾能力现状，</w:t>
      </w:r>
      <w:r>
        <w:rPr>
          <w:rFonts w:hint="eastAsia" w:ascii="仿宋" w:hAnsi="仿宋" w:eastAsia="仿宋" w:cs="仿宋"/>
          <w:spacing w:val="-5"/>
          <w:sz w:val="32"/>
          <w:szCs w:val="32"/>
          <w:lang w:val="en-US" w:eastAsia="zh-CN" w:bidi="zh-CN"/>
        </w:rPr>
        <w:t>客观认识我</w:t>
      </w:r>
      <w:r>
        <w:rPr>
          <w:rFonts w:hint="eastAsia" w:ascii="仿宋" w:hAnsi="仿宋" w:eastAsia="仿宋" w:cs="仿宋"/>
          <w:spacing w:val="-5"/>
          <w:sz w:val="32"/>
          <w:szCs w:val="32"/>
          <w:lang w:val="zh-CN" w:eastAsia="zh-CN" w:bidi="zh-CN"/>
        </w:rPr>
        <w:t>区灾害综合风险水平，</w:t>
      </w:r>
      <w:r>
        <w:rPr>
          <w:rFonts w:hint="eastAsia" w:ascii="仿宋" w:hAnsi="仿宋" w:eastAsia="仿宋" w:cs="仿宋"/>
          <w:spacing w:val="-5"/>
          <w:sz w:val="32"/>
          <w:szCs w:val="32"/>
          <w:lang w:val="en-US" w:eastAsia="zh-CN" w:bidi="zh-CN"/>
        </w:rPr>
        <w:t>为我区增强抵御</w:t>
      </w:r>
      <w:r>
        <w:rPr>
          <w:rFonts w:hint="eastAsia" w:ascii="仿宋" w:hAnsi="仿宋" w:eastAsia="仿宋" w:cs="仿宋"/>
          <w:spacing w:val="-5"/>
          <w:sz w:val="32"/>
          <w:szCs w:val="32"/>
          <w:lang w:val="zh-CN" w:eastAsia="zh-CN" w:bidi="zh-CN"/>
        </w:rPr>
        <w:t>自然灾害防</w:t>
      </w:r>
      <w:r>
        <w:rPr>
          <w:rFonts w:hint="eastAsia" w:ascii="仿宋" w:hAnsi="仿宋" w:eastAsia="仿宋" w:cs="仿宋"/>
          <w:spacing w:val="-5"/>
          <w:sz w:val="32"/>
          <w:szCs w:val="32"/>
          <w:lang w:val="en-US" w:eastAsia="zh-CN" w:bidi="zh-CN"/>
        </w:rPr>
        <w:t>治防范</w:t>
      </w:r>
      <w:r>
        <w:rPr>
          <w:rFonts w:hint="eastAsia" w:ascii="仿宋" w:hAnsi="仿宋" w:eastAsia="仿宋" w:cs="仿宋"/>
          <w:spacing w:val="-5"/>
          <w:sz w:val="32"/>
          <w:szCs w:val="32"/>
          <w:lang w:val="zh-CN" w:eastAsia="zh-CN" w:bidi="zh-CN"/>
        </w:rPr>
        <w:t>能力、有效开展自然灾害防治和应急管理</w:t>
      </w:r>
      <w:r>
        <w:rPr>
          <w:rFonts w:hint="eastAsia" w:ascii="仿宋" w:hAnsi="仿宋" w:eastAsia="仿宋" w:cs="仿宋"/>
          <w:spacing w:val="-5"/>
          <w:sz w:val="32"/>
          <w:szCs w:val="32"/>
          <w:lang w:val="en-US" w:eastAsia="zh-CN" w:bidi="zh-CN"/>
        </w:rPr>
        <w:t>工作提供权威的灾害风险信息和科学决策参考</w:t>
      </w: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切实</w:t>
      </w:r>
      <w:r>
        <w:rPr>
          <w:rFonts w:hint="eastAsia" w:ascii="仿宋" w:hAnsi="仿宋" w:eastAsia="仿宋" w:cs="仿宋"/>
          <w:spacing w:val="-5"/>
          <w:sz w:val="32"/>
          <w:szCs w:val="32"/>
          <w:lang w:val="zh-CN" w:eastAsia="zh-CN" w:bidi="zh-CN"/>
        </w:rPr>
        <w:t>保障</w:t>
      </w:r>
      <w:r>
        <w:rPr>
          <w:rFonts w:hint="eastAsia" w:ascii="仿宋" w:hAnsi="仿宋" w:eastAsia="仿宋" w:cs="仿宋"/>
          <w:spacing w:val="-5"/>
          <w:sz w:val="32"/>
          <w:szCs w:val="32"/>
          <w:lang w:val="en-US" w:eastAsia="zh-CN" w:bidi="zh-CN"/>
        </w:rPr>
        <w:t>我区</w:t>
      </w:r>
      <w:r>
        <w:rPr>
          <w:rFonts w:hint="eastAsia" w:ascii="仿宋" w:hAnsi="仿宋" w:eastAsia="仿宋" w:cs="仿宋"/>
          <w:spacing w:val="-5"/>
          <w:sz w:val="32"/>
          <w:szCs w:val="32"/>
          <w:lang w:val="zh-CN" w:eastAsia="zh-CN" w:bidi="zh-CN"/>
        </w:rPr>
        <w:t>经济</w:t>
      </w:r>
      <w:r>
        <w:rPr>
          <w:rFonts w:hint="eastAsia" w:ascii="仿宋" w:hAnsi="仿宋" w:eastAsia="仿宋" w:cs="仿宋"/>
          <w:spacing w:val="-5"/>
          <w:sz w:val="32"/>
          <w:szCs w:val="32"/>
          <w:lang w:val="en-US" w:eastAsia="zh-CN" w:bidi="zh-CN"/>
        </w:rPr>
        <w:t>社会</w:t>
      </w:r>
      <w:r>
        <w:rPr>
          <w:rFonts w:hint="eastAsia" w:ascii="仿宋" w:hAnsi="仿宋" w:eastAsia="仿宋" w:cs="仿宋"/>
          <w:spacing w:val="-5"/>
          <w:sz w:val="32"/>
          <w:szCs w:val="32"/>
          <w:lang w:val="zh-CN" w:eastAsia="zh-CN" w:bidi="zh-CN"/>
        </w:rPr>
        <w:t>可持续发展，推进</w:t>
      </w:r>
      <w:r>
        <w:rPr>
          <w:rFonts w:hint="eastAsia" w:ascii="仿宋" w:hAnsi="仿宋" w:eastAsia="仿宋" w:cs="仿宋"/>
          <w:spacing w:val="-5"/>
          <w:sz w:val="32"/>
          <w:szCs w:val="32"/>
          <w:lang w:val="en-US" w:eastAsia="zh-CN" w:bidi="zh-CN"/>
        </w:rPr>
        <w:t>我区城市</w:t>
      </w:r>
      <w:r>
        <w:rPr>
          <w:rFonts w:hint="eastAsia" w:ascii="仿宋" w:hAnsi="仿宋" w:eastAsia="仿宋" w:cs="仿宋"/>
          <w:spacing w:val="-5"/>
          <w:sz w:val="32"/>
          <w:szCs w:val="32"/>
          <w:lang w:val="zh-CN" w:eastAsia="zh-CN" w:bidi="zh-CN"/>
        </w:rPr>
        <w:t>精细化治理和韧性城市建设。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）全面</w:t>
      </w:r>
      <w:r>
        <w:rPr>
          <w:rFonts w:hint="eastAsia" w:ascii="仿宋" w:hAnsi="仿宋" w:eastAsia="仿宋" w:cs="仿宋"/>
          <w:spacing w:val="-5"/>
          <w:sz w:val="32"/>
          <w:szCs w:val="32"/>
          <w:lang w:val="en-US" w:eastAsia="zh-CN" w:bidi="zh-CN"/>
        </w:rPr>
        <w:t>调查</w:t>
      </w:r>
      <w:r>
        <w:rPr>
          <w:rFonts w:hint="eastAsia" w:ascii="仿宋" w:hAnsi="仿宋" w:eastAsia="仿宋" w:cs="仿宋"/>
          <w:spacing w:val="-5"/>
          <w:sz w:val="32"/>
          <w:szCs w:val="32"/>
          <w:lang w:val="zh-CN" w:eastAsia="zh-CN" w:bidi="zh-CN"/>
        </w:rPr>
        <w:t>本区地震灾害、地质灾害、气象灾害、水旱灾害、海洋灾害、森林火灾等主要灾害致灾</w:t>
      </w:r>
      <w:r>
        <w:rPr>
          <w:rFonts w:hint="eastAsia" w:ascii="仿宋" w:hAnsi="仿宋" w:eastAsia="仿宋" w:cs="仿宋"/>
          <w:spacing w:val="-5"/>
          <w:sz w:val="32"/>
          <w:szCs w:val="32"/>
          <w:lang w:val="en-US" w:eastAsia="zh-CN" w:bidi="zh-CN"/>
        </w:rPr>
        <w:t>要素</w:t>
      </w: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通过信息共享，掌握人</w:t>
      </w:r>
      <w:r>
        <w:rPr>
          <w:rFonts w:hint="eastAsia" w:ascii="仿宋" w:hAnsi="仿宋" w:eastAsia="仿宋" w:cs="仿宋"/>
          <w:spacing w:val="-5"/>
          <w:sz w:val="32"/>
          <w:szCs w:val="32"/>
          <w:lang w:val="zh-CN" w:eastAsia="zh-CN" w:bidi="zh-CN"/>
        </w:rPr>
        <w:t>口、房屋、基础设施、公共服务系统、三次产业、资源与环境等重要承灾体</w:t>
      </w:r>
      <w:r>
        <w:rPr>
          <w:rFonts w:hint="eastAsia" w:ascii="仿宋" w:hAnsi="仿宋" w:eastAsia="仿宋" w:cs="仿宋"/>
          <w:spacing w:val="-5"/>
          <w:sz w:val="32"/>
          <w:szCs w:val="32"/>
          <w:lang w:val="en-US" w:eastAsia="zh-CN" w:bidi="zh-CN"/>
        </w:rPr>
        <w:t>相关数据资料</w:t>
      </w: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了解</w:t>
      </w:r>
      <w:r>
        <w:rPr>
          <w:rFonts w:hint="eastAsia" w:ascii="仿宋" w:hAnsi="仿宋" w:eastAsia="仿宋" w:cs="仿宋"/>
          <w:spacing w:val="-5"/>
          <w:sz w:val="32"/>
          <w:szCs w:val="32"/>
          <w:lang w:val="zh-CN" w:eastAsia="zh-CN" w:bidi="zh-CN"/>
        </w:rPr>
        <w:t>历史灾害信息，</w:t>
      </w:r>
      <w:r>
        <w:rPr>
          <w:rFonts w:hint="eastAsia" w:ascii="仿宋" w:hAnsi="仿宋" w:eastAsia="仿宋" w:cs="仿宋"/>
          <w:spacing w:val="-5"/>
          <w:sz w:val="32"/>
          <w:szCs w:val="32"/>
          <w:lang w:val="en-US" w:eastAsia="zh-CN" w:bidi="zh-CN"/>
        </w:rPr>
        <w:t>调查与评估</w:t>
      </w:r>
      <w:r>
        <w:rPr>
          <w:rFonts w:hint="eastAsia" w:ascii="仿宋" w:hAnsi="仿宋" w:eastAsia="仿宋" w:cs="仿宋"/>
          <w:spacing w:val="-5"/>
          <w:sz w:val="32"/>
          <w:szCs w:val="32"/>
          <w:lang w:val="zh-CN" w:eastAsia="zh-CN" w:bidi="zh-CN"/>
        </w:rPr>
        <w:t>重点隐患，查明区域抗灾</w:t>
      </w:r>
      <w:r>
        <w:rPr>
          <w:rFonts w:hint="eastAsia" w:ascii="仿宋" w:hAnsi="仿宋" w:eastAsia="仿宋" w:cs="仿宋"/>
          <w:spacing w:val="-5"/>
          <w:sz w:val="32"/>
          <w:szCs w:val="32"/>
          <w:lang w:val="en-US" w:eastAsia="zh-CN" w:bidi="zh-CN"/>
        </w:rPr>
        <w:t>能力和</w:t>
      </w:r>
      <w:r>
        <w:rPr>
          <w:rFonts w:hint="eastAsia" w:ascii="仿宋" w:hAnsi="仿宋" w:eastAsia="仿宋" w:cs="仿宋"/>
          <w:spacing w:val="-5"/>
          <w:sz w:val="32"/>
          <w:szCs w:val="32"/>
          <w:lang w:val="zh-CN" w:eastAsia="zh-CN" w:bidi="zh-CN"/>
        </w:rPr>
        <w:t>减灾能力。</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）以调查为基础、评估为支撑，</w:t>
      </w:r>
      <w:r>
        <w:rPr>
          <w:rFonts w:hint="eastAsia" w:ascii="仿宋" w:hAnsi="仿宋" w:eastAsia="仿宋" w:cs="仿宋"/>
          <w:spacing w:val="-5"/>
          <w:sz w:val="32"/>
          <w:szCs w:val="32"/>
          <w:lang w:val="en-US" w:eastAsia="zh-CN" w:bidi="zh-CN"/>
        </w:rPr>
        <w:t>对</w:t>
      </w:r>
      <w:r>
        <w:rPr>
          <w:rFonts w:hint="eastAsia" w:ascii="仿宋" w:hAnsi="仿宋" w:eastAsia="仿宋" w:cs="仿宋"/>
          <w:spacing w:val="-5"/>
          <w:sz w:val="32"/>
          <w:szCs w:val="32"/>
          <w:lang w:val="zh-CN" w:eastAsia="zh-CN" w:bidi="zh-CN"/>
        </w:rPr>
        <w:t>当前本区致灾风险水平、承灾体脆弱性水平、综合风险水平、综合防灾减灾救灾能力和区域多灾并发群发、灾害链特征</w:t>
      </w:r>
      <w:r>
        <w:rPr>
          <w:rFonts w:hint="eastAsia" w:ascii="仿宋" w:hAnsi="仿宋" w:eastAsia="仿宋" w:cs="仿宋"/>
          <w:spacing w:val="-5"/>
          <w:sz w:val="32"/>
          <w:szCs w:val="32"/>
          <w:lang w:val="en-US" w:eastAsia="zh-CN" w:bidi="zh-CN"/>
        </w:rPr>
        <w:t>等有科学客观的认识</w:t>
      </w: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为正确</w:t>
      </w:r>
      <w:r>
        <w:rPr>
          <w:rFonts w:hint="eastAsia" w:ascii="仿宋" w:hAnsi="仿宋" w:eastAsia="仿宋" w:cs="仿宋"/>
          <w:spacing w:val="-5"/>
          <w:sz w:val="32"/>
          <w:szCs w:val="32"/>
          <w:lang w:val="zh-CN" w:eastAsia="zh-CN" w:bidi="zh-CN"/>
        </w:rPr>
        <w:t>预判今后一段时期灾害风险变化趋势和特点</w:t>
      </w:r>
      <w:r>
        <w:rPr>
          <w:rFonts w:hint="eastAsia" w:ascii="仿宋" w:hAnsi="仿宋" w:eastAsia="仿宋" w:cs="仿宋"/>
          <w:spacing w:val="-5"/>
          <w:sz w:val="32"/>
          <w:szCs w:val="32"/>
          <w:lang w:val="en-US" w:eastAsia="zh-CN" w:bidi="zh-CN"/>
        </w:rPr>
        <w:t>奠定坚实基础</w:t>
      </w:r>
      <w:r>
        <w:rPr>
          <w:rFonts w:hint="eastAsia" w:ascii="仿宋" w:hAnsi="仿宋" w:eastAsia="仿宋" w:cs="仿宋"/>
          <w:spacing w:val="-5"/>
          <w:sz w:val="32"/>
          <w:szCs w:val="32"/>
          <w:lang w:val="zh-CN" w:eastAsia="zh-CN" w:bidi="zh-CN"/>
        </w:rPr>
        <w:t>，形成全区自然灾害防治区划，</w:t>
      </w:r>
      <w:r>
        <w:rPr>
          <w:rFonts w:hint="eastAsia" w:ascii="仿宋" w:hAnsi="仿宋" w:eastAsia="仿宋" w:cs="仿宋"/>
          <w:spacing w:val="-5"/>
          <w:sz w:val="32"/>
          <w:szCs w:val="32"/>
          <w:lang w:val="en-US" w:eastAsia="zh-CN" w:bidi="zh-CN"/>
        </w:rPr>
        <w:t>并提供有效的</w:t>
      </w:r>
      <w:r>
        <w:rPr>
          <w:rFonts w:hint="eastAsia" w:ascii="仿宋" w:hAnsi="仿宋" w:eastAsia="仿宋" w:cs="仿宋"/>
          <w:spacing w:val="-5"/>
          <w:sz w:val="32"/>
          <w:szCs w:val="32"/>
          <w:lang w:val="zh-CN" w:eastAsia="zh-CN" w:bidi="zh-CN"/>
        </w:rPr>
        <w:t>防治</w:t>
      </w:r>
      <w:r>
        <w:rPr>
          <w:rFonts w:hint="eastAsia" w:ascii="仿宋" w:hAnsi="仿宋" w:eastAsia="仿宋" w:cs="仿宋"/>
          <w:spacing w:val="-5"/>
          <w:sz w:val="32"/>
          <w:szCs w:val="32"/>
          <w:lang w:val="en-US" w:eastAsia="zh-CN" w:bidi="zh-CN"/>
        </w:rPr>
        <w:t>防范举措</w:t>
      </w:r>
      <w:r>
        <w:rPr>
          <w:rFonts w:hint="eastAsia" w:ascii="仿宋" w:hAnsi="仿宋" w:eastAsia="仿宋" w:cs="仿宋"/>
          <w:spacing w:val="-5"/>
          <w:sz w:val="32"/>
          <w:szCs w:val="32"/>
          <w:lang w:val="zh-CN" w:eastAsia="zh-CN" w:bidi="zh-CN"/>
        </w:rPr>
        <w:t>。</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sectPr>
          <w:headerReference r:id="rId6" w:type="default"/>
          <w:footerReference r:id="rId7" w:type="default"/>
          <w:pgSz w:w="11910" w:h="16840"/>
          <w:pgMar w:top="1440" w:right="1803" w:bottom="1440" w:left="1803" w:header="0" w:footer="1607" w:gutter="0"/>
          <w:pgNumType w:fmt="decimal" w:start="1"/>
          <w:cols w:space="720" w:num="1"/>
          <w:rtlGutter w:val="0"/>
          <w:docGrid w:linePitch="0" w:charSpace="0"/>
        </w:sectPr>
      </w:pPr>
      <w:r>
        <w:rPr>
          <w:rFonts w:hint="eastAsia" w:ascii="仿宋" w:hAnsi="仿宋" w:eastAsia="仿宋" w:cs="仿宋"/>
          <w:spacing w:val="-5"/>
          <w:sz w:val="32"/>
          <w:szCs w:val="32"/>
          <w:lang w:val="en-US" w:eastAsia="zh-CN" w:bidi="zh-CN"/>
        </w:rPr>
        <w:t>（3）结合</w:t>
      </w:r>
      <w:r>
        <w:rPr>
          <w:rFonts w:hint="eastAsia" w:ascii="仿宋" w:hAnsi="仿宋" w:eastAsia="仿宋" w:cs="仿宋"/>
          <w:spacing w:val="-5"/>
          <w:sz w:val="32"/>
          <w:szCs w:val="32"/>
          <w:lang w:val="zh-CN" w:eastAsia="zh-CN" w:bidi="zh-CN"/>
        </w:rPr>
        <w:t>普查</w:t>
      </w:r>
      <w:r>
        <w:rPr>
          <w:rFonts w:hint="eastAsia" w:ascii="仿宋" w:hAnsi="仿宋" w:eastAsia="仿宋" w:cs="仿宋"/>
          <w:spacing w:val="-5"/>
          <w:sz w:val="32"/>
          <w:szCs w:val="32"/>
          <w:lang w:val="en-US" w:eastAsia="zh-CN" w:bidi="zh-CN"/>
        </w:rPr>
        <w:t>获取的相关资料</w:t>
      </w:r>
      <w:r>
        <w:rPr>
          <w:rFonts w:hint="eastAsia" w:ascii="仿宋" w:hAnsi="仿宋" w:eastAsia="仿宋" w:cs="仿宋"/>
          <w:spacing w:val="-5"/>
          <w:sz w:val="32"/>
          <w:szCs w:val="32"/>
          <w:lang w:val="zh-CN" w:eastAsia="zh-CN" w:bidi="zh-CN"/>
        </w:rPr>
        <w:t>，联系城乡运行“一网统管”</w:t>
      </w:r>
      <w:r>
        <w:rPr>
          <w:rFonts w:hint="eastAsia" w:ascii="仿宋" w:hAnsi="仿宋" w:eastAsia="仿宋" w:cs="仿宋"/>
          <w:spacing w:val="-5"/>
          <w:sz w:val="32"/>
          <w:szCs w:val="32"/>
          <w:lang w:val="en-US" w:eastAsia="zh-CN" w:bidi="zh-CN"/>
        </w:rPr>
        <w:t>的</w:t>
      </w:r>
      <w:r>
        <w:rPr>
          <w:rFonts w:hint="eastAsia" w:ascii="仿宋" w:hAnsi="仿宋" w:eastAsia="仿宋" w:cs="仿宋"/>
          <w:spacing w:val="-5"/>
          <w:sz w:val="32"/>
          <w:szCs w:val="32"/>
          <w:lang w:val="zh-CN" w:eastAsia="zh-CN" w:bidi="zh-CN"/>
        </w:rPr>
        <w:t>实际，协助市级建立完善本区自然灾害综合风险与</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减灾能力调查评估指标体系，建立健全分类型、分区域、分层级的全区自然灾害风险与减灾能力数据库，形成多尺度隐患识别、风险识别、风险评估、风险制图、风险区划、灾害防治区划的技术方法和模型库，以及一整套风险普查与常态业务工作相互衔接、相互促进的</w:t>
      </w:r>
      <w:r>
        <w:rPr>
          <w:rFonts w:hint="eastAsia" w:ascii="仿宋" w:hAnsi="仿宋" w:eastAsia="仿宋" w:cs="仿宋"/>
          <w:spacing w:val="-5"/>
          <w:sz w:val="32"/>
          <w:szCs w:val="32"/>
          <w:lang w:val="en-US" w:eastAsia="zh-CN" w:bidi="zh-CN"/>
        </w:rPr>
        <w:t>有效循环体制</w:t>
      </w:r>
      <w:r>
        <w:rPr>
          <w:rFonts w:hint="eastAsia" w:ascii="仿宋" w:hAnsi="仿宋" w:eastAsia="仿宋" w:cs="仿宋"/>
          <w:spacing w:val="-5"/>
          <w:sz w:val="32"/>
          <w:szCs w:val="32"/>
          <w:lang w:val="zh-CN" w:eastAsia="zh-CN" w:bidi="zh-CN"/>
        </w:rPr>
        <w:t>。</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4</w:t>
      </w:r>
      <w:r>
        <w:rPr>
          <w:rFonts w:hint="eastAsia" w:ascii="仿宋" w:hAnsi="仿宋" w:eastAsia="仿宋" w:cs="仿宋"/>
          <w:spacing w:val="-5"/>
          <w:sz w:val="32"/>
          <w:szCs w:val="32"/>
          <w:lang w:val="zh-CN" w:eastAsia="zh-CN" w:bidi="zh-CN"/>
        </w:rPr>
        <w:t>）推动普查成果转化、应用和数据资源共建共享，</w:t>
      </w:r>
      <w:r>
        <w:rPr>
          <w:rFonts w:hint="eastAsia" w:ascii="仿宋" w:hAnsi="仿宋" w:eastAsia="仿宋" w:cs="仿宋"/>
          <w:spacing w:val="-5"/>
          <w:sz w:val="32"/>
          <w:szCs w:val="32"/>
          <w:lang w:val="en-US" w:eastAsia="zh-CN" w:bidi="zh-CN"/>
        </w:rPr>
        <w:t>合理利用</w:t>
      </w:r>
      <w:r>
        <w:rPr>
          <w:rFonts w:hint="eastAsia" w:ascii="仿宋" w:hAnsi="仿宋" w:eastAsia="仿宋" w:cs="仿宋"/>
          <w:spacing w:val="-5"/>
          <w:sz w:val="32"/>
          <w:szCs w:val="32"/>
          <w:lang w:val="zh-CN" w:eastAsia="zh-CN" w:bidi="zh-CN"/>
        </w:rPr>
        <w:t>现有技术框架，</w:t>
      </w:r>
      <w:r>
        <w:rPr>
          <w:rFonts w:hint="eastAsia" w:ascii="仿宋" w:hAnsi="仿宋" w:eastAsia="仿宋" w:cs="仿宋"/>
          <w:spacing w:val="-5"/>
          <w:sz w:val="32"/>
          <w:szCs w:val="32"/>
          <w:lang w:val="en-US" w:eastAsia="zh-CN" w:bidi="zh-CN"/>
        </w:rPr>
        <w:t>结合有关</w:t>
      </w:r>
      <w:r>
        <w:rPr>
          <w:rFonts w:hint="eastAsia" w:ascii="仿宋" w:hAnsi="仿宋" w:eastAsia="仿宋" w:cs="仿宋"/>
          <w:spacing w:val="-5"/>
          <w:sz w:val="32"/>
          <w:szCs w:val="32"/>
          <w:lang w:val="zh-CN" w:eastAsia="zh-CN" w:bidi="zh-CN"/>
        </w:rPr>
        <w:t>数据资源，推动符合本区自然灾害防治、城乡精细化治理需要的综合风险和减灾能力调查评估信息化系统</w:t>
      </w:r>
      <w:r>
        <w:rPr>
          <w:rFonts w:hint="eastAsia" w:ascii="仿宋" w:hAnsi="仿宋" w:eastAsia="仿宋" w:cs="仿宋"/>
          <w:spacing w:val="-5"/>
          <w:sz w:val="32"/>
          <w:szCs w:val="32"/>
          <w:lang w:val="en-US" w:eastAsia="zh-CN" w:bidi="zh-CN"/>
        </w:rPr>
        <w:t>的建立完善</w:t>
      </w:r>
      <w:r>
        <w:rPr>
          <w:rFonts w:hint="eastAsia" w:ascii="仿宋" w:hAnsi="仿宋" w:eastAsia="仿宋" w:cs="仿宋"/>
          <w:spacing w:val="-5"/>
          <w:sz w:val="32"/>
          <w:szCs w:val="32"/>
          <w:lang w:val="zh-CN" w:eastAsia="zh-CN" w:bidi="zh-CN"/>
        </w:rPr>
        <w:t>，推进</w:t>
      </w:r>
      <w:r>
        <w:rPr>
          <w:rFonts w:hint="eastAsia" w:ascii="仿宋" w:hAnsi="仿宋" w:eastAsia="仿宋" w:cs="仿宋"/>
          <w:spacing w:val="-5"/>
          <w:sz w:val="32"/>
          <w:szCs w:val="32"/>
          <w:lang w:val="en-US" w:eastAsia="zh-CN" w:bidi="zh-CN"/>
        </w:rPr>
        <w:t>本区</w:t>
      </w:r>
      <w:r>
        <w:rPr>
          <w:rFonts w:hint="eastAsia" w:ascii="仿宋" w:hAnsi="仿宋" w:eastAsia="仿宋" w:cs="仿宋"/>
          <w:spacing w:val="-5"/>
          <w:sz w:val="32"/>
          <w:szCs w:val="32"/>
          <w:lang w:val="zh-CN" w:eastAsia="zh-CN" w:bidi="zh-CN"/>
        </w:rPr>
        <w:t>自然灾害风险识别、研判、预警、管控全链条全周期治理</w:t>
      </w:r>
      <w:r>
        <w:rPr>
          <w:rFonts w:hint="eastAsia" w:ascii="仿宋" w:hAnsi="仿宋" w:eastAsia="仿宋" w:cs="仿宋"/>
          <w:spacing w:val="-5"/>
          <w:sz w:val="32"/>
          <w:szCs w:val="32"/>
          <w:lang w:val="en-US" w:eastAsia="zh-CN" w:bidi="zh-CN"/>
        </w:rPr>
        <w:t>体系的形成</w:t>
      </w:r>
      <w:r>
        <w:rPr>
          <w:rFonts w:hint="eastAsia" w:ascii="仿宋" w:hAnsi="仿宋" w:eastAsia="仿宋" w:cs="仿宋"/>
          <w:spacing w:val="-5"/>
          <w:sz w:val="32"/>
          <w:szCs w:val="32"/>
          <w:lang w:val="zh-CN" w:eastAsia="zh-CN" w:bidi="zh-CN"/>
        </w:rPr>
        <w:t>。</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1.1.2 主要任务</w:t>
      </w:r>
      <w:bookmarkStart w:id="11" w:name="1.1.2.1_主要灾害致灾调查与评估"/>
      <w:bookmarkEnd w:id="11"/>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3"/>
        <w:rPr>
          <w:rFonts w:hint="eastAsia" w:ascii="仿宋" w:hAnsi="仿宋" w:eastAsia="仿宋" w:cs="仿宋"/>
          <w:b/>
          <w:bCs/>
          <w:sz w:val="32"/>
          <w:szCs w:val="32"/>
        </w:rPr>
      </w:pPr>
      <w:r>
        <w:rPr>
          <w:rFonts w:hint="default" w:ascii="仿宋" w:hAnsi="仿宋" w:eastAsia="仿宋" w:cs="仿宋"/>
          <w:b/>
          <w:bCs/>
          <w:sz w:val="32"/>
          <w:szCs w:val="32"/>
          <w:lang w:val="en-US" w:eastAsia="zh-CN"/>
        </w:rPr>
        <w:t xml:space="preserve">1.1.2.1 </w:t>
      </w:r>
      <w:r>
        <w:rPr>
          <w:rFonts w:hint="eastAsia" w:ascii="仿宋" w:hAnsi="仿宋" w:eastAsia="仿宋" w:cs="仿宋"/>
          <w:b/>
          <w:bCs/>
          <w:spacing w:val="-3"/>
          <w:sz w:val="32"/>
          <w:szCs w:val="32"/>
        </w:rPr>
        <w:t>主要灾害致灾调查与评估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气象灾害。</w:t>
      </w:r>
      <w:r>
        <w:rPr>
          <w:rFonts w:hint="eastAsia" w:ascii="仿宋" w:hAnsi="仿宋" w:eastAsia="仿宋" w:cs="仿宋"/>
          <w:spacing w:val="-5"/>
          <w:sz w:val="32"/>
          <w:szCs w:val="32"/>
          <w:lang w:val="en-US" w:eastAsia="zh-CN" w:bidi="zh-CN"/>
        </w:rPr>
        <w:t>开展气象灾害的特征调查和致灾、孕灾要素分析，针对主要气象灾害引发的人口死亡、农作物受灾、直接经济损失、房屋倒塌、基础设施破坏等影响，全面获取本区主要气象灾害的致灾因子信息和孕灾环境信息。协助市级评估主要气象灾害的致灾因子危险性等级，建立主要气象灾害危险性数据集，以及不低于1:5万的区级主要气象灾害致灾危险性评价图和风险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水旱灾害。</w:t>
      </w:r>
      <w:r>
        <w:rPr>
          <w:rFonts w:hint="eastAsia" w:ascii="仿宋" w:hAnsi="仿宋" w:eastAsia="仿宋" w:cs="仿宋"/>
          <w:b w:val="0"/>
          <w:bCs w:val="0"/>
          <w:spacing w:val="-5"/>
          <w:sz w:val="32"/>
          <w:szCs w:val="32"/>
          <w:lang w:val="en-US" w:eastAsia="zh-CN" w:bidi="zh-CN"/>
        </w:rPr>
        <w:t>配合市级</w:t>
      </w:r>
      <w:r>
        <w:rPr>
          <w:rFonts w:hint="eastAsia" w:ascii="仿宋" w:hAnsi="仿宋" w:eastAsia="仿宋" w:cs="仿宋"/>
          <w:spacing w:val="-5"/>
          <w:sz w:val="32"/>
          <w:szCs w:val="32"/>
          <w:lang w:val="en-US" w:eastAsia="zh-CN" w:bidi="zh-CN"/>
        </w:rPr>
        <w:t>进行暴雨洪水特征调查、暴雨洪水致灾孕灾要素分析，完成暴雨洪水易发区调查分析、水文（位）站特征值计算复核，完成水文站网功能评价、统一水文测站高程基准；开展暴雨、洪水频率分析，更新暴雨频率图，编制崇明区洪水频率图；根据历史灾情，由市级行业部门牵头，区相关部门配合，组织开展干旱灾害致灾调查，完成相关表格；摸清城市内涝点底数，调查易涝区域，协助市级完成城市内涝灾害危险性地图和风险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海洋灾害。</w:t>
      </w:r>
      <w:r>
        <w:rPr>
          <w:rFonts w:hint="eastAsia" w:ascii="仿宋" w:hAnsi="仿宋" w:eastAsia="仿宋" w:cs="仿宋"/>
          <w:spacing w:val="-5"/>
          <w:sz w:val="32"/>
          <w:szCs w:val="32"/>
          <w:lang w:val="en-US" w:eastAsia="zh-CN" w:bidi="zh-CN"/>
        </w:rPr>
        <w:t>结合已有业务工作成果转化和利用，</w:t>
      </w:r>
      <w:r>
        <w:rPr>
          <w:rFonts w:hint="eastAsia" w:ascii="仿宋" w:hAnsi="仿宋" w:eastAsia="仿宋" w:cs="仿宋"/>
          <w:b w:val="0"/>
          <w:bCs w:val="0"/>
          <w:spacing w:val="-5"/>
          <w:sz w:val="32"/>
          <w:szCs w:val="32"/>
          <w:lang w:val="en-US" w:eastAsia="zh-CN" w:bidi="zh-CN"/>
        </w:rPr>
        <w:t>配合市级</w:t>
      </w:r>
      <w:r>
        <w:rPr>
          <w:rFonts w:hint="eastAsia" w:ascii="仿宋" w:hAnsi="仿宋" w:eastAsia="仿宋" w:cs="仿宋"/>
          <w:spacing w:val="-5"/>
          <w:sz w:val="32"/>
          <w:szCs w:val="32"/>
          <w:lang w:val="en-US" w:eastAsia="zh-CN" w:bidi="zh-CN"/>
        </w:rPr>
        <w:t>调查风暴潮、海浪、海啸、海平面上升、赤潮、咸潮入侵、海岸侵蚀等海洋灾害致灾孕灾情况。协助市级分析评估典型台风、暴雨、高潮位和上游下泄洪水多碰头（简称“多碰头”）致灾要素情况，掌握海洋灾害时空分布特征。协助开展风暴潮、海浪、海啸、海平面上升危险性评估，形成市级不低于1:25万、区级不低于1:5万的海洋灾害危险性分布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地质灾害。</w:t>
      </w:r>
      <w:r>
        <w:rPr>
          <w:rFonts w:hint="eastAsia" w:ascii="仿宋" w:hAnsi="仿宋" w:eastAsia="仿宋" w:cs="仿宋"/>
          <w:spacing w:val="-5"/>
          <w:sz w:val="32"/>
          <w:szCs w:val="32"/>
          <w:lang w:val="en-US" w:eastAsia="zh-CN" w:bidi="zh-CN"/>
        </w:rPr>
        <w:t>协助市级相关部门完成地质灾害致灾调查与评估工作。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地震灾害。</w:t>
      </w:r>
      <w:r>
        <w:rPr>
          <w:rFonts w:hint="eastAsia" w:ascii="仿宋" w:hAnsi="仿宋" w:eastAsia="仿宋" w:cs="仿宋"/>
          <w:spacing w:val="-5"/>
          <w:sz w:val="32"/>
          <w:szCs w:val="32"/>
          <w:lang w:val="en-US" w:eastAsia="zh-CN" w:bidi="zh-CN"/>
        </w:rPr>
        <w:t>收集整理已有的活动断层探测成果资料，获得第四纪主要隐伏断层的空间展布，开展隐伏断层发震能力判定等工作。获得地震工程地质条件及其场地类别基本参数，评定不同地震动参数的场地影响。协助市级编制场地类别分区图、不低于1:25万区域地震构造图、不低于1:25万的地震危险性地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森林火灾。</w:t>
      </w:r>
      <w:r>
        <w:rPr>
          <w:rFonts w:hint="eastAsia" w:ascii="仿宋" w:hAnsi="仿宋" w:eastAsia="仿宋" w:cs="仿宋"/>
          <w:spacing w:val="-5"/>
          <w:sz w:val="32"/>
          <w:szCs w:val="32"/>
          <w:lang w:val="en-US" w:eastAsia="zh-CN" w:bidi="zh-CN"/>
        </w:rPr>
        <w:t>开展森林可燃物调查、野外火源调查和气象条件调查（2000年以来）。综合森林可燃物、燃烧性因子、立地类型、野外火源以及气象条件等情况，结合已有资源数据、调查数据、多源遥感数据，进行森林火灾危险性综合研判与分析。协助市级建设森林火灾危险性调查与评估数据库，开展森林火灾危险性评估，编制区级不低于1:5万的森林火灾危险性分级分布图。</w:t>
      </w:r>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3"/>
        <w:rPr>
          <w:rFonts w:hint="eastAsia" w:ascii="仿宋" w:hAnsi="仿宋" w:eastAsia="仿宋" w:cs="仿宋"/>
          <w:b/>
          <w:bCs/>
          <w:sz w:val="32"/>
          <w:szCs w:val="32"/>
          <w:lang w:val="en-US" w:eastAsia="zh-CN"/>
        </w:rPr>
      </w:pPr>
      <w:bookmarkStart w:id="12" w:name="1.1.2.2_承灾体调查与评估"/>
      <w:bookmarkEnd w:id="12"/>
      <w:r>
        <w:rPr>
          <w:rFonts w:hint="default" w:ascii="仿宋" w:hAnsi="仿宋" w:eastAsia="仿宋" w:cs="仿宋"/>
          <w:b/>
          <w:bCs/>
          <w:sz w:val="32"/>
          <w:szCs w:val="32"/>
          <w:lang w:val="en-US" w:eastAsia="zh-CN"/>
        </w:rPr>
        <w:t xml:space="preserve">1.1.2.2 </w:t>
      </w:r>
      <w:r>
        <w:rPr>
          <w:rFonts w:hint="eastAsia" w:ascii="仿宋" w:hAnsi="仿宋" w:eastAsia="仿宋" w:cs="仿宋"/>
          <w:b/>
          <w:bCs/>
          <w:sz w:val="32"/>
          <w:szCs w:val="32"/>
          <w:lang w:val="en-US" w:eastAsia="zh-CN"/>
        </w:rPr>
        <w:t>承灾体调查与评估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统筹利用各类承灾体已有基础数据，开展承灾体单体信息和区域性特征调查，重点对区域经济社会重要统计数据、人口数据、房屋、基础设施（交通运输、通信、能源、市政、</w:t>
      </w:r>
      <w:r>
        <w:rPr>
          <w:rFonts w:hint="eastAsia" w:ascii="仿宋" w:hAnsi="仿宋" w:eastAsia="仿宋" w:cs="仿宋"/>
          <w:spacing w:val="-5"/>
          <w:sz w:val="32"/>
          <w:szCs w:val="32"/>
          <w:lang w:val="en-US" w:eastAsia="zh-CN" w:bidi="zh-CN"/>
        </w:rPr>
        <w:t>水务</w:t>
      </w:r>
      <w:r>
        <w:rPr>
          <w:rFonts w:hint="eastAsia" w:ascii="仿宋" w:hAnsi="仿宋" w:eastAsia="仿宋" w:cs="仿宋"/>
          <w:spacing w:val="-5"/>
          <w:sz w:val="32"/>
          <w:szCs w:val="32"/>
          <w:lang w:val="zh-CN" w:eastAsia="zh-CN" w:bidi="zh-CN"/>
        </w:rPr>
        <w:t>等）、公共服务系统、三次产业、危险化学品企业等重要承灾体的空间位置信息和灾害属性信息进行调查。协助</w:t>
      </w:r>
      <w:r>
        <w:rPr>
          <w:rFonts w:hint="eastAsia" w:ascii="仿宋" w:hAnsi="仿宋" w:eastAsia="仿宋" w:cs="仿宋"/>
          <w:spacing w:val="-5"/>
          <w:sz w:val="32"/>
          <w:szCs w:val="32"/>
          <w:lang w:val="en-US" w:eastAsia="zh-CN" w:bidi="zh-CN"/>
        </w:rPr>
        <w:t>市级</w:t>
      </w:r>
      <w:r>
        <w:rPr>
          <w:rFonts w:hint="eastAsia" w:ascii="仿宋" w:hAnsi="仿宋" w:eastAsia="仿宋" w:cs="仿宋"/>
          <w:spacing w:val="-5"/>
          <w:sz w:val="32"/>
          <w:szCs w:val="32"/>
          <w:lang w:val="zh-CN" w:eastAsia="zh-CN" w:bidi="zh-CN"/>
        </w:rPr>
        <w:t>进行抽样调查不同地区主要承灾体重置价格，评估不同承灾体的经济价值，以规则网络为单元，进行人口、房屋、农业、资本存量等承灾体经济价值空间化、生成全</w:t>
      </w:r>
      <w:r>
        <w:rPr>
          <w:rFonts w:hint="eastAsia" w:ascii="仿宋" w:hAnsi="仿宋" w:eastAsia="仿宋" w:cs="仿宋"/>
          <w:spacing w:val="-5"/>
          <w:sz w:val="32"/>
          <w:szCs w:val="32"/>
          <w:lang w:val="en-US" w:eastAsia="zh-CN" w:bidi="zh-CN"/>
        </w:rPr>
        <w:t>区</w:t>
      </w:r>
      <w:r>
        <w:rPr>
          <w:rFonts w:hint="eastAsia" w:ascii="仿宋" w:hAnsi="仿宋" w:eastAsia="仿宋" w:cs="仿宋"/>
          <w:spacing w:val="-5"/>
          <w:sz w:val="32"/>
          <w:szCs w:val="32"/>
          <w:lang w:val="zh-CN" w:eastAsia="zh-CN" w:bidi="zh-CN"/>
        </w:rPr>
        <w:t>承灾体数量或经济价值空间分布图。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1</w:t>
      </w:r>
      <w:r>
        <w:rPr>
          <w:rFonts w:hint="eastAsia" w:ascii="仿宋" w:hAnsi="仿宋" w:eastAsia="仿宋" w:cs="仿宋"/>
          <w:b/>
          <w:bCs/>
          <w:spacing w:val="-5"/>
          <w:sz w:val="32"/>
          <w:szCs w:val="32"/>
          <w:lang w:val="zh-CN" w:eastAsia="zh-CN" w:bidi="zh-CN"/>
        </w:rPr>
        <w:t>）公共服务系统调查。</w:t>
      </w:r>
      <w:r>
        <w:rPr>
          <w:rFonts w:hint="eastAsia" w:ascii="仿宋" w:hAnsi="仿宋" w:eastAsia="仿宋" w:cs="仿宋"/>
          <w:spacing w:val="-5"/>
          <w:sz w:val="32"/>
          <w:szCs w:val="32"/>
          <w:lang w:val="zh-CN" w:eastAsia="zh-CN" w:bidi="zh-CN"/>
        </w:rPr>
        <w:t>针对教育、卫生、社会福利等重点公共服务系统，结合房屋建筑调查，详查学校、医院和福利院等公共服务机构的人员情况、功能与服务情况、应急保障能力等信息。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2</w:t>
      </w:r>
      <w:r>
        <w:rPr>
          <w:rFonts w:hint="eastAsia" w:ascii="仿宋" w:hAnsi="仿宋" w:eastAsia="仿宋" w:cs="仿宋"/>
          <w:b/>
          <w:bCs/>
          <w:spacing w:val="-5"/>
          <w:sz w:val="32"/>
          <w:szCs w:val="32"/>
          <w:lang w:val="zh-CN" w:eastAsia="zh-CN" w:bidi="zh-CN"/>
        </w:rPr>
        <w:t>）危险化学品企业调查。</w:t>
      </w:r>
      <w:r>
        <w:rPr>
          <w:rFonts w:hint="eastAsia" w:ascii="仿宋" w:hAnsi="仿宋" w:eastAsia="仿宋" w:cs="仿宋"/>
          <w:spacing w:val="-5"/>
          <w:sz w:val="32"/>
          <w:szCs w:val="32"/>
          <w:lang w:val="zh-CN" w:eastAsia="zh-CN" w:bidi="zh-CN"/>
        </w:rPr>
        <w:t>危险化学品企业调查范围包括所有危险化学品企业及重大危险源相关情况，以及加油加气加氢站。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3</w:t>
      </w:r>
      <w:r>
        <w:rPr>
          <w:rFonts w:hint="eastAsia" w:ascii="仿宋" w:hAnsi="仿宋" w:eastAsia="仿宋" w:cs="仿宋"/>
          <w:b/>
          <w:bCs/>
          <w:spacing w:val="-5"/>
          <w:sz w:val="32"/>
          <w:szCs w:val="32"/>
          <w:lang w:val="zh-CN" w:eastAsia="zh-CN" w:bidi="zh-CN"/>
        </w:rPr>
        <w:t>）房屋建筑调查。</w:t>
      </w:r>
      <w:r>
        <w:rPr>
          <w:rFonts w:hint="eastAsia" w:ascii="仿宋" w:hAnsi="仿宋" w:eastAsia="仿宋" w:cs="仿宋"/>
          <w:spacing w:val="-5"/>
          <w:sz w:val="32"/>
          <w:szCs w:val="32"/>
          <w:lang w:val="en-US" w:eastAsia="zh-CN" w:bidi="zh-CN"/>
        </w:rPr>
        <w:t>内业提取城镇和农村住宅、非住宅房屋建筑单栋轮廓，掌握房屋建筑的地理位置、占地面积信息；在房屋建筑单体轮廓底图基础上，外业实地调查并使用外业采集工具录入单栋（单体）房屋建筑的建筑面积、结构、建筑年代、用途、层数、使用状况、设防水平等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4</w:t>
      </w:r>
      <w:r>
        <w:rPr>
          <w:rFonts w:hint="eastAsia" w:ascii="仿宋" w:hAnsi="仿宋" w:eastAsia="仿宋" w:cs="仿宋"/>
          <w:b/>
          <w:bCs/>
          <w:spacing w:val="-5"/>
          <w:sz w:val="32"/>
          <w:szCs w:val="32"/>
          <w:lang w:val="zh-CN" w:eastAsia="zh-CN" w:bidi="zh-CN"/>
        </w:rPr>
        <w:t>）人口与经济调查。</w:t>
      </w:r>
      <w:r>
        <w:rPr>
          <w:rFonts w:hint="eastAsia" w:ascii="仿宋" w:hAnsi="仿宋" w:eastAsia="仿宋" w:cs="仿宋"/>
          <w:spacing w:val="-5"/>
          <w:sz w:val="32"/>
          <w:szCs w:val="32"/>
          <w:lang w:val="zh-CN" w:eastAsia="zh-CN" w:bidi="zh-CN"/>
        </w:rPr>
        <w:t>协助</w:t>
      </w:r>
      <w:r>
        <w:rPr>
          <w:rFonts w:hint="eastAsia" w:ascii="仿宋" w:hAnsi="仿宋" w:eastAsia="仿宋" w:cs="仿宋"/>
          <w:spacing w:val="-5"/>
          <w:sz w:val="32"/>
          <w:szCs w:val="32"/>
          <w:lang w:val="en-US" w:eastAsia="zh-CN" w:bidi="zh-CN"/>
        </w:rPr>
        <w:t>市级</w:t>
      </w:r>
      <w:r>
        <w:rPr>
          <w:rFonts w:hint="eastAsia" w:ascii="仿宋" w:hAnsi="仿宋" w:eastAsia="仿宋" w:cs="仿宋"/>
          <w:spacing w:val="-5"/>
          <w:sz w:val="32"/>
          <w:szCs w:val="32"/>
          <w:lang w:val="zh-CN" w:eastAsia="zh-CN" w:bidi="zh-CN"/>
        </w:rPr>
        <w:t>充分利用最新人口普查、农业普查、经济普查等各类资料，以居（村）委为单元获取人口统计数据，结合房屋建筑调查开展人口空间分布信息调查；获取区域经济社会统计数据，主要包括三次产业地区生产总值、固定资产投资、农作物种植业面积和产量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5</w:t>
      </w:r>
      <w:r>
        <w:rPr>
          <w:rFonts w:hint="eastAsia" w:ascii="仿宋" w:hAnsi="仿宋" w:eastAsia="仿宋" w:cs="仿宋"/>
          <w:b/>
          <w:bCs/>
          <w:spacing w:val="-5"/>
          <w:sz w:val="32"/>
          <w:szCs w:val="32"/>
          <w:lang w:val="zh-CN" w:eastAsia="zh-CN" w:bidi="zh-CN"/>
        </w:rPr>
        <w:t>）基础设施调查。</w:t>
      </w:r>
      <w:r>
        <w:rPr>
          <w:rFonts w:hint="eastAsia" w:ascii="仿宋" w:hAnsi="仿宋" w:eastAsia="仿宋" w:cs="仿宋"/>
          <w:spacing w:val="-5"/>
          <w:sz w:val="32"/>
          <w:szCs w:val="32"/>
          <w:lang w:val="zh-CN" w:eastAsia="zh-CN" w:bidi="zh-CN"/>
        </w:rPr>
        <w:t>协助</w:t>
      </w:r>
      <w:r>
        <w:rPr>
          <w:rFonts w:hint="eastAsia" w:ascii="仿宋" w:hAnsi="仿宋" w:eastAsia="仿宋" w:cs="仿宋"/>
          <w:spacing w:val="-5"/>
          <w:sz w:val="32"/>
          <w:szCs w:val="32"/>
          <w:lang w:val="en-US" w:eastAsia="zh-CN" w:bidi="zh-CN"/>
        </w:rPr>
        <w:t>市级</w:t>
      </w:r>
      <w:r>
        <w:rPr>
          <w:rFonts w:hint="eastAsia" w:ascii="仿宋" w:hAnsi="仿宋" w:eastAsia="仿宋" w:cs="仿宋"/>
          <w:spacing w:val="-5"/>
          <w:sz w:val="32"/>
          <w:szCs w:val="32"/>
          <w:lang w:val="zh-CN" w:eastAsia="zh-CN" w:bidi="zh-CN"/>
        </w:rPr>
        <w:t>针对交通、能源、通信、市政、水利等重要基础设施，共享整合</w:t>
      </w:r>
      <w:r>
        <w:rPr>
          <w:rFonts w:hint="eastAsia" w:ascii="仿宋" w:hAnsi="仿宋" w:eastAsia="仿宋" w:cs="仿宋"/>
          <w:spacing w:val="-5"/>
          <w:sz w:val="32"/>
          <w:szCs w:val="32"/>
          <w:lang w:val="en-US" w:eastAsia="zh-CN" w:bidi="zh-CN"/>
        </w:rPr>
        <w:t>各类基础设施分布和部分属性数据库，通过外业补充性调查设施的空间分布和属性数据。设施基础信息和灾害属性信息主要包括设施类型、数量、价值、服务能力和设防水平等内容。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6</w:t>
      </w:r>
      <w:r>
        <w:rPr>
          <w:rFonts w:hint="eastAsia" w:ascii="仿宋" w:hAnsi="仿宋" w:eastAsia="仿宋" w:cs="仿宋"/>
          <w:b/>
          <w:bCs/>
          <w:spacing w:val="-5"/>
          <w:sz w:val="32"/>
          <w:szCs w:val="32"/>
          <w:lang w:val="zh-CN" w:eastAsia="zh-CN" w:bidi="zh-CN"/>
        </w:rPr>
        <w:t>）三次产业要素调查。</w:t>
      </w:r>
      <w:r>
        <w:rPr>
          <w:rFonts w:hint="eastAsia" w:ascii="仿宋" w:hAnsi="仿宋" w:eastAsia="仿宋" w:cs="仿宋"/>
          <w:spacing w:val="-5"/>
          <w:sz w:val="32"/>
          <w:szCs w:val="32"/>
          <w:lang w:val="zh-CN" w:eastAsia="zh-CN" w:bidi="zh-CN"/>
        </w:rPr>
        <w:t>协助</w:t>
      </w:r>
      <w:r>
        <w:rPr>
          <w:rFonts w:hint="eastAsia" w:ascii="仿宋" w:hAnsi="仿宋" w:eastAsia="仿宋" w:cs="仿宋"/>
          <w:spacing w:val="-5"/>
          <w:sz w:val="32"/>
          <w:szCs w:val="32"/>
          <w:lang w:val="en-US" w:eastAsia="zh-CN" w:bidi="zh-CN"/>
        </w:rPr>
        <w:t>市级共享利用农业普查、经济普查、地理国情普查等相关成果，掌握主要农作物、设施农业的地理分布和产量，危</w:t>
      </w:r>
      <w:r>
        <w:rPr>
          <w:rFonts w:hint="eastAsia" w:ascii="仿宋" w:hAnsi="仿宋" w:eastAsia="仿宋" w:cs="仿宋"/>
          <w:spacing w:val="-5"/>
          <w:sz w:val="32"/>
          <w:szCs w:val="32"/>
          <w:lang w:val="en-US" w:eastAsia="zh-CN" w:bidi="zh-CN"/>
        </w:rPr>
        <w:softHyphen/>
      </w:r>
      <w:r>
        <w:rPr>
          <w:rFonts w:hint="eastAsia" w:ascii="仿宋" w:hAnsi="仿宋" w:eastAsia="仿宋" w:cs="仿宋"/>
          <w:spacing w:val="-5"/>
          <w:sz w:val="32"/>
          <w:szCs w:val="32"/>
          <w:lang w:val="en-US" w:eastAsia="zh-CN" w:bidi="zh-CN"/>
        </w:rPr>
        <w:t>险化学品企业空间位置和设防水平，以及第三产业中大型城市综合体、大型商场和超市的空间位置、人员流动、服务能力等信息。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7</w:t>
      </w:r>
      <w:r>
        <w:rPr>
          <w:rFonts w:hint="eastAsia" w:ascii="仿宋" w:hAnsi="仿宋" w:eastAsia="仿宋" w:cs="仿宋"/>
          <w:b/>
          <w:bCs/>
          <w:spacing w:val="-5"/>
          <w:sz w:val="32"/>
          <w:szCs w:val="32"/>
          <w:lang w:val="zh-CN" w:eastAsia="zh-CN" w:bidi="zh-CN"/>
        </w:rPr>
        <w:t>）资源与环境要素调查。</w:t>
      </w:r>
      <w:r>
        <w:rPr>
          <w:rFonts w:hint="eastAsia" w:ascii="仿宋" w:hAnsi="仿宋" w:eastAsia="仿宋" w:cs="仿宋"/>
          <w:spacing w:val="-5"/>
          <w:sz w:val="32"/>
          <w:szCs w:val="32"/>
          <w:lang w:val="zh-CN" w:eastAsia="zh-CN" w:bidi="zh-CN"/>
        </w:rPr>
        <w:t>协助</w:t>
      </w:r>
      <w:r>
        <w:rPr>
          <w:rFonts w:hint="eastAsia" w:ascii="仿宋" w:hAnsi="仿宋" w:eastAsia="仿宋" w:cs="仿宋"/>
          <w:spacing w:val="-5"/>
          <w:sz w:val="32"/>
          <w:szCs w:val="32"/>
          <w:lang w:val="en-US" w:eastAsia="zh-CN" w:bidi="zh-CN"/>
        </w:rPr>
        <w:t>市级</w:t>
      </w:r>
      <w:r>
        <w:rPr>
          <w:rFonts w:hint="eastAsia" w:ascii="仿宋" w:hAnsi="仿宋" w:eastAsia="仿宋" w:cs="仿宋"/>
          <w:spacing w:val="-5"/>
          <w:sz w:val="32"/>
          <w:szCs w:val="32"/>
          <w:lang w:val="zh-CN" w:eastAsia="zh-CN" w:bidi="zh-CN"/>
        </w:rPr>
        <w:t>共享整理第三次国土调查数据据</w:t>
      </w:r>
      <w:r>
        <w:rPr>
          <w:rFonts w:hint="eastAsia" w:ascii="仿宋" w:hAnsi="仿宋" w:eastAsia="仿宋" w:cs="仿宋"/>
          <w:spacing w:val="-5"/>
          <w:sz w:val="32"/>
          <w:szCs w:val="32"/>
          <w:lang w:val="en-US" w:eastAsia="zh-CN" w:bidi="zh-CN"/>
        </w:rPr>
        <w:t>据《土地利用现状分类》（GB/T21010-2017）形成的土地利用现状分布资料；共享整理最新森林、湿地等资源清查、调查或其他形式形成的地理信息系统信息成果。开展A级以上等级旅游景区的位置、等级、设计日游客接待量等信息的整理、核查和补充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8</w:t>
      </w:r>
      <w:r>
        <w:rPr>
          <w:rFonts w:hint="eastAsia" w:ascii="仿宋" w:hAnsi="仿宋" w:eastAsia="仿宋" w:cs="仿宋"/>
          <w:b/>
          <w:bCs/>
          <w:spacing w:val="-5"/>
          <w:sz w:val="32"/>
          <w:szCs w:val="32"/>
          <w:lang w:val="zh-CN" w:eastAsia="zh-CN" w:bidi="zh-CN"/>
        </w:rPr>
        <w:t>）承灾体经济价值评估与空间化。</w:t>
      </w:r>
      <w:r>
        <w:rPr>
          <w:rFonts w:hint="eastAsia" w:ascii="仿宋" w:hAnsi="仿宋" w:eastAsia="仿宋" w:cs="仿宋"/>
          <w:spacing w:val="-5"/>
          <w:sz w:val="32"/>
          <w:szCs w:val="32"/>
          <w:lang w:val="en-US" w:eastAsia="zh-CN" w:bidi="zh-CN"/>
        </w:rPr>
        <w:t>协助市级</w:t>
      </w:r>
      <w:r>
        <w:rPr>
          <w:rFonts w:hint="eastAsia" w:ascii="仿宋" w:hAnsi="仿宋" w:eastAsia="仿宋" w:cs="仿宋"/>
          <w:spacing w:val="-5"/>
          <w:sz w:val="32"/>
          <w:szCs w:val="32"/>
          <w:lang w:val="zh-CN" w:eastAsia="zh-CN" w:bidi="zh-CN"/>
        </w:rPr>
        <w:t>进行</w:t>
      </w:r>
      <w:r>
        <w:rPr>
          <w:rFonts w:hint="eastAsia" w:ascii="仿宋" w:hAnsi="仿宋" w:eastAsia="仿宋" w:cs="仿宋"/>
          <w:spacing w:val="-5"/>
          <w:sz w:val="32"/>
          <w:szCs w:val="32"/>
          <w:lang w:val="en-US" w:eastAsia="zh-CN" w:bidi="zh-CN"/>
        </w:rPr>
        <w:t>抽样调查并构建主要承灾体重置价格参数库，评估不同承灾体的经济价值，以规则网格为单元，进行人口、房屋、农业、国内生产总值、资本存量等承灾体数量和经济价值空间化，生成全市承灾体数量或经济价值空间分布图。</w:t>
      </w:r>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3"/>
        <w:rPr>
          <w:rFonts w:hint="eastAsia" w:ascii="仿宋" w:hAnsi="仿宋" w:eastAsia="仿宋" w:cs="仿宋"/>
          <w:b/>
          <w:bCs/>
          <w:sz w:val="32"/>
          <w:szCs w:val="32"/>
          <w:lang w:val="en-US" w:eastAsia="zh-CN"/>
        </w:rPr>
      </w:pPr>
      <w:bookmarkStart w:id="13" w:name="1.1.2.3_历史灾害调查与评估"/>
      <w:bookmarkEnd w:id="13"/>
      <w:r>
        <w:rPr>
          <w:rFonts w:hint="default" w:ascii="仿宋" w:hAnsi="仿宋" w:eastAsia="仿宋" w:cs="仿宋"/>
          <w:b/>
          <w:bCs/>
          <w:sz w:val="32"/>
          <w:szCs w:val="32"/>
          <w:lang w:val="en-US" w:eastAsia="zh-CN"/>
        </w:rPr>
        <w:t xml:space="preserve">1.1.2.3 </w:t>
      </w:r>
      <w:r>
        <w:rPr>
          <w:rFonts w:hint="eastAsia" w:ascii="仿宋" w:hAnsi="仿宋" w:eastAsia="仿宋" w:cs="仿宋"/>
          <w:b/>
          <w:bCs/>
          <w:sz w:val="32"/>
          <w:szCs w:val="32"/>
          <w:lang w:val="en-US" w:eastAsia="zh-CN"/>
        </w:rPr>
        <w:t>历史灾害调查与评估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bookmarkStart w:id="14" w:name="1.1.2.4_综合减灾能力调查与评估"/>
      <w:bookmarkEnd w:id="14"/>
      <w:r>
        <w:rPr>
          <w:rFonts w:hint="eastAsia" w:ascii="仿宋" w:hAnsi="仿宋" w:eastAsia="仿宋" w:cs="仿宋"/>
          <w:spacing w:val="-5"/>
          <w:sz w:val="32"/>
          <w:szCs w:val="32"/>
          <w:lang w:val="zh-CN" w:eastAsia="zh-CN" w:bidi="zh-CN"/>
        </w:rPr>
        <w:t>全面调查、整理、汇总1978年以来本区年度自然灾害、历史</w:t>
      </w:r>
      <w:r>
        <w:rPr>
          <w:rFonts w:hint="eastAsia" w:ascii="仿宋" w:hAnsi="仿宋" w:eastAsia="仿宋" w:cs="仿宋"/>
          <w:spacing w:val="-5"/>
          <w:sz w:val="32"/>
          <w:szCs w:val="32"/>
          <w:lang w:val="en-US" w:eastAsia="zh-CN" w:bidi="zh-CN"/>
        </w:rPr>
        <w:t>一般</w:t>
      </w:r>
      <w:r>
        <w:rPr>
          <w:rFonts w:hint="eastAsia" w:ascii="仿宋" w:hAnsi="仿宋" w:eastAsia="仿宋" w:cs="仿宋"/>
          <w:spacing w:val="-5"/>
          <w:sz w:val="32"/>
          <w:szCs w:val="32"/>
          <w:lang w:val="zh-CN" w:eastAsia="zh-CN" w:bidi="zh-CN"/>
        </w:rPr>
        <w:t>自然灾害事件以及1949年以来重大自然灾害事件，建立要素完整、内容详实、数据规范的长时间序列历史灾害数据集，统计分析各种灾害的发生频率、影响范围和受灾程度，评估历史灾害发生特征。</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历史年度自然灾害灾情调查。</w:t>
      </w:r>
      <w:r>
        <w:rPr>
          <w:rFonts w:hint="eastAsia" w:ascii="仿宋" w:hAnsi="仿宋" w:eastAsia="仿宋" w:cs="仿宋"/>
          <w:spacing w:val="-5"/>
          <w:sz w:val="32"/>
          <w:szCs w:val="32"/>
          <w:lang w:val="zh-CN" w:eastAsia="zh-CN" w:bidi="zh-CN"/>
        </w:rPr>
        <w:t>调查1978-2020年年度自然灾害发生水平、年度气象要素、年度水文要素、年度灾害发生频次、年度人员受灾、农业受灾、房屋倒损、基础设施损毁、因灾直接经济损失和应对工作情况等。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历史一般灾害事件调查。</w:t>
      </w:r>
      <w:r>
        <w:rPr>
          <w:rFonts w:hint="eastAsia" w:ascii="仿宋" w:hAnsi="仿宋" w:eastAsia="仿宋" w:cs="仿宋"/>
          <w:spacing w:val="-5"/>
          <w:sz w:val="32"/>
          <w:szCs w:val="32"/>
          <w:lang w:val="zh-CN" w:eastAsia="zh-CN" w:bidi="zh-CN"/>
        </w:rPr>
        <w:t>调查1978-2020年灾害事件的发生时间、影响范围、致灾因子、人员受灾、农业受灾、房屋倒损、基础设施损毁、因灾直接经济损失和应对工作情况等。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重大历史自然灾害调查。</w:t>
      </w:r>
      <w:r>
        <w:rPr>
          <w:rFonts w:hint="eastAsia" w:ascii="仿宋" w:hAnsi="仿宋" w:eastAsia="仿宋" w:cs="仿宋"/>
          <w:spacing w:val="-5"/>
          <w:sz w:val="32"/>
          <w:szCs w:val="32"/>
          <w:lang w:val="zh-CN" w:eastAsia="zh-CN" w:bidi="zh-CN"/>
        </w:rPr>
        <w:t>调查1949-2020年重大自然灾害事件的发生时间、灾害影响范围、致灾因子、人员受灾、农业受灾、房屋倒损、工业损失、基础设施损毁、因灾直接经济损失以及预防准备、监测预警、处置救援和恢复重建工作等。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历史年度自然灾害灾情评估。</w:t>
      </w:r>
      <w:r>
        <w:rPr>
          <w:rFonts w:hint="eastAsia" w:ascii="仿宋" w:hAnsi="仿宋" w:eastAsia="仿宋" w:cs="仿宋"/>
          <w:spacing w:val="-5"/>
          <w:sz w:val="32"/>
          <w:szCs w:val="32"/>
          <w:lang w:val="zh-CN" w:eastAsia="zh-CN" w:bidi="zh-CN"/>
        </w:rPr>
        <w:t>协助市级开展包括基于单灾种的灾情指标汇总，基于行政区划隶属关系的灾情指标汇总，基于不同行政区划单元的灾情评估指标计算和多年可比的直接经济损失折算。</w:t>
      </w:r>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default" w:ascii="仿宋" w:hAnsi="仿宋" w:eastAsia="仿宋" w:cs="仿宋"/>
          <w:b/>
          <w:bCs/>
          <w:sz w:val="32"/>
          <w:szCs w:val="32"/>
          <w:lang w:val="en-US" w:eastAsia="zh-CN"/>
        </w:rPr>
        <w:t xml:space="preserve">1.1.2.4 </w:t>
      </w:r>
      <w:r>
        <w:rPr>
          <w:rFonts w:hint="eastAsia" w:ascii="仿宋" w:hAnsi="仿宋" w:eastAsia="仿宋" w:cs="仿宋"/>
          <w:b/>
          <w:bCs/>
          <w:sz w:val="32"/>
          <w:szCs w:val="32"/>
          <w:lang w:val="en-US" w:eastAsia="zh-CN"/>
        </w:rPr>
        <w:t>综合减灾能力调查与评估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bookmarkStart w:id="15" w:name="1.1.2.5_重点隐患调查与评估"/>
      <w:bookmarkEnd w:id="15"/>
      <w:r>
        <w:rPr>
          <w:rFonts w:hint="eastAsia" w:ascii="仿宋" w:hAnsi="仿宋" w:eastAsia="仿宋" w:cs="仿宋"/>
          <w:spacing w:val="-5"/>
          <w:sz w:val="32"/>
          <w:szCs w:val="32"/>
          <w:lang w:val="zh-CN" w:eastAsia="zh-CN" w:bidi="zh-CN"/>
        </w:rPr>
        <w:t>全面调查与评估政府、企业与社会组织、乡镇与社区、家庭在减灾备灾、应急救援、转移安置和恢复重建过程中各种资源或能力的现状水平。协助</w:t>
      </w:r>
      <w:r>
        <w:rPr>
          <w:rFonts w:hint="eastAsia" w:ascii="仿宋" w:hAnsi="仿宋" w:eastAsia="仿宋" w:cs="仿宋"/>
          <w:spacing w:val="-5"/>
          <w:sz w:val="32"/>
          <w:szCs w:val="32"/>
          <w:lang w:val="en-US" w:eastAsia="zh-CN" w:bidi="zh-CN"/>
        </w:rPr>
        <w:t>市级</w:t>
      </w:r>
      <w:r>
        <w:rPr>
          <w:rFonts w:hint="eastAsia" w:ascii="仿宋" w:hAnsi="仿宋" w:eastAsia="仿宋" w:cs="仿宋"/>
          <w:spacing w:val="-5"/>
          <w:sz w:val="32"/>
          <w:szCs w:val="32"/>
          <w:lang w:val="zh-CN" w:eastAsia="zh-CN" w:bidi="zh-CN"/>
        </w:rPr>
        <w:t>开展政府综合减灾能力评估、</w:t>
      </w:r>
      <w:r>
        <w:rPr>
          <w:rFonts w:hint="eastAsia" w:ascii="仿宋" w:hAnsi="仿宋" w:eastAsia="仿宋" w:cs="仿宋"/>
          <w:spacing w:val="-5"/>
          <w:sz w:val="32"/>
          <w:szCs w:val="32"/>
          <w:lang w:val="en-US" w:eastAsia="zh-CN" w:bidi="zh-CN"/>
        </w:rPr>
        <w:t>企业与社会组织减灾</w:t>
      </w:r>
      <w:r>
        <w:rPr>
          <w:rFonts w:hint="eastAsia" w:ascii="仿宋" w:hAnsi="仿宋" w:eastAsia="仿宋" w:cs="仿宋"/>
          <w:spacing w:val="-5"/>
          <w:sz w:val="32"/>
          <w:szCs w:val="32"/>
          <w:lang w:val="zh-CN" w:eastAsia="zh-CN" w:bidi="zh-CN"/>
        </w:rPr>
        <w:t>能力评估，以及乡镇和社区与抽样家庭</w:t>
      </w:r>
      <w:r>
        <w:rPr>
          <w:rFonts w:hint="eastAsia" w:ascii="仿宋" w:hAnsi="仿宋" w:eastAsia="仿宋" w:cs="仿宋"/>
          <w:spacing w:val="-5"/>
          <w:sz w:val="32"/>
          <w:szCs w:val="32"/>
          <w:lang w:val="en-US" w:eastAsia="zh-CN" w:bidi="zh-CN"/>
        </w:rPr>
        <w:t>三</w:t>
      </w:r>
      <w:r>
        <w:rPr>
          <w:rFonts w:hint="eastAsia" w:ascii="仿宋" w:hAnsi="仿宋" w:eastAsia="仿宋" w:cs="仿宋"/>
          <w:spacing w:val="-5"/>
          <w:sz w:val="32"/>
          <w:szCs w:val="32"/>
          <w:lang w:val="zh-CN" w:eastAsia="zh-CN" w:bidi="zh-CN"/>
        </w:rPr>
        <w:t>个层面的基层综合减灾能力评估，编制综合减灾资源分布图与综合减灾能力分布图，建立综合减灾能力数据库。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1</w:t>
      </w:r>
      <w:r>
        <w:rPr>
          <w:rFonts w:hint="eastAsia" w:ascii="仿宋" w:hAnsi="仿宋" w:eastAsia="仿宋" w:cs="仿宋"/>
          <w:b/>
          <w:bCs/>
          <w:spacing w:val="-5"/>
          <w:sz w:val="32"/>
          <w:szCs w:val="32"/>
          <w:lang w:val="zh-CN" w:eastAsia="zh-CN" w:bidi="zh-CN"/>
        </w:rPr>
        <w:t>）政府减灾能力调查。</w:t>
      </w:r>
      <w:r>
        <w:rPr>
          <w:rFonts w:hint="eastAsia" w:ascii="仿宋" w:hAnsi="仿宋" w:eastAsia="仿宋" w:cs="仿宋"/>
          <w:spacing w:val="-5"/>
          <w:sz w:val="32"/>
          <w:szCs w:val="32"/>
          <w:lang w:val="zh-CN" w:eastAsia="zh-CN" w:bidi="zh-CN"/>
        </w:rPr>
        <w:t>主要调查各级政府用于防灾减灾救灾的灾害管理队伍、各类专业救援救助队伍和灾害信息员队伍等人力资源，救灾物资储备基地、灾害避难场所等物资资源，日常防灾投入、灾害储备资金等财力资源，以及灾害防治工程的工程防灾能力。</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b/>
          <w:bCs/>
          <w:i w:val="0"/>
          <w:iCs w:val="0"/>
          <w:spacing w:val="-5"/>
          <w:sz w:val="32"/>
          <w:szCs w:val="32"/>
          <w:lang w:val="en-US" w:eastAsia="zh-CN" w:bidi="zh-CN"/>
        </w:rPr>
        <w:t>2</w:t>
      </w:r>
      <w:r>
        <w:rPr>
          <w:rFonts w:hint="eastAsia" w:ascii="仿宋" w:hAnsi="仿宋" w:eastAsia="仿宋" w:cs="仿宋"/>
          <w:b/>
          <w:bCs/>
          <w:i w:val="0"/>
          <w:iCs w:val="0"/>
          <w:spacing w:val="-5"/>
          <w:sz w:val="32"/>
          <w:szCs w:val="32"/>
          <w:lang w:val="zh-CN" w:eastAsia="zh-CN" w:bidi="zh-CN"/>
        </w:rPr>
        <w:t>）企业与社会组织减灾能力调查。</w:t>
      </w:r>
      <w:r>
        <w:rPr>
          <w:rFonts w:hint="eastAsia" w:ascii="仿宋" w:hAnsi="仿宋" w:eastAsia="仿宋" w:cs="仿宋"/>
          <w:spacing w:val="-5"/>
          <w:sz w:val="32"/>
          <w:szCs w:val="32"/>
          <w:lang w:val="zh-CN" w:eastAsia="zh-CN" w:bidi="zh-CN"/>
        </w:rPr>
        <w:t>调查</w:t>
      </w:r>
      <w:r>
        <w:rPr>
          <w:rFonts w:hint="eastAsia" w:ascii="仿宋" w:hAnsi="仿宋" w:eastAsia="仿宋" w:cs="仿宋"/>
          <w:spacing w:val="-5"/>
          <w:sz w:val="32"/>
          <w:szCs w:val="32"/>
          <w:lang w:val="en-US" w:eastAsia="zh-CN" w:bidi="zh-CN"/>
        </w:rPr>
        <w:t>各类社会力量应急救援队伍、涉灾的其他各类社会团体、民办非企业组织、基金会、志愿者组织、社工组织等社会力量，以及大型物流公司、大型救灾装备生产制造企业、大型工程建设企业和保险与再保险等企业参与减灾备灾、应急救援、转移安置、救助和恢复重建的能力。</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b/>
          <w:bCs/>
          <w:i w:val="0"/>
          <w:iCs w:val="0"/>
          <w:spacing w:val="-5"/>
          <w:sz w:val="32"/>
          <w:szCs w:val="32"/>
          <w:lang w:val="en-US" w:eastAsia="zh-CN" w:bidi="zh-CN"/>
        </w:rPr>
        <w:t>3</w:t>
      </w: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b/>
          <w:bCs/>
          <w:i w:val="0"/>
          <w:iCs w:val="0"/>
          <w:spacing w:val="-5"/>
          <w:sz w:val="32"/>
          <w:szCs w:val="32"/>
          <w:lang w:val="en-US" w:eastAsia="zh-CN" w:bidi="zh-CN"/>
        </w:rPr>
        <w:t>乡镇与社区减灾能力调查</w:t>
      </w: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spacing w:val="-5"/>
          <w:sz w:val="32"/>
          <w:szCs w:val="32"/>
          <w:lang w:val="zh-CN" w:eastAsia="zh-CN" w:bidi="zh-CN"/>
        </w:rPr>
        <w:t>主要调查乡镇和社区救援队伍资源、应急救灾装备和物资储备情况，应急预案、应急处置方案建设、风险隐患掌握情况、预警信息获知能力、信息报送能力、防灾减灾救灾和应急救援技能知识宣传普及情况等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b/>
          <w:bCs/>
          <w:i w:val="0"/>
          <w:iCs w:val="0"/>
          <w:spacing w:val="-5"/>
          <w:sz w:val="32"/>
          <w:szCs w:val="32"/>
          <w:lang w:val="en-US" w:eastAsia="zh-CN" w:bidi="zh-CN"/>
        </w:rPr>
        <w:t>4</w:t>
      </w: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b/>
          <w:bCs/>
          <w:i w:val="0"/>
          <w:iCs w:val="0"/>
          <w:spacing w:val="-5"/>
          <w:sz w:val="32"/>
          <w:szCs w:val="32"/>
          <w:lang w:val="en-US" w:eastAsia="zh-CN" w:bidi="zh-CN"/>
        </w:rPr>
        <w:t>家庭减灾能力调查</w:t>
      </w: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spacing w:val="-5"/>
          <w:sz w:val="32"/>
          <w:szCs w:val="32"/>
          <w:lang w:val="en-US" w:eastAsia="zh-CN" w:bidi="zh-CN"/>
        </w:rPr>
        <w:t>主要调查</w:t>
      </w:r>
      <w:r>
        <w:rPr>
          <w:rFonts w:hint="eastAsia" w:ascii="仿宋" w:hAnsi="仿宋" w:eastAsia="仿宋" w:cs="仿宋"/>
          <w:spacing w:val="-5"/>
          <w:sz w:val="32"/>
          <w:szCs w:val="32"/>
          <w:lang w:val="zh-CN" w:eastAsia="zh-CN" w:bidi="zh-CN"/>
        </w:rPr>
        <w:t>家庭居民的风险和灾害识别能力、自救和互救能力等。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i w:val="0"/>
          <w:iCs w:val="0"/>
          <w:spacing w:val="-5"/>
          <w:sz w:val="32"/>
          <w:szCs w:val="32"/>
          <w:lang w:val="zh-CN" w:eastAsia="zh-CN" w:bidi="zh-CN"/>
        </w:rPr>
        <w:t>（</w:t>
      </w:r>
      <w:r>
        <w:rPr>
          <w:rFonts w:hint="eastAsia" w:ascii="仿宋" w:hAnsi="仿宋" w:eastAsia="仿宋" w:cs="仿宋"/>
          <w:b/>
          <w:bCs/>
          <w:i w:val="0"/>
          <w:iCs w:val="0"/>
          <w:spacing w:val="-5"/>
          <w:sz w:val="32"/>
          <w:szCs w:val="32"/>
          <w:lang w:val="en-US" w:eastAsia="zh-CN" w:bidi="zh-CN"/>
        </w:rPr>
        <w:t>5</w:t>
      </w:r>
      <w:r>
        <w:rPr>
          <w:rFonts w:hint="eastAsia" w:ascii="仿宋" w:hAnsi="仿宋" w:eastAsia="仿宋" w:cs="仿宋"/>
          <w:b/>
          <w:bCs/>
          <w:i w:val="0"/>
          <w:iCs w:val="0"/>
          <w:spacing w:val="-5"/>
          <w:sz w:val="32"/>
          <w:szCs w:val="32"/>
          <w:lang w:val="zh-CN" w:eastAsia="zh-CN" w:bidi="zh-CN"/>
        </w:rPr>
        <w:t>）综合减灾能力评估与制图。</w:t>
      </w:r>
      <w:r>
        <w:rPr>
          <w:rFonts w:hint="eastAsia" w:ascii="仿宋" w:hAnsi="仿宋" w:eastAsia="仿宋" w:cs="仿宋"/>
          <w:spacing w:val="-5"/>
          <w:sz w:val="32"/>
          <w:szCs w:val="32"/>
          <w:lang w:val="en-US" w:eastAsia="zh-CN" w:bidi="zh-CN"/>
        </w:rPr>
        <w:t>协助市级开展区级行政单元政府减灾能力评估、企业与社会组织减灾能力评估、乡镇和社区与抽样家庭三个层面的基层综合减灾能力评估，编制综合减灾资源分布图与综合减灾能力图，建立综合减灾能力数据库。</w:t>
      </w:r>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default" w:ascii="仿宋" w:hAnsi="仿宋" w:eastAsia="仿宋" w:cs="仿宋"/>
          <w:b/>
          <w:bCs/>
          <w:sz w:val="32"/>
          <w:szCs w:val="32"/>
          <w:lang w:val="en-US" w:eastAsia="zh-CN"/>
        </w:rPr>
        <w:t xml:space="preserve">1.1.2.5 </w:t>
      </w:r>
      <w:r>
        <w:rPr>
          <w:rFonts w:hint="eastAsia" w:ascii="仿宋" w:hAnsi="仿宋" w:eastAsia="仿宋" w:cs="仿宋"/>
          <w:b/>
          <w:bCs/>
          <w:sz w:val="32"/>
          <w:szCs w:val="32"/>
          <w:lang w:val="en-US" w:eastAsia="zh-CN"/>
        </w:rPr>
        <w:t>重点隐患调查与评估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6" w:name="1.1.2.6_主要灾害风险评估与区划"/>
      <w:bookmarkEnd w:id="16"/>
      <w:r>
        <w:rPr>
          <w:rFonts w:hint="eastAsia" w:ascii="仿宋" w:hAnsi="仿宋" w:eastAsia="仿宋" w:cs="仿宋"/>
          <w:spacing w:val="-5"/>
          <w:sz w:val="32"/>
          <w:szCs w:val="32"/>
          <w:lang w:val="en-US" w:eastAsia="zh-CN" w:bidi="zh-CN"/>
        </w:rPr>
        <w:t>协助市级开展地质灾害、洪涝灾害、森林火灾、地震灾害等致灾孕灾重点隐患调查评估，开展城市内涝隐患调查，完成城市内涝隐患分布图编制，开展重点隐患要素综合分析和分区分类分级评估。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（1）主要灾害隐患调查与评估。</w:t>
      </w:r>
      <w:r>
        <w:rPr>
          <w:rFonts w:hint="eastAsia" w:ascii="仿宋" w:hAnsi="仿宋" w:eastAsia="仿宋" w:cs="仿宋"/>
          <w:spacing w:val="-5"/>
          <w:sz w:val="32"/>
          <w:szCs w:val="32"/>
          <w:lang w:val="en-US" w:eastAsia="zh-CN" w:bidi="zh-CN"/>
        </w:rPr>
        <w:t>协助市级进行调查与评估。</w:t>
      </w:r>
      <w:r>
        <w:rPr>
          <w:rFonts w:hint="eastAsia" w:ascii="仿宋" w:hAnsi="仿宋" w:eastAsia="仿宋" w:cs="仿宋"/>
          <w:b/>
          <w:bCs/>
          <w:spacing w:val="-5"/>
          <w:sz w:val="32"/>
          <w:szCs w:val="32"/>
          <w:lang w:val="en-US" w:eastAsia="zh-CN" w:bidi="zh-CN"/>
        </w:rPr>
        <w:t>洪涝灾害：</w:t>
      </w:r>
      <w:r>
        <w:rPr>
          <w:rFonts w:hint="eastAsia" w:ascii="仿宋" w:hAnsi="仿宋" w:eastAsia="仿宋" w:cs="仿宋"/>
          <w:spacing w:val="-5"/>
          <w:sz w:val="32"/>
          <w:szCs w:val="32"/>
          <w:lang w:val="en-US" w:eastAsia="zh-CN" w:bidi="zh-CN"/>
        </w:rPr>
        <w:t>重点调查主要江河干支流堤防、海塘、水闸、城市排水泵站的现状防洪除涝能力、防洪工程达标情况、安全运行状态，评估各水利控制片、圩区的除涝能力、达标情况，调查城区重要交通设施等洪水灾害重点隐患。开展隐患调查与评估。</w:t>
      </w:r>
      <w:r>
        <w:rPr>
          <w:rFonts w:hint="eastAsia" w:ascii="仿宋" w:hAnsi="仿宋" w:eastAsia="仿宋" w:cs="仿宋"/>
          <w:b/>
          <w:bCs/>
          <w:spacing w:val="-5"/>
          <w:sz w:val="32"/>
          <w:szCs w:val="32"/>
          <w:lang w:val="en-US" w:eastAsia="zh-CN" w:bidi="zh-CN"/>
        </w:rPr>
        <w:t>地质灾害：</w:t>
      </w:r>
      <w:r>
        <w:rPr>
          <w:rFonts w:hint="eastAsia" w:ascii="仿宋" w:hAnsi="仿宋" w:eastAsia="仿宋" w:cs="仿宋"/>
          <w:spacing w:val="-5"/>
          <w:sz w:val="32"/>
          <w:szCs w:val="32"/>
          <w:lang w:val="en-US" w:eastAsia="zh-CN" w:bidi="zh-CN"/>
        </w:rPr>
        <w:t>基于致灾孕灾普查成果，分析地质灾害点（区）的类型、规模和影响范围，确定承灾体隐患等级。重点开展城区人口聚居区地质灾害隐患调查。</w:t>
      </w:r>
      <w:r>
        <w:rPr>
          <w:rFonts w:hint="eastAsia" w:ascii="仿宋" w:hAnsi="仿宋" w:eastAsia="仿宋" w:cs="仿宋"/>
          <w:b/>
          <w:bCs/>
          <w:spacing w:val="-5"/>
          <w:sz w:val="32"/>
          <w:szCs w:val="32"/>
          <w:lang w:val="en-US" w:eastAsia="zh-CN" w:bidi="zh-CN"/>
        </w:rPr>
        <w:t>地震灾害：</w:t>
      </w:r>
      <w:r>
        <w:rPr>
          <w:rFonts w:hint="eastAsia" w:ascii="仿宋" w:hAnsi="仿宋" w:eastAsia="仿宋" w:cs="仿宋"/>
          <w:spacing w:val="-5"/>
          <w:sz w:val="32"/>
          <w:szCs w:val="32"/>
          <w:lang w:val="en-US" w:eastAsia="zh-CN" w:bidi="zh-CN"/>
        </w:rPr>
        <w:t>重点调查其可能引发重大人员伤亡、严重次生灾害或阻碍社会运行的承灾体，按照可能造成的影响（损失）水平建立地震灾害隐患分级标准，确定主要承灾体的隐患等级。</w:t>
      </w:r>
      <w:r>
        <w:rPr>
          <w:rFonts w:hint="eastAsia" w:ascii="仿宋" w:hAnsi="仿宋" w:eastAsia="仿宋" w:cs="仿宋"/>
          <w:b/>
          <w:bCs/>
          <w:spacing w:val="-5"/>
          <w:sz w:val="32"/>
          <w:szCs w:val="32"/>
          <w:lang w:val="en-US" w:eastAsia="zh-CN" w:bidi="zh-CN"/>
        </w:rPr>
        <w:t>森林火灾：</w:t>
      </w:r>
      <w:r>
        <w:rPr>
          <w:rFonts w:hint="eastAsia" w:ascii="仿宋" w:hAnsi="仿宋" w:eastAsia="仿宋" w:cs="仿宋"/>
          <w:spacing w:val="-5"/>
          <w:sz w:val="32"/>
          <w:szCs w:val="32"/>
          <w:lang w:val="en-US" w:eastAsia="zh-CN" w:bidi="zh-CN"/>
        </w:rPr>
        <w:t>围绕林区范围内的居民地、风景名胜区、工贸企业、垃圾堆放点、重要设施周边、公墓、坟场、烟花燃放点、在建工程施工现场等重点部位，针对森林杂乱物、按规定未及时清除的林下可燃物、违规用火、违规建设、重要火源点离林区的距离等情况开展隐患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（2）重点隐患分区分类分级综合评估。</w:t>
      </w:r>
      <w:r>
        <w:rPr>
          <w:rFonts w:hint="eastAsia" w:ascii="仿宋" w:hAnsi="仿宋" w:eastAsia="仿宋" w:cs="仿宋"/>
          <w:spacing w:val="-5"/>
          <w:sz w:val="32"/>
          <w:szCs w:val="32"/>
          <w:lang w:val="en-US" w:eastAsia="zh-CN" w:bidi="zh-CN"/>
        </w:rPr>
        <w:t>协助市级汇总隐患单项调查数据，根据隐患类型，开展隐患类型组合特征分析。协助构建多灾种多承灾体重点隐患综合评价指标体系，根据定量、半定量、定性指标的特点，利用空间聚类等方法，对市、区、乡镇行政区域进行重点隐患分区分类分级评估。</w:t>
      </w:r>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3"/>
        <w:rPr>
          <w:rFonts w:hint="eastAsia" w:ascii="仿宋" w:hAnsi="仿宋" w:eastAsia="仿宋" w:cs="仿宋"/>
          <w:b/>
          <w:bCs/>
          <w:sz w:val="32"/>
          <w:szCs w:val="32"/>
          <w:highlight w:val="none"/>
          <w:lang w:val="en-US" w:eastAsia="zh-CN"/>
        </w:rPr>
      </w:pPr>
      <w:r>
        <w:rPr>
          <w:rFonts w:hint="default" w:ascii="仿宋" w:hAnsi="仿宋" w:eastAsia="仿宋" w:cs="仿宋"/>
          <w:b/>
          <w:bCs/>
          <w:sz w:val="32"/>
          <w:szCs w:val="32"/>
          <w:highlight w:val="none"/>
          <w:lang w:val="en-US" w:eastAsia="zh-CN"/>
        </w:rPr>
        <w:t xml:space="preserve">1.1.2.6 </w:t>
      </w:r>
      <w:r>
        <w:rPr>
          <w:rFonts w:hint="eastAsia" w:ascii="仿宋" w:hAnsi="仿宋" w:eastAsia="仿宋" w:cs="仿宋"/>
          <w:b/>
          <w:bCs/>
          <w:sz w:val="32"/>
          <w:szCs w:val="32"/>
          <w:highlight w:val="none"/>
          <w:lang w:val="en-US" w:eastAsia="zh-CN"/>
        </w:rPr>
        <w:t>主要灾害风险评估与区划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气象灾害：</w:t>
      </w:r>
      <w:r>
        <w:rPr>
          <w:rFonts w:hint="eastAsia" w:ascii="仿宋" w:hAnsi="仿宋" w:eastAsia="仿宋" w:cs="仿宋"/>
          <w:spacing w:val="-5"/>
          <w:sz w:val="32"/>
          <w:szCs w:val="32"/>
          <w:lang w:val="zh-CN" w:eastAsia="zh-CN" w:bidi="zh-CN"/>
        </w:rPr>
        <w:t>对台风、暴雨、大风、雷电、高温、低温、雪灾、大雾和冰雹等9类气象灾害事件的致灾因子和影响进行调查，基于此建立9类气象灾害危险性基础数据集，对9类气象灾害的发生频次、强度、影响面积、持续时间进行统计分析与危险性评估，完成灾害危险性评估产品与制图。评估人口、经济、房屋建筑、基础设施等主要承灾体的气象灾害脆弱性；开展区级行政单元的上述主要气象灾害以及综合气象灾害的风险评估和风险区划，评估不同危险性水平下各类承灾体遭受主要气象灾害的风险水平，编制市级不低于1:25万、区级不低于1:5万的主要气象灾害危险性区划等专业图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水旱灾害：</w:t>
      </w:r>
      <w:r>
        <w:rPr>
          <w:rFonts w:hint="eastAsia" w:ascii="仿宋" w:hAnsi="仿宋" w:eastAsia="仿宋" w:cs="仿宋"/>
          <w:spacing w:val="-5"/>
          <w:sz w:val="32"/>
          <w:szCs w:val="32"/>
          <w:lang w:val="zh-CN" w:eastAsia="zh-CN" w:bidi="zh-CN"/>
        </w:rPr>
        <w:t>协助市级相关部门，针对重点防洪区，评估不同重现期洪水淹没范围内人口、GDP、耕地、资产、道路等基础设施暴露情况和直接经济损失风险。编制不同尺度流域、行政区的洪水风险区划方案。编制主要江河防洪区和局地洪水威胁区的宏观洪水灾害防治区划方案。针对可能引发人员伤亡、影响社会运行的城市内涝隐患点，评估受内涝影响的人口、经济、房屋建筑、基础设施等主要承灾体的脆弱性。在全</w:t>
      </w:r>
      <w:r>
        <w:rPr>
          <w:rFonts w:hint="eastAsia" w:ascii="仿宋" w:hAnsi="仿宋" w:eastAsia="仿宋" w:cs="仿宋"/>
          <w:spacing w:val="-5"/>
          <w:sz w:val="32"/>
          <w:szCs w:val="32"/>
          <w:lang w:val="en-US" w:eastAsia="zh-CN" w:bidi="zh-CN"/>
        </w:rPr>
        <w:t>区</w:t>
      </w:r>
      <w:r>
        <w:rPr>
          <w:rFonts w:hint="eastAsia" w:ascii="仿宋" w:hAnsi="仿宋" w:eastAsia="仿宋" w:cs="仿宋"/>
          <w:spacing w:val="-5"/>
          <w:sz w:val="32"/>
          <w:szCs w:val="32"/>
          <w:lang w:val="zh-CN" w:eastAsia="zh-CN" w:bidi="zh-CN"/>
        </w:rPr>
        <w:t>范围内开展干旱灾害致灾调查，统计基础数据和干旱历史灾情，为应对干旱提供依据。根据城市内涝积水范围、积水深度及积水时间等因素，开展城市内涝风险区划和防治区划，划定城市内涝灾害重点防治区域，编制城市内涝灾害防治区划方案。</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海洋灾害：</w:t>
      </w:r>
      <w:r>
        <w:rPr>
          <w:rFonts w:hint="eastAsia" w:ascii="仿宋" w:hAnsi="仿宋" w:eastAsia="仿宋" w:cs="仿宋"/>
          <w:b w:val="0"/>
          <w:bCs w:val="0"/>
          <w:spacing w:val="-5"/>
          <w:sz w:val="32"/>
          <w:szCs w:val="32"/>
          <w:lang w:val="en-US" w:eastAsia="zh-CN" w:bidi="zh-CN"/>
        </w:rPr>
        <w:t>配合市级相关部门</w:t>
      </w:r>
      <w:r>
        <w:rPr>
          <w:rFonts w:hint="eastAsia" w:ascii="仿宋" w:hAnsi="仿宋" w:eastAsia="仿宋" w:cs="仿宋"/>
          <w:spacing w:val="-5"/>
          <w:sz w:val="32"/>
          <w:szCs w:val="32"/>
          <w:lang w:val="zh-CN" w:eastAsia="zh-CN" w:bidi="zh-CN"/>
        </w:rPr>
        <w:t>开展风暴潮和海啸海洋灾害市、区尺度的风险评估与区划；开展海浪、海平面上升海洋灾害市尺度的风险评估与区划。在风险评估与区划的基础上，结合承灾体隐患调查与评估结果，针对风暴潮海洋灾害开展市、区尺度防治区（重点防御区）划定，编制</w:t>
      </w:r>
      <w:r>
        <w:rPr>
          <w:rFonts w:hint="eastAsia" w:ascii="仿宋" w:hAnsi="仿宋" w:eastAsia="仿宋" w:cs="仿宋"/>
          <w:spacing w:val="-5"/>
          <w:sz w:val="32"/>
          <w:szCs w:val="32"/>
          <w:lang w:val="en-US" w:eastAsia="zh-CN" w:bidi="zh-CN"/>
        </w:rPr>
        <w:t>本区</w:t>
      </w:r>
      <w:r>
        <w:rPr>
          <w:rFonts w:hint="eastAsia" w:ascii="仿宋" w:hAnsi="仿宋" w:eastAsia="仿宋" w:cs="仿宋"/>
          <w:spacing w:val="-5"/>
          <w:sz w:val="32"/>
          <w:szCs w:val="32"/>
          <w:lang w:val="zh-CN" w:eastAsia="zh-CN" w:bidi="zh-CN"/>
        </w:rPr>
        <w:t>风暴潮海洋灾害防治区（重点防御区）方案，编制形成系列成果及技术报告。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地质灾害：</w:t>
      </w:r>
      <w:r>
        <w:rPr>
          <w:rFonts w:hint="eastAsia" w:ascii="仿宋" w:hAnsi="仿宋" w:eastAsia="仿宋" w:cs="仿宋"/>
          <w:spacing w:val="-5"/>
          <w:sz w:val="32"/>
          <w:szCs w:val="32"/>
          <w:lang w:val="zh-CN" w:eastAsia="zh-CN" w:bidi="zh-CN"/>
        </w:rPr>
        <w:t>协助市级部门完成地质灾害风险调查与评估工作。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地震灾害：</w:t>
      </w:r>
      <w:r>
        <w:rPr>
          <w:rFonts w:hint="eastAsia" w:ascii="仿宋" w:hAnsi="仿宋" w:eastAsia="仿宋" w:cs="仿宋"/>
          <w:spacing w:val="-5"/>
          <w:sz w:val="32"/>
          <w:szCs w:val="32"/>
          <w:lang w:val="zh-CN" w:eastAsia="zh-CN" w:bidi="zh-CN"/>
        </w:rPr>
        <w:t>利用</w:t>
      </w:r>
      <w:r>
        <w:rPr>
          <w:rFonts w:hint="eastAsia" w:ascii="仿宋" w:hAnsi="仿宋" w:eastAsia="仿宋" w:cs="仿宋"/>
          <w:spacing w:val="-5"/>
          <w:sz w:val="32"/>
          <w:szCs w:val="32"/>
          <w:lang w:val="en-US" w:eastAsia="zh-CN" w:bidi="zh-CN"/>
        </w:rPr>
        <w:t>收集整理的活动断层探测成果等资料、</w:t>
      </w:r>
      <w:r>
        <w:rPr>
          <w:rFonts w:hint="eastAsia" w:ascii="仿宋" w:hAnsi="仿宋" w:eastAsia="仿宋" w:cs="仿宋"/>
          <w:spacing w:val="-5"/>
          <w:sz w:val="32"/>
          <w:szCs w:val="32"/>
          <w:lang w:val="zh-CN" w:eastAsia="zh-CN" w:bidi="zh-CN"/>
        </w:rPr>
        <w:t>国家地震局建立的建筑结构、生命线工程及生命地震易损性数据库与评估模型。协助市级评估地震灾害工程结构直接经济损失与人员伤亡风险，给出地震灾害风险概率评估结果，编制不同概率水平的地震灾害风险区划图，编制地震灾害防治系列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森林火灾：</w:t>
      </w:r>
      <w:r>
        <w:rPr>
          <w:rFonts w:hint="eastAsia" w:ascii="仿宋" w:hAnsi="仿宋" w:eastAsia="仿宋" w:cs="仿宋"/>
          <w:spacing w:val="-5"/>
          <w:sz w:val="32"/>
          <w:szCs w:val="32"/>
          <w:lang w:val="zh-CN" w:eastAsia="zh-CN" w:bidi="zh-CN"/>
        </w:rPr>
        <w:t>按照森林火灾风险评估的方法体系和标准要求，评估森林火灾影响人口、直接经济损失、自然资源与环境损失的风险。根据森林火险区划指标体系，编制森林火险区划方案。融合承灾体空间分布特征与经济社会发展总体布局，根据森林火灾防治区划等级标准要求，完成区级森林火灾防治区划。</w:t>
      </w:r>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outlineLvl w:val="3"/>
        <w:rPr>
          <w:rFonts w:hint="eastAsia" w:ascii="仿宋" w:hAnsi="仿宋" w:eastAsia="仿宋" w:cs="仿宋"/>
          <w:b/>
          <w:bCs/>
          <w:sz w:val="32"/>
          <w:szCs w:val="32"/>
          <w:lang w:val="en-US" w:eastAsia="zh-CN"/>
        </w:rPr>
      </w:pPr>
      <w:bookmarkStart w:id="17" w:name="1.1.2.7_灾害综合风险评估与区划"/>
      <w:bookmarkEnd w:id="17"/>
      <w:r>
        <w:rPr>
          <w:rFonts w:hint="default" w:ascii="仿宋" w:hAnsi="仿宋" w:eastAsia="仿宋" w:cs="仿宋"/>
          <w:b/>
          <w:bCs/>
          <w:sz w:val="32"/>
          <w:szCs w:val="32"/>
          <w:lang w:val="en-US" w:eastAsia="zh-CN"/>
        </w:rPr>
        <w:t xml:space="preserve">1.1.2.7 </w:t>
      </w:r>
      <w:r>
        <w:rPr>
          <w:rFonts w:hint="eastAsia" w:ascii="仿宋" w:hAnsi="仿宋" w:eastAsia="仿宋" w:cs="仿宋"/>
          <w:b/>
          <w:bCs/>
          <w:sz w:val="32"/>
          <w:szCs w:val="32"/>
          <w:lang w:val="en-US" w:eastAsia="zh-CN"/>
        </w:rPr>
        <w:t>灾害综合风险评估与区划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bookmarkStart w:id="18" w:name="1.1.2.8_其他调查、评估与应用"/>
      <w:bookmarkEnd w:id="18"/>
      <w:r>
        <w:rPr>
          <w:rFonts w:hint="eastAsia" w:ascii="仿宋" w:hAnsi="仿宋" w:eastAsia="仿宋" w:cs="仿宋"/>
          <w:b/>
          <w:bCs/>
          <w:spacing w:val="-5"/>
          <w:sz w:val="32"/>
          <w:szCs w:val="32"/>
          <w:lang w:val="en-US" w:eastAsia="zh-CN" w:bidi="zh-CN"/>
        </w:rPr>
        <w:t>灾害综合风险评估。</w:t>
      </w:r>
      <w:r>
        <w:rPr>
          <w:rFonts w:hint="eastAsia" w:ascii="仿宋" w:hAnsi="仿宋" w:eastAsia="仿宋" w:cs="仿宋"/>
          <w:spacing w:val="-5"/>
          <w:sz w:val="32"/>
          <w:szCs w:val="32"/>
          <w:lang w:val="en-US" w:eastAsia="zh-CN" w:bidi="zh-CN"/>
        </w:rPr>
        <w:t>协助市级基于主要灾害风险调查、评估与区划以及承灾体调查成果，采用风险等级和定量风险相结合的方法，评估地震、地质、气象、水旱、森林火灾等主要灾种影响下的主要承灾体（人口、农业、房屋、交通基础设施和经济）的多灾种综合风险；基于规划网格的多灾种人口和经济期望损失评估，评估本区行政区划以及重点区域的多灾种人口损失风险和直接经济损失风险；基于多重现期的主要灾种危险性分析，评估主要情景下的主要承灾体多灾种暴露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灾害综合风险和防治区划。</w:t>
      </w:r>
      <w:r>
        <w:rPr>
          <w:rFonts w:hint="eastAsia" w:ascii="仿宋" w:hAnsi="仿宋" w:eastAsia="仿宋" w:cs="仿宋"/>
          <w:spacing w:val="-5"/>
          <w:sz w:val="32"/>
          <w:szCs w:val="32"/>
          <w:lang w:val="en-US" w:eastAsia="zh-CN" w:bidi="zh-CN"/>
        </w:rPr>
        <w:t>协助市级基于多灾种综合风险评估成果，综合考虑孕灾环境、致灾因子和承灾体的差异性，通过定量区划方法进行区域划分，形成以灾害综合风险为载体具有区域特征的区级重点区域综合风险区划；依据减灾能力评估、风险评估和单灾种防治区划结果特征值，综合考虑不同致灾因子对不同承灾体影响的预防和治理特色，认识区域灾害防治分异特征，进行综合防治区域划分，制定行政区划及重点区域的综合防治区划方案。</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灾害综合风险评估与区划成果汇总。</w:t>
      </w:r>
      <w:r>
        <w:rPr>
          <w:rFonts w:hint="eastAsia" w:ascii="仿宋" w:hAnsi="仿宋" w:eastAsia="仿宋" w:cs="仿宋"/>
          <w:spacing w:val="-5"/>
          <w:sz w:val="32"/>
          <w:szCs w:val="32"/>
          <w:lang w:val="en-US" w:eastAsia="zh-CN" w:bidi="zh-CN"/>
        </w:rPr>
        <w:t>协助市级以数据、文字、表格和</w:t>
      </w:r>
      <w:r>
        <w:rPr>
          <w:rFonts w:hint="eastAsia" w:ascii="仿宋" w:hAnsi="仿宋" w:eastAsia="仿宋" w:cs="仿宋"/>
          <w:spacing w:val="-5"/>
          <w:sz w:val="32"/>
          <w:szCs w:val="32"/>
          <w:lang w:val="en-US" w:eastAsia="zh-CN" w:bidi="zh-CN"/>
        </w:rPr>
        <w:softHyphen/>
      </w:r>
      <w:r>
        <w:rPr>
          <w:rFonts w:hint="eastAsia" w:ascii="仿宋" w:hAnsi="仿宋" w:eastAsia="仿宋" w:cs="仿宋"/>
          <w:spacing w:val="-5"/>
          <w:sz w:val="32"/>
          <w:szCs w:val="32"/>
          <w:lang w:val="en-US" w:eastAsia="zh-CN" w:bidi="zh-CN"/>
        </w:rPr>
        <w:t>图形等形式，对区级行政单元的自然灾害综合风险评估和区划成果汇总整编，编制区级不低于1:5万和重点区域灾害综合风险图、综合风险区划图、综合防治区划图和综合防治对策报告成果库。</w:t>
      </w:r>
    </w:p>
    <w:p>
      <w:pPr>
        <w:pStyle w:val="7"/>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default" w:ascii="仿宋" w:hAnsi="仿宋" w:eastAsia="仿宋" w:cs="仿宋"/>
          <w:b/>
          <w:bCs/>
          <w:sz w:val="32"/>
          <w:szCs w:val="32"/>
          <w:lang w:val="en-US" w:eastAsia="zh-CN"/>
        </w:rPr>
        <w:t xml:space="preserve">1.1.2.8 </w:t>
      </w:r>
      <w:r>
        <w:rPr>
          <w:rFonts w:hint="eastAsia" w:ascii="仿宋" w:hAnsi="仿宋" w:eastAsia="仿宋" w:cs="仿宋"/>
          <w:b/>
          <w:bCs/>
          <w:sz w:val="32"/>
          <w:szCs w:val="32"/>
          <w:lang w:val="en-US" w:eastAsia="zh-CN"/>
        </w:rPr>
        <w:t>其他调查、评估与应用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9" w:name="1.2_普查范围与内容"/>
      <w:bookmarkEnd w:id="19"/>
      <w:r>
        <w:rPr>
          <w:rFonts w:hint="eastAsia" w:ascii="仿宋" w:hAnsi="仿宋" w:eastAsia="仿宋" w:cs="仿宋"/>
          <w:spacing w:val="-5"/>
          <w:sz w:val="32"/>
          <w:szCs w:val="32"/>
          <w:lang w:val="en-US" w:eastAsia="zh-CN" w:bidi="zh-CN"/>
        </w:rPr>
        <w:t>以“两个坚持，三个转变”为指导思想，深入研究崇明区生态岛特点，紧密结合防灾减灾和应急管理要求，从横向调查对象扩展和纵向调查精度提高两个方面，研究提出并落实具有本区特点的灾害综合风险调查。协助市级完成评估与区划任务，做好自然灾害综合风险普查成果应用提升，满足城乡精细化治理需要。</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0" w:name="_Toc19414"/>
      <w:bookmarkStart w:id="21" w:name="_Toc2886"/>
      <w:r>
        <w:rPr>
          <w:rFonts w:hint="eastAsia" w:ascii="楷体" w:hAnsi="楷体" w:eastAsia="楷体" w:cs="楷体"/>
          <w:b/>
          <w:bCs/>
          <w:sz w:val="32"/>
          <w:szCs w:val="32"/>
          <w:lang w:val="en-US" w:eastAsia="zh-CN"/>
        </w:rPr>
        <w:t>1.2 普查范围与内容</w:t>
      </w:r>
      <w:bookmarkEnd w:id="20"/>
      <w:bookmarkEnd w:id="21"/>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2" w:name="1.2.1_普查范围"/>
      <w:bookmarkEnd w:id="22"/>
      <w:r>
        <w:rPr>
          <w:rFonts w:hint="eastAsia" w:ascii="仿宋" w:hAnsi="仿宋" w:eastAsia="仿宋" w:cs="仿宋"/>
          <w:b/>
          <w:bCs/>
          <w:sz w:val="32"/>
          <w:szCs w:val="32"/>
          <w:lang w:val="en-US" w:eastAsia="zh-CN"/>
        </w:rPr>
        <w:t>1.2.1 普查范围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本次普查对象包括与自然灾害相关的自然和人文地理要素，区级人民政府及有关部门，乡镇人民政府，村民委员会和居民委员会，重点企事业单位和社会组织，部分居民等。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次普查实施范围为本区全域范围，按照“在地统计”的原则开展各项普查任务。根据国家普查工作总体要求，实施既与本区主要灾害种类及其次生衍生灾害特征、本区区情和经济发展水平相适应，又满足本区自然灾害防治和城市精细化治理需要的灾害综合风险普查。2021-2022年全面开展普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（1）致灾因子调查。</w:t>
      </w:r>
      <w:r>
        <w:rPr>
          <w:rFonts w:hint="eastAsia" w:ascii="仿宋" w:hAnsi="仿宋" w:eastAsia="仿宋" w:cs="仿宋"/>
          <w:spacing w:val="-5"/>
          <w:sz w:val="32"/>
          <w:szCs w:val="32"/>
          <w:lang w:val="en-US" w:eastAsia="zh-CN" w:bidi="zh-CN"/>
        </w:rPr>
        <w:t>调依据不同灾害类型特点，调查收集30年以上</w:t>
      </w:r>
      <w:r>
        <w:rPr>
          <w:rFonts w:hint="eastAsia" w:ascii="仿宋" w:hAnsi="仿宋" w:eastAsia="仿宋" w:cs="仿宋"/>
          <w:spacing w:val="-5"/>
          <w:sz w:val="32"/>
          <w:szCs w:val="32"/>
          <w:lang w:val="en-US" w:eastAsia="zh-CN" w:bidi="zh-CN"/>
        </w:rPr>
        <w:softHyphen/>
      </w:r>
      <w:r>
        <w:rPr>
          <w:rFonts w:hint="eastAsia" w:ascii="仿宋" w:hAnsi="仿宋" w:eastAsia="仿宋" w:cs="仿宋"/>
          <w:spacing w:val="-5"/>
          <w:sz w:val="32"/>
          <w:szCs w:val="32"/>
          <w:lang w:val="en-US" w:eastAsia="zh-CN" w:bidi="zh-CN"/>
        </w:rPr>
        <w:softHyphen/>
      </w:r>
      <w:r>
        <w:rPr>
          <w:rFonts w:hint="eastAsia" w:ascii="仿宋" w:hAnsi="仿宋" w:eastAsia="仿宋" w:cs="仿宋"/>
          <w:spacing w:val="-5"/>
          <w:sz w:val="32"/>
          <w:szCs w:val="32"/>
          <w:lang w:val="en-US" w:eastAsia="zh-CN" w:bidi="zh-CN"/>
        </w:rPr>
        <w:t>长时间连续序列的数据资料，相关信息更新至2020年12月31日。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（2）历史灾害调查。</w:t>
      </w:r>
      <w:r>
        <w:rPr>
          <w:rFonts w:hint="eastAsia" w:ascii="仿宋" w:hAnsi="仿宋" w:eastAsia="仿宋" w:cs="仿宋"/>
          <w:spacing w:val="-5"/>
          <w:sz w:val="32"/>
          <w:szCs w:val="32"/>
          <w:lang w:val="en-US" w:eastAsia="zh-CN" w:bidi="zh-CN"/>
        </w:rPr>
        <w:t>调查时段主要为1978年至2020年，包括年度自然灾害灾情调查和历史一般灾害事件调查，其中重大灾害事件调查时段为1949年至2020年。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（3）承灾体和综合减灾能力调查、重点隐患调查与评估。</w:t>
      </w:r>
      <w:r>
        <w:rPr>
          <w:rFonts w:hint="eastAsia" w:ascii="仿宋" w:hAnsi="仿宋" w:eastAsia="仿宋" w:cs="仿宋"/>
          <w:spacing w:val="-5"/>
          <w:sz w:val="32"/>
          <w:szCs w:val="32"/>
          <w:lang w:val="en-US" w:eastAsia="zh-CN" w:bidi="zh-CN"/>
        </w:rPr>
        <w:t>调查年度时段为2020年1月1日至2020年12月31日，近三年时段为2018年1月1日至2020年12月31日，时点为2020年12月31日。协助市级进行评估工作。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3" w:name="1.2.2_普查内容"/>
      <w:bookmarkEnd w:id="23"/>
      <w:r>
        <w:rPr>
          <w:rFonts w:hint="eastAsia" w:ascii="仿宋" w:hAnsi="仿宋" w:eastAsia="仿宋" w:cs="仿宋"/>
          <w:b/>
          <w:bCs/>
          <w:sz w:val="32"/>
          <w:szCs w:val="32"/>
          <w:lang w:val="en-US" w:eastAsia="zh-CN"/>
        </w:rPr>
        <w:t>1.2.2 普查内容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4" w:name="1.3_总体技术路线与方法"/>
      <w:bookmarkEnd w:id="24"/>
      <w:r>
        <w:rPr>
          <w:rFonts w:hint="eastAsia" w:ascii="仿宋" w:hAnsi="仿宋" w:eastAsia="仿宋" w:cs="仿宋"/>
          <w:spacing w:val="-5"/>
          <w:sz w:val="32"/>
          <w:szCs w:val="32"/>
          <w:lang w:val="en-US" w:eastAsia="zh-CN" w:bidi="zh-CN"/>
        </w:rPr>
        <w:t>根据全国自然灾害综合风险普查工作要求，结合本区实际，按照“全面普查、透彻摸底、深入分析、建章立制”的原则，开展气象、水旱、海洋、地质、地震、森林火灾等要素全面调查。协助市级开展灾害风险评估，根据应用需要编制不同比例尺的自然灾害系列风险图，编制主要灾种区划、综合风险区划和灾害综合防治区划。</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5" w:name="_Toc14287"/>
      <w:bookmarkStart w:id="26" w:name="_Toc21084"/>
      <w:r>
        <w:rPr>
          <w:rFonts w:hint="eastAsia" w:ascii="楷体" w:hAnsi="楷体" w:eastAsia="楷体" w:cs="楷体"/>
          <w:b/>
          <w:bCs/>
          <w:sz w:val="32"/>
          <w:szCs w:val="32"/>
          <w:lang w:val="en-US" w:eastAsia="zh-CN"/>
        </w:rPr>
        <w:t>1.3 总体技术路线与方法</w:t>
      </w:r>
      <w:bookmarkEnd w:id="25"/>
      <w:bookmarkEnd w:id="26"/>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7" w:name="1.3.1_总体技术路线"/>
      <w:bookmarkEnd w:id="27"/>
      <w:r>
        <w:rPr>
          <w:rFonts w:hint="eastAsia" w:ascii="仿宋" w:hAnsi="仿宋" w:eastAsia="仿宋" w:cs="仿宋"/>
          <w:b/>
          <w:bCs/>
          <w:sz w:val="32"/>
          <w:szCs w:val="32"/>
          <w:lang w:val="en-US" w:eastAsia="zh-CN"/>
        </w:rPr>
        <w:t>1.3.1 总体技术路线</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8" w:name="1.3.2_主要技术方法"/>
      <w:bookmarkEnd w:id="28"/>
      <w:r>
        <w:rPr>
          <w:rFonts w:hint="eastAsia" w:ascii="仿宋" w:hAnsi="仿宋" w:eastAsia="仿宋" w:cs="仿宋"/>
          <w:spacing w:val="-5"/>
          <w:sz w:val="32"/>
          <w:szCs w:val="32"/>
          <w:lang w:val="en-US" w:eastAsia="zh-CN" w:bidi="zh-CN"/>
        </w:rPr>
        <w:t>充分利用前期各类专项调查和评估等工作形成的相关数据、资料和图件成果，以区为基本调查单元，遵循“内外业相结合”“在地统计”原则，采取全面调查、抽样调查、典型调查和重点调查相结合的方式，利用站点观测资料汇集、档案查阅等多种调查技术手段，开展承灾体调查、历史灾害调查和减灾能力等灾害风险要素调查。利用内外业一体化技术，共享利用承灾体管理部门已有的普查、调查数据库和业务数据资料，按风险普查对承灾体数据的要求进行统计、整理入库，采用现场调查与复核等多种技术手段，逐级进行审核、检查，保证数据质量。协助市级运用统计分析、空间分析、工程填图、模拟仿真等多种方法、开展单要素的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综合利用承灾体类型、分布及设防水平等方面普查及评估资料，协助市级采取空间叠加分析、专家评定等方法进行重要承灾体选址及设防水平方面的隐患识别；利用多灾种和灾害链信息，运用各类综合分析方法，对灾害隐患进行分区分类分级的综合评定；综合利用灾害风险要素调查与评估成果，通过对多灾种、多承灾体和多尺度风险的综合分析，协助市级实现不同形式的综合灾害风险评估，编制综合风险区划和综合灾害防治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协助市级构建市、区两级灾害综合风险普查数据库体系，完善灾害风险要素调查、隐患调查和风险评估与区划系统，统一制备普查工作底图，支撑调查数据的录入、存储、转换、逐级上报与审核、汇总与分析、隐患识别与调查、风险评估与区划，多行业（领域）的数据共享与交换，以及面向政府和社会多类型用户的成果发布与应用。</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1.3.2 主要技术方法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9" w:name="1.4_空间信息制备与数据库、软件系统建设"/>
      <w:bookmarkEnd w:id="29"/>
      <w:r>
        <w:rPr>
          <w:rFonts w:hint="eastAsia" w:ascii="仿宋" w:hAnsi="仿宋" w:eastAsia="仿宋" w:cs="仿宋"/>
          <w:spacing w:val="-5"/>
          <w:sz w:val="32"/>
          <w:szCs w:val="32"/>
          <w:lang w:val="en-US" w:eastAsia="zh-CN" w:bidi="zh-CN"/>
        </w:rPr>
        <w:t>（1）内外业一体化技术开展承灾体调查。共享利用承灾体管理部门已有普查、调查数据库和业务数据资料，按风险普查对承灾体数据的要求进行统计、整理入库。通过互联网数据抓取、现场调查与复核等多样技术手段，结合数据调查APP移动终端、PC端系统采集承灾体数量、价值、设防水平等灾害属性信息，并采用分层级抽样、详查、人工复核等手段，保证数据质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全面调查和重点调查相结合的方式开展历史灾害灾情调查。以区级行政区为基本单元，根据历史灾害调查技术规范，全面调查1978年以来的年度自然灾害灾情、历史一般灾害事件。协助市级重点调查1949年以来重大自然灾害事件的致灾因素、灾害损失、应对措施和恢复重建等情况。构建一整套历史灾害调查数据体系，汇集要素完整、内容详实、数据规范的长时间序列历史灾害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自然属性与社会经济属性兼顾、定性和定量结合的方式协助市级相关部门开展主要灾害风险区划与防治区划。根据风险评估成果，结合孕灾环境、行政边界、地理分区等要素信息，通过定性和定量结合的区划方法进行主要灾害风险区划制定，并结合各类灾害和承灾体防治特点制定防治区划。协助在主要灾害风险区划和防治区划的基础上，制定不同形式的多尺度综合灾害风险区划；兼顾区域自然属性和社会经济属性制定多尺度综合灾害防治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通过工程勘测、遥感解译、站点观测数据资料汇集等多种技术手段开展致灾孕灾要素调查，结合多种方法校核验证，采集各类数据资料。协助市级运用统计分析、工程填图、模拟仿真等方法，实现对主要灾害致灾危险性的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协助市级针对多对象、多方法、多尺度分析结合的方式开展主要灾害和灾害综合风险评估。充分利用多灾种、承灾体等多源信息，基于GIS空间叠加分析办法，研判单灾种不易发现或判定的隐患；运用专家经验及层次分析等方法对灾害隐患进行分区分类分级综合评定。</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协助市级综合运用地理信息、遥感、互联网+、云计算、大数据等先进技术开展普查基础空间信息制备与软件系统建设。通过地理信息遥感等技术手段，实现对专题要素、普查成果等空间信息的采集、处理、分析、存储与管理，实现多部门、多层级跨平台多源异构数据的分布式采集存储、管理和维护，基于应用需求统一数据服务。</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0" w:name="1.5_质量管理"/>
      <w:bookmarkEnd w:id="30"/>
      <w:bookmarkStart w:id="31" w:name="_Toc17879"/>
      <w:bookmarkStart w:id="32" w:name="_Toc12171"/>
      <w:r>
        <w:rPr>
          <w:rFonts w:hint="eastAsia" w:ascii="楷体" w:hAnsi="楷体" w:eastAsia="楷体" w:cs="楷体"/>
          <w:b/>
          <w:bCs/>
          <w:sz w:val="32"/>
          <w:szCs w:val="32"/>
          <w:lang w:val="en-US" w:eastAsia="zh-CN"/>
        </w:rPr>
        <w:t>1.4 质量管理</w:t>
      </w:r>
      <w:bookmarkEnd w:id="31"/>
      <w:bookmarkEnd w:id="32"/>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33" w:name="1.5.1_过程质量控制"/>
      <w:bookmarkEnd w:id="33"/>
      <w:r>
        <w:rPr>
          <w:rFonts w:hint="eastAsia" w:ascii="仿宋" w:hAnsi="仿宋" w:eastAsia="仿宋" w:cs="仿宋"/>
          <w:spacing w:val="-5"/>
          <w:sz w:val="32"/>
          <w:szCs w:val="32"/>
          <w:lang w:val="en-US" w:eastAsia="zh-CN" w:bidi="zh-CN"/>
        </w:rPr>
        <w:t>为保障普查成果的科学性、客观性、完整性，全面加强质量控制工作，建立过程质量控制、分类分级质量控制、质量管理督查和抽查机制，明确全区各级各部门开展专项成果和综合成果的质量管理职责、任务和办法。根据全国灾害综合风险普查成果检查验收、汇交管理等制度，制订崇明区相关制度规范，支撑质量管理工作开展。</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1.4.1 过程质量控制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普查实行全过程质量控制，各项内容根据实施环节和成果特点，确定过程质量控制的工作节点和程序，制定各阶段质量控制的内容、技术方法和要求、组织实施及监督抽查办法，并做好工作记录。过程质量控制重点包括：</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（1）普查原始资料的质量核查；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（2）外业调查的质量控制；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34" w:name="1.4.3_专题要素数据坐标转换"/>
      <w:bookmarkEnd w:id="34"/>
      <w:bookmarkStart w:id="35" w:name="1.4.2_数据库与软件系统建设"/>
      <w:bookmarkEnd w:id="35"/>
      <w:r>
        <w:rPr>
          <w:rFonts w:hint="eastAsia" w:ascii="仿宋" w:hAnsi="仿宋" w:eastAsia="仿宋" w:cs="仿宋"/>
          <w:spacing w:val="-5"/>
          <w:sz w:val="32"/>
          <w:szCs w:val="32"/>
          <w:lang w:val="en-US" w:eastAsia="zh-CN" w:bidi="zh-CN"/>
        </w:rPr>
        <w:t>（3）成果发布前的质量控制。</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36" w:name="1.5.2_分类分级质量管理"/>
      <w:bookmarkEnd w:id="36"/>
      <w:r>
        <w:rPr>
          <w:rFonts w:hint="eastAsia" w:ascii="仿宋" w:hAnsi="仿宋" w:eastAsia="仿宋" w:cs="仿宋"/>
          <w:b/>
          <w:bCs/>
          <w:sz w:val="32"/>
          <w:szCs w:val="32"/>
          <w:lang w:val="en-US" w:eastAsia="zh-CN"/>
        </w:rPr>
        <w:t>1.4.2 分类分级质量管理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37" w:name="1.5.3_质量控制的监督抽查"/>
      <w:bookmarkEnd w:id="37"/>
      <w:r>
        <w:rPr>
          <w:rFonts w:hint="eastAsia" w:ascii="仿宋" w:hAnsi="仿宋" w:eastAsia="仿宋" w:cs="仿宋"/>
          <w:spacing w:val="-5"/>
          <w:sz w:val="32"/>
          <w:szCs w:val="32"/>
          <w:lang w:val="en-US" w:eastAsia="zh-CN" w:bidi="zh-CN"/>
        </w:rPr>
        <w:t>为保证普查成果的真实性和准确性，按照普查技术标准规范要求，建立分类分级质量管理体系，即各行业部门负责本行业普查成果质量管理；普查成果按照区级自检、市级检查、国家级核查的三级检查制度进行分级质量管理。市灾险普查办对本区普查质量管理工作进行监督和指导。区灾险普查办及有关部门负责本区、本行业领域普查成果的质量管理工作，并定期向市灾险普查办汇报质量管理工作情况。</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1.4.3 质量控制的监督抽查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38" w:name="1.6_普查质检核查与成果汇交"/>
      <w:bookmarkEnd w:id="38"/>
      <w:r>
        <w:rPr>
          <w:rFonts w:hint="eastAsia" w:ascii="仿宋" w:hAnsi="仿宋" w:eastAsia="仿宋" w:cs="仿宋"/>
          <w:spacing w:val="-5"/>
          <w:sz w:val="32"/>
          <w:szCs w:val="32"/>
          <w:lang w:val="en-US" w:eastAsia="zh-CN" w:bidi="zh-CN"/>
        </w:rPr>
        <w:t>区灾险普查办负责建立监督抽查的相关工作机制，明确区级监督抽查的主要职责。监督抽查的内容包括普查质量管理工作的开展情况、质量检查和验收的执行情况、成果质量状况等，监督检查采取现场巡视、调查与座谈、质量记录查阅、成果质量抽检等形式不定期开展，检查的范围覆盖全区所有行政单元。</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9" w:name="_Toc24197"/>
      <w:bookmarkStart w:id="40" w:name="_Toc19240"/>
      <w:r>
        <w:rPr>
          <w:rFonts w:hint="eastAsia" w:ascii="楷体" w:hAnsi="楷体" w:eastAsia="楷体" w:cs="楷体"/>
          <w:b/>
          <w:bCs/>
          <w:sz w:val="32"/>
          <w:szCs w:val="32"/>
          <w:lang w:val="en-US" w:eastAsia="zh-CN"/>
        </w:rPr>
        <w:t>1.5 普查质检核查与成果汇交</w:t>
      </w:r>
      <w:bookmarkEnd w:id="39"/>
      <w:bookmarkEnd w:id="40"/>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41" w:name="1.6.1_主要成果"/>
      <w:bookmarkEnd w:id="41"/>
      <w:r>
        <w:rPr>
          <w:rFonts w:hint="eastAsia" w:ascii="仿宋" w:hAnsi="仿宋" w:eastAsia="仿宋" w:cs="仿宋"/>
          <w:b/>
          <w:bCs/>
          <w:sz w:val="32"/>
          <w:szCs w:val="32"/>
          <w:lang w:val="en-US" w:eastAsia="zh-CN"/>
        </w:rPr>
        <w:t>1.5.1</w:t>
      </w:r>
      <w:r>
        <w:rPr>
          <w:rFonts w:hint="default" w:ascii="仿宋" w:hAnsi="仿宋" w:eastAsia="仿宋" w:cs="仿宋"/>
          <w:b/>
          <w:bCs/>
          <w:sz w:val="32"/>
          <w:szCs w:val="32"/>
          <w:lang w:val="en-US" w:eastAsia="zh-CN"/>
        </w:rPr>
        <w:t xml:space="preserve"> </w:t>
      </w:r>
      <w:r>
        <w:rPr>
          <w:rFonts w:hint="eastAsia" w:ascii="仿宋" w:hAnsi="仿宋" w:eastAsia="仿宋" w:cs="仿宋"/>
          <w:b/>
          <w:bCs/>
          <w:sz w:val="32"/>
          <w:szCs w:val="32"/>
          <w:lang w:val="en-US" w:eastAsia="zh-CN"/>
        </w:rPr>
        <w:t>主要成果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3" w:firstLineChars="200"/>
        <w:jc w:val="both"/>
        <w:textAlignment w:val="auto"/>
        <w:rPr>
          <w:rFonts w:hint="eastAsia" w:ascii="仿宋" w:hAnsi="仿宋" w:eastAsia="仿宋" w:cs="仿宋"/>
          <w:b/>
          <w:bCs/>
          <w:sz w:val="32"/>
          <w:szCs w:val="32"/>
          <w:lang w:val="en-US" w:eastAsia="zh-CN" w:bidi="zh-CN"/>
        </w:rPr>
      </w:pPr>
      <w:bookmarkStart w:id="42" w:name="1.6.1.1_数据成果"/>
      <w:bookmarkEnd w:id="42"/>
      <w:r>
        <w:rPr>
          <w:rFonts w:hint="eastAsia" w:ascii="仿宋" w:hAnsi="仿宋" w:eastAsia="仿宋" w:cs="仿宋"/>
          <w:b/>
          <w:bCs/>
          <w:sz w:val="32"/>
          <w:szCs w:val="32"/>
          <w:lang w:val="en-US" w:eastAsia="zh-CN" w:bidi="zh-CN"/>
        </w:rPr>
        <w:t>（</w:t>
      </w:r>
      <w:r>
        <w:rPr>
          <w:rFonts w:hint="default" w:ascii="仿宋" w:hAnsi="仿宋" w:eastAsia="仿宋" w:cs="仿宋"/>
          <w:b/>
          <w:bCs/>
          <w:sz w:val="32"/>
          <w:szCs w:val="32"/>
          <w:lang w:val="en-US" w:eastAsia="zh-CN" w:bidi="zh-CN"/>
        </w:rPr>
        <w:t>1</w:t>
      </w:r>
      <w:r>
        <w:rPr>
          <w:rFonts w:hint="eastAsia" w:ascii="仿宋" w:hAnsi="仿宋" w:eastAsia="仿宋" w:cs="仿宋"/>
          <w:b/>
          <w:bCs/>
          <w:sz w:val="32"/>
          <w:szCs w:val="32"/>
          <w:lang w:val="en-US" w:eastAsia="zh-CN" w:bidi="zh-CN"/>
        </w:rPr>
        <w:t>）数据成果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43" w:name="1.6.1.2_图件成果"/>
      <w:bookmarkEnd w:id="43"/>
      <w:r>
        <w:rPr>
          <w:rFonts w:hint="eastAsia" w:ascii="仿宋" w:hAnsi="仿宋" w:eastAsia="仿宋" w:cs="仿宋"/>
          <w:spacing w:val="-5"/>
          <w:sz w:val="32"/>
          <w:szCs w:val="32"/>
          <w:lang w:val="en-US" w:eastAsia="zh-CN" w:bidi="zh-CN"/>
        </w:rPr>
        <w:t>主要包括地震灾害、地质灾害、气象灾害、水旱灾害、海洋灾害和森林火灾等单灾种风险要素调查数据、主要承灾体调查数据、历史灾害灾情调查数据、综合减灾能力调查数据，主要自然灾害重点隐患数据等，形成综合风险与减灾能力数据集，涵盖各类空间数据和统计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3" w:firstLineChars="200"/>
        <w:jc w:val="both"/>
        <w:textAlignment w:val="auto"/>
        <w:rPr>
          <w:rFonts w:hint="eastAsia" w:ascii="仿宋" w:hAnsi="仿宋" w:eastAsia="仿宋" w:cs="仿宋"/>
          <w:b/>
          <w:bCs/>
          <w:sz w:val="32"/>
          <w:szCs w:val="32"/>
          <w:lang w:val="en-US" w:eastAsia="zh-CN" w:bidi="zh-CN"/>
        </w:rPr>
      </w:pPr>
      <w:r>
        <w:rPr>
          <w:rFonts w:hint="eastAsia" w:ascii="仿宋" w:hAnsi="仿宋" w:eastAsia="仿宋" w:cs="仿宋"/>
          <w:b/>
          <w:bCs/>
          <w:sz w:val="32"/>
          <w:szCs w:val="32"/>
          <w:lang w:val="en-US" w:eastAsia="zh-CN" w:bidi="zh-CN"/>
        </w:rPr>
        <w:t>（</w:t>
      </w:r>
      <w:r>
        <w:rPr>
          <w:rFonts w:hint="default" w:ascii="仿宋" w:hAnsi="仿宋" w:eastAsia="仿宋" w:cs="仿宋"/>
          <w:b/>
          <w:bCs/>
          <w:sz w:val="32"/>
          <w:szCs w:val="32"/>
          <w:lang w:val="en-US" w:eastAsia="zh-CN" w:bidi="zh-CN"/>
        </w:rPr>
        <w:t>2</w:t>
      </w:r>
      <w:r>
        <w:rPr>
          <w:rFonts w:hint="eastAsia" w:ascii="仿宋" w:hAnsi="仿宋" w:eastAsia="仿宋" w:cs="仿宋"/>
          <w:b/>
          <w:bCs/>
          <w:sz w:val="32"/>
          <w:szCs w:val="32"/>
          <w:lang w:val="en-US" w:eastAsia="zh-CN" w:bidi="zh-CN"/>
        </w:rPr>
        <w:t>）图件成果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44" w:name="1.6.1.3_文字报告类成果"/>
      <w:bookmarkEnd w:id="44"/>
      <w:r>
        <w:rPr>
          <w:rFonts w:hint="eastAsia" w:ascii="仿宋" w:hAnsi="仿宋" w:eastAsia="仿宋" w:cs="仿宋"/>
          <w:spacing w:val="-5"/>
          <w:sz w:val="32"/>
          <w:szCs w:val="32"/>
          <w:lang w:val="en-US" w:eastAsia="zh-CN" w:bidi="zh-CN"/>
        </w:rPr>
        <w:t>主要包括主要承灾体空间分布图、历史灾害调查、综合减灾能力调查、重点隐患、综合风险评估与综合防治区划图件。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3" w:firstLineChars="200"/>
        <w:jc w:val="both"/>
        <w:textAlignment w:val="auto"/>
        <w:rPr>
          <w:rFonts w:hint="eastAsia" w:ascii="仿宋" w:hAnsi="仿宋" w:eastAsia="仿宋" w:cs="仿宋"/>
          <w:b/>
          <w:bCs/>
          <w:sz w:val="32"/>
          <w:szCs w:val="32"/>
          <w:lang w:val="en-US" w:eastAsia="zh-CN" w:bidi="zh-CN"/>
        </w:rPr>
      </w:pPr>
      <w:r>
        <w:rPr>
          <w:rFonts w:hint="eastAsia" w:ascii="仿宋" w:hAnsi="仿宋" w:eastAsia="仿宋" w:cs="仿宋"/>
          <w:b/>
          <w:bCs/>
          <w:sz w:val="32"/>
          <w:szCs w:val="32"/>
          <w:lang w:val="en-US" w:eastAsia="zh-CN" w:bidi="zh-CN"/>
        </w:rPr>
        <w:t>（</w:t>
      </w:r>
      <w:r>
        <w:rPr>
          <w:rFonts w:hint="default" w:ascii="仿宋" w:hAnsi="仿宋" w:eastAsia="仿宋" w:cs="仿宋"/>
          <w:b/>
          <w:bCs/>
          <w:sz w:val="32"/>
          <w:szCs w:val="32"/>
          <w:lang w:val="en-US" w:eastAsia="zh-CN" w:bidi="zh-CN"/>
        </w:rPr>
        <w:t>3</w:t>
      </w:r>
      <w:r>
        <w:rPr>
          <w:rFonts w:hint="eastAsia" w:ascii="仿宋" w:hAnsi="仿宋" w:eastAsia="仿宋" w:cs="仿宋"/>
          <w:b/>
          <w:bCs/>
          <w:sz w:val="32"/>
          <w:szCs w:val="32"/>
          <w:lang w:val="en-US" w:eastAsia="zh-CN" w:bidi="zh-CN"/>
        </w:rPr>
        <w:t>）文字报告类成果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45" w:name="1.6.1.4_标准规范类成果"/>
      <w:bookmarkEnd w:id="45"/>
      <w:r>
        <w:rPr>
          <w:rFonts w:hint="eastAsia" w:ascii="仿宋" w:hAnsi="仿宋" w:eastAsia="仿宋" w:cs="仿宋"/>
          <w:spacing w:val="-5"/>
          <w:sz w:val="32"/>
          <w:szCs w:val="32"/>
          <w:lang w:val="en-US" w:eastAsia="zh-CN" w:bidi="zh-CN"/>
        </w:rPr>
        <w:t>主要包括两种类型的文字报告，数据成果、图件成果报告等各类成果分析报告，普查过程中各个阶段、各专题及综合类工作和技术总结报告。</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highlight w:val="none"/>
          <w:lang w:val="en-US" w:eastAsia="zh-CN"/>
        </w:rPr>
      </w:pPr>
      <w:bookmarkStart w:id="46" w:name="1.6.1.5_软件系统类成果"/>
      <w:bookmarkEnd w:id="46"/>
      <w:r>
        <w:rPr>
          <w:rFonts w:hint="eastAsia" w:ascii="仿宋" w:hAnsi="仿宋" w:eastAsia="仿宋" w:cs="仿宋"/>
          <w:b/>
          <w:bCs/>
          <w:sz w:val="32"/>
          <w:szCs w:val="32"/>
          <w:highlight w:val="none"/>
          <w:lang w:val="en-US" w:eastAsia="zh-CN"/>
        </w:rPr>
        <w:t>1.5.2</w:t>
      </w:r>
      <w:r>
        <w:rPr>
          <w:rFonts w:hint="default"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lang w:val="en-US" w:eastAsia="zh-CN"/>
        </w:rPr>
        <w:t>成果汇交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普查成果汇交工作按照市级统一部署展开，成果汇交内容主要包括调查数据类成果、文字报告类成果。根据国家统一制定普查成果汇交要求以及上海市统一制定的成果汇交要求、普查各项任务负责部门制定的各类成果汇交的细则和技术标准规范。各部门按照成果汇交要求和标准规范开展成果汇交工作，按照普查工作实施进度安排，分类型分阶段进行汇交，保障相关后续工作的开展；区灾险普查办组织汇交各行业成果形成综合成果。成果汇交工作依托普查软件系统开展。</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47" w:name="_Toc4891"/>
      <w:r>
        <w:rPr>
          <w:rFonts w:hint="eastAsia" w:ascii="楷体" w:hAnsi="楷体" w:eastAsia="楷体" w:cs="楷体"/>
          <w:b/>
          <w:bCs/>
          <w:sz w:val="32"/>
          <w:szCs w:val="32"/>
          <w:lang w:val="en-US" w:eastAsia="zh-CN"/>
        </w:rPr>
        <w:t>1.6 编制说明及参考依据</w:t>
      </w:r>
      <w:bookmarkEnd w:id="47"/>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（一）编制说明</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（1）编制思路：</w:t>
      </w:r>
      <w:r>
        <w:rPr>
          <w:rFonts w:hint="eastAsia" w:ascii="仿宋" w:hAnsi="仿宋" w:eastAsia="仿宋" w:cs="仿宋"/>
          <w:spacing w:val="-5"/>
          <w:sz w:val="32"/>
          <w:szCs w:val="32"/>
          <w:lang w:val="en-US" w:eastAsia="zh-CN" w:bidi="zh-CN"/>
        </w:rPr>
        <w:t>本实施细则依据《</w:t>
      </w:r>
      <w:r>
        <w:rPr>
          <w:rFonts w:hint="eastAsia" w:ascii="仿宋" w:hAnsi="仿宋" w:eastAsia="仿宋" w:cs="仿宋"/>
          <w:spacing w:val="-5"/>
          <w:sz w:val="32"/>
          <w:szCs w:val="32"/>
          <w:lang w:val="zh-CN" w:eastAsia="zh-CN" w:bidi="zh-CN"/>
        </w:rPr>
        <w:t>上海市第一次自然灾害综合风险普查区级实施细则编制要求》结合崇明区灾害种类、灾害特点、任务划分情况等，以普查任务为编制基础，由各相关部门共同参与编制完成。</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w:t>
      </w:r>
      <w:r>
        <w:rPr>
          <w:rFonts w:hint="eastAsia" w:ascii="仿宋" w:hAnsi="仿宋" w:eastAsia="仿宋" w:cs="仿宋"/>
          <w:b/>
          <w:bCs/>
          <w:spacing w:val="-5"/>
          <w:sz w:val="32"/>
          <w:szCs w:val="32"/>
          <w:lang w:val="en-US" w:eastAsia="zh-CN" w:bidi="zh-CN"/>
        </w:rPr>
        <w:t>2</w:t>
      </w:r>
      <w:r>
        <w:rPr>
          <w:rFonts w:hint="eastAsia" w:ascii="仿宋" w:hAnsi="仿宋" w:eastAsia="仿宋" w:cs="仿宋"/>
          <w:b/>
          <w:bCs/>
          <w:spacing w:val="-5"/>
          <w:sz w:val="32"/>
          <w:szCs w:val="32"/>
          <w:lang w:val="zh-CN" w:eastAsia="zh-CN" w:bidi="zh-CN"/>
        </w:rPr>
        <w:t>）编制流程：</w:t>
      </w:r>
      <w:r>
        <w:rPr>
          <w:rFonts w:hint="eastAsia" w:ascii="仿宋" w:hAnsi="仿宋" w:eastAsia="仿宋" w:cs="仿宋"/>
          <w:spacing w:val="-5"/>
          <w:sz w:val="32"/>
          <w:szCs w:val="32"/>
          <w:lang w:val="zh-CN" w:eastAsia="zh-CN" w:bidi="zh-CN"/>
        </w:rPr>
        <w:t>区各委办单位：负责编制各行业部门实施细则，编制内容主要包括自身负责的普查内容、实施流程等。</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：收集各委办单位实施细则，汇总梳理为崇明区整体普查实施细则。</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其他单位：负责核查方案中各部门自己负责的普查任务是否正确，是否有漏缺内容。</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（3）方案说明：</w:t>
      </w:r>
      <w:r>
        <w:rPr>
          <w:rFonts w:hint="eastAsia" w:ascii="仿宋" w:hAnsi="仿宋" w:eastAsia="仿宋" w:cs="仿宋"/>
          <w:spacing w:val="-5"/>
          <w:sz w:val="32"/>
          <w:szCs w:val="32"/>
          <w:lang w:val="en-US" w:eastAsia="zh-CN" w:bidi="zh-CN"/>
        </w:rPr>
        <w:t>本方案中重点隐患调查由各单灾种委办局梳理自身任务并入主要灾害致灾调查合并编制。</w:t>
      </w:r>
    </w:p>
    <w:p>
      <w:pPr>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after="0" w:line="540" w:lineRule="exact"/>
        <w:ind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（二）参考资料</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1.《第一次全国自然灾害综合风险普查总体方案》；</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2.《第一次全国自然灾害综合风险普查实施方案》（修订版）；</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3.《第一次全国自然灾害综合风险普查数据与成果汇交和入库管理办法（修订稿）》；</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4</w:t>
      </w:r>
      <w:r>
        <w:rPr>
          <w:rFonts w:hint="eastAsia" w:ascii="仿宋" w:hAnsi="仿宋" w:eastAsia="仿宋" w:cs="仿宋"/>
          <w:spacing w:val="-5"/>
          <w:sz w:val="32"/>
          <w:szCs w:val="32"/>
          <w:lang w:val="zh-CN" w:eastAsia="zh-CN" w:bidi="zh-CN"/>
        </w:rPr>
        <w:t>.国务院</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印发的普查技术规范；</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5</w:t>
      </w:r>
      <w:r>
        <w:rPr>
          <w:rFonts w:hint="eastAsia" w:ascii="仿宋" w:hAnsi="仿宋" w:eastAsia="仿宋" w:cs="仿宋"/>
          <w:spacing w:val="-5"/>
          <w:sz w:val="32"/>
          <w:szCs w:val="32"/>
          <w:lang w:val="zh-CN" w:eastAsia="zh-CN" w:bidi="zh-CN"/>
        </w:rPr>
        <w:t>.国务院普查领导小组成员单位或部门单独编制的行业实施方案；</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6</w:t>
      </w:r>
      <w:r>
        <w:rPr>
          <w:rFonts w:hint="eastAsia" w:ascii="仿宋" w:hAnsi="仿宋" w:eastAsia="仿宋" w:cs="仿宋"/>
          <w:spacing w:val="-5"/>
          <w:sz w:val="32"/>
          <w:szCs w:val="32"/>
          <w:lang w:val="zh-CN" w:eastAsia="zh-CN" w:bidi="zh-CN"/>
        </w:rPr>
        <w:t>.《上海市开展第一次自然灾害综合风险普查的总体方案》（以下简称市总体方案）；</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7</w:t>
      </w:r>
      <w:r>
        <w:rPr>
          <w:rFonts w:hint="eastAsia" w:ascii="仿宋" w:hAnsi="仿宋" w:eastAsia="仿宋" w:cs="仿宋"/>
          <w:spacing w:val="-5"/>
          <w:sz w:val="32"/>
          <w:szCs w:val="32"/>
          <w:lang w:val="zh-CN" w:eastAsia="zh-CN" w:bidi="zh-CN"/>
        </w:rPr>
        <w:t>.《上海市第一次自然灾害综合风险普查实施方案》（以下简称市实施方案）；</w:t>
      </w:r>
    </w:p>
    <w:p>
      <w:pPr>
        <w:pStyle w:val="2"/>
        <w:keepNext w:val="0"/>
        <w:keepLines w:val="0"/>
        <w:pageBreakBefore w:val="0"/>
        <w:widowControl w:val="0"/>
        <w:kinsoku/>
        <w:wordWrap/>
        <w:overflowPunct/>
        <w:topLinePunct w:val="0"/>
        <w:autoSpaceDE w:val="0"/>
        <w:bidi w:val="0"/>
        <w:adjustRightInd/>
        <w:snapToGrid/>
        <w:spacing w:line="540" w:lineRule="exact"/>
        <w:textAlignment w:val="auto"/>
        <w:rPr>
          <w:rFonts w:hint="default"/>
          <w:lang w:val="en-US" w:eastAsia="zh-CN"/>
        </w:rPr>
      </w:pPr>
      <w:r>
        <w:rPr>
          <w:rFonts w:hint="eastAsia" w:ascii="仿宋" w:hAnsi="仿宋" w:eastAsia="仿宋" w:cs="仿宋"/>
          <w:spacing w:val="-5"/>
          <w:sz w:val="32"/>
          <w:szCs w:val="32"/>
          <w:lang w:val="en-US" w:eastAsia="zh-CN" w:bidi="zh-CN"/>
        </w:rPr>
        <w:t>8.《上海市第一次自然灾害综合风险普查数据与成果汇交入库管理办法（征求意见稿）》</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9</w:t>
      </w:r>
      <w:r>
        <w:rPr>
          <w:rFonts w:hint="eastAsia" w:ascii="仿宋" w:hAnsi="仿宋" w:eastAsia="仿宋" w:cs="仿宋"/>
          <w:spacing w:val="-5"/>
          <w:sz w:val="32"/>
          <w:szCs w:val="32"/>
          <w:lang w:val="zh-CN" w:eastAsia="zh-CN" w:bidi="zh-CN"/>
        </w:rPr>
        <w:t>.市</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成员单位编制的本行业领域普查实施方案、技术要求（规范）；</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10.《上海市第一次自然灾害综合风险普查崇明区工作方案》；</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11</w:t>
      </w:r>
      <w:r>
        <w:rPr>
          <w:rFonts w:hint="eastAsia" w:ascii="仿宋" w:hAnsi="仿宋" w:eastAsia="仿宋" w:cs="仿宋"/>
          <w:spacing w:val="-5"/>
          <w:sz w:val="32"/>
          <w:szCs w:val="32"/>
          <w:lang w:val="zh-CN" w:eastAsia="zh-CN" w:bidi="zh-CN"/>
        </w:rPr>
        <w:t>.本区普查领导小组成员单位职能配置、内设机构和人员编制规定等文件；</w:t>
      </w:r>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12.本区普查</w:t>
      </w:r>
      <w:r>
        <w:rPr>
          <w:rFonts w:hint="eastAsia" w:ascii="仿宋" w:hAnsi="仿宋" w:eastAsia="仿宋" w:cs="仿宋"/>
          <w:spacing w:val="-5"/>
          <w:sz w:val="32"/>
          <w:szCs w:val="32"/>
          <w:lang w:val="zh-CN" w:eastAsia="zh-CN" w:bidi="zh-CN"/>
        </w:rPr>
        <w:t>领导小组成员单位编制的普查实施细则。</w:t>
      </w: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lang w:eastAsia="zh-CN"/>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lang w:eastAsia="zh-CN"/>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lang w:eastAsia="zh-CN"/>
        </w:rPr>
      </w:pPr>
    </w:p>
    <w:p>
      <w:pPr>
        <w:pStyle w:val="2"/>
        <w:rPr>
          <w:rFonts w:hint="eastAsia"/>
          <w:lang w:eastAsia="zh-CN"/>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lang w:eastAsia="zh-CN"/>
        </w:rPr>
      </w:pPr>
    </w:p>
    <w:p>
      <w:pPr>
        <w:pStyle w:val="2"/>
        <w:rPr>
          <w:rFonts w:hint="eastAsia" w:ascii="黑体" w:hAnsi="黑体" w:eastAsia="黑体" w:cs="黑体"/>
          <w:b/>
          <w:bCs/>
          <w:sz w:val="36"/>
          <w:szCs w:val="36"/>
          <w:lang w:eastAsia="zh-CN"/>
        </w:rPr>
      </w:pPr>
    </w:p>
    <w:p>
      <w:pPr>
        <w:pStyle w:val="2"/>
        <w:rPr>
          <w:rFonts w:hint="eastAsia" w:ascii="黑体" w:hAnsi="黑体" w:eastAsia="黑体" w:cs="黑体"/>
          <w:b/>
          <w:bCs/>
          <w:sz w:val="36"/>
          <w:szCs w:val="36"/>
          <w:lang w:eastAsia="zh-CN"/>
        </w:rPr>
      </w:pPr>
    </w:p>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48" w:name="_Toc25765"/>
      <w:r>
        <w:rPr>
          <w:rFonts w:hint="eastAsia" w:ascii="黑体" w:hAnsi="黑体" w:eastAsia="黑体" w:cs="黑体"/>
          <w:b/>
          <w:bCs/>
          <w:sz w:val="36"/>
          <w:szCs w:val="36"/>
          <w:lang w:eastAsia="zh-CN"/>
        </w:rPr>
        <w:t>第</w:t>
      </w:r>
      <w:r>
        <w:rPr>
          <w:rFonts w:hint="eastAsia" w:ascii="黑体" w:hAnsi="黑体" w:eastAsia="黑体" w:cs="黑体"/>
          <w:b/>
          <w:bCs/>
          <w:sz w:val="36"/>
          <w:szCs w:val="36"/>
          <w:lang w:val="en-US" w:eastAsia="zh-CN"/>
        </w:rPr>
        <w:t xml:space="preserve">2章 </w:t>
      </w:r>
      <w:r>
        <w:rPr>
          <w:rFonts w:hint="eastAsia" w:ascii="黑体" w:hAnsi="黑体" w:eastAsia="黑体" w:cs="黑体"/>
          <w:b/>
          <w:bCs/>
          <w:sz w:val="36"/>
          <w:szCs w:val="36"/>
          <w:lang w:eastAsia="zh-CN"/>
        </w:rPr>
        <w:t>职责分工</w:t>
      </w:r>
      <w:bookmarkEnd w:id="48"/>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default" w:ascii="楷体" w:hAnsi="楷体" w:eastAsia="楷体" w:cs="楷体"/>
          <w:b/>
          <w:bCs/>
          <w:sz w:val="32"/>
          <w:szCs w:val="32"/>
          <w:lang w:val="en-US" w:eastAsia="zh-CN"/>
        </w:rPr>
      </w:pPr>
      <w:bookmarkStart w:id="49" w:name="_Toc8337"/>
      <w:r>
        <w:rPr>
          <w:rFonts w:hint="eastAsia" w:ascii="楷体" w:hAnsi="楷体" w:eastAsia="楷体" w:cs="楷体"/>
          <w:b/>
          <w:bCs/>
          <w:sz w:val="32"/>
          <w:szCs w:val="32"/>
          <w:lang w:val="en-US" w:eastAsia="zh-CN"/>
        </w:rPr>
        <w:t>2.1 区负责的工作</w:t>
      </w:r>
      <w:bookmarkEnd w:id="49"/>
    </w:p>
    <w:p>
      <w:pPr>
        <w:keepNext w:val="0"/>
        <w:keepLines w:val="0"/>
        <w:pageBreakBefore w:val="0"/>
        <w:widowControl w:val="0"/>
        <w:kinsoku/>
        <w:wordWrap/>
        <w:overflowPunct/>
        <w:topLinePunct w:val="0"/>
        <w:autoSpaceDE w:val="0"/>
        <w:autoSpaceDN/>
        <w:bidi w:val="0"/>
        <w:adjustRightInd/>
        <w:snapToGrid/>
        <w:spacing w:line="540" w:lineRule="exact"/>
        <w:ind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依据全市灾害综合风险普查工作的总体方案、实施方案及其细则、规范要求，结合实际情况，编制本区普查工作方案，报市</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审核后印发。参照市级普查协调工作机制，建立相应的协调联动普查工作机制，严格落实属地行业主管部门监督指导责任。按照全市普查工作要求，负责组织开展全区普查数据清查、承灾体调查、历史灾害调查、减灾能力调查和重点隐患调查等工作，落实各项普查任务；协助市有关部门做好相关调查和评估工作；负责本级普查数据成果全面审核和汇集上报，形成区域灾害风险普查成果，做好普查工作的总结和成果运用。加强对乡镇和相关部门（单位）普查任务落实情况的督查考核，督促引导各乡镇和相关部门（单位）落实相关普查工作。各乡镇及居（村）社区明确责任人，建立联络人制度，根据本区普查工作安排，协调完成灾害风险普查的相关调查工作。</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default" w:ascii="楷体" w:hAnsi="楷体" w:eastAsia="楷体" w:cs="楷体"/>
          <w:b/>
          <w:bCs/>
          <w:sz w:val="32"/>
          <w:szCs w:val="32"/>
          <w:lang w:val="en-US" w:eastAsia="zh-CN"/>
        </w:rPr>
      </w:pPr>
      <w:bookmarkStart w:id="50" w:name="_Toc8161"/>
      <w:r>
        <w:rPr>
          <w:rFonts w:hint="eastAsia" w:ascii="楷体" w:hAnsi="楷体" w:eastAsia="楷体" w:cs="楷体"/>
          <w:b/>
          <w:bCs/>
          <w:sz w:val="32"/>
          <w:szCs w:val="32"/>
          <w:lang w:val="en-US" w:eastAsia="zh-CN"/>
        </w:rPr>
        <w:t>2.2 区各委办局负责的工作</w:t>
      </w:r>
      <w:bookmarkEnd w:id="50"/>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w:t>
      </w:r>
      <w:r>
        <w:rPr>
          <w:rFonts w:hint="eastAsia" w:ascii="仿宋" w:hAnsi="仿宋" w:eastAsia="仿宋" w:cs="仿宋"/>
          <w:b/>
          <w:bCs/>
          <w:spacing w:val="-5"/>
          <w:sz w:val="32"/>
          <w:szCs w:val="32"/>
          <w:lang w:val="zh-CN" w:eastAsia="zh-CN" w:bidi="zh-CN"/>
        </w:rPr>
        <w:t>区财政局：</w:t>
      </w:r>
      <w:r>
        <w:rPr>
          <w:rFonts w:hint="eastAsia" w:ascii="仿宋" w:hAnsi="仿宋" w:eastAsia="仿宋" w:cs="仿宋"/>
          <w:spacing w:val="-5"/>
          <w:sz w:val="32"/>
          <w:szCs w:val="32"/>
          <w:lang w:val="zh-CN" w:eastAsia="zh-CN" w:bidi="zh-CN"/>
        </w:rPr>
        <w:t>参与编制本区实施细则；根据市财政局有关本市自然灾害综合风险普查财政政策，研究制定本区资金保障方案，落实本级相关经费预算；组织指导相关部门做好财政资金绩效管理。</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w:t>
      </w:r>
      <w:r>
        <w:rPr>
          <w:rFonts w:hint="eastAsia" w:ascii="仿宋" w:hAnsi="仿宋" w:eastAsia="仿宋" w:cs="仿宋"/>
          <w:b/>
          <w:bCs/>
          <w:spacing w:val="-5"/>
          <w:sz w:val="32"/>
          <w:szCs w:val="32"/>
          <w:lang w:val="zh-CN" w:eastAsia="zh-CN" w:bidi="zh-CN"/>
        </w:rPr>
        <w:t>区武装部：</w:t>
      </w:r>
      <w:r>
        <w:rPr>
          <w:rFonts w:hint="eastAsia" w:ascii="仿宋" w:hAnsi="仿宋" w:eastAsia="仿宋" w:cs="仿宋"/>
          <w:spacing w:val="-5"/>
          <w:sz w:val="32"/>
          <w:szCs w:val="32"/>
          <w:lang w:val="zh-CN" w:eastAsia="zh-CN" w:bidi="zh-CN"/>
        </w:rPr>
        <w:t>负责综合减灾能力调查，提供各类民兵专业救援救助队伍、救灾物资储备库（点）等相关内容的基本情况、人员队伍、资金投入、装备和物资储备情况等，按要求形成并汇交全区相关调查成果。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3.</w:t>
      </w:r>
      <w:r>
        <w:rPr>
          <w:rFonts w:hint="eastAsia" w:ascii="仿宋" w:hAnsi="仿宋" w:eastAsia="仿宋" w:cs="仿宋"/>
          <w:b/>
          <w:bCs/>
          <w:spacing w:val="-5"/>
          <w:sz w:val="32"/>
          <w:szCs w:val="32"/>
          <w:lang w:val="zh-CN" w:eastAsia="zh-CN" w:bidi="zh-CN"/>
        </w:rPr>
        <w:t>区民族和宗教事务办公室：</w:t>
      </w:r>
      <w:r>
        <w:rPr>
          <w:rFonts w:hint="eastAsia" w:ascii="仿宋" w:hAnsi="仿宋" w:eastAsia="仿宋" w:cs="仿宋"/>
          <w:spacing w:val="-5"/>
          <w:sz w:val="32"/>
          <w:szCs w:val="32"/>
          <w:lang w:val="zh-CN" w:eastAsia="zh-CN" w:bidi="zh-CN"/>
        </w:rPr>
        <w:t>负责本区实施细则中承灾体（宗教活动场所等公共服务设施）调查等相关内容编制并组织开展相关调查，按要求形成并汇交全区相关承灾体调查成果。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4.</w:t>
      </w:r>
      <w:r>
        <w:rPr>
          <w:rFonts w:hint="eastAsia" w:ascii="仿宋" w:hAnsi="仿宋" w:eastAsia="仿宋" w:cs="仿宋"/>
          <w:b/>
          <w:bCs/>
          <w:spacing w:val="-5"/>
          <w:sz w:val="32"/>
          <w:szCs w:val="32"/>
          <w:lang w:val="zh-CN" w:eastAsia="zh-CN" w:bidi="zh-CN"/>
        </w:rPr>
        <w:t>区发展和改革委员会：</w:t>
      </w:r>
      <w:r>
        <w:rPr>
          <w:rFonts w:hint="eastAsia" w:ascii="仿宋" w:hAnsi="仿宋" w:eastAsia="仿宋" w:cs="仿宋"/>
          <w:spacing w:val="-5"/>
          <w:sz w:val="32"/>
          <w:szCs w:val="32"/>
          <w:lang w:val="zh-CN" w:eastAsia="zh-CN" w:bidi="zh-CN"/>
        </w:rPr>
        <w:t>负责指导协调相关单位和电力企业开展承灾体中的电力等相关基础设施调查和重点隐患调查，协助开展历史灾害与综合减灾能力调查，形成并汇交相关调查成果。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5.</w:t>
      </w:r>
      <w:r>
        <w:rPr>
          <w:rFonts w:hint="eastAsia" w:ascii="仿宋" w:hAnsi="仿宋" w:eastAsia="仿宋" w:cs="仿宋"/>
          <w:b/>
          <w:bCs/>
          <w:spacing w:val="-5"/>
          <w:sz w:val="32"/>
          <w:szCs w:val="32"/>
          <w:lang w:val="zh-CN" w:eastAsia="zh-CN" w:bidi="zh-CN"/>
        </w:rPr>
        <w:t>区经济委员会：</w:t>
      </w:r>
      <w:r>
        <w:rPr>
          <w:rFonts w:hint="eastAsia" w:ascii="仿宋" w:hAnsi="仿宋" w:eastAsia="仿宋" w:cs="仿宋"/>
          <w:spacing w:val="-5"/>
          <w:sz w:val="32"/>
          <w:szCs w:val="32"/>
          <w:lang w:val="zh-CN" w:eastAsia="zh-CN" w:bidi="zh-CN"/>
        </w:rPr>
        <w:t>负责本区实施细则中承灾体（大型城市综合体、大型超市、百货店和亿元以上商品交易市场等第三产业）调查等相关内容编制工作并组织开展相关调查；负责企业减灾资能力（大型救援装备生产企业等）调查，协助开展历史灾害与综合减灾能力调查，形成并汇交全区相关承灾体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6.</w:t>
      </w:r>
      <w:r>
        <w:rPr>
          <w:rFonts w:hint="eastAsia" w:ascii="仿宋" w:hAnsi="仿宋" w:eastAsia="仿宋" w:cs="仿宋"/>
          <w:b/>
          <w:bCs/>
          <w:spacing w:val="-5"/>
          <w:sz w:val="32"/>
          <w:szCs w:val="32"/>
          <w:lang w:val="zh-CN" w:eastAsia="zh-CN" w:bidi="zh-CN"/>
        </w:rPr>
        <w:t>区教育局：</w:t>
      </w:r>
      <w:r>
        <w:rPr>
          <w:rFonts w:hint="eastAsia" w:ascii="仿宋" w:hAnsi="仿宋" w:eastAsia="仿宋" w:cs="仿宋"/>
          <w:spacing w:val="-5"/>
          <w:sz w:val="32"/>
          <w:szCs w:val="32"/>
          <w:lang w:val="zh-CN" w:eastAsia="zh-CN" w:bidi="zh-CN"/>
        </w:rPr>
        <w:t>负责本区实施细则中承灾体（学校等公共服务设施）调查等相关内容编制并组织开展相关调查，按要求形成并汇交全区承灾体调查成果。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7.</w:t>
      </w:r>
      <w:r>
        <w:rPr>
          <w:rFonts w:hint="eastAsia" w:ascii="仿宋" w:hAnsi="仿宋" w:eastAsia="仿宋" w:cs="仿宋"/>
          <w:b/>
          <w:bCs/>
          <w:spacing w:val="-5"/>
          <w:sz w:val="32"/>
          <w:szCs w:val="32"/>
          <w:lang w:val="zh-CN" w:eastAsia="zh-CN" w:bidi="zh-CN"/>
        </w:rPr>
        <w:t>区科学技术委员会：</w:t>
      </w:r>
      <w:r>
        <w:rPr>
          <w:rFonts w:hint="eastAsia" w:ascii="仿宋" w:hAnsi="仿宋" w:eastAsia="仿宋" w:cs="仿宋"/>
          <w:spacing w:val="-5"/>
          <w:sz w:val="32"/>
          <w:szCs w:val="32"/>
          <w:lang w:val="zh-CN" w:eastAsia="zh-CN" w:bidi="zh-CN"/>
        </w:rPr>
        <w:t>负责本区实施细则中承灾体（电子政务通信设施）调查等内容编制及技术培训并组织开展相关调查，协助开展历史灾害与减灾能力调查，提供历史自然灾害事件中电子政务通信设施受影响和损毁情况，协调区大数据中心提供涉及普查相关数据信息的共享和持续更新等工作，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8.</w:t>
      </w:r>
      <w:r>
        <w:rPr>
          <w:rFonts w:hint="eastAsia" w:ascii="仿宋" w:hAnsi="仿宋" w:eastAsia="仿宋" w:cs="仿宋"/>
          <w:b/>
          <w:bCs/>
          <w:spacing w:val="-5"/>
          <w:sz w:val="32"/>
          <w:szCs w:val="32"/>
          <w:lang w:val="zh-CN" w:eastAsia="zh-CN" w:bidi="zh-CN"/>
        </w:rPr>
        <w:t>区民政局：</w:t>
      </w:r>
      <w:r>
        <w:rPr>
          <w:rFonts w:hint="eastAsia" w:ascii="仿宋" w:hAnsi="仿宋" w:eastAsia="仿宋" w:cs="仿宋"/>
          <w:spacing w:val="-5"/>
          <w:sz w:val="32"/>
          <w:szCs w:val="32"/>
          <w:lang w:val="zh-CN" w:eastAsia="zh-CN" w:bidi="zh-CN"/>
        </w:rPr>
        <w:t>负责本区实施细则中承灾体（养老服务机构、儿童福利和救助机构及其他提供住宿等相关公共服务设施）调查，以及民政部门登记管理的主要防灾减灾救灾和应急救援业务的社会应急力量综合减灾资源调查等内容编制并组织开展相关调查；提供历史灾情等相关数据，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9.</w:t>
      </w:r>
      <w:r>
        <w:rPr>
          <w:rFonts w:hint="eastAsia" w:ascii="仿宋" w:hAnsi="仿宋" w:eastAsia="仿宋" w:cs="仿宋"/>
          <w:b/>
          <w:bCs/>
          <w:spacing w:val="-5"/>
          <w:sz w:val="32"/>
          <w:szCs w:val="32"/>
          <w:lang w:val="zh-CN" w:eastAsia="zh-CN" w:bidi="zh-CN"/>
        </w:rPr>
        <w:t>区规划和自然资源局：</w:t>
      </w:r>
      <w:r>
        <w:rPr>
          <w:rFonts w:hint="eastAsia" w:ascii="仿宋" w:hAnsi="仿宋" w:eastAsia="仿宋" w:cs="仿宋"/>
          <w:spacing w:val="-5"/>
          <w:sz w:val="32"/>
          <w:szCs w:val="32"/>
          <w:lang w:val="zh-CN" w:eastAsia="zh-CN" w:bidi="zh-CN"/>
        </w:rPr>
        <w:t>负责地质灾害致灾调查、重点隐患调查等内容编制及技术培训并组织开展相关调查；协同开展承灾体（房屋建筑）调查；协助开展历史灾害与综合减灾能力调查；做好普查成果的审核汇交、宣传培训、工作总结和成果运用等工作；负责做好地理国情普查、第三次全国国土调查和地质灾害调查、全国乱占耕地建房专项调查等成果数据的共享应用，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10.</w:t>
      </w:r>
      <w:r>
        <w:rPr>
          <w:rFonts w:hint="eastAsia" w:ascii="仿宋" w:hAnsi="仿宋" w:eastAsia="仿宋" w:cs="仿宋"/>
          <w:b/>
          <w:bCs/>
          <w:spacing w:val="-5"/>
          <w:sz w:val="32"/>
          <w:szCs w:val="32"/>
          <w:lang w:val="zh-CN" w:eastAsia="zh-CN" w:bidi="zh-CN"/>
        </w:rPr>
        <w:t>区生态环境局：</w:t>
      </w:r>
      <w:r>
        <w:rPr>
          <w:rFonts w:hint="eastAsia" w:ascii="仿宋" w:hAnsi="仿宋" w:eastAsia="仿宋" w:cs="仿宋"/>
          <w:spacing w:val="-5"/>
          <w:sz w:val="32"/>
          <w:szCs w:val="32"/>
          <w:lang w:val="zh-CN" w:eastAsia="zh-CN" w:bidi="zh-CN"/>
        </w:rPr>
        <w:t>负责开展民用核设施、重点核技术利用单位重点隐患排查调查等内容编制及技术培训并组织开展相关调查；指导相关企业开展重点隐患调查，按要求形成并汇交全区上述重点隐患相关调查成果。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11.</w:t>
      </w:r>
      <w:r>
        <w:rPr>
          <w:rFonts w:hint="eastAsia" w:ascii="仿宋" w:hAnsi="仿宋" w:eastAsia="仿宋" w:cs="仿宋"/>
          <w:b/>
          <w:bCs/>
          <w:spacing w:val="-5"/>
          <w:sz w:val="32"/>
          <w:szCs w:val="32"/>
          <w:lang w:val="zh-CN" w:eastAsia="zh-CN" w:bidi="zh-CN"/>
        </w:rPr>
        <w:t>区建设和管理委员会：</w:t>
      </w:r>
      <w:r>
        <w:rPr>
          <w:rFonts w:hint="eastAsia" w:ascii="仿宋" w:hAnsi="仿宋" w:eastAsia="仿宋" w:cs="仿宋"/>
          <w:spacing w:val="-5"/>
          <w:sz w:val="32"/>
          <w:szCs w:val="32"/>
          <w:lang w:val="zh-CN" w:eastAsia="zh-CN" w:bidi="zh-CN"/>
        </w:rPr>
        <w:t>负责承灾体中的农村房屋、油气管线、燃气设施等的调查，协助开展历史灾害和综合减灾能力调查。完成普查成果的质量核查，完成油气管线、燃气设施等调查成果的汇集和验收，并按要求统一汇交成果。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12.</w:t>
      </w:r>
      <w:r>
        <w:rPr>
          <w:rFonts w:hint="eastAsia" w:ascii="仿宋" w:hAnsi="仿宋" w:eastAsia="仿宋" w:cs="仿宋"/>
          <w:b/>
          <w:bCs/>
          <w:spacing w:val="-5"/>
          <w:sz w:val="32"/>
          <w:szCs w:val="32"/>
          <w:lang w:val="zh-CN" w:eastAsia="zh-CN" w:bidi="zh-CN"/>
        </w:rPr>
        <w:t>区农业农村委员会：</w:t>
      </w:r>
      <w:r>
        <w:rPr>
          <w:rFonts w:hint="eastAsia" w:ascii="仿宋" w:hAnsi="仿宋" w:eastAsia="仿宋" w:cs="仿宋"/>
          <w:spacing w:val="-5"/>
          <w:sz w:val="32"/>
          <w:szCs w:val="32"/>
          <w:lang w:val="zh-CN" w:eastAsia="zh-CN" w:bidi="zh-CN"/>
        </w:rPr>
        <w:t>负责本区实施细则中农业承灾体调查等相关内容编制及技术培训并组织开展相关调查；协同实施承灾体（农村房屋）调查内容编制及技术培训并共同组织开展相关调查；负责提供第三次全国农业普查数据；协助指导历史灾害与行业减灾能力调查，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13.</w:t>
      </w:r>
      <w:r>
        <w:rPr>
          <w:rFonts w:hint="eastAsia" w:ascii="仿宋" w:hAnsi="仿宋" w:eastAsia="仿宋" w:cs="仿宋"/>
          <w:b/>
          <w:bCs/>
          <w:spacing w:val="-5"/>
          <w:sz w:val="32"/>
          <w:szCs w:val="32"/>
          <w:lang w:val="zh-CN" w:eastAsia="zh-CN" w:bidi="zh-CN"/>
        </w:rPr>
        <w:t>区水务局（区海洋局）：</w:t>
      </w:r>
      <w:r>
        <w:rPr>
          <w:rFonts w:hint="eastAsia" w:ascii="仿宋" w:hAnsi="仿宋" w:eastAsia="仿宋" w:cs="仿宋"/>
          <w:spacing w:val="-5"/>
          <w:sz w:val="32"/>
          <w:szCs w:val="32"/>
          <w:lang w:val="zh-CN" w:eastAsia="zh-CN" w:bidi="zh-CN"/>
        </w:rPr>
        <w:t>负责水旱灾害（郊区内涝和干旱灾害）和海洋灾害（风暴潮、海啸、海岸侵蚀）致灾调查、重点隐患调查、承灾体（水利设施、市政供、排水设施、防洪工程等）调查等内容编制及技术培训并组织开展相关调查；配合做好重要承灾体、历史灾害与行业减灾能力调查等；配合市级做好全国水利普查和重点防洪地区洪水风险图成果数据的共享应用；做好普查成果的质量核查、宣传培训、工作总结和成果运用等，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14.</w:t>
      </w:r>
      <w:r>
        <w:rPr>
          <w:rFonts w:hint="eastAsia" w:ascii="仿宋" w:hAnsi="仿宋" w:eastAsia="仿宋" w:cs="仿宋"/>
          <w:b/>
          <w:bCs/>
          <w:spacing w:val="-5"/>
          <w:sz w:val="32"/>
          <w:szCs w:val="32"/>
          <w:lang w:val="zh-CN" w:eastAsia="zh-CN" w:bidi="zh-CN"/>
        </w:rPr>
        <w:t>区文化和旅游局：</w:t>
      </w:r>
      <w:r>
        <w:rPr>
          <w:rFonts w:hint="eastAsia" w:ascii="仿宋" w:hAnsi="仿宋" w:eastAsia="仿宋" w:cs="仿宋"/>
          <w:spacing w:val="-5"/>
          <w:sz w:val="32"/>
          <w:szCs w:val="32"/>
          <w:lang w:val="zh-CN" w:eastAsia="zh-CN" w:bidi="zh-CN"/>
        </w:rPr>
        <w:t>负责本区实施细则中承灾体（公共文化场所、A级（以上）旅游景区、星级饭店等相关公共服务设施、资源与环境）调查等内容编制并组织开展相关调查，按要求形成并汇交全区相关调查成果。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15.</w:t>
      </w:r>
      <w:r>
        <w:rPr>
          <w:rFonts w:hint="eastAsia" w:ascii="仿宋" w:hAnsi="仿宋" w:eastAsia="仿宋" w:cs="仿宋"/>
          <w:b/>
          <w:bCs/>
          <w:spacing w:val="-5"/>
          <w:sz w:val="32"/>
          <w:szCs w:val="32"/>
          <w:lang w:val="zh-CN" w:eastAsia="zh-CN" w:bidi="zh-CN"/>
        </w:rPr>
        <w:t>区卫生健康委员会：</w:t>
      </w:r>
      <w:r>
        <w:rPr>
          <w:rFonts w:hint="eastAsia" w:ascii="仿宋" w:hAnsi="仿宋" w:eastAsia="仿宋" w:cs="仿宋"/>
          <w:spacing w:val="-5"/>
          <w:sz w:val="32"/>
          <w:szCs w:val="32"/>
          <w:lang w:val="zh-CN" w:eastAsia="zh-CN" w:bidi="zh-CN"/>
        </w:rPr>
        <w:t>负责本区实施细则中承灾体（医疗卫生机构等公共服务设施）调查等相关内容编制并组织开展相关调查；按要求形成并汇交全区相关承灾体调查成果。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16.</w:t>
      </w:r>
      <w:r>
        <w:rPr>
          <w:rFonts w:hint="eastAsia" w:ascii="仿宋" w:hAnsi="仿宋" w:eastAsia="仿宋" w:cs="仿宋"/>
          <w:b/>
          <w:bCs/>
          <w:spacing w:val="-5"/>
          <w:sz w:val="32"/>
          <w:szCs w:val="32"/>
          <w:lang w:val="zh-CN" w:eastAsia="zh-CN" w:bidi="zh-CN"/>
        </w:rPr>
        <w:t>区应急管理局：</w:t>
      </w:r>
      <w:r>
        <w:rPr>
          <w:rFonts w:hint="eastAsia" w:ascii="仿宋" w:hAnsi="仿宋" w:eastAsia="仿宋" w:cs="仿宋"/>
          <w:spacing w:val="-5"/>
          <w:sz w:val="32"/>
          <w:szCs w:val="32"/>
          <w:lang w:val="zh-CN" w:eastAsia="zh-CN" w:bidi="zh-CN"/>
        </w:rPr>
        <w:t>牵头组织实施本次普查，组织开展工作方案和实施细则编制与论证、相关规范编制及总体技术培训。负责重要承灾体调查中的人口经济、公共服务系统、三次产业</w:t>
      </w:r>
      <w:bookmarkStart w:id="51" w:name="_Hlk35496271"/>
      <w:r>
        <w:rPr>
          <w:rFonts w:hint="eastAsia" w:ascii="仿宋" w:hAnsi="仿宋" w:eastAsia="仿宋" w:cs="仿宋"/>
          <w:spacing w:val="-5"/>
          <w:sz w:val="32"/>
          <w:szCs w:val="32"/>
          <w:lang w:val="zh-CN" w:eastAsia="zh-CN" w:bidi="zh-CN"/>
        </w:rPr>
        <w:t>调查；负责历史灾害</w:t>
      </w:r>
      <w:bookmarkEnd w:id="51"/>
      <w:r>
        <w:rPr>
          <w:rFonts w:hint="eastAsia" w:ascii="仿宋" w:hAnsi="仿宋" w:eastAsia="仿宋" w:cs="仿宋"/>
          <w:spacing w:val="-5"/>
          <w:sz w:val="32"/>
          <w:szCs w:val="32"/>
          <w:lang w:val="zh-CN" w:eastAsia="zh-CN" w:bidi="zh-CN"/>
        </w:rPr>
        <w:t>、综合减灾能力调查；负责重点隐患排查中的危化企业、自然灾害次生危化事故调查；组织开展宣传培训、相关调查成果质量核查、工作总结和普查成果应用等工作；协调指导和督促推进区有关部门（单位）开展并完成相关调查工作任务；负责所有专项调查组各项调查成果的横向汇集和验收，形成全区综合风险普查成果；配合市地震局完成地震灾害的致灾调查。</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17.</w:t>
      </w:r>
      <w:r>
        <w:rPr>
          <w:rFonts w:hint="eastAsia" w:ascii="仿宋" w:hAnsi="仿宋" w:eastAsia="仿宋" w:cs="仿宋"/>
          <w:b/>
          <w:bCs/>
          <w:spacing w:val="-5"/>
          <w:sz w:val="32"/>
          <w:szCs w:val="32"/>
          <w:lang w:val="zh-CN" w:eastAsia="zh-CN" w:bidi="zh-CN"/>
        </w:rPr>
        <w:t>区市场监督管理局：</w:t>
      </w:r>
      <w:r>
        <w:rPr>
          <w:rFonts w:hint="eastAsia" w:ascii="仿宋" w:hAnsi="仿宋" w:eastAsia="仿宋" w:cs="仿宋"/>
          <w:spacing w:val="-5"/>
          <w:sz w:val="32"/>
          <w:szCs w:val="32"/>
          <w:lang w:val="zh-CN" w:eastAsia="zh-CN" w:bidi="zh-CN"/>
        </w:rPr>
        <w:t>负责区域内大型应急救援装备生产企业、大型工程建设企业等相关市场主体的调查，提供承灾体市场主体的登记注册信息，按要求形成并汇交全区相关调查成果。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18.</w:t>
      </w:r>
      <w:r>
        <w:rPr>
          <w:rFonts w:hint="eastAsia" w:ascii="仿宋" w:hAnsi="仿宋" w:eastAsia="仿宋" w:cs="仿宋"/>
          <w:b/>
          <w:bCs/>
          <w:spacing w:val="-5"/>
          <w:sz w:val="32"/>
          <w:szCs w:val="32"/>
          <w:lang w:val="zh-CN" w:eastAsia="zh-CN" w:bidi="zh-CN"/>
        </w:rPr>
        <w:t>区体育局：</w:t>
      </w:r>
      <w:r>
        <w:rPr>
          <w:rFonts w:hint="eastAsia" w:ascii="仿宋" w:hAnsi="仿宋" w:eastAsia="仿宋" w:cs="仿宋"/>
          <w:spacing w:val="-5"/>
          <w:sz w:val="32"/>
          <w:szCs w:val="32"/>
          <w:lang w:val="zh-CN" w:eastAsia="zh-CN" w:bidi="zh-CN"/>
        </w:rPr>
        <w:t>负责本区实施细则中承灾体（体育场所等公共服务设施）调查等相关内容编制并组织开展相关调查，按要求形成并汇交全区相关调查成果。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19.</w:t>
      </w:r>
      <w:r>
        <w:rPr>
          <w:rFonts w:hint="eastAsia" w:ascii="仿宋" w:hAnsi="仿宋" w:eastAsia="仿宋" w:cs="仿宋"/>
          <w:b/>
          <w:bCs/>
          <w:spacing w:val="-5"/>
          <w:sz w:val="32"/>
          <w:szCs w:val="32"/>
          <w:lang w:val="zh-CN" w:eastAsia="zh-CN" w:bidi="zh-CN"/>
        </w:rPr>
        <w:t>区统计局：</w:t>
      </w:r>
      <w:r>
        <w:rPr>
          <w:rFonts w:hint="eastAsia" w:ascii="仿宋" w:hAnsi="仿宋" w:eastAsia="仿宋" w:cs="仿宋"/>
          <w:spacing w:val="-5"/>
          <w:sz w:val="32"/>
          <w:szCs w:val="32"/>
          <w:lang w:val="zh-CN" w:eastAsia="zh-CN" w:bidi="zh-CN"/>
        </w:rPr>
        <w:t>参与崇明区普查方案编制，负责协调共享人口普查、农业普查、经济普查、历史灾情等相关数据。</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20.</w:t>
      </w:r>
      <w:r>
        <w:rPr>
          <w:rFonts w:hint="eastAsia" w:ascii="仿宋" w:hAnsi="仿宋" w:eastAsia="仿宋" w:cs="仿宋"/>
          <w:b/>
          <w:bCs/>
          <w:spacing w:val="-5"/>
          <w:sz w:val="32"/>
          <w:szCs w:val="32"/>
          <w:lang w:val="zh-CN" w:eastAsia="zh-CN" w:bidi="zh-CN"/>
        </w:rPr>
        <w:t>区绿化和市容管理局：</w:t>
      </w:r>
      <w:r>
        <w:rPr>
          <w:rFonts w:hint="eastAsia" w:ascii="仿宋" w:hAnsi="仿宋" w:eastAsia="仿宋" w:cs="仿宋"/>
          <w:spacing w:val="-5"/>
          <w:sz w:val="32"/>
          <w:szCs w:val="32"/>
          <w:lang w:val="zh-CN" w:eastAsia="zh-CN" w:bidi="zh-CN"/>
        </w:rPr>
        <w:t>负责森林火灾致灾调查、森林火灾专项调查、森林火灾重点隐患调查等内容编制及组织开展相关调查；协助开展历史灾害与综合减灾能力调查。做好普查成果的质量核查、宣传培训、工作总结和成果运用等工作，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21.</w:t>
      </w:r>
      <w:r>
        <w:rPr>
          <w:rFonts w:hint="eastAsia" w:ascii="仿宋" w:hAnsi="仿宋" w:eastAsia="仿宋" w:cs="仿宋"/>
          <w:b/>
          <w:bCs/>
          <w:spacing w:val="-5"/>
          <w:sz w:val="32"/>
          <w:szCs w:val="32"/>
          <w:lang w:val="zh-CN" w:eastAsia="zh-CN" w:bidi="zh-CN"/>
        </w:rPr>
        <w:t>区民防办公室：</w:t>
      </w:r>
      <w:r>
        <w:rPr>
          <w:rFonts w:hint="eastAsia" w:ascii="仿宋" w:hAnsi="仿宋" w:eastAsia="仿宋" w:cs="仿宋"/>
          <w:spacing w:val="-5"/>
          <w:sz w:val="32"/>
          <w:szCs w:val="32"/>
          <w:lang w:val="zh-CN" w:eastAsia="zh-CN" w:bidi="zh-CN"/>
        </w:rPr>
        <w:t>负责本区实施细则中承灾体（公用民防工程、应急避难场所等）、重点隐患调查等相关内容编制及技术培训并组织开展相关调查；协助开展历史灾害与综合减灾能力调查；指导和督促区有关部门（单位）开展相关调查工作，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22.</w:t>
      </w:r>
      <w:r>
        <w:rPr>
          <w:rFonts w:hint="eastAsia" w:ascii="仿宋" w:hAnsi="仿宋" w:eastAsia="仿宋" w:cs="仿宋"/>
          <w:b/>
          <w:bCs/>
          <w:spacing w:val="-5"/>
          <w:sz w:val="32"/>
          <w:szCs w:val="32"/>
          <w:lang w:val="zh-CN" w:eastAsia="zh-CN" w:bidi="zh-CN"/>
        </w:rPr>
        <w:t>区住房保障和房屋管理局：</w:t>
      </w:r>
      <w:r>
        <w:rPr>
          <w:rFonts w:hint="eastAsia" w:ascii="仿宋" w:hAnsi="仿宋" w:eastAsia="仿宋" w:cs="仿宋"/>
          <w:spacing w:val="-5"/>
          <w:sz w:val="32"/>
          <w:szCs w:val="32"/>
          <w:lang w:val="zh-CN" w:eastAsia="zh-CN" w:bidi="zh-CN"/>
        </w:rPr>
        <w:t>负责本区实施细则中承灾体（房屋建筑）调查等相关内容编制及技术培训，并会同区规划资源局、区农业农村委等部门组织开展全区房屋建筑调查，形成房屋建筑承灾体调查成果；指导督促有关部门和乡镇（园区）开展相关调查、普查成果审核汇交、工作总结和成果运用等；协助开展历史灾害与减灾能力调查；配合市住建委完成普查成果的质量核查，完成房屋建筑承灾体调查成果的汇集和验收，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23.</w:t>
      </w:r>
      <w:r>
        <w:rPr>
          <w:rFonts w:hint="eastAsia" w:ascii="仿宋" w:hAnsi="仿宋" w:eastAsia="仿宋" w:cs="仿宋"/>
          <w:b/>
          <w:bCs/>
          <w:spacing w:val="-5"/>
          <w:sz w:val="32"/>
          <w:szCs w:val="32"/>
          <w:lang w:val="zh-CN" w:eastAsia="zh-CN" w:bidi="zh-CN"/>
        </w:rPr>
        <w:t>区交通委员会：</w:t>
      </w:r>
      <w:r>
        <w:rPr>
          <w:rFonts w:hint="eastAsia" w:ascii="仿宋" w:hAnsi="仿宋" w:eastAsia="仿宋" w:cs="仿宋"/>
          <w:spacing w:val="-5"/>
          <w:sz w:val="32"/>
          <w:szCs w:val="32"/>
          <w:lang w:val="zh-CN" w:eastAsia="zh-CN" w:bidi="zh-CN"/>
        </w:rPr>
        <w:t>负责本区实施细则中承灾体（公路、城市道路、水路、桥梁、隧道以及乡村公路等交通基础设施）调查等相关内容编制及技术培训并组织开展相关调查，协助完成历史灾害与行业减灾能力调查，提供历史自然灾害事件中交通运输设施受影响和损毁情况；配合市交通委完成普查成果的质量核查并形成交通运输设施承灾体调查成果；完成交通运输设施承灾体调查成果的汇集和验收，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b w:val="0"/>
          <w:bCs w:val="0"/>
          <w:spacing w:val="-5"/>
          <w:sz w:val="32"/>
          <w:szCs w:val="32"/>
          <w:lang w:val="zh-CN" w:eastAsia="zh-CN" w:bidi="zh-CN"/>
        </w:rPr>
      </w:pPr>
      <w:r>
        <w:rPr>
          <w:rFonts w:hint="eastAsia" w:ascii="仿宋" w:hAnsi="仿宋" w:eastAsia="仿宋" w:cs="仿宋"/>
          <w:b/>
          <w:bCs/>
          <w:spacing w:val="-5"/>
          <w:sz w:val="32"/>
          <w:szCs w:val="32"/>
          <w:lang w:val="en-US" w:eastAsia="zh-CN" w:bidi="zh-CN"/>
        </w:rPr>
        <w:t>24.</w:t>
      </w:r>
      <w:r>
        <w:rPr>
          <w:rFonts w:hint="eastAsia" w:ascii="仿宋" w:hAnsi="仿宋" w:eastAsia="仿宋" w:cs="仿宋"/>
          <w:b/>
          <w:bCs/>
          <w:spacing w:val="-5"/>
          <w:sz w:val="32"/>
          <w:szCs w:val="32"/>
          <w:lang w:val="zh-CN" w:eastAsia="zh-CN" w:bidi="zh-CN"/>
        </w:rPr>
        <w:t>区气象局：</w:t>
      </w:r>
      <w:r>
        <w:rPr>
          <w:rFonts w:hint="eastAsia" w:ascii="仿宋" w:hAnsi="仿宋" w:eastAsia="仿宋" w:cs="仿宋"/>
          <w:spacing w:val="-5"/>
          <w:sz w:val="32"/>
          <w:szCs w:val="32"/>
          <w:lang w:val="zh-CN" w:eastAsia="zh-CN" w:bidi="zh-CN"/>
        </w:rPr>
        <w:t>负责气象灾害致灾调查；协助开展历史灾害、综合减灾能力调查；负责气象灾害风险评估，负责开展全区气象相关调查、普查成果的质量核查验收、宣传培训、工作总结和成果运用等工作，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25.</w:t>
      </w:r>
      <w:r>
        <w:rPr>
          <w:rFonts w:hint="eastAsia" w:ascii="仿宋" w:hAnsi="仿宋" w:eastAsia="仿宋" w:cs="仿宋"/>
          <w:b/>
          <w:bCs/>
          <w:spacing w:val="-5"/>
          <w:sz w:val="32"/>
          <w:szCs w:val="32"/>
          <w:lang w:val="zh-CN" w:eastAsia="zh-CN" w:bidi="zh-CN"/>
        </w:rPr>
        <w:t>公安局崇明分局：</w:t>
      </w:r>
      <w:r>
        <w:rPr>
          <w:rFonts w:hint="eastAsia" w:ascii="仿宋" w:hAnsi="仿宋" w:eastAsia="仿宋" w:cs="仿宋"/>
          <w:spacing w:val="-5"/>
          <w:sz w:val="32"/>
          <w:szCs w:val="32"/>
          <w:lang w:val="zh-CN" w:eastAsia="zh-CN" w:bidi="zh-CN"/>
        </w:rPr>
        <w:t>参与承灾体（非星级酒店以外住宿单位相关公共服务设施）调查，提供相关数据资料；开展综合减灾能力调查，按要求形成并汇交全区相关调查成果。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26.</w:t>
      </w:r>
      <w:r>
        <w:rPr>
          <w:rFonts w:hint="eastAsia" w:ascii="仿宋" w:hAnsi="仿宋" w:eastAsia="仿宋" w:cs="仿宋"/>
          <w:b/>
          <w:bCs/>
          <w:spacing w:val="-5"/>
          <w:sz w:val="32"/>
          <w:szCs w:val="32"/>
          <w:lang w:val="zh-CN" w:eastAsia="zh-CN" w:bidi="zh-CN"/>
        </w:rPr>
        <w:t>各乡镇：</w:t>
      </w:r>
      <w:r>
        <w:rPr>
          <w:rFonts w:hint="eastAsia" w:ascii="仿宋" w:hAnsi="仿宋" w:eastAsia="仿宋" w:cs="仿宋"/>
          <w:spacing w:val="-5"/>
          <w:sz w:val="32"/>
          <w:szCs w:val="32"/>
          <w:lang w:val="zh-CN" w:eastAsia="zh-CN" w:bidi="zh-CN"/>
        </w:rPr>
        <w:t>组织参与普查宣传和培训工作；配合开展承灾体（房屋建筑等）、综合减灾能力等调查；配合开展居民抽样调查；组织居（村）委等基层单位协助开展相关调查工作。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27.</w:t>
      </w:r>
      <w:r>
        <w:rPr>
          <w:rFonts w:hint="eastAsia" w:ascii="仿宋" w:hAnsi="仿宋" w:eastAsia="仿宋" w:cs="仿宋"/>
          <w:b/>
          <w:bCs/>
          <w:spacing w:val="-5"/>
          <w:sz w:val="32"/>
          <w:szCs w:val="32"/>
          <w:lang w:val="zh-CN" w:eastAsia="zh-CN" w:bidi="zh-CN"/>
        </w:rPr>
        <w:t>区海事局：</w:t>
      </w:r>
      <w:r>
        <w:rPr>
          <w:rFonts w:hint="eastAsia" w:ascii="仿宋" w:hAnsi="仿宋" w:eastAsia="仿宋" w:cs="仿宋"/>
          <w:spacing w:val="-5"/>
          <w:sz w:val="32"/>
          <w:szCs w:val="32"/>
          <w:lang w:val="zh-CN" w:eastAsia="zh-CN" w:bidi="zh-CN"/>
        </w:rPr>
        <w:t>负责综合减灾能力的调查，提供海事救援队伍与装备的相关属性信息，并按要求统一汇交成果。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28.</w:t>
      </w:r>
      <w:r>
        <w:rPr>
          <w:rFonts w:hint="eastAsia" w:ascii="仿宋" w:hAnsi="仿宋" w:eastAsia="仿宋" w:cs="仿宋"/>
          <w:b/>
          <w:bCs/>
          <w:spacing w:val="-5"/>
          <w:sz w:val="32"/>
          <w:szCs w:val="32"/>
          <w:lang w:val="zh-CN" w:eastAsia="zh-CN" w:bidi="zh-CN"/>
        </w:rPr>
        <w:t>区大数据中心：</w:t>
      </w:r>
      <w:r>
        <w:rPr>
          <w:rFonts w:hint="eastAsia" w:ascii="仿宋" w:hAnsi="仿宋" w:eastAsia="仿宋" w:cs="仿宋"/>
          <w:spacing w:val="-5"/>
          <w:sz w:val="32"/>
          <w:szCs w:val="32"/>
          <w:lang w:val="zh-CN" w:eastAsia="zh-CN" w:bidi="zh-CN"/>
        </w:rPr>
        <w:t>负责涉及普查相关数据信息的交换共享和持续更新等工作，配合灾害风险普查工作。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29.</w:t>
      </w:r>
      <w:r>
        <w:rPr>
          <w:rFonts w:hint="eastAsia" w:ascii="仿宋" w:hAnsi="仿宋" w:eastAsia="仿宋" w:cs="仿宋"/>
          <w:b/>
          <w:bCs/>
          <w:spacing w:val="-5"/>
          <w:sz w:val="32"/>
          <w:szCs w:val="32"/>
          <w:lang w:val="zh-CN" w:eastAsia="zh-CN" w:bidi="zh-CN"/>
        </w:rPr>
        <w:t>相关企事业单位：</w:t>
      </w:r>
      <w:r>
        <w:rPr>
          <w:rFonts w:hint="eastAsia" w:ascii="仿宋" w:hAnsi="仿宋" w:eastAsia="仿宋" w:cs="仿宋"/>
          <w:spacing w:val="-5"/>
          <w:sz w:val="32"/>
          <w:szCs w:val="32"/>
          <w:lang w:val="zh-CN" w:eastAsia="zh-CN" w:bidi="zh-CN"/>
        </w:rPr>
        <w:t>负责本企（事）业承灾体、历史灾害、重点隐患和综合减灾能力调查等；配合区相关部门提供普查工作所需的相关数据资料，按要求形成并汇交相关调查成果。</w:t>
      </w:r>
    </w:p>
    <w:p>
      <w:pPr>
        <w:keepNext w:val="0"/>
        <w:keepLines w:val="0"/>
        <w:pageBreakBefore w:val="0"/>
        <w:widowControl w:val="0"/>
        <w:kinsoku/>
        <w:wordWrap/>
        <w:overflowPunct/>
        <w:topLinePunct w:val="0"/>
        <w:autoSpaceDE w:val="0"/>
        <w:autoSpaceDN/>
        <w:bidi w:val="0"/>
        <w:adjustRightInd/>
        <w:snapToGrid/>
        <w:spacing w:line="540" w:lineRule="exact"/>
        <w:ind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en-US" w:eastAsia="zh-CN" w:bidi="zh-CN"/>
        </w:rPr>
        <w:t>30.</w:t>
      </w:r>
      <w:r>
        <w:rPr>
          <w:rFonts w:hint="eastAsia" w:ascii="仿宋" w:hAnsi="仿宋" w:eastAsia="仿宋" w:cs="仿宋"/>
          <w:b/>
          <w:bCs/>
          <w:spacing w:val="-5"/>
          <w:sz w:val="32"/>
          <w:szCs w:val="32"/>
          <w:lang w:val="zh-CN" w:eastAsia="zh-CN" w:bidi="zh-CN"/>
        </w:rPr>
        <w:t>区政府其他相关部门：</w:t>
      </w:r>
      <w:r>
        <w:rPr>
          <w:rFonts w:hint="eastAsia" w:ascii="仿宋" w:hAnsi="仿宋" w:eastAsia="仿宋" w:cs="仿宋"/>
          <w:spacing w:val="-5"/>
          <w:sz w:val="32"/>
          <w:szCs w:val="32"/>
          <w:lang w:val="zh-CN" w:eastAsia="zh-CN" w:bidi="zh-CN"/>
        </w:rPr>
        <w:t>根据普查工作需要，指定专人负责对接普查工作，全力协作、密切配合，共同做好全区相关普查工作。</w:t>
      </w: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pStyle w:val="2"/>
        <w:rPr>
          <w:rFonts w:hint="eastAsia" w:ascii="黑体" w:hAnsi="黑体" w:eastAsia="黑体" w:cs="黑体"/>
          <w:b/>
          <w:bCs/>
          <w:sz w:val="36"/>
          <w:szCs w:val="36"/>
        </w:rPr>
      </w:pPr>
    </w:p>
    <w:p>
      <w:pPr>
        <w:pStyle w:val="2"/>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bookmarkEnd w:id="5"/>
    <w:p>
      <w:pPr>
        <w:pStyle w:val="4"/>
        <w:keepNext w:val="0"/>
        <w:keepLines w:val="0"/>
        <w:pageBreakBefore w:val="0"/>
        <w:widowControl w:val="0"/>
        <w:kinsoku/>
        <w:wordWrap/>
        <w:overflowPunct/>
        <w:topLinePunct w:val="0"/>
        <w:autoSpaceDE/>
        <w:autoSpaceDN/>
        <w:bidi w:val="0"/>
        <w:adjustRightInd/>
        <w:snapToGrid/>
        <w:spacing w:before="0" w:line="540" w:lineRule="exact"/>
        <w:ind w:left="0" w:leftChars="0" w:right="0" w:firstLine="0" w:firstLineChars="0"/>
        <w:jc w:val="center"/>
        <w:textAlignment w:val="auto"/>
        <w:outlineLvl w:val="0"/>
        <w:rPr>
          <w:rFonts w:hint="eastAsia" w:ascii="黑体" w:hAnsi="黑体" w:eastAsia="黑体" w:cs="黑体"/>
          <w:b/>
          <w:bCs/>
          <w:sz w:val="36"/>
          <w:szCs w:val="36"/>
          <w:lang w:eastAsia="zh-CN"/>
        </w:rPr>
      </w:pPr>
      <w:bookmarkStart w:id="52" w:name="_Toc31398"/>
      <w:r>
        <w:rPr>
          <w:rFonts w:hint="eastAsia" w:ascii="黑体" w:hAnsi="黑体" w:eastAsia="黑体" w:cs="黑体"/>
          <w:b/>
          <w:bCs/>
          <w:sz w:val="36"/>
          <w:szCs w:val="36"/>
          <w:lang w:val="en-US" w:eastAsia="zh-CN"/>
        </w:rPr>
        <w:t xml:space="preserve">第3章 </w:t>
      </w:r>
      <w:r>
        <w:rPr>
          <w:rFonts w:hint="eastAsia" w:ascii="黑体" w:hAnsi="黑体" w:eastAsia="黑体" w:cs="黑体"/>
          <w:b/>
          <w:bCs/>
          <w:sz w:val="36"/>
          <w:szCs w:val="36"/>
          <w:lang w:eastAsia="zh-CN"/>
        </w:rPr>
        <w:t>主要灾害致灾调查与评估</w:t>
      </w:r>
      <w:bookmarkEnd w:id="52"/>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53" w:name="2.1_地震灾害"/>
      <w:bookmarkEnd w:id="53"/>
      <w:bookmarkStart w:id="54" w:name="_Toc12975"/>
      <w:bookmarkStart w:id="55" w:name="_Toc19050"/>
      <w:r>
        <w:rPr>
          <w:rFonts w:hint="eastAsia" w:ascii="楷体" w:hAnsi="楷体" w:eastAsia="楷体" w:cs="楷体"/>
          <w:b/>
          <w:bCs/>
          <w:sz w:val="32"/>
          <w:szCs w:val="32"/>
          <w:lang w:val="en-US" w:eastAsia="zh-CN"/>
        </w:rPr>
        <w:t>3.1 地震灾害</w:t>
      </w:r>
      <w:bookmarkEnd w:id="54"/>
      <w:bookmarkEnd w:id="55"/>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56" w:name="2.1.1_目标"/>
      <w:bookmarkEnd w:id="56"/>
      <w:bookmarkStart w:id="57" w:name="_Toc29197"/>
      <w:r>
        <w:rPr>
          <w:rFonts w:hint="eastAsia" w:ascii="仿宋" w:hAnsi="仿宋" w:eastAsia="仿宋" w:cs="仿宋"/>
          <w:b/>
          <w:bCs/>
          <w:sz w:val="32"/>
          <w:szCs w:val="32"/>
          <w:lang w:val="en-US" w:eastAsia="zh-CN"/>
        </w:rPr>
        <w:t>3.1.1 工作目标</w:t>
      </w:r>
      <w:bookmarkEnd w:id="57"/>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bookmarkStart w:id="58" w:name="2.1.2_工作基础"/>
      <w:bookmarkEnd w:id="58"/>
      <w:r>
        <w:rPr>
          <w:rFonts w:hint="eastAsia" w:ascii="仿宋" w:hAnsi="仿宋" w:eastAsia="仿宋" w:cs="仿宋"/>
          <w:spacing w:val="-5"/>
          <w:sz w:val="32"/>
          <w:szCs w:val="32"/>
          <w:lang w:val="zh-CN" w:eastAsia="zh-CN" w:bidi="zh-CN"/>
        </w:rPr>
        <w:t>开展本区场地地震工程地质条件钻探调查工作，进行场地类别划分。收集整理已有活动断层探察成果，评定隐伏断裂的发震能力，为地震灾害致灾评估提供基础资料。协助编制上海市1:25万区域地震构造图、1:25万地震危险性图，为地震灾害风险评估与区划提供基础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依据各行业承灾体调查数据，抽取关键数据，汇总可能由地震破坏引发重大人员伤亡、阻碍社会运行的承灾体信息。协助市级评估居民住宅、大中小学校舍、医疗卫生设施、社会服务保障设施、商业中心、市政设施等六类承灾体地震灾害重点隐患等级，集成区级地震灾害重点隐患数据集，列出地震灾害重点隐患清单，绘制地震灾害重点隐患分级图件。全面掌握本区地震灾害重点隐患底数，为地震灾害风险区划以及地震易发区房屋设施加固工程、防震减灾区划提供数据基础，支撑地震灾害防御和震后应急处置决策。</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3.1.2 调查范围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调查范围为本区全域</w:t>
      </w:r>
      <w:r>
        <w:rPr>
          <w:rFonts w:hint="eastAsia" w:ascii="仿宋" w:hAnsi="仿宋" w:eastAsia="仿宋" w:cs="仿宋"/>
          <w:spacing w:val="-5"/>
          <w:sz w:val="32"/>
          <w:szCs w:val="32"/>
          <w:lang w:val="en-US" w:eastAsia="zh-CN" w:bidi="zh-CN"/>
        </w:rPr>
        <w:t>范围</w:t>
      </w:r>
      <w:r>
        <w:rPr>
          <w:rFonts w:hint="eastAsia" w:ascii="仿宋" w:hAnsi="仿宋" w:eastAsia="仿宋" w:cs="仿宋"/>
          <w:spacing w:val="-5"/>
          <w:sz w:val="32"/>
          <w:szCs w:val="32"/>
          <w:lang w:val="zh-CN" w:eastAsia="zh-CN" w:bidi="zh-CN"/>
        </w:rPr>
        <w:t>。</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59" w:name="_Toc18990"/>
      <w:r>
        <w:rPr>
          <w:rFonts w:hint="eastAsia" w:ascii="仿宋" w:hAnsi="仿宋" w:eastAsia="仿宋" w:cs="仿宋"/>
          <w:b/>
          <w:bCs/>
          <w:sz w:val="32"/>
          <w:szCs w:val="32"/>
          <w:lang w:val="en-US" w:eastAsia="zh-CN"/>
        </w:rPr>
        <w:t xml:space="preserve">3.1.3 </w:t>
      </w:r>
      <w:bookmarkEnd w:id="59"/>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在相关行业部门的协调配合下，在本区至少补充1个地震工程地质条件标准钻孔的钻探、原位测试和土样试验室常规及动力非线性参数测试工作，补充探测成果入库。协助市级完成地震活动性模型更新和地震危险性分析与编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针对遭受地震破坏后可能造成重大人员伤亡、严重影响社会运行的各类房屋建筑和重要设施，依据各行业承灾体调查数据，抽取关键数据建立区级六类地震灾害重点隐患数据库。配合市级进行市区两级地震灾害重点隐患分级评估，摸清地震灾害重点隐患底数。</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35" w:firstLineChars="200"/>
        <w:jc w:val="both"/>
        <w:textAlignment w:val="auto"/>
        <w:outlineLvl w:val="3"/>
        <w:rPr>
          <w:rFonts w:hint="eastAsia" w:ascii="仿宋" w:hAnsi="仿宋" w:eastAsia="仿宋" w:cs="仿宋"/>
          <w:b/>
          <w:bCs/>
          <w:spacing w:val="-2"/>
          <w:sz w:val="32"/>
          <w:szCs w:val="32"/>
        </w:rPr>
      </w:pPr>
      <w:r>
        <w:rPr>
          <w:rFonts w:hint="eastAsia" w:ascii="仿宋" w:hAnsi="仿宋" w:eastAsia="仿宋" w:cs="仿宋"/>
          <w:b/>
          <w:bCs/>
          <w:spacing w:val="-2"/>
          <w:sz w:val="32"/>
          <w:szCs w:val="32"/>
          <w:lang w:val="en-US" w:eastAsia="zh-CN"/>
        </w:rPr>
        <w:t xml:space="preserve">3.1.3.1 </w:t>
      </w:r>
      <w:r>
        <w:rPr>
          <w:rFonts w:hint="eastAsia" w:ascii="楷体" w:hAnsi="楷体" w:eastAsia="楷体" w:cs="楷体"/>
          <w:b/>
          <w:bCs/>
          <w:sz w:val="32"/>
          <w:szCs w:val="32"/>
          <w:lang w:eastAsia="zh-CN"/>
        </w:rPr>
        <w:t>调查</w:t>
      </w:r>
      <w:r>
        <w:rPr>
          <w:rFonts w:hint="eastAsia" w:ascii="仿宋" w:hAnsi="仿宋" w:eastAsia="仿宋" w:cs="仿宋"/>
          <w:b/>
          <w:bCs/>
          <w:spacing w:val="-2"/>
          <w:sz w:val="32"/>
          <w:szCs w:val="32"/>
        </w:rPr>
        <w:t>任务</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35" w:firstLineChars="200"/>
        <w:jc w:val="both"/>
        <w:textAlignment w:val="auto"/>
        <w:outlineLvl w:val="4"/>
        <w:rPr>
          <w:rFonts w:hint="eastAsia" w:ascii="仿宋" w:hAnsi="仿宋" w:eastAsia="仿宋" w:cs="仿宋"/>
          <w:b/>
          <w:bCs/>
          <w:spacing w:val="-2"/>
          <w:sz w:val="32"/>
          <w:szCs w:val="32"/>
          <w:lang w:val="en-US" w:eastAsia="zh-CN"/>
        </w:rPr>
      </w:pPr>
      <w:r>
        <w:rPr>
          <w:rFonts w:hint="eastAsia" w:ascii="仿宋" w:hAnsi="仿宋" w:eastAsia="仿宋" w:cs="仿宋"/>
          <w:b/>
          <w:bCs/>
          <w:spacing w:val="-2"/>
          <w:sz w:val="32"/>
          <w:szCs w:val="32"/>
          <w:lang w:val="en-US" w:eastAsia="zh-CN"/>
        </w:rPr>
        <w:t>3.1.3.1.1 主要灾害致灾调查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default" w:ascii="仿宋" w:hAnsi="仿宋" w:eastAsia="仿宋" w:cs="仿宋"/>
          <w:spacing w:val="-5"/>
          <w:sz w:val="32"/>
          <w:szCs w:val="32"/>
          <w:lang w:val="en-US" w:eastAsia="zh-CN" w:bidi="zh-CN"/>
        </w:rPr>
      </w:pPr>
      <w:r>
        <w:rPr>
          <w:rFonts w:hint="default" w:ascii="仿宋" w:hAnsi="仿宋" w:eastAsia="仿宋" w:cs="仿宋"/>
          <w:spacing w:val="-5"/>
          <w:sz w:val="32"/>
          <w:szCs w:val="32"/>
          <w:lang w:val="en-US" w:eastAsia="zh-CN" w:bidi="zh-CN"/>
        </w:rPr>
        <w:t>地震危险源调查</w:t>
      </w:r>
      <w:r>
        <w:rPr>
          <w:rFonts w:hint="eastAsia" w:ascii="仿宋" w:hAnsi="仿宋" w:eastAsia="仿宋" w:cs="仿宋"/>
          <w:spacing w:val="-5"/>
          <w:sz w:val="32"/>
          <w:szCs w:val="32"/>
          <w:lang w:val="en-US" w:eastAsia="zh-CN" w:bidi="zh-CN"/>
        </w:rPr>
        <w:t>：</w:t>
      </w:r>
      <w:r>
        <w:rPr>
          <w:rFonts w:hint="default" w:ascii="仿宋" w:hAnsi="仿宋" w:eastAsia="仿宋" w:cs="仿宋"/>
          <w:spacing w:val="-5"/>
          <w:sz w:val="32"/>
          <w:szCs w:val="32"/>
          <w:lang w:val="en-US" w:eastAsia="zh-CN" w:bidi="zh-CN"/>
        </w:rPr>
        <w:t>开展场地地震工程地质条件勘察，至少补充1个地震工程地质条件标准钻孔的钻探，及原位测试和土样试验室常规及动力非线性参数测试等工作，将探测数据成果入库。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协助市级完成地震活动性模型更新和地震危险性分析与编图。</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35" w:firstLineChars="200"/>
        <w:jc w:val="both"/>
        <w:textAlignment w:val="auto"/>
        <w:outlineLvl w:val="4"/>
        <w:rPr>
          <w:rFonts w:hint="eastAsia" w:ascii="仿宋" w:hAnsi="仿宋" w:eastAsia="仿宋" w:cs="仿宋"/>
          <w:b/>
          <w:bCs/>
          <w:spacing w:val="-2"/>
          <w:sz w:val="32"/>
          <w:szCs w:val="32"/>
          <w:lang w:val="en-US" w:eastAsia="zh-CN"/>
        </w:rPr>
      </w:pPr>
      <w:r>
        <w:rPr>
          <w:rFonts w:hint="eastAsia" w:ascii="仿宋" w:hAnsi="仿宋" w:eastAsia="仿宋" w:cs="仿宋"/>
          <w:b/>
          <w:bCs/>
          <w:spacing w:val="-2"/>
          <w:sz w:val="32"/>
          <w:szCs w:val="32"/>
          <w:lang w:val="en-US" w:eastAsia="zh-CN"/>
        </w:rPr>
        <w:t>3.1.3.1.2 地震灾害重点隐患调查与评估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针对下列六类房屋及基础设施，建立各行业地震灾害重点隐患调查数据库，完成市区两级地震灾害隐患等级评定。</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（1）居民住宅</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（2）大中小学校舍</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（3）医疗卫生设施</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（4）社会服务保障设施</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（5）商业中心</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（6）市政设施</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其中，居民住宅包括城镇住宅建筑和农村独立住宅、集合住宅；大中小学校舍包括城市和农村的中小学幼儿园教学楼宿舍楼等教育建筑和其他学校建筑；医疗卫生设施包括医疗建筑；社会服务保障设施包括城镇福利院、养老建筑、办公建筑、救灾建筑、文化建筑、体育建筑、纪念建筑、宗教建筑和农村公共服务建筑（除医疗和教育建筑）；商业中心包括城镇和农村商业建筑、住宅和商业综合以及办公和商业综合建筑；市政设施包括市政桥梁、供水厂和供水主干线。</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35" w:firstLineChars="200"/>
        <w:jc w:val="both"/>
        <w:textAlignment w:val="auto"/>
        <w:outlineLvl w:val="3"/>
        <w:rPr>
          <w:rFonts w:hint="eastAsia" w:ascii="仿宋" w:hAnsi="仿宋" w:eastAsia="仿宋" w:cs="仿宋"/>
          <w:sz w:val="32"/>
          <w:szCs w:val="32"/>
        </w:rPr>
      </w:pPr>
      <w:r>
        <w:rPr>
          <w:rFonts w:hint="eastAsia" w:ascii="仿宋" w:hAnsi="仿宋" w:eastAsia="仿宋" w:cs="仿宋"/>
          <w:b/>
          <w:bCs/>
          <w:spacing w:val="-2"/>
          <w:sz w:val="32"/>
          <w:szCs w:val="32"/>
          <w:lang w:val="en-US" w:eastAsia="zh-CN"/>
        </w:rPr>
        <w:t>3.1.3.2 评估</w:t>
      </w:r>
      <w:r>
        <w:rPr>
          <w:rFonts w:hint="eastAsia" w:ascii="仿宋" w:hAnsi="仿宋" w:eastAsia="仿宋" w:cs="仿宋"/>
          <w:b/>
          <w:bCs/>
          <w:spacing w:val="-2"/>
          <w:sz w:val="32"/>
          <w:szCs w:val="32"/>
        </w:rPr>
        <w:t>任务</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（1）人员伤亡隐患评估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居民住宅、大中小学校舍、医疗卫生设施、社会服务保障设施、商业中心等人员密集型场所建筑的功能特点，分类厘清可能引发人员伤亡的建筑结构、非结构设备设施地震灾害隐患数据，收集其抗震设防情况，建筑结构设计、施工、改造情况，以及场地地震危险性条件、使用情况、现存病害等，评估其地震灾害人员伤亡隐患等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（2）影响社会运行隐患评估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办公、文化、体育等社会服务设施建筑和市政设施等生命线系统，收集其详细工程设计建造信息，以及场地地震危险性条件、使用情况、现存病害等，针对各类承灾体特点，分类型调查影响其地震安全运行的建筑结构抗震设防、改造情况，生命线系统关键节点和网络工程，包括市政交通重要桥梁、大型水厂及主干管线等，评估各系统工程的地震灾害社会运行隐患等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（3）地震灾害隐患调查评估数据库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基于各行业承灾体调查数据，抽取关键数据，协助市级建立各行业地震灾害隐患调查评估数据库。</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60" w:name="2.1.4.1_地震危险源调查及基础数据库建设"/>
      <w:bookmarkEnd w:id="60"/>
      <w:bookmarkStart w:id="61" w:name="2.1.5_工作流程与技术方法"/>
      <w:bookmarkEnd w:id="61"/>
      <w:bookmarkStart w:id="62" w:name="_Toc18452"/>
      <w:r>
        <w:rPr>
          <w:rFonts w:hint="eastAsia" w:ascii="仿宋" w:hAnsi="仿宋" w:eastAsia="仿宋" w:cs="仿宋"/>
          <w:b/>
          <w:bCs/>
          <w:sz w:val="32"/>
          <w:szCs w:val="32"/>
          <w:lang w:val="en-US" w:eastAsia="zh-CN"/>
        </w:rPr>
        <w:t>3.1.4 工作流程与技术方法</w:t>
      </w:r>
      <w:bookmarkEnd w:id="62"/>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35" w:firstLineChars="200"/>
        <w:jc w:val="both"/>
        <w:textAlignment w:val="auto"/>
        <w:outlineLvl w:val="3"/>
        <w:rPr>
          <w:rFonts w:hint="default" w:ascii="仿宋" w:hAnsi="仿宋" w:eastAsia="仿宋" w:cs="仿宋"/>
          <w:b/>
          <w:bCs/>
          <w:spacing w:val="-2"/>
          <w:sz w:val="32"/>
          <w:szCs w:val="32"/>
          <w:lang w:val="en-US" w:eastAsia="zh-CN"/>
        </w:rPr>
      </w:pPr>
      <w:r>
        <w:rPr>
          <w:rFonts w:hint="eastAsia" w:ascii="仿宋" w:hAnsi="仿宋" w:eastAsia="仿宋" w:cs="仿宋"/>
          <w:b/>
          <w:bCs/>
          <w:spacing w:val="-2"/>
          <w:sz w:val="32"/>
          <w:szCs w:val="32"/>
          <w:lang w:val="en-US" w:eastAsia="zh-CN"/>
        </w:rPr>
        <w:t>3.1.4.1 地震灾害致灾调查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地震致灾调查部分包括地震构造调查、场地地震工程地质条件调查与地震危险性分析。本次调查部分工作主要包括已有地震活动断层探测成果与场地地震安全性评价钻孔数据的收集整理入库，补充场地地震工程地质条件钻探工作。协助市级编制上海市1:25万区域地震构造图。在本次调查成果基础上，结合以往工作，调整潜在震源模型及参数确定。</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地震灾害致灾调查地震灾害致灾危险性分析工作将有机结合至上海市地震灾害致灾调查工作中。主要包括以下六个步骤：首先，收集整理已有工作成果的资料数据并转换入库；其次，编制场地类别分区图并确定多地震动参数的场地影响调整方案；第三，潜在震源区划分方案调整；第四，开展概率地震危险性分析计算；第五，评估结果的核查与验收，以保证工程质量；第六，编制完成上海市1:25万地震危险性地图。</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35" w:firstLineChars="200"/>
        <w:jc w:val="both"/>
        <w:textAlignment w:val="auto"/>
        <w:outlineLvl w:val="3"/>
        <w:rPr>
          <w:rFonts w:hint="eastAsia" w:ascii="仿宋" w:hAnsi="仿宋" w:eastAsia="仿宋" w:cs="仿宋"/>
          <w:b/>
          <w:bCs/>
          <w:spacing w:val="-2"/>
          <w:sz w:val="32"/>
          <w:szCs w:val="32"/>
          <w:lang w:val="en-US" w:eastAsia="zh-CN"/>
        </w:rPr>
      </w:pPr>
      <w:bookmarkStart w:id="63" w:name="2.1.5.1_任务分工"/>
      <w:bookmarkEnd w:id="63"/>
      <w:bookmarkStart w:id="64" w:name="2.1.5.2_工作流程"/>
      <w:bookmarkEnd w:id="64"/>
      <w:r>
        <w:rPr>
          <w:rFonts w:hint="eastAsia" w:ascii="仿宋" w:hAnsi="仿宋" w:eastAsia="仿宋" w:cs="仿宋"/>
          <w:b/>
          <w:bCs/>
          <w:spacing w:val="-2"/>
          <w:sz w:val="32"/>
          <w:szCs w:val="32"/>
          <w:lang w:val="en-US" w:eastAsia="zh-CN"/>
        </w:rPr>
        <w:t>3.1.4.1 地震灾害重点隐患调查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（1）重点隐患分析评估对象确定。</w:t>
      </w:r>
      <w:r>
        <w:rPr>
          <w:rFonts w:hint="eastAsia" w:ascii="仿宋" w:hAnsi="仿宋" w:eastAsia="仿宋" w:cs="仿宋"/>
          <w:spacing w:val="-5"/>
          <w:sz w:val="32"/>
          <w:szCs w:val="32"/>
          <w:lang w:val="en-US" w:eastAsia="zh-CN" w:bidi="zh-CN"/>
        </w:rPr>
        <w:t>在中国地震局制订地震灾害重点隐患等级评定方法和地震灾害重点隐患调查技术与数据规范基础上，利用各行业承灾体普查成果，筛选确定重点隐患分析评估对象。</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（2）调查数据获取。</w:t>
      </w:r>
      <w:r>
        <w:rPr>
          <w:rFonts w:hint="eastAsia" w:ascii="仿宋" w:hAnsi="仿宋" w:eastAsia="仿宋" w:cs="仿宋"/>
          <w:spacing w:val="-5"/>
          <w:sz w:val="32"/>
          <w:szCs w:val="32"/>
          <w:lang w:val="en-US" w:eastAsia="zh-CN" w:bidi="zh-CN"/>
        </w:rPr>
        <w:t>依据地震灾害隐患等级评定所需承灾体信息，从各行业承灾体调查数据中抽取关键必要数据，建立本区地震灾害隐患调查评估数据库。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（3）隐患等级确定。</w:t>
      </w:r>
      <w:r>
        <w:rPr>
          <w:rFonts w:hint="eastAsia" w:ascii="仿宋" w:hAnsi="仿宋" w:eastAsia="仿宋" w:cs="仿宋"/>
          <w:spacing w:val="-5"/>
          <w:sz w:val="32"/>
          <w:szCs w:val="32"/>
          <w:lang w:val="en-US" w:eastAsia="zh-CN" w:bidi="zh-CN"/>
        </w:rPr>
        <w:t>对于存在隐患的各级各类目标工程及设施，根据各类隐患调查目标特点和相关规范标准，分类别抽取其关键建筑、结构、构件；设施、节点和管线以及场地、环境等影响因素，配合市级依据地震灾害重点隐患等级评定技术规范，评估确定不同承灾体、不同行业的地震灾害隐患等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（4）隐患分布编图。</w:t>
      </w:r>
      <w:r>
        <w:rPr>
          <w:rFonts w:hint="eastAsia" w:ascii="仿宋" w:hAnsi="仿宋" w:eastAsia="仿宋" w:cs="仿宋"/>
          <w:spacing w:val="-5"/>
          <w:sz w:val="32"/>
          <w:szCs w:val="32"/>
          <w:lang w:val="en-US" w:eastAsia="zh-CN" w:bidi="zh-CN"/>
        </w:rPr>
        <w:t>依据地震灾害隐患等级分析评估结果，配合市级给出市区两级地震灾害重点隐患数据清单，编制上海市地震灾害重点隐患分布图。</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highlight w:val="none"/>
          <w:lang w:val="en-US" w:eastAsia="zh-CN"/>
        </w:rPr>
      </w:pPr>
      <w:bookmarkStart w:id="65" w:name="2.1.6_成果"/>
      <w:bookmarkEnd w:id="65"/>
      <w:bookmarkStart w:id="66" w:name="_Toc1965"/>
      <w:r>
        <w:rPr>
          <w:rFonts w:hint="eastAsia" w:ascii="仿宋" w:hAnsi="仿宋" w:eastAsia="仿宋" w:cs="仿宋"/>
          <w:b/>
          <w:bCs/>
          <w:sz w:val="32"/>
          <w:szCs w:val="32"/>
          <w:highlight w:val="none"/>
          <w:lang w:val="en-US" w:eastAsia="zh-CN"/>
        </w:rPr>
        <w:t>3.1.5 数据质量控制</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依据《地震部门普查成果质检核查技术规范/细则》开展数据标准化处理等相关工作。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3.1.6 成果</w:t>
      </w:r>
      <w:bookmarkEnd w:id="66"/>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right="0" w:rightChars="0" w:firstLine="631" w:firstLineChars="200"/>
        <w:jc w:val="both"/>
        <w:textAlignment w:val="auto"/>
        <w:rPr>
          <w:rFonts w:hint="eastAsia" w:ascii="仿宋" w:hAnsi="仿宋" w:eastAsia="仿宋" w:cs="仿宋"/>
          <w:b/>
          <w:bCs/>
          <w:spacing w:val="-3"/>
          <w:sz w:val="32"/>
          <w:szCs w:val="32"/>
          <w:lang w:eastAsia="zh-CN"/>
        </w:rPr>
      </w:pPr>
      <w:bookmarkStart w:id="67" w:name="2.1.6.1_数据成果"/>
      <w:bookmarkEnd w:id="67"/>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1</w:t>
      </w:r>
      <w:r>
        <w:rPr>
          <w:rFonts w:hint="eastAsia" w:ascii="仿宋" w:hAnsi="仿宋" w:eastAsia="仿宋" w:cs="仿宋"/>
          <w:b/>
          <w:bCs/>
          <w:spacing w:val="-3"/>
          <w:sz w:val="32"/>
          <w:szCs w:val="32"/>
          <w:lang w:eastAsia="zh-CN"/>
        </w:rPr>
        <w:t>）数据成果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1）区级地震构造数据库、场地地震工程地质钻孔数据库及地震危险性计算结果。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2）区级地震灾害重点隐患调查成果数据库及地震灾害重点隐患清单。</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right="0" w:rightChars="0" w:firstLine="631" w:firstLineChars="200"/>
        <w:jc w:val="both"/>
        <w:textAlignment w:val="auto"/>
        <w:rPr>
          <w:rFonts w:hint="eastAsia" w:ascii="仿宋" w:hAnsi="仿宋" w:eastAsia="仿宋" w:cs="仿宋"/>
          <w:b/>
          <w:bCs/>
          <w:spacing w:val="-3"/>
          <w:sz w:val="32"/>
          <w:szCs w:val="32"/>
          <w:lang w:eastAsia="zh-CN"/>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2</w:t>
      </w:r>
      <w:r>
        <w:rPr>
          <w:rFonts w:hint="eastAsia" w:ascii="仿宋" w:hAnsi="仿宋" w:eastAsia="仿宋" w:cs="仿宋"/>
          <w:b/>
          <w:bCs/>
          <w:spacing w:val="-3"/>
          <w:sz w:val="32"/>
          <w:szCs w:val="32"/>
          <w:lang w:eastAsia="zh-CN"/>
        </w:rPr>
        <w:t>）图件成果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区级地震灾害重点隐患分布图</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right="0" w:rightChars="0" w:firstLine="631" w:firstLineChars="200"/>
        <w:jc w:val="both"/>
        <w:textAlignment w:val="auto"/>
        <w:rPr>
          <w:rFonts w:hint="eastAsia" w:ascii="仿宋" w:hAnsi="仿宋" w:eastAsia="仿宋" w:cs="仿宋"/>
          <w:b/>
          <w:bCs/>
          <w:sz w:val="32"/>
          <w:szCs w:val="32"/>
        </w:rPr>
      </w:pPr>
      <w:bookmarkStart w:id="68" w:name="2.1.6.2_图件成果"/>
      <w:bookmarkEnd w:id="68"/>
      <w:bookmarkStart w:id="69" w:name="2.1.6.3_文字报告成果"/>
      <w:bookmarkEnd w:id="69"/>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3</w:t>
      </w: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rPr>
        <w:t>文字报告成果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）区级场地地震工程地质条件调查及数据库建设报告</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）区级多概率地震危险性分析报告</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3</w:t>
      </w:r>
      <w:r>
        <w:rPr>
          <w:rFonts w:hint="eastAsia" w:ascii="仿宋" w:hAnsi="仿宋" w:eastAsia="仿宋" w:cs="仿宋"/>
          <w:spacing w:val="-5"/>
          <w:sz w:val="32"/>
          <w:szCs w:val="32"/>
          <w:lang w:val="zh-CN" w:eastAsia="zh-CN" w:bidi="zh-CN"/>
        </w:rPr>
        <w:t>）区级地震灾害重点隐患评估报告</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70" w:name="2.2_地质灾害"/>
      <w:bookmarkEnd w:id="70"/>
      <w:bookmarkStart w:id="71" w:name="_Toc10383"/>
      <w:bookmarkStart w:id="72" w:name="_Toc15447"/>
      <w:r>
        <w:rPr>
          <w:rFonts w:hint="eastAsia" w:ascii="楷体" w:hAnsi="楷体" w:eastAsia="楷体" w:cs="楷体"/>
          <w:b/>
          <w:bCs/>
          <w:sz w:val="32"/>
          <w:szCs w:val="32"/>
          <w:lang w:val="en-US" w:eastAsia="zh-CN"/>
        </w:rPr>
        <w:t>3.2 地质灾害</w:t>
      </w:r>
      <w:bookmarkEnd w:id="71"/>
      <w:bookmarkEnd w:id="72"/>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上海地处长江三角洲，除西部零星出露海拔百米以下的火山岩剥蚀残丘外，主要为长江水流携带泥沙逐渐堆积形成的滨海平原地貌，根据上海市地质环境条件和多年调查结果，崇明区不属于调查范围，调查范围为上海松江区、金山区分布的各山体及矿坑周边 200m 以内区域。</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崇明区灾险普查办统筹协调相关部门配合协助市规划资源局完成相关工作。</w:t>
      </w:r>
      <w:bookmarkStart w:id="73" w:name="2.2.2 目标"/>
      <w:bookmarkEnd w:id="73"/>
      <w:bookmarkStart w:id="74" w:name="2.2.2 目标"/>
      <w:bookmarkEnd w:id="74"/>
    </w:p>
    <w:p>
      <w:pPr>
        <w:pStyle w:val="5"/>
        <w:keepNext w:val="0"/>
        <w:keepLines w:val="0"/>
        <w:pageBreakBefore w:val="0"/>
        <w:tabs>
          <w:tab w:val="left" w:pos="880"/>
        </w:tabs>
        <w:kinsoku/>
        <w:wordWrap/>
        <w:overflowPunct/>
        <w:topLinePunct w:val="0"/>
        <w:autoSpaceDN/>
        <w:bidi w:val="0"/>
        <w:adjustRightInd/>
        <w:snapToGrid/>
        <w:spacing w:beforeLines="30" w:afterLines="30" w:line="540" w:lineRule="exact"/>
        <w:ind w:left="0" w:leftChars="0" w:firstLine="0" w:firstLineChars="0"/>
        <w:jc w:val="both"/>
        <w:textAlignment w:val="auto"/>
        <w:rPr>
          <w:rFonts w:ascii="楷体" w:hAnsi="楷体" w:eastAsia="楷体" w:cs="楷体"/>
          <w:b/>
          <w:bCs/>
          <w:lang w:val="en-US"/>
        </w:rPr>
      </w:pPr>
      <w:bookmarkStart w:id="75" w:name="2.3_气象灾害"/>
      <w:bookmarkEnd w:id="75"/>
      <w:bookmarkStart w:id="76" w:name="_Toc32400"/>
      <w:bookmarkStart w:id="77" w:name="_Toc22629"/>
      <w:bookmarkStart w:id="78" w:name="_Toc31403"/>
      <w:bookmarkStart w:id="79" w:name="_Toc11059"/>
      <w:r>
        <w:rPr>
          <w:rFonts w:hint="eastAsia" w:ascii="楷体" w:hAnsi="楷体" w:eastAsia="楷体" w:cs="楷体"/>
          <w:b/>
          <w:bCs/>
          <w:lang w:val="en-US" w:eastAsia="zh-CN"/>
        </w:rPr>
        <w:t>3</w:t>
      </w:r>
      <w:r>
        <w:rPr>
          <w:rFonts w:hint="eastAsia" w:ascii="楷体" w:hAnsi="楷体" w:eastAsia="楷体" w:cs="楷体"/>
          <w:b/>
          <w:bCs/>
          <w:lang w:val="en-US"/>
        </w:rPr>
        <w:t>.3 气象灾害</w:t>
      </w:r>
      <w:bookmarkEnd w:id="76"/>
      <w:bookmarkEnd w:id="77"/>
      <w:bookmarkEnd w:id="78"/>
    </w:p>
    <w:p>
      <w:pPr>
        <w:pStyle w:val="6"/>
        <w:keepNext w:val="0"/>
        <w:keepLines w:val="0"/>
        <w:pageBreakBefore w:val="0"/>
        <w:tabs>
          <w:tab w:val="left" w:pos="1069"/>
        </w:tabs>
        <w:kinsoku/>
        <w:wordWrap/>
        <w:overflowPunct/>
        <w:topLinePunct w:val="0"/>
        <w:autoSpaceDN/>
        <w:bidi w:val="0"/>
        <w:adjustRightInd/>
        <w:snapToGrid/>
        <w:spacing w:beforeLines="30" w:afterLines="30" w:line="540" w:lineRule="exact"/>
        <w:ind w:left="0" w:firstLine="643" w:firstLineChars="200"/>
        <w:jc w:val="both"/>
        <w:textAlignment w:val="auto"/>
        <w:rPr>
          <w:rFonts w:ascii="仿宋" w:hAnsi="仿宋" w:eastAsia="仿宋" w:cs="仿宋"/>
          <w:b/>
          <w:bCs/>
          <w:sz w:val="32"/>
          <w:szCs w:val="32"/>
          <w:lang w:val="en-US"/>
        </w:rPr>
      </w:pPr>
      <w:bookmarkStart w:id="80" w:name="2.3.1_目标"/>
      <w:bookmarkEnd w:id="80"/>
      <w:bookmarkStart w:id="81" w:name="_Toc32679"/>
      <w:r>
        <w:rPr>
          <w:rFonts w:hint="eastAsia" w:ascii="仿宋" w:hAnsi="仿宋" w:eastAsia="仿宋" w:cs="仿宋"/>
          <w:b/>
          <w:bCs/>
          <w:sz w:val="32"/>
          <w:szCs w:val="32"/>
          <w:lang w:val="en-US" w:eastAsia="zh-CN"/>
        </w:rPr>
        <w:t>3</w:t>
      </w:r>
      <w:r>
        <w:rPr>
          <w:rFonts w:hint="eastAsia" w:ascii="仿宋" w:hAnsi="仿宋" w:eastAsia="仿宋" w:cs="仿宋"/>
          <w:b/>
          <w:bCs/>
          <w:sz w:val="32"/>
          <w:szCs w:val="32"/>
          <w:lang w:val="en-US"/>
        </w:rPr>
        <w:t>.3.1 工作目标</w:t>
      </w:r>
      <w:bookmarkEnd w:id="81"/>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82" w:name="2.3.2_主要任务"/>
      <w:bookmarkEnd w:id="82"/>
      <w:r>
        <w:rPr>
          <w:rFonts w:hint="eastAsia" w:ascii="仿宋" w:hAnsi="仿宋" w:eastAsia="仿宋" w:cs="仿宋"/>
          <w:spacing w:val="-5"/>
          <w:sz w:val="32"/>
          <w:szCs w:val="32"/>
          <w:lang w:val="en-US" w:eastAsia="zh-CN" w:bidi="zh-CN"/>
        </w:rPr>
        <w:t>开展上海市气象灾害综合风险普查是党中央、国务院、上海市、崇明区安排部署，交由气象部门承担的重要任务，是国情国力调查的重要内容，是提升气象防灾减灾能力的基础性工作。通过开展普查，摸清气象灾害风险隐患底数，全面客观认识本区气象灾害风险水平，提升气象灾害风险预报预警和管理能力，为本区有效开展自然灾害防治和应急管理，大力推进城乡精细化治理和“韧性城市”建设，提升全社会抵御自然灾害的综合防范能力，切实保障社会经济可持续发展提供权威的灾害风险信息和科学决策依据。本次气象灾害风险普查的目标是：</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通过调查与科学分析，获取本区主要气象灾害的致灾信息。通过信息共享，掌握人口、经济、农业（水稻等）、房屋建筑、公路交通、基础设施、公共服务系统、三次产业、资源和环境等重要承灾体信息，历史灾害信息，以及重点隐患情况，查明区域气象抗灾能力和减灾能力。</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（2）以调查为基础、评估为支撑，客观认识当前本区主要气象灾害的风险水平，科学预判气象灾害风险变化趋势和特点，形成全区气象灾害风险区划。</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通过实施气象灾害风险普查，结合城乡精细化治理需求和城乡运行“一网统管”实际，建立完善全区气象灾害调查评估指标模型，不断推进气象灾害风险识别、研判、预警全链条、全周期应用服务，赋能“一网统管”工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推动普查成果转化应用和数据资源共建共享，用好现有技术框架和数据资源，打造符合崇明自然灾害防治、城乡精细化治理需要的综合风险和减灾能力调查评估信息化系统，不断推进自然灾害风险识别、研判、预警、管控全链条全周期治理。</w:t>
      </w:r>
    </w:p>
    <w:p>
      <w:pPr>
        <w:pStyle w:val="6"/>
        <w:keepNext w:val="0"/>
        <w:keepLines w:val="0"/>
        <w:pageBreakBefore w:val="0"/>
        <w:tabs>
          <w:tab w:val="left" w:pos="1069"/>
        </w:tabs>
        <w:kinsoku/>
        <w:wordWrap/>
        <w:overflowPunct/>
        <w:topLinePunct w:val="0"/>
        <w:autoSpaceDN/>
        <w:bidi w:val="0"/>
        <w:adjustRightInd/>
        <w:snapToGrid/>
        <w:spacing w:beforeLines="30" w:afterLines="30" w:line="540" w:lineRule="exact"/>
        <w:ind w:left="0" w:firstLine="643" w:firstLineChars="200"/>
        <w:jc w:val="both"/>
        <w:textAlignment w:val="auto"/>
        <w:rPr>
          <w:rFonts w:ascii="仿宋" w:hAnsi="仿宋" w:eastAsia="仿宋" w:cs="仿宋"/>
          <w:b/>
          <w:bCs/>
          <w:sz w:val="32"/>
          <w:szCs w:val="32"/>
          <w:lang w:val="en-US"/>
        </w:rPr>
      </w:pPr>
      <w:bookmarkStart w:id="83" w:name="2.3.3_内容"/>
      <w:bookmarkEnd w:id="83"/>
      <w:bookmarkStart w:id="84" w:name="_Toc82"/>
      <w:r>
        <w:rPr>
          <w:rFonts w:hint="eastAsia" w:ascii="仿宋" w:hAnsi="仿宋" w:eastAsia="仿宋" w:cs="仿宋"/>
          <w:b/>
          <w:bCs/>
          <w:sz w:val="32"/>
          <w:szCs w:val="32"/>
          <w:lang w:val="en-US" w:eastAsia="zh-CN"/>
        </w:rPr>
        <w:t>3</w:t>
      </w:r>
      <w:r>
        <w:rPr>
          <w:rFonts w:hint="eastAsia" w:ascii="仿宋" w:hAnsi="仿宋" w:eastAsia="仿宋" w:cs="仿宋"/>
          <w:b/>
          <w:bCs/>
          <w:sz w:val="32"/>
          <w:szCs w:val="32"/>
          <w:lang w:val="en-US"/>
        </w:rPr>
        <w:t>.3.2 调查范围</w:t>
      </w:r>
      <w:bookmarkEnd w:id="84"/>
    </w:p>
    <w:p>
      <w:pPr>
        <w:pStyle w:val="12"/>
        <w:keepNext w:val="0"/>
        <w:keepLines w:val="0"/>
        <w:pageBreakBefore w:val="0"/>
        <w:kinsoku/>
        <w:wordWrap/>
        <w:overflowPunct/>
        <w:topLinePunct w:val="0"/>
        <w:autoSpaceDN/>
        <w:bidi w:val="0"/>
        <w:adjustRightInd/>
        <w:snapToGrid/>
        <w:spacing w:line="540" w:lineRule="exact"/>
        <w:ind w:left="440" w:leftChars="20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rPr>
        <w:t>（</w:t>
      </w:r>
      <w:r>
        <w:rPr>
          <w:rFonts w:hint="eastAsia" w:ascii="仿宋" w:hAnsi="仿宋" w:eastAsia="仿宋" w:cs="仿宋"/>
          <w:b/>
          <w:bCs/>
          <w:spacing w:val="-8"/>
          <w:sz w:val="32"/>
          <w:szCs w:val="32"/>
          <w:lang w:val="en-US"/>
        </w:rPr>
        <w:t>1</w:t>
      </w:r>
      <w:r>
        <w:rPr>
          <w:rFonts w:hint="eastAsia" w:ascii="仿宋" w:hAnsi="仿宋" w:eastAsia="仿宋" w:cs="仿宋"/>
          <w:b/>
          <w:bCs/>
          <w:spacing w:val="-8"/>
          <w:sz w:val="32"/>
          <w:szCs w:val="32"/>
        </w:rPr>
        <w:t>）灾种</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根据本区气象灾害种类的分布、影响程度和特征，本次普查的气象灾害主要有台风、暴雨、大风、雷电、高温、低温、雪灾、大雾、冰雹9种。</w:t>
      </w:r>
    </w:p>
    <w:p>
      <w:pPr>
        <w:pStyle w:val="12"/>
        <w:keepNext w:val="0"/>
        <w:keepLines w:val="0"/>
        <w:pageBreakBefore w:val="0"/>
        <w:kinsoku/>
        <w:wordWrap/>
        <w:overflowPunct/>
        <w:topLinePunct w:val="0"/>
        <w:autoSpaceDN/>
        <w:bidi w:val="0"/>
        <w:adjustRightInd/>
        <w:snapToGrid/>
        <w:spacing w:line="540" w:lineRule="exact"/>
        <w:ind w:left="440" w:leftChars="20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lang w:val="en-US"/>
        </w:rPr>
        <w:t>（2）调查时空范围</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调查空间范围：</w:t>
      </w:r>
      <w:r>
        <w:rPr>
          <w:rFonts w:hint="eastAsia" w:ascii="仿宋" w:hAnsi="仿宋" w:eastAsia="仿宋" w:cs="仿宋"/>
          <w:spacing w:val="-5"/>
          <w:sz w:val="32"/>
          <w:szCs w:val="32"/>
          <w:lang w:val="en-US" w:eastAsia="zh-CN" w:bidi="zh-CN"/>
        </w:rPr>
        <w:t>本次普查实施范围为本区全域。</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调查时间范围：</w:t>
      </w:r>
      <w:r>
        <w:rPr>
          <w:rFonts w:hint="eastAsia" w:ascii="仿宋" w:hAnsi="仿宋" w:eastAsia="仿宋" w:cs="仿宋"/>
          <w:spacing w:val="-5"/>
          <w:sz w:val="32"/>
          <w:szCs w:val="32"/>
          <w:lang w:val="en-US" w:eastAsia="zh-CN" w:bidi="zh-CN"/>
        </w:rPr>
        <w:t>气象灾害致灾因子调查收集1978-2020年的数据资料。如建站时间晚于1978年，收集建站以来到2020年的数据资料，相关信息更新至2020年12月31日。</w:t>
      </w:r>
    </w:p>
    <w:p>
      <w:pPr>
        <w:pStyle w:val="6"/>
        <w:keepNext w:val="0"/>
        <w:keepLines w:val="0"/>
        <w:pageBreakBefore w:val="0"/>
        <w:tabs>
          <w:tab w:val="left" w:pos="1069"/>
        </w:tabs>
        <w:kinsoku/>
        <w:wordWrap/>
        <w:overflowPunct/>
        <w:topLinePunct w:val="0"/>
        <w:autoSpaceDN/>
        <w:bidi w:val="0"/>
        <w:adjustRightInd/>
        <w:snapToGrid/>
        <w:spacing w:beforeLines="30" w:afterLines="30" w:line="540" w:lineRule="exact"/>
        <w:ind w:left="0" w:firstLine="643" w:firstLineChars="200"/>
        <w:jc w:val="both"/>
        <w:textAlignment w:val="auto"/>
        <w:rPr>
          <w:rFonts w:ascii="仿宋" w:hAnsi="仿宋" w:eastAsia="仿宋" w:cs="仿宋"/>
          <w:b/>
          <w:bCs/>
          <w:sz w:val="32"/>
          <w:szCs w:val="32"/>
          <w:lang w:val="en-US"/>
        </w:rPr>
      </w:pPr>
      <w:bookmarkStart w:id="85" w:name="_Toc18585"/>
      <w:r>
        <w:rPr>
          <w:rFonts w:hint="eastAsia" w:ascii="仿宋" w:hAnsi="仿宋" w:eastAsia="仿宋" w:cs="仿宋"/>
          <w:b/>
          <w:bCs/>
          <w:sz w:val="32"/>
          <w:szCs w:val="32"/>
          <w:lang w:val="en-US" w:eastAsia="zh-CN"/>
        </w:rPr>
        <w:t>3</w:t>
      </w:r>
      <w:r>
        <w:rPr>
          <w:rFonts w:hint="eastAsia" w:ascii="仿宋" w:hAnsi="仿宋" w:eastAsia="仿宋" w:cs="仿宋"/>
          <w:b/>
          <w:bCs/>
          <w:sz w:val="32"/>
          <w:szCs w:val="32"/>
          <w:lang w:val="en-US"/>
        </w:rPr>
        <w:t xml:space="preserve">.3.3 </w:t>
      </w:r>
      <w:bookmarkEnd w:id="85"/>
      <w:bookmarkStart w:id="86" w:name="2.4_水旱灾害"/>
      <w:bookmarkEnd w:id="86"/>
      <w:bookmarkStart w:id="87" w:name="2.3.5.4_文字报告成果"/>
      <w:bookmarkEnd w:id="87"/>
      <w:r>
        <w:rPr>
          <w:rFonts w:hint="eastAsia" w:ascii="仿宋" w:hAnsi="仿宋" w:eastAsia="仿宋" w:cs="仿宋"/>
          <w:b/>
          <w:bCs/>
          <w:sz w:val="32"/>
          <w:szCs w:val="32"/>
          <w:lang w:val="en-US"/>
        </w:rPr>
        <w:t>调查内容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上海市气象局气象灾害综合风险普查实施方案，结合本区气象灾害种类的分布、影响程度和特征，崇明区气象灾害致灾调查与评估任务共包括三类：一是基于客观化气象灾害监测技术方法及现有成果转化，对台风、暴雨、大风、雷电、高温、低温、雪灾、大雾和冰雹9类气象灾害的事件的致灾因子和影响进行调查，基此建立9类气象灾害危险性基础数据集；二是危险性调查的基础上，对9类气象灾害的发生频次、强度、影响面积、持续时间进行统计分析与危险性评估；三是完成灾害危险性评估产品与制图。</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outlineLvl w:val="3"/>
        <w:rPr>
          <w:rFonts w:ascii="仿宋" w:hAnsi="仿宋" w:eastAsia="仿宋" w:cs="仿宋"/>
          <w:b/>
          <w:bCs/>
          <w:spacing w:val="-8"/>
          <w:sz w:val="32"/>
          <w:szCs w:val="32"/>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 xml:space="preserve">.3.3.1 </w:t>
      </w:r>
      <w:r>
        <w:rPr>
          <w:rFonts w:hint="eastAsia" w:ascii="仿宋" w:hAnsi="仿宋" w:eastAsia="仿宋" w:cs="仿宋"/>
          <w:b/>
          <w:bCs/>
          <w:spacing w:val="-8"/>
          <w:sz w:val="32"/>
          <w:szCs w:val="32"/>
        </w:rPr>
        <w:t>具体任务</w:t>
      </w:r>
    </w:p>
    <w:p>
      <w:pPr>
        <w:pStyle w:val="12"/>
        <w:keepNext w:val="0"/>
        <w:keepLines w:val="0"/>
        <w:pageBreakBefore w:val="0"/>
        <w:numPr>
          <w:ilvl w:val="0"/>
          <w:numId w:val="1"/>
        </w:numPr>
        <w:kinsoku/>
        <w:wordWrap/>
        <w:overflowPunct/>
        <w:topLinePunct w:val="0"/>
        <w:autoSpaceDN/>
        <w:bidi w:val="0"/>
        <w:adjustRightInd/>
        <w:snapToGrid/>
        <w:spacing w:line="540" w:lineRule="exact"/>
        <w:ind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rPr>
        <w:t>现有成果转化和集成应用</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气象局日常业务工作包括崇明国家级地面气象站和若干骨干地面逐日温度、湿度、降水、风速风向、气压、日照等气象要素的实时监测。将以上基础数据进行加工整理、质量评估，建立完整序列，作为致灾因子分析的一部分数据源，纳入到相关工作中。</w:t>
      </w:r>
    </w:p>
    <w:p>
      <w:pPr>
        <w:pStyle w:val="12"/>
        <w:keepNext w:val="0"/>
        <w:keepLines w:val="0"/>
        <w:pageBreakBefore w:val="0"/>
        <w:numPr>
          <w:ilvl w:val="0"/>
          <w:numId w:val="1"/>
        </w:numPr>
        <w:kinsoku/>
        <w:wordWrap/>
        <w:overflowPunct/>
        <w:topLinePunct w:val="0"/>
        <w:autoSpaceDN/>
        <w:bidi w:val="0"/>
        <w:adjustRightInd/>
        <w:snapToGrid/>
        <w:spacing w:line="540" w:lineRule="exact"/>
        <w:ind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rPr>
        <w:t>气象灾害危险性调查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根据危险性评估的需要，灾害危险性调查包括如下任务：</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一是灾害危险性调查与统计分析：针对不同致灾条件和孕灾环境，收集整理气象观测类数据，结合其他部门共享获取的历史灾害事件灾情，针对不同灾害建立长序列精细化危险性基础数据集；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二是以灾情和灾害事件基本信息为基础，建立危险性评价指数，为危险性评估提供支撑；</w:t>
      </w:r>
    </w:p>
    <w:p>
      <w:pPr>
        <w:pStyle w:val="12"/>
        <w:keepNext w:val="0"/>
        <w:keepLines w:val="0"/>
        <w:pageBreakBefore w:val="0"/>
        <w:numPr>
          <w:ilvl w:val="0"/>
          <w:numId w:val="1"/>
        </w:numPr>
        <w:kinsoku/>
        <w:wordWrap/>
        <w:overflowPunct/>
        <w:topLinePunct w:val="0"/>
        <w:autoSpaceDN/>
        <w:bidi w:val="0"/>
        <w:adjustRightInd/>
        <w:snapToGrid/>
        <w:spacing w:line="540" w:lineRule="exact"/>
        <w:ind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rPr>
        <w:t>气象灾害危险性评估与制图</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危险性评估包括如下主要任务：</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一是致灾调查：</w:t>
      </w:r>
      <w:r>
        <w:rPr>
          <w:rFonts w:hint="eastAsia" w:ascii="仿宋" w:hAnsi="仿宋" w:eastAsia="仿宋" w:cs="仿宋"/>
          <w:spacing w:val="-5"/>
          <w:sz w:val="32"/>
          <w:szCs w:val="32"/>
          <w:lang w:val="en-US" w:eastAsia="zh-CN" w:bidi="zh-CN"/>
        </w:rPr>
        <w:t>基于历史灾害事件的历史灾情和灾害事件过程信息，针对不同承灾体分离各类型灾害致灾因子，使用分析模型，结合调查，建立各灾害致灾因子，经过归一化处理等，开展等级划分；</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二是灾害危险性评估与区划：</w:t>
      </w:r>
      <w:r>
        <w:rPr>
          <w:rFonts w:hint="eastAsia" w:ascii="仿宋" w:hAnsi="仿宋" w:eastAsia="仿宋" w:cs="仿宋"/>
          <w:spacing w:val="-5"/>
          <w:sz w:val="32"/>
          <w:szCs w:val="32"/>
          <w:lang w:val="en-US" w:eastAsia="zh-CN" w:bidi="zh-CN"/>
        </w:rPr>
        <w:t>建立灾害等级指标体系，开展危险性评估，对灾害危险性进行基于空间单元的划分，评估致灾因子在特定时空尺度下发生的综合强度，制作灾害危险性图产品（比例尺：不低于1:5万）。</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outlineLvl w:val="3"/>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.3.3.2 具体内容</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rPr>
        <w:t>（一）台风灾害调查与危险性评估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（1）台风灾害事件调查。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区域内台风灾害事件进行调查，包括台风登陆信息（时间、地点、强度）、影响起止时间；台风过程最大风速（MW）、台风过程极大风速（GW）、过程累积雨量（AP）、过程最大日降水量（MP）等。统计有较完整资料记录以来影响区、乡镇的台风频数，绘制空间分布图。</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（2）台风致灾因子危险性调查评估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危险性评估模型中共涉及评估起点、风雨致灾因子权重系数、风雨因子不同量级间的权重系数等参数，所有参数率定均基于辖区内台风灾害样本，当区域内台风灾害样本较少时，可采用国家级参数。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台风引起的风雨致灾因子权重系数调查。台风引起的风雨致灾因子相关权重系数包括风、雨因子间权重系数以及风雨各等级区间的权重系数。基于上文提到的乡镇样本以及分析得到的评估起点，确定台风引起的风雨致灾因子权重系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②台风致灾因子危险性评估。根据历史上受台风影响过程中的GW、AP、和MP因子，计算台风致灾因子危险性。按照危险性指标值分布特征，绘制台风致灾因子危险性空间分布图，进行危险性评估。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台风灾害调查和危险性评估详细内容和评估方法参见台风灾害调查与风险评估技术细则。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lang w:val="en-US"/>
        </w:rPr>
        <w:t>（二）</w:t>
      </w:r>
      <w:r>
        <w:rPr>
          <w:rFonts w:hint="eastAsia" w:ascii="仿宋" w:hAnsi="仿宋" w:eastAsia="仿宋" w:cs="仿宋"/>
          <w:b/>
          <w:bCs/>
          <w:spacing w:val="-8"/>
          <w:sz w:val="32"/>
          <w:szCs w:val="32"/>
        </w:rPr>
        <w:t>暴雨灾害调查与危险性评估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（1）暴雨灾害事件调查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主要从降水强度、降水持续时间和发生频率三个方面来开展暴雨灾害事件调查，包括雨季降水量、暴雨日数、大暴雨日数、不同重现期不同日数和不同历时最大降水量及区域暴雨过程。</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（2）暴雨致灾因子识别</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首先，对致灾因子进行初步筛选：选择最大小时降水量、最大日降水量、过程累积降水量、暴雨持续天数4个指标来表达暴雨过程强度；然后，基于灾损指数确定致灾因子，如果资料条件不能满足基于灾损指数确定致灾因子，也可以直接采用初步筛选的致灾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（3）致灾危险性评估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首先根据识别出的致灾因子，对各评价指标进行归一化处理，采用信息熵赋权法确定权重，加权求和得到暴雨过程强度指数，累加当年逐场暴雨过程强度值，得到年雨涝指数。其次综合考虑地形、水系易发程度，计算孕灾环境影响系数，得到的暴雨孕灾环境影响系数，如为负值，则表示孕灾环境对致灾危险性起消减作用，为正值则表示加重致灾危险性。最后通过年雨涝指数和孕灾环境影响系数得到雨涝危险性指数，基于雨涝危险性指数，利用百分位法，对暴雨致灾危险性进行分区和制图。</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暴雨灾害调查和危险性评估详细内容和评估方法参见暴雨灾害调查与风险评估技术细则。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lang w:val="en-US"/>
        </w:rPr>
        <w:t>（三）</w:t>
      </w:r>
      <w:r>
        <w:rPr>
          <w:rFonts w:hint="eastAsia" w:ascii="仿宋" w:hAnsi="仿宋" w:eastAsia="仿宋" w:cs="仿宋"/>
          <w:b/>
          <w:bCs/>
          <w:spacing w:val="-8"/>
          <w:sz w:val="32"/>
          <w:szCs w:val="32"/>
        </w:rPr>
        <w:t>大风灾害调查与危险性评估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（1）历史大风灾害事件调查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历史大风灾害事件的基本信息，包括开始日期、结束日期、持续时间、影响范围；调查历史大风灾害事件的致灾因子信息，包括大风分类、日最大风速和风向、日极大风速和风向；处理历史大风灾害事件的灾情信息，包括事件受灾分布、直接经济损失、农业受损面积（受灾面积和成灾面积）、受灾人口、建筑物及设施倒损（房屋的倒塌和损坏，临时/简易建筑物倒损，电杆等其他倒损）和详细灾情描述等。灾情信息由相关部门协调共享并可适当调整所列之项目。调查历史大风灾害事件的空间分布特征以及月、季节、年际变化特征。根据灾情收集情况调查历史大风灾害事件的灾情特征。</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（2）大风的气候特征调查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区域内各站点的大风日数、日极大风速平均值；调查区域内大风日数和极大风速的年、季节变化特征；调查区域内大风日数和极大风速均值的空间分布特征；调查区域大风的分类（冷空气大风、其他大风等）及基本特征（各类大风日数和大风极值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（3）危险性调查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危险性调查成果以表格表示，主要处理大风灾情出现的时间、地点、风力、风向、持续时间、影响范围等，应逐项审查调查资料的客观性、关联性和合法性，对于明确存在不符合要求的资料不予采用。当调查资料之间存在矛盾时，应采取措施加以甄别；当无法甄别时，对应资料均不采用。</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本区历史大风灾情资料调查情况，选择建立大风危险性指标评估。选择发生大风的年平均次数和极大风速作为大风灾害致灾因子的危险性评估指标。对于满足条件的区域，可采用基于灾损脆弱性曲线的大风风险评估方法对不同承灾体的大风灾损指数、承灾体脆弱性曲线、大风危害性进行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大风灾害调查和危险性评估详细内容和评估方法参见大风灾害调查与风险评估技术细则。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lang w:val="en-US"/>
        </w:rPr>
        <w:t>（四）</w:t>
      </w:r>
      <w:r>
        <w:rPr>
          <w:rFonts w:hint="eastAsia" w:ascii="仿宋" w:hAnsi="仿宋" w:eastAsia="仿宋" w:cs="仿宋"/>
          <w:b/>
          <w:bCs/>
          <w:spacing w:val="-8"/>
          <w:sz w:val="32"/>
          <w:szCs w:val="32"/>
        </w:rPr>
        <w:t>雷电灾害调查与危险性评估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（1）雷电致灾危险性普查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雷电灾害发生特征、现有观测资料积累以及雷电灾害影响，雷电灾害危险性调查工作内容包括两个方面：一是雷电灾害致灾因子调查内容，包括雷电密度、雷电强度、雷暴日数等；二是雷电灾害孕灾环境因子处理内容，包括海拔高度、地形变化、土地利用等，该部分数据主要由地方普查组共享获取。</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（2）雷电致灾因子危险性评估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根据雷电密度、雷电流强度计算区域雷电致灾因子危险性。按照危险性指标值分布特征，绘制雷电致灾危险性图。</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雷电灾害危险性评估具体技术路线及方法，详见雷电灾害调查与风险评估技术细则。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（五）灾害调查与危险性评估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（1）高温灾害致灾危险性调查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收集整理气象观测数据，包括：高温事件开始、结束时间、过程平均最高气温、极端最高气温、持续时间、影响范围等，建立长序列高温灾害致灾危险性基础数据集。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（2）高温致灾因子识别</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识别各类型高温灾害致灾因子，如过程日平均气温（℃）、平均最高气温（℃）、平均最低气温（℃）、极端最高气温（℃）等，结合调查，建立高温灾害致灾因子阈值。</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（3）高温致灾危险性评估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建立高温灾害等级指标体系，开展危险性评估，基于不同承灾体危险性评估结果，综合考虑不同区域影响，对高温灾害危险性进行基于空间单元的划分，评估致灾因子在特定时空尺度下发生的综合强度，分级制作致灾危险性图产品。</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高温灾害调查和危险性评估详细内容和评估方法参见高温灾害调查与风险评估技术细则。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（六）低温灾害调查与危险性评估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（1）低温灾害事件致灾因子识别</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承灾体数据共享情况，对区域内冷空气（寒潮）、霜冻害、秋季低温等低温灾害事件进行识别，包括影响起止时间、过程影响天数、过程强度等要素。各区根据低温灾害事件影响，选择的识别要素可有所区别。</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（2）低温致灾因子危险性评估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危险性评估方法评估各低温灾害危险性等级，综合考虑行政区划等，对低温灾害危险性进行基于空间单元的划分。主要工作内容包括：对各致灾因子评价指标进行归一化处理，采用信息熵赋权法等方法确定权重，加权求和得到低温灾害危险性指数。各区也可结合实际经验进行权重调整。基于低温灾害危险性指数结果，综合考虑行政区划等，对低温灾害危险性进行基于空间单元的划分，并根据危险性评估结果制作成果图件。</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低温灾害调查和危险性评估详细内容和评估方法参见低温灾害调查与风险评估技术细则。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（七）雪灾调查与危险性评估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（1）雪灾致灾因子危险性调查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以雪灾事件（或过程）和主要影响为基础，开展雪灾危险性调查，主要调查内容包括：开始和结束时间、累计降雪量、最大积雪深度、积雪（降雪）日数、最低气温、最大风速等。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（2）雪灾致灾因子危险性评估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结合雪灾危险性调查，根据评估区域特点，确定评估区域雪灾致灾危险性因子，评估雪灾致灾危险性水平。</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雪灾调查和危险性评估详细内容和评估方法参见雪灾调查与风险评估技术细则。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（八）灾害调查与危险性评估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（1）大雾灾害事件调查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基于辖区内大雾灾害事件，统计有较完整资料记录以来影响的大雾频次、大雾期间最小能见度、区域内单站点大雾日数、单站点大雾能见度持续时间等参数。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（2）大雾致灾因子危险性调查评估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计算历年发生雾的年平均次数（频次，单位次/年）、最小能见度（m）和年平均持续时间（h）等参数，所有参数均基于辖区内大雾灾害事件。</w:t>
      </w:r>
    </w:p>
    <w:p>
      <w:pPr>
        <w:pStyle w:val="12"/>
        <w:keepNext w:val="0"/>
        <w:keepLines w:val="0"/>
        <w:pageBreakBefore w:val="0"/>
        <w:kinsoku/>
        <w:wordWrap/>
        <w:overflowPunct/>
        <w:topLinePunct w:val="0"/>
        <w:autoSpaceDN/>
        <w:bidi w:val="0"/>
        <w:adjustRightInd/>
        <w:snapToGrid/>
        <w:spacing w:line="540" w:lineRule="exact"/>
        <w:ind w:left="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（3）大雾致灾因子权重系数调查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大雾致灾因子相关权重系数包括历年发生雾的年平均次数（频次，单位次/年）、最小能见度（m）和年平均持续时间（h）等权重系数，基于事件样本分析得到大雾致灾因子权重系数。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（4）大雾致灾因子危险性评估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根据辖区历史上受大雾影响过程中的发生雾的年平均次数（频次，单位次/年）、最小能见度（m）和年平均持续时间（h）等因子，计算该辖区大雾致灾因子的危险性。按照危险性指标值分布特征开展危险性评估。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大雾灾害调查和危险性评估详细内容和评估方法参见大雾灾害调查与风险评估技术细则。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（九）冰雹灾害调查与危险性评估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（1）冰雹资料收集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收集评估区域的冰雹气象观测数据，当地气象灾害年鉴、气象志、地方志以及相关文献中的冰雹记录。</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（2）冰雹灾害事件调查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根据普查组下发或共享的冰雹历史灾情数据进行分析处理，保证数据的可靠性和完整性。</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（3）致灾危险性调查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开展评估区域内的致灾危险性调查，主要为冰雹致灾因子调查。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（4）危险性评估与区划</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根据评估区域冰雹灾害特点，通过灾情解析或以往研究成果确定冰雹致灾因子，构建危险性指数，对危险评估结果进行空间等级划分。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冰雹灾害调查和危险性评估详细内容和评估方法参见冰雹灾害调查与风险评估技术细则。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outlineLvl w:val="2"/>
        <w:rPr>
          <w:rFonts w:ascii="仿宋" w:hAnsi="仿宋" w:eastAsia="仿宋" w:cs="仿宋"/>
          <w:b/>
          <w:bCs/>
          <w:spacing w:val="-8"/>
          <w:sz w:val="32"/>
          <w:szCs w:val="32"/>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.3.4 工作流程与</w:t>
      </w:r>
      <w:r>
        <w:rPr>
          <w:rFonts w:hint="eastAsia" w:ascii="仿宋" w:hAnsi="仿宋" w:eastAsia="仿宋" w:cs="仿宋"/>
          <w:b/>
          <w:bCs/>
          <w:spacing w:val="-8"/>
          <w:sz w:val="32"/>
          <w:szCs w:val="32"/>
        </w:rPr>
        <w:t>技术方法</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lang w:val="en-US"/>
        </w:rPr>
        <w:t>（一）</w:t>
      </w:r>
      <w:r>
        <w:rPr>
          <w:rFonts w:hint="eastAsia" w:ascii="仿宋" w:hAnsi="仿宋" w:eastAsia="仿宋" w:cs="仿宋"/>
          <w:b/>
          <w:bCs/>
          <w:spacing w:val="-8"/>
          <w:sz w:val="32"/>
          <w:szCs w:val="32"/>
        </w:rPr>
        <w:t>台风灾害调查与危险性评估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（1）资料要求</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以乡镇为单元，调查和使用的资料包括：</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崇明区内国家级地面气象站逐日降水及日最大风速资料、中国气象局热带气旋最佳路径数据集等，若调查区域无国家级地面气象站点数据，可收集区域自动站数据作为补充。</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区－乡镇级台风灾情，包括单台风过程死亡失踪人口、受灾面积、倒塌房屋、直接经济损失等。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乡镇级承灾体信息；崇明区内乡镇国土面积、乡镇人口数和人口结构、乡镇国民生产总值和构成、乡镇耕地面积和粮食产量、乡镇及农村房屋建筑面积、乡镇公路里程和风险点数等。灾情信息以及承灾体信息由相关部门协调共享并可适当调整所列之项目。</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乡镇界、区界等基础地理信息数据按2020年或最新数据，通过普查组下发或共享资料收集，1:5万。</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满足以下三个条件之一的台风确定某区域的影响台风：</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①区域内有1站出现过程降水量≥50毫米；</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②区域内有1站出现≥7级的最大风，或≥8级以上极大风；</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③区域内有1站出现过程降水量≥30毫米，并出现≥6级的最大风或≥7级的极大风。</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根据以上影响台风判断标准，确定崇明区影响台风，调查登陆（影响）崇明的台风信息，包括登陆（影响）时间、地点、强度等，风雨致灾因子信息。</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（3）致灾因子调查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利用中国气象局热带气旋大风和降水观测资料集，结合各乡镇代表站资料获取每次台风过程中，受台风影响的台站日降水量及日最大风速，时间范围根据实际调查到的站点数据年限确定。统计台风影响过程中各乡镇最大日最大风速（MW）、最大日极大风速（GW）、过程累积雨量（AP）、过程最大日降水量（MP）。</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（4）台风引起的风雨致灾因子评估起点</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在对台风风雨因子进行危险性评估时，需要考虑其具有一定的致灾性，因此需要确定评估的起点，剔除掉影响评估结果的非致灾台风样本。基于乡镇的台风灾情资料，提取出具有直接经济损失记录的样本，根据台风事件调查结果，找到各乡镇在相应台风影响过程中的最大日极大风速（GW）、过程累积雨量（AP）、过程最大日降水量（MP）。由此形成的样本即为乡镇样本，基于这些样本，获取风雨因子评估起点。</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（5）台风引起的风雨致灾因子权重系数调查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台风引起的风雨致灾因子相关权重系数包括风、雨因子间权重系数以及风雨各等级区间的权重系数。基于上文提到的乡镇样本以及分析得到的评估起点，确定台风引起的风雨致灾因子权重系数。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（6）影响台风调查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根据影响台风标准判断乡镇影响台风，在某次台风过程中，某乡镇代表台站满足该定义时，认为该乡镇受到此次台风影响。</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（7）台风致灾因子危险性评估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根据各乡镇历史上受台风影响过程中的GW、AP、和MP因子，计算该乡镇台风致灾因子危险性。按照危险性指标值分布特征，将危险性分为四个等级，绘制空间分布图。</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（二）暴雨灾害调查与危险性评估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调查对象：雨季降水量、暴雨日数、大暴雨日数、区域性暴雨过程、不同重现期不同历时最大降水量、不同重现期不同日数最大降水量。</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（1）资料要求</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暴雨数据：气象站（雨量站）雨量数据，时间区间为1978-2020年，时间分辨率为1h。</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灾情数据：暴雨灾害历年（次）受灾人口、因灾死亡人口；直接经济损失；主要农作物或不同区域经济作物种植农作物受灾面积、绝收面积等数据。时间区间为1978-2020年，空间上细化到乡镇，通过普查组共享下发。</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承灾体数据：包含户籍人口数、常住人口数；地区生产总值（GDP）；主要农作物种植面积、单产量、总产量及总产值等。时点为2020年12月31日，空间上细化到乡镇，通过普查组共享下发。</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基础地理信息数据：上海行政区划图、河网水系图、地形图（DEM）、土地利用类型图。2020年或最新数据，1:5万，通过普查组共享下发。</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（2）危险性调查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区域性暴雨过程判定：区域内日降水量≥50毫米的站点数占区内站点数50%以上，确定为一个区域性暴雨日。出现一个或一个以上连续区域性暴雨日，则为一次区域性暴雨过程。满足区域暴雨过程判定条件的首日即为该过程开始日，区域性暴雨过程开始后，单日监测区内出现不满足区域性暴雨过程判定条件首日的前一日，为该过程结束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②区域性暴雨过程综合强度评价</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以区域性暴雨过程的平均强度、平均影响范围和持续时间作为区域性暴雨过程的评估指标。</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区域性暴雨过程的持续时间（T）：区域性暴雨过程的开始日至结束日之间的日数为该次区域性暴雨过程的持续时间（T）。</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区域性暴雨过程的平均强度（I）：某次区域性暴雨过程的平均强度是指该过程中平均每天每个暴雨站点的降水量。</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区域性暴雨过程的平均影响范围（A）：某次区域性暴雨过程的平均影响范围，以暴雨过程中平均日暴雨站数来代表。</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区域性暴雨过程的综合强度指数（Z）：综合考虑一次区域性暴雨过程的平均强度、平均范围和持续时间来确定该次过程的综合强度指数（Z）。</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区域性暴雨过程的综合强度评价等级划分采用百分位法，将区域性暴雨过程综合强度划分为一般、较强、强和特强4个等级。</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（3）致灾因子识别</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①致灾因子初步筛选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选择以下4个指标来表达单站暴雨过程强度：1、最大小时降水量I1pre，整个暴雨过程中，小时降水量最大值；2、最大日降水量I24pre，整个暴雨过程中，日降水量最大值；3、过程累积降水量Ipre，整个暴雨过程的累积降水量；4、暴雨持续天数Iday，暴雨过程的开始日至结束日总天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②基于灾损指数确定致灾因子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首先对暴雨灾害的灾情进行解析，分离出不同承灾体的损失情况。然后利用承灾体损失计算灾损指数，通过灾损指数和致灾因子的关系分析，确定暴雨灾害的短历时雨强致灾因子和过程性雨强致灾因子。如果资料条件不能满足上述方法，也可以直接采用初步筛选的致灾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（4）暴雨过程强度指数以及强事件</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根据识别出的致灾因子，对各评价指标进行归一化处理，采用信息熵赋权法确定权重，加权求和得到暴雨过程强度指数。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采用百分位法，划分为一般性、偏强、强及极端事件4个等级。等级达到Ⅰ级和Ⅱ级的事件称作强事件。</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（5）致灾危险性评估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年雨涝指数计算：累加当年逐场暴雨过程强度值，得到年雨涝指数。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孕灾环境影响系数计算：暴雨孕灾环境主要考虑地形、水系易发条件，再进行加权综合，具体方法详见暴雨灾害调查与风险评估技术细则。</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（6）致灾危险性计算</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致灾危险性指数=（1+暴雨孕灾环境影响系数）*年雨涝指数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致灾危险性分区：基于致灾危险性指数，采用自然断点法或百分位法，对致灾危险性进行等级划分，并根据结果制成图件。</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（三）大风灾害调查与危险性评估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资料收集。根据风险评估和区划的尺度，收集和整理评估区域大风历史灾害事件、气象数据、承灾体、基础地理、常住人口分布、社会经济现状和社会发展规划、防灾减灾能力等相关资料；根据资料收集状况进行分析判断，必要时开展补充调查，保证数据的现势性。</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（2）危险性调查。包括大风气候特征调查和大风灾害事件调查，确定调查对象、内容、区域及地点，完善调查方式和方法，按照调查进度和筹划，组织实施调查。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（3）危险性评估。根据评估区域大风灾害特点，确定致灾因子，评估大风灾害危险性。</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（4）危险性区划及制图。对大风灾害危险性进行空间划分，制作成果图件。</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（四）雷电灾害调查与危险性评估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调查对象：区域历史雷电发生概况。</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资料要求：闪电定位资料，易燃易爆场所分布、历史雷电灾害、综合减灾资源（由地方普查组下发）以及地方普查组下发或共享资料获取的海拔高度、地形起伏、土壤电阻率数据（可选）等。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雷电灾害危险性评估主要针对致灾因子，即雷电活动的特征展开分析，主要特征因子为地闪密度和雷电强度。其数据处理和计算方法如下：</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将上海区域范围划为一定规格网格（标准推荐3×3km）；</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将雷电定位数据插值到网格中，得到各网格内的地闪密度Ld，并进行归一化处理，形成地闪密度栅格数据；</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将各网格内雷电强度按百分位数法划分5等级，统计各网格内不同雷电流幅值等级的地闪频次，并进行归一化处理；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根据雷电对各网格的地闪密度、雷电强度进行归一化处理再加权，综合得到雷电致灾因子指数；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将孕灾环境的地形起伏、土壤电阻率、地表高程等因子经归一化处理后，计算得到网格孕灾环境指数。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根据综合致灾因子和孕灾环境指数，按层次分析法确定权重系数，根据致灾危险性指数RH模型进行计算。</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根据致灾危险性指数RH计算结果，按照自然断点法将危险性划分为4级（低、一般、高、极高），并绘制致灾危险性分布图，完成危险性评估。</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（五）高温灾害调查与危险性评估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调查对象：影响崇明区的高温灾害事件，调查重点为连续3天及以上日最高气温≥35℃的高温过程灾害事件。</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（1）高温致灾因子识别</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调查气象致灾危险性因子，包括高温持续时间、日最高气温、日最低气温、日平均气温、相对湿度等。使用散点图等识别气象致灾危险性因子。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（2）高温致灾危险性评估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综合考虑高温频率、强度、持续性特征，定义一个综合高温指数来对高温致灾因子危险性进行评价分级，该综合指数包括了能够较好地表征高温过程特征的关键性指标，如高温日数、极端最高气温和高温过程数。综合高温指数通过多个过程指标的加权综合得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评估流程：统计崇明各气象站点多年平均高温危险性评价指标，包括高温日数（频率）、极端最高气温（强度）、高温过程数和过程平均最高气温；根据站点经纬度信息采用GIS软件空间分析（spatialanalysis）方法将各评价指标插值成栅格数据；采用标准化处理方法，将各高温危险性评价指标转化为0-1之间无量纲值；采用加权综合评价方法，计算综合高温灾害致灾因子危险性指数；绘制高温灾害综合致灾因子危险性指数等级分布图，采用百分位法将危险性等级分为四个等级：极高（＞95%）、高（95%-80%）、中（80%-50%）和低（≤50%）。</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（六）低温灾害调查与危险性评估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调查对象：冷空气（寒潮）、霜冻害、秋季低温、生命线胁迫（水管爆裂）等。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（1）资料要求</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以乡镇为单元，调查和使用的资料包括：</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①崇明区内国家级地面气象站逐日观测数据，要素包含平均气温、最高气温、最低气温、等气象观测数据，崇明区域内自动气象站逐时观测数据，要素包含气温等观测数据。</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②区－乡镇级低温灾情，包括灾害发生地、开始日期、结束日期、灾害影响描述，受灾人口、直接经济损失，不同类型农作物（水稻、林果、蔬菜）的受灾面积、绝收面积、亩经济损失、水管爆裂根数及长度等。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灾情信息由相关部门协调共享并可适当调整所列之项目。</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评估区域的气象资料、基础地理信息资料、历史灾情资料等相关资料可根据收集状况进行分析判断，保证数据的现势性。</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低温灾害调查满足下列四种条件之一：</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冷空气（寒潮）：依据QX/T393-2017，单站出现中等强度冷空气（48小时降温幅度≥6℃）及以上时，且持续两日及以上，判定为出现一次冷空气过程。每日监测区域内≥20%（区域或市级）的监测站点出现中等以上强度的单站冷空气则为一次区域性冷空气过程。满足冷空气过程判定条件的首日为冷空气过程开始日，满足冷空气过程判定条件的最后一日为冷空气过程结束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霜冻害：日最低气温≤4℃作为霜冻指标。</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秋季低温：10月日最低气温≤15℃作为水稻灌浆期指标。</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生命线胁迫（水管爆裂）：指12-3月出现持续2天及以上的日最低气温≤-5℃且日平均气温≤0℃的天气。</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（3）致灾因子调查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致灾因子调查数据的站点以国家级地面气象站为主，区域自动气象站为辅。统计达到冷空气（寒潮）、霜冻害、秋季低温等灾种标准时的起止时间、过程天数、过程最低气温、过程最大降温幅度、过程累计降温幅度等要素。</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（4）低温致灾因子危险性评估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冷空气（寒潮）为例：综合考虑冷空气频率、强度、持续性特征，定义一个综合冷空气指数来对冷空气致灾因子危险性进行评价分级，该综合指数包括了能够较好地表征冷空气过程特征的关键性指标，例如持续天数、过程最大降温幅度、过程极端最低气温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按照危险性指标值分布特征，采用标准差等方法将危险性等级分为四个等级，分别用四色来标识危险性等级大小，绘制空间分布图。</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（七）雪灾调查与危险性评估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调查对象：影响崇明区雪灾事件或过程。</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（1）资料要求</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①崇明区内国家级气象观测站逐日观测数据，要素包含逐日降水量、气温、风速及天气现象、累计降雪量、最大积雪深度、积雪（降雪）日数、最低气温等观测数据。</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②灾情数据，包括雪灾导致的受灾人口、死亡人口、农作物受灾面积、农作物绝收面积、直接经济损失等。灾情数据由相关部门协调共享获取，可适当调整所列项目。</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评估区域的气象资料、基础地理信息资料、历史灾情资料等相关资料，根据资料收集情况进行分析判断，保证数据的现势性。</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（2）雪灾致灾因子危险性评估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定义一个综合雪灾致灾因子危险性指数进行雪灾危险性评估。综合考虑累计降雪量、最大积雪深度、积雪（降雪）日数、最低温度等要素。基于专家打分法、熵值法等确定各危险性因子权重，建立综合雪灾危险性指数，进行雪灾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（3）雪灾致灾因子危险性等级划分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根据危险性指标值分布特征，综合考虑地形地貌、区域气候特征、流域等，可使用标准差等方法，将危险性分为四个等级。</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基于雪灾致灾危险性评估指标，综合考虑行政区划，对雪灾危险性进行基于空间单元的划分，并根据结果制成图件。</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（八）大雾灾害调查与危险性评估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（1）资料要求</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区域内的国家站、自动站能见度资料。若调查区域无国家级地面气象站点数据，可收集区域自动站数据作为补充。</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大雾灾情主要收集承灾体（高速、轮渡、城乡主干道等）的大雾灾情资料和数据：要素包含轮渡的年班数、年客流量，受大雾影响的班数、客流量；高速公路和主干道的年车流量，因大雾造成的交通事故数量等，以灾险普查办可提供的数据为主。</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（2）灾害事件调查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满足以下条件的能见度确定为某区域的影响大雾：区域内有1站出现能见度≤0.5km，确定为该区域影响大雾，调查大雾起止时间、影响范围、等级、经度、纬度等信息，调查最小能见度和持续时间等致灾因子信息。</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（3）致灾因子调查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利用能见度资料集，结合大雾预警信号记录，获取区域大雾年平均次数、每次大雾过程中的最小能见度和大雾影响过程的持续时间。统计时间范围根据实际调查到的站点数据年限确定。</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（4）大雾致灾因子危险性评估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危险性指标：选择发生大雾的年平均次数（频次，单位次/年）、年平均最小能见度（m）、年平均持续时间（h）和周边下垫面性质（涉及水域、沿海地区等易形成大雾的下垫面环境）作为大雾灾害致灾因子的危险性评估指标（H）。采用层次分析法对大雾频次、能见度、持续时间和周边下垫面性质分别赋予权重，四个指标加权相加后得到 H。</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②危险性区划：基于大雾危险性评估指标，根据百分位阈值法将全区大雾灾害危险性划分为低危险性、较低危险性、较高危险性和高危险性四个等级 。</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lang w:val="en-US"/>
        </w:rPr>
      </w:pPr>
      <w:r>
        <w:rPr>
          <w:rFonts w:hint="eastAsia" w:ascii="仿宋" w:hAnsi="仿宋" w:eastAsia="仿宋" w:cs="仿宋"/>
          <w:b/>
          <w:bCs/>
          <w:spacing w:val="-8"/>
          <w:sz w:val="32"/>
          <w:szCs w:val="32"/>
          <w:lang w:val="en-US"/>
        </w:rPr>
        <w:t>（九）冰雹灾害调查与危险性评估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调查对象：影响崇明的冰雹天气过程，包括降雹日期、降雹开始时间、降雹结束时间、降雹持续时间、降雹时极大风速、最大冰雹直径等要素。</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（1）数据收集处理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收集的数据主要包括冰雹气象观测数据、灾情信息、承灾体信息等。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冰雹观测数据：调查评估区域内的冰雹观测记录和信息员上报的降雹记录。搜集整理当地气象灾害年鉴、气象志、地方志以及相关文献中的冰雹记录。</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灾情信息：获取其他部门共享的冰雹灾情信息。</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承灾体信息：获取其他部门共享的承灾体信息。</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（2）危险性调查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危险性调查包括冰雹灾害致灾因子调查和冰雹灾情调查。</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冰雹灾害致灾因子调查包括降雹日期、降雹频次、降雹开始时间、降雹结束时间、降雹持续时间、降雹时极大风速、最大冰雹直径等。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冰雹灾情通过共享下发，内容包括灾害发生日期、经济损失、农业受灾面积、损坏大棚数量等。</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①基于灾损指数确定致灾因子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当评估区域内收集的同时具备最大冰雹直径、降雹持续时间、降雹时极大风速和直接经济损失4个要素的样本不少于30个时，利用直接经济损失计算灾损指数，通过灾损指数和致灾因子的关系分析，确定冰雹灾害致灾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如果缺少直接经济损失数据，也可以考虑采用农业受灾面积除以当年该区域的农业面积来表征灾损指数。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使用Pearson相关系数计算方法，分别计算灾损指数与归一化处理后的最大冰雹直径、降雹持续时间、降雹时极大风速的相关系数，选取通过显著性检验（α=0.05）的因子作为冰雹灾害致灾因子。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当评估区域内收集的同时具备最大冰雹直径、降雹持续时间、降雹时极大风速和用于构建灾损指数的要素样本少于30个时，根据以往研究结果，直接选用最大冰雹直径、降雹持续时间和雹日作为致灾因子。</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②致灾因子危险性评估</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冰雹致灾因子主要体现了冰雹强度的影响，将筛选出的冰雹致灾因子等权重加权求和得到每次过程的冰雹强度指数。在做冰雹危险性评估时，还应考虑雹日（或降雹频次）的影响，因此，将冰雹历次过程的强度指数样本平均值与雹日（或降雹频次）样本累计值等权重加权求和得到冰雹危险性指数（VE），即VE=0.5XG+0.5XR，XG为冰雹历次过程的强度指数样本平均值，XR为雹日（或降雹频次）样本累计值。计算冰雹历次过程的强度指数时应先将最大冰雹直径、降雹持续时间、降雹时极大风速在时间序列样本里进行归一化处理。计算冰雹危险性指数时，应先将雹日（或降雹频次）累计值在评估区域的空间样本里进行归一化处理。</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当评估区域内收集的同时具备最大冰雹直径、降雹持续时间、降雹时极大风速和直接经济损失4个要素的样本少于30个时，可以直接选用最大冰雹直径、降雹持续时间、雹日（或降雹频次）进行加权求和，得到致灾因子危险性指数（VE），即VE=WDXD+WTXT+WRXR，XD为最大冰雹直径样本平均值，XT为降雹持续时间样本平均值，XR为雹日（或降雹频次）样本累计值，WD、WT、WR分别为三个因子的权重，推荐权重比为3:2:5，各权重系数之和为1。最大冰雹直径样本平均值、降雹持续时间样本平均值、雹日（或降雹频次）样本累计值应先做归一化处理，前两者在时间序列样本中归一化，后者在空间样本中归一化。</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当用雹日计算危险性指数时，对于一个雹日有多次降雹的情况，致灾因子取一个雹日当中的最大值；当用降雹频次计算危险性指数时，各致灾因子取过程最大值。</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（4）危险性区划</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计算评估区域内冰雹危险性指数的平均值，将冰雹灾害危险性划分为4个等级，绘制评估区域的冰雹灾害危险性等级空间分布图。</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3.3.4.4主要成果</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成果包括数据成果、图件成果、标准规范成果、技术报告类成果等。</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（1）数据成果</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1）区级台风、暴雨、大风、雷电、高温、低温、雪灾、大雾、冰雹灾害危险性等级数据；</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2）区级台风、暴雨、大风、雷电、高温、低温、雪灾、大雾、冰雹灾害危险性区划数据。</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（2）图件成果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1）区级台风灾害危险性分区图；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2）区级暴雨灾害危险性分区图；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3）区级大风灾害危险性分区图；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4）区级雷电灾害危险性分区图；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5）区级高温灾害危险性分区图；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6）区级低温灾害危险性分区图；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7）区级雪灾灾害危险性分区图；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8）区级大雾灾害危险性分区图；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9）区级冰雹灾害危险性分区图；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10）区级气象灾害的综合危险性图。</w:t>
      </w:r>
    </w:p>
    <w:p>
      <w:pPr>
        <w:pStyle w:val="12"/>
        <w:keepNext w:val="0"/>
        <w:keepLines w:val="0"/>
        <w:pageBreakBefore w:val="0"/>
        <w:kinsoku/>
        <w:wordWrap/>
        <w:overflowPunct/>
        <w:topLinePunct w:val="0"/>
        <w:autoSpaceDN/>
        <w:bidi w:val="0"/>
        <w:adjustRightInd/>
        <w:snapToGrid/>
        <w:spacing w:line="540" w:lineRule="exact"/>
        <w:ind w:lef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（3）文字报告成果</w:t>
      </w:r>
    </w:p>
    <w:p>
      <w:pPr>
        <w:pStyle w:val="12"/>
        <w:keepNext w:val="0"/>
        <w:keepLines w:val="0"/>
        <w:pageBreakBefore w:val="0"/>
        <w:kinsoku/>
        <w:wordWrap/>
        <w:overflowPunct/>
        <w:topLinePunct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台风、暴雨、大风、雷电、高温、低温、雪灾、大雾、冰雹致灾危险性评估报告。</w:t>
      </w:r>
    </w:p>
    <w:p>
      <w:pPr>
        <w:pStyle w:val="12"/>
        <w:keepNext w:val="0"/>
        <w:keepLines w:val="0"/>
        <w:pageBreakBefore w:val="0"/>
        <w:kinsoku/>
        <w:wordWrap/>
        <w:overflowPunct/>
        <w:topLinePunct w:val="0"/>
        <w:autoSpaceDN/>
        <w:bidi w:val="0"/>
        <w:adjustRightInd/>
        <w:snapToGrid/>
        <w:spacing w:line="540" w:lineRule="exact"/>
        <w:ind w:left="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rPr>
        <w:t>（</w:t>
      </w:r>
      <w:r>
        <w:rPr>
          <w:rFonts w:hint="eastAsia" w:ascii="仿宋" w:hAnsi="仿宋" w:eastAsia="仿宋" w:cs="仿宋"/>
          <w:b/>
          <w:bCs/>
          <w:spacing w:val="-8"/>
          <w:sz w:val="32"/>
          <w:szCs w:val="32"/>
          <w:lang w:val="en-US"/>
        </w:rPr>
        <w:t>二）</w:t>
      </w:r>
      <w:r>
        <w:rPr>
          <w:rFonts w:hint="eastAsia" w:ascii="仿宋" w:hAnsi="仿宋" w:eastAsia="仿宋" w:cs="仿宋"/>
          <w:b/>
          <w:bCs/>
          <w:spacing w:val="-8"/>
          <w:sz w:val="32"/>
          <w:szCs w:val="32"/>
        </w:rPr>
        <w:t>气象灾害风险评估与区划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调查为基础、评估为支撑，客观认识当前我区主要气象灾害的风险水平，科学预判气象灾害风险变化趋势和特点，形成全区气象灾害风险区划。通过实施气象灾害风险普查，结合城市精细化治理需求和城乡运行“一网统管”实际，建立气象灾害风险数据集，建立完善气象灾害风险预警和评估业。</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（1）主要任务</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台风、暴雨、大风、雷电、高温、低温、雪灾等灾害，评估气象灾害影响下人口、经济产值、农业（水稻等）、房屋建筑、公路交通、基础设施等主要承灾体脆弱性。开展上述主要气象灾害以及综合气象灾害的风险评估和风险区划，评估不同危险性水平下各类承灾体遭受主要气象灾害的风险水平，编制不低于1:5万的主要气象灾害风险区划等专业图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（2）具体内容</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台风灾害风险评估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结合灾情数据，基于致灾因子危险性以及承灾体暴露度和脆弱性，针对不同承灾体建立脆弱性评估模型。承灾体主要包括乡镇人口、GDP、农业（水稻等）、房屋建筑、公路交通等（有关内容可视所获取的承灾体信息做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构建风险评估指标、制定风险等级划分标准，根据风险等级划分标准，针对不同承灾体开展风险评估和风险区划工作。基于灾害调查、风险评估和区划结果，绘制图件，编制相关报告及图集。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详见台风灾害调查与风险评估技术细则。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暴雨灾害风险评估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暴雨致灾强度和灾情数据，针对不同承灾体建立暴露度和脆弱性（可选）评估模型，暴雨灾害主要承灾体指标包括受灾人口、死亡人口、常住人口、直接经济损失、GDP、农作物受灾面积、种植面积和产量，具体评估指标可结合评估区域实际和所获取的承灾体数据做出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暴雨灾害风险形成原理及评价指标体系，分别将致灾危险性、承灾体暴露度和承灾体脆弱性各指标进行归一化和加权综合，建立风险评估模型。如不考虑脆弱性，可将致灾危险性和承灾体暴露度进行加权求积，得到风险评估模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根据风险评估模型，分别对不同承灾体进行风险评估，结合行政单元进行空间划分，采用百分位等方法进行风险分级和制图。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详见暴雨灾害调查与风险评估技术细则。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大风灾害风险评估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大风承灾体主要包括人口、经济、农业、渔业、城乡建设、交通、电力、绿化市容等行业，有关评估工作视相关部门提供的信息作遴选后再开展。在相关部门提供数据充分的基础上，完成大风风险评估。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详见大风灾害调查与风险评估技术细则。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雷电灾害风险评估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针对雷电不同承灾体建立脆弱性评估模型。受雷电影响的主要承灾体指标包括受灾人口、死亡人口、总人口、直接经济损失、GDP等（该部分数据源自地方普查组共享）。</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构建风险评估指标、制定风险等级划分标准，开展不同空间尺、不同承灾体的雷电灾害风险评估。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详见雷电灾害调查与风险评估技术细则。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高温灾害风险评估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高温灾害强度和灾情数据（若有），如农业灾情、不同作物的产量历史数据，高温致病人口等，针对不同承灾体建立暴露度和脆弱性评估模型。高温灾害主要承灾体指标包括受灾人口、死亡人口、总人口、直接经济损失、GDP、农作物等。具体评估指标可结合评估区域实际和所获取的承灾体数据做出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构建风险评估指标、制定风险等级划分标准，开展不同承灾体的高温灾害风险评估，结合行政单元进行空间划分，采用百分位等方法进行风险分级和制图。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详见高温灾害调查与风险评估技术细则。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低温灾害风险评估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与其他部门共享普查信息，掌握人口、经济、农业、管道等承灾体调查数据、历史灾害数据、综合减灾资源调查等数据，针对冷空气（寒潮）、霜冻害、秋季低温等低温灾害，对不同承灾体建立风险评估模型。低温灾害主要承灾体指标包括人口、GDP、农作物受灾面积等。构建风险评估指标、制定风险等级划分标准，开展不同空间尺度、不同承灾体的低温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基于各类型低温灾害、不同承灾体风险评估结果，综合考虑行政区划，对低温灾害风险进行基于空间单元的划分，并绘制图件，编制相关报告及图集。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详见低温灾害调查与风险评估技术细则。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雪灾风险评估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结合灾情数据，基于致灾因子危险性以及承灾体暴露度和脆弱性指标，针对不同承灾体建立风险评估模型，承灾体主要包括人口、经济、农业等（有关内容可视所获取的承灾体信息做调整）。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构建风险评估指标、制定风险等级划分标准，针对不同承灾体开展风险评估和工作。基于风险评估结果，综合考虑行政区划，对雪灾风险进行基于空间单元的划分，并绘制图件，编制相关报告及图集。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详见雪灾调查与风险评估技术细则。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大雾灾害风险性评估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结合灾情数据，基于致灾因子危险性以及承灾体暴露度和脆弱性，针对不同承灾体建立脆弱性评估模型。承灾体主要包括高速、轮渡、城乡主干道等（有关内容可视所获取的承灾体信息做调整）。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构建风险评估指标、制定风险等级划分标准，视情况针对不同承灾体开展风险评估工作。基于灾害调查、风险评估结果，编制相关报告。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详见大雾灾害调查与风险评估技术细则。</w:t>
      </w:r>
    </w:p>
    <w:p>
      <w:pPr>
        <w:pStyle w:val="12"/>
        <w:keepNext w:val="0"/>
        <w:keepLines w:val="0"/>
        <w:pageBreakBefore w:val="0"/>
        <w:numPr>
          <w:ilvl w:val="0"/>
          <w:numId w:val="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冰雹灾害风险评估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综合考虑评估区域冰雹致灾因子危险性、孕灾环境敏感性、承灾体易损性，视情况开展冰雹灾害风险评估。基于灾害调查、风险评估结果，编制相关报告。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详见冰雹调查与风险评估技术细则。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（2）工作流程与技术方法</w:t>
      </w:r>
    </w:p>
    <w:p>
      <w:pPr>
        <w:pStyle w:val="12"/>
        <w:keepNext w:val="0"/>
        <w:keepLines w:val="0"/>
        <w:pageBreakBefore w:val="0"/>
        <w:numPr>
          <w:ilvl w:val="0"/>
          <w:numId w:val="3"/>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工作流程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收集的台风、暴雨、大风、雷电、高温、低温、雪灾、大雾和冰雹9种气象灾害的灾情数据，建立主要气象灾害灾情数据集，根据经济社会的发展，承灾体的脆弱性、防灾减灾能力等构建灾害风险评估模型，然后对9种气象灾害进行风险评估和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致灾气象条件的确定和危险性调查。针对台风、暴雨、大风、雷电、高温、低温、雪灾、大雾、和冰雹9种气象灾害调查资料开展建模分析，确定各个灾种的致灾气象条件，评估各个灾种危险性水平。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主要承灾体脆弱性模型库建立。基于气象灾害危险性普查、承灾体普查和历史灾情普查成果，采用实地调查和统计方法，构建主要承灾体对各类气象灾害的脆弱性评估模型，给出气象致灾强度与不同承灾体损失之间的定量关系，建立气象灾害脆弱性模型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定量风险评估。基于危险性评估、承灾体暴露度调查和脆弱性模型，构建台风、暴雨、大风、雷电、高温、低温、雪灾等气象灾害风险评估指标，评估各灾种主要承灾体的风险水平。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风险区划。基于台风、暴雨、大风、雷电、高温、低温、雪灾等气象灾害风险评估成果，开展各个灾种的风险区划工作，划分各灾种风险等级，绘制风险地图并形成图件成果。</w:t>
      </w:r>
    </w:p>
    <w:p>
      <w:pPr>
        <w:pStyle w:val="12"/>
        <w:keepNext w:val="0"/>
        <w:keepLines w:val="0"/>
        <w:pageBreakBefore w:val="0"/>
        <w:numPr>
          <w:ilvl w:val="0"/>
          <w:numId w:val="3"/>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技术方法</w:t>
      </w:r>
    </w:p>
    <w:p>
      <w:pPr>
        <w:pStyle w:val="12"/>
        <w:keepNext w:val="0"/>
        <w:keepLines w:val="0"/>
        <w:pageBreakBefore w:val="0"/>
        <w:numPr>
          <w:ilvl w:val="0"/>
          <w:numId w:val="4"/>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台风灾害风险评估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1）承灾体评估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承灾体主要包括乡镇人口、国民经济、农业、房屋建筑、公路交通等。评估内容包括承灾体暴露度和脆弱性，有关内容可视所获取的承灾体信息做调整。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对暴露度因子和脆弱性因子进行无量纲化处理，得到不同承灾体的暴露度和脆弱性指标。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基于“风险（Risk）=危险性×暴露度×脆弱性”定义，计算针对不同承灾体的以乡镇为单元的台风灾害风险。</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3）风险区划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针对不同承灾体，根据风险指标值分布特征，将风险分为高、较高、一般、较低、低五个等级绘制风险分布图。</w:t>
      </w:r>
    </w:p>
    <w:p>
      <w:pPr>
        <w:pStyle w:val="12"/>
        <w:keepNext w:val="0"/>
        <w:keepLines w:val="0"/>
        <w:pageBreakBefore w:val="0"/>
        <w:numPr>
          <w:ilvl w:val="0"/>
          <w:numId w:val="5"/>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暴雨灾害风险评估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1）承灾体暴露度分析：选取人口、经济和农业进行暴露度分析，也可根据承灾体数据情况适当调整，具体方法如下：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人口暴露度：用各乡镇常住人口密度表示。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经济暴露度：用各乡镇GDP密度表示。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农业暴露度：用各乡镇种植经济农作物种植面积和产量表示。为了消除各指标的量纲差异，对人口暴露度、经济暴露度、农业暴露度指标进行归一化处理。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2）承灾体脆弱性分析（可选）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选取人口、经济和农业进行脆弱性分析，也可根据承灾体数据情况适当调整，具体方法如下：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人口脆弱性：用各乡镇因暴雨灾害造成的死亡人口和受灾人口占区域总人口比例表示。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经济脆弱性：用各乡镇因暴雨灾害造成的直接经济损失占区域GDP的比例表示。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农业脆弱性：用各乡镇种植经济农作物因暴雨灾害造成的受灾面积占种植面积比例表示。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为了消除各指标的量纲差异，对人口脆弱性、经济脆弱性、农业脆弱性指标进行归一化处理。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3）暴雨灾害风险评估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暴雨灾害风险形成原理及评价指标体系，分别将致灾因子危险性、承灾体暴露度和承灾体脆弱性各指标进行归一化，再加权综合，建立风险评估模型。如不考虑脆弱性，则可将致灾危险性和承灾体暴露度进行加权求积，得到风险评估结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根据风险评估模型，分别对不同承灾体进行风险评估。如人口、经济风险评估分别表示为：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受灾人口风险=暴雨致灾危险性（危险性）we×区域人口密度（暴露度）wh×区域人口受灾率（脆弱性）ws；</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GDP损失风险=暴雨致灾危险性（危险性）we×区域GDP密度（暴露度）wh×区域直接经济损失（脆弱性）ws</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we、wh、ws分别为暴雨致灾危险性、承灾体暴露度、承灾体脆弱性指数的权重。</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4）暴雨灾害风险分区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依据不同承灾体风险评估结果，结合行政单元进行空间划分，采用百分位法或自然断点法将暴雨灾害风险等级划分为Ⅰ级－Ⅴ级共5个等级，分别对应风险高、风险较高、风险中等、风险较低、风险低。</w:t>
      </w:r>
    </w:p>
    <w:p>
      <w:pPr>
        <w:pStyle w:val="12"/>
        <w:keepNext w:val="0"/>
        <w:keepLines w:val="0"/>
        <w:pageBreakBefore w:val="0"/>
        <w:kinsoku/>
        <w:wordWrap/>
        <w:overflowPunct/>
        <w:topLinePunct w:val="0"/>
        <w:autoSpaceDN/>
        <w:bidi w:val="0"/>
        <w:adjustRightInd/>
        <w:snapToGrid/>
        <w:spacing w:line="540" w:lineRule="exact"/>
        <w:ind w:left="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⑤暴雨灾害风险制图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暴雨灾害风险等级划分为Ⅰ级、Ⅱ级、Ⅲ级、Ⅳ、Ⅴ级共5个等级，进而在GIS平台上进行风险分区制图，得到暴雨灾害对不同承灾体风险分区图谱。</w:t>
      </w:r>
    </w:p>
    <w:p>
      <w:pPr>
        <w:pStyle w:val="12"/>
        <w:keepNext w:val="0"/>
        <w:keepLines w:val="0"/>
        <w:pageBreakBefore w:val="0"/>
        <w:numPr>
          <w:ilvl w:val="0"/>
          <w:numId w:val="6"/>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大风灾害风险评估</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lang w:val="en-US" w:eastAsia="zh-CN"/>
        </w:rPr>
        <w:t>1）</w:t>
      </w:r>
      <w:r>
        <w:rPr>
          <w:rFonts w:hint="eastAsia" w:ascii="仿宋" w:hAnsi="仿宋" w:eastAsia="仿宋" w:cs="仿宋"/>
          <w:spacing w:val="-8"/>
          <w:sz w:val="32"/>
          <w:szCs w:val="32"/>
        </w:rPr>
        <w:t>大风对人员安全影响的风险评估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人口作为主要的承灾体，以人口密度因子描述承灾体的易损状况，评估方程为：Rp=H×S×（Ep×F（p）），其中Rp为大风灾害对人员安全影响的风险度，H为大风危险性，S为孕灾环境敏感性，Ep为人口暴露性，即人口密度（人/km2），F为以人口密度p为输入参数的大风规避函数。</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2）大风对农业影响的风险评估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大风对其他承灾体的影响风险评估方程为：Ri=H×S×Vi，其中Ri为大风灾害对i类承灾体影响的风险度，Vi为第i类承灾体的易损度。承灾体的易损度包括承灾体的暴露度（E）和脆弱性（F）。</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根据承灾体及灾情信息收集情况，承灾体易损度可使用承灾体暴露度和脆弱性共同表示，即V=E×F，或者仅使用承灾体暴露度表示。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ascii="仿宋" w:hAnsi="仿宋" w:eastAsia="仿宋" w:cs="仿宋"/>
          <w:spacing w:val="-8"/>
          <w:sz w:val="32"/>
          <w:szCs w:val="32"/>
        </w:rPr>
      </w:pPr>
      <w:r>
        <w:rPr>
          <w:rFonts w:hint="eastAsia" w:ascii="仿宋" w:hAnsi="仿宋" w:eastAsia="仿宋" w:cs="仿宋"/>
          <w:spacing w:val="-5"/>
          <w:sz w:val="32"/>
          <w:szCs w:val="32"/>
          <w:lang w:val="en-US" w:eastAsia="zh-CN" w:bidi="zh-CN"/>
        </w:rPr>
        <w:t>承灾体暴露度指标建议选取地均GDP代表经济的暴露度，农业用地面积比代表农业的暴露度，</w:t>
      </w:r>
      <w:r>
        <w:rPr>
          <w:rFonts w:hint="eastAsia" w:ascii="仿宋" w:hAnsi="仿宋" w:eastAsia="仿宋" w:cs="仿宋"/>
          <w:spacing w:val="-8"/>
          <w:sz w:val="32"/>
          <w:szCs w:val="32"/>
        </w:rPr>
        <w:t>承灾体脆弱性指标</w:t>
      </w:r>
      <w:r>
        <w:rPr>
          <w:rFonts w:hint="eastAsia" w:ascii="仿宋" w:hAnsi="仿宋" w:eastAsia="仿宋" w:cs="仿宋"/>
          <w:spacing w:val="-5"/>
          <w:sz w:val="32"/>
          <w:szCs w:val="32"/>
          <w:lang w:val="en-US" w:eastAsia="zh-CN" w:bidi="zh-CN"/>
        </w:rPr>
        <w:t>建议选取大风直接经济损失占GDP的比重代表经济脆弱性，农业受损面积占农业面积比重代表农业脆弱性。</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3）大风灾害综合风险指数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建立大风灾害综合风险指数（R）。综合风险指数R越大，综合风险越大。针对每个评估单元下垫面的承灾体进行风险指数计算。</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4）风险区划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计算崇明区大风灾害综合风险平均水平值，确定风险评估等级划分标准，将大风灾害风险分为Ⅰ级、Ⅱ级、Ⅲ级、Ⅳ级、V级，得到大风灾害相对风险等级结果，绘制崇明区相对风险等级空间分布图。</w:t>
      </w:r>
    </w:p>
    <w:p>
      <w:pPr>
        <w:pStyle w:val="12"/>
        <w:keepNext w:val="0"/>
        <w:keepLines w:val="0"/>
        <w:pageBreakBefore w:val="0"/>
        <w:numPr>
          <w:ilvl w:val="0"/>
          <w:numId w:val="7"/>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雷电灾害风险评估</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lang w:val="en-US" w:eastAsia="zh-CN"/>
        </w:rPr>
        <w:t>1）</w:t>
      </w:r>
      <w:r>
        <w:rPr>
          <w:rFonts w:hint="eastAsia" w:ascii="仿宋" w:hAnsi="仿宋" w:eastAsia="仿宋" w:cs="仿宋"/>
          <w:spacing w:val="-8"/>
          <w:sz w:val="32"/>
          <w:szCs w:val="32"/>
        </w:rPr>
        <w:t>承灾体暴露度评估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选取人口密度、GDP密度进行暴露度分析。人口密度为单位面积上的常住人口。GDP密度为单位面积上的GDP表示（或采用人均GDP密度表示），相关指标值主要通过地方普查组共享获取。</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对人口密度、GDP密度进行归一化处理，针对归一化后的人口、经济等暴露度指标，可采用层次分析法和专家打分法确定各指标的权重。</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利用计算模型进行叠加运算得到承灾体暴露度指数RE。</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2）承灾体脆弱性评估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根据地方普查获取的雷电灾害事件、人员雷灾伤亡信息、雷灾灾损信息。定义生命损失指数、经济损失指数和防护能力指数作为脆弱性评价指标。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生命损失指数，根据历史雷电灾害资料，统计单位面积上的年平均雷电灾害次数（单位为次/km2.a）与单位面积上的雷击造成人员伤亡数（单位为人/km2.a），并进行归一化和栅格化处理。经济损失指数，为年均雷击造成直接经济损失归一化栅格化处理值。防护能力指数，防护指数综合考虑土地利用类型或综合减灾资源，其中综合减灾资源包括政府防雷减灾资源、社会力量和企业参与资源和乡镇与社区减灾能力等。土地利用类型，将土地利用数据进行赋值，并进行归一化处理。综合减灾资源，综合减灾资源包括政府防雷减灾资源、企业与社会组织和乡镇与社区减灾能力。</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3）雷电灾害风险评估和综合风险评估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人口、GDP、易燃易爆场所等为承灾体的雷电灾害风险以及上述所有对象的雷电灾害综合风险，根据“风险（Risk）=危险性×暴露度×脆弱性”定义，计算以网格或乡镇为单元的雷电灾害人口损失风险值、雷电灾害GDP损失风险值或雷电灾害综合风险值。</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4）风险等级划分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依据雷电灾害风险指数大小，采用自然断点法，将雷电灾害风险划分为5级：极高风险等级（I）、高风险等级（II）、一般风险等级（III）、较低风险等级（IV）、低风险等级（V），并按制作相应的分区图。</w:t>
      </w:r>
    </w:p>
    <w:p>
      <w:pPr>
        <w:pStyle w:val="12"/>
        <w:keepNext w:val="0"/>
        <w:keepLines w:val="0"/>
        <w:pageBreakBefore w:val="0"/>
        <w:numPr>
          <w:ilvl w:val="0"/>
          <w:numId w:val="8"/>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高温灾害风险评估</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lang w:val="en-US" w:eastAsia="zh-CN"/>
        </w:rPr>
        <w:t>1</w:t>
      </w:r>
      <w:r>
        <w:rPr>
          <w:rFonts w:hint="eastAsia" w:ascii="仿宋" w:hAnsi="仿宋" w:eastAsia="仿宋" w:cs="仿宋"/>
          <w:spacing w:val="-8"/>
          <w:sz w:val="32"/>
          <w:szCs w:val="32"/>
          <w:lang w:eastAsia="zh-CN"/>
        </w:rPr>
        <w:t>）</w:t>
      </w:r>
      <w:r>
        <w:rPr>
          <w:rFonts w:hint="eastAsia" w:ascii="仿宋" w:hAnsi="仿宋" w:eastAsia="仿宋" w:cs="仿宋"/>
          <w:spacing w:val="-8"/>
          <w:sz w:val="32"/>
          <w:szCs w:val="32"/>
        </w:rPr>
        <w:t>承灾体评估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承灾体主要包括人口、经济、农作物等。评估内容包括承灾体暴露度和脆弱性，有关内容可视所获取的承灾体信息做调整。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对暴露度因子和脆弱性因子进行无量纲化处理，得到不同承灾体的暴露度和脆弱性指标。</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基于“风险（Risk）=危险性×暴露度×脆弱性”定义，计算针对不同承灾体的以乡镇为单元的高温灾害风险。</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3）风险区划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针对不同承灾体，根据风险指标值分布特征，将风险分为高、较高、一般、较低、低五个等级绘制风险分布图。</w:t>
      </w:r>
    </w:p>
    <w:p>
      <w:pPr>
        <w:pStyle w:val="12"/>
        <w:keepNext w:val="0"/>
        <w:keepLines w:val="0"/>
        <w:pageBreakBefore w:val="0"/>
        <w:numPr>
          <w:ilvl w:val="0"/>
          <w:numId w:val="9"/>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低温灾害风险评估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1）承灾体暴露度：暴露度评估可采用区划范围内各乡镇级行政区农作物种植面积、人口、水管长度等作为评价指标来表征主要承灾体暴露度。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承灾体脆弱性：承灾体是承受低温灾害的对象。城乡人口、经济和社会多个方面都受到低温灾害的影响。一个区域居住人口越多，从事农业人口越多，未采取防护设施（或裸露）的水管长度越多，越易受到低温灾害的危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3）风险评估：基于“风险（Risk）=危险性×暴露度×脆弱性”定义，计算针对不同承灾体的以乡镇为单元的低温灾害风险。</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4）风险评估和区划：针对不同承灾体，根据风险指标值分布特征，将风险分为高、较高、一般、较低、低五个等级绘制风险分布图。</w:t>
      </w:r>
    </w:p>
    <w:p>
      <w:pPr>
        <w:pStyle w:val="12"/>
        <w:keepNext w:val="0"/>
        <w:keepLines w:val="0"/>
        <w:pageBreakBefore w:val="0"/>
        <w:numPr>
          <w:ilvl w:val="0"/>
          <w:numId w:val="10"/>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雪灾风险评估</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lang w:val="en-US" w:eastAsia="zh-CN"/>
        </w:rPr>
        <w:t>1</w:t>
      </w:r>
      <w:r>
        <w:rPr>
          <w:rFonts w:hint="eastAsia" w:ascii="仿宋" w:hAnsi="仿宋" w:eastAsia="仿宋" w:cs="仿宋"/>
          <w:spacing w:val="-8"/>
          <w:sz w:val="32"/>
          <w:szCs w:val="32"/>
          <w:lang w:eastAsia="zh-CN"/>
        </w:rPr>
        <w:t>）</w:t>
      </w:r>
      <w:r>
        <w:rPr>
          <w:rFonts w:hint="eastAsia" w:ascii="仿宋" w:hAnsi="仿宋" w:eastAsia="仿宋" w:cs="仿宋"/>
          <w:spacing w:val="-8"/>
          <w:sz w:val="32"/>
          <w:szCs w:val="32"/>
        </w:rPr>
        <w:t>承灾体评估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承灾体主要包括人口、GDP、农业（水稻），人口和国民经济为必做项，其他为选作项。评估内容包括承灾体暴露度和脆弱性，有关内容由相关部门协调共享获取，可适当调整所列项目。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统计脆弱性因子指标时，在雪灾灾情等资料较为完善，可获取的前提下可考虑脆弱性因子权重；如灾情数据无法获取，则建议只考虑承灾体暴露度。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针对不同承灾体，不同区分别拥有一个脆弱性因子权重，以区为单元统计受灾率。</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2）风险评估</w:t>
      </w:r>
    </w:p>
    <w:p>
      <w:pPr>
        <w:pStyle w:val="12"/>
        <w:keepNext w:val="0"/>
        <w:keepLines w:val="0"/>
        <w:pageBreakBefore w:val="0"/>
        <w:kinsoku/>
        <w:wordWrap/>
        <w:overflowPunct/>
        <w:topLinePunct w:val="0"/>
        <w:autoSpaceDN/>
        <w:bidi w:val="0"/>
        <w:adjustRightInd/>
        <w:snapToGrid/>
        <w:spacing w:line="540" w:lineRule="exact"/>
        <w:ind w:left="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根据统计单元内致灾因子危险性指标（H）、承灾体指标（B），统计针对各承灾体的危险性指标（R）。</w:t>
      </w:r>
    </w:p>
    <w:p>
      <w:pPr>
        <w:pStyle w:val="12"/>
        <w:keepNext w:val="0"/>
        <w:keepLines w:val="0"/>
        <w:pageBreakBefore w:val="0"/>
        <w:kinsoku/>
        <w:wordWrap/>
        <w:overflowPunct/>
        <w:topLinePunct w:val="0"/>
        <w:autoSpaceDN/>
        <w:bidi w:val="0"/>
        <w:adjustRightInd/>
        <w:snapToGrid/>
        <w:spacing w:line="540" w:lineRule="exact"/>
        <w:ind w:left="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针对不同承灾体，根据风险指标值分布特征，可使用标准差等方法，将雪灾风险分为高、较高、中、较低、低五个等级。可根据区域实际数据分布特征，对分级标准进行适当调整。</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3）风险分区</w:t>
      </w:r>
    </w:p>
    <w:p>
      <w:pPr>
        <w:pStyle w:val="12"/>
        <w:keepNext w:val="0"/>
        <w:keepLines w:val="0"/>
        <w:pageBreakBefore w:val="0"/>
        <w:kinsoku/>
        <w:wordWrap/>
        <w:overflowPunct/>
        <w:topLinePunct w:val="0"/>
        <w:autoSpaceDN/>
        <w:bidi w:val="0"/>
        <w:adjustRightInd/>
        <w:snapToGrid/>
        <w:spacing w:line="540" w:lineRule="exact"/>
        <w:ind w:left="0" w:firstLine="608" w:firstLineChars="200"/>
        <w:jc w:val="both"/>
        <w:textAlignment w:val="auto"/>
        <w:rPr>
          <w:rFonts w:hint="eastAsia" w:ascii="仿宋" w:hAnsi="仿宋" w:eastAsia="仿宋" w:cs="仿宋"/>
          <w:spacing w:val="-8"/>
          <w:sz w:val="32"/>
          <w:szCs w:val="32"/>
        </w:rPr>
      </w:pPr>
      <w:r>
        <w:rPr>
          <w:rFonts w:hint="eastAsia" w:ascii="仿宋" w:hAnsi="仿宋" w:eastAsia="仿宋" w:cs="仿宋"/>
          <w:spacing w:val="-8"/>
          <w:sz w:val="32"/>
          <w:szCs w:val="32"/>
        </w:rPr>
        <w:t>基于雪灾风险评估结果，综合地形地貌、区域气候特征、流域等，对雪灾风险进行基于空间单元的划分（五级）。</w:t>
      </w:r>
    </w:p>
    <w:p>
      <w:pPr>
        <w:pStyle w:val="12"/>
        <w:keepNext w:val="0"/>
        <w:keepLines w:val="0"/>
        <w:pageBreakBefore w:val="0"/>
        <w:numPr>
          <w:ilvl w:val="0"/>
          <w:numId w:val="11"/>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大雾灾害风险评估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结合灾情数据，基于致灾因子危险性以及承灾体暴露度和脆弱性，针对不同承灾体建立脆弱性评估模型。承灾体主要包括高速、轮渡、城乡主干道等（有关内容可视所获取的承灾体信息做调整）。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构建风险评估指标、制定风险等级划分标准，根据风险等级划分标准，针对不同承灾体开展风险评估和风险区划工作。基于灾害调查、风险评估和区划结果，编制相关报告。</w:t>
      </w:r>
    </w:p>
    <w:p>
      <w:pPr>
        <w:pStyle w:val="12"/>
        <w:keepNext w:val="0"/>
        <w:keepLines w:val="0"/>
        <w:pageBreakBefore w:val="0"/>
        <w:numPr>
          <w:ilvl w:val="0"/>
          <w:numId w:val="12"/>
        </w:numPr>
        <w:kinsoku/>
        <w:wordWrap/>
        <w:overflowPunct/>
        <w:topLinePunct w:val="0"/>
        <w:autoSpaceDN/>
        <w:bidi w:val="0"/>
        <w:adjustRightInd/>
        <w:snapToGrid/>
        <w:spacing w:line="540" w:lineRule="exact"/>
        <w:ind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rPr>
        <w:t>冰雹灾害风险评估</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ascii="仿宋" w:hAnsi="仿宋" w:eastAsia="仿宋" w:cs="仿宋"/>
          <w:spacing w:val="-8"/>
          <w:sz w:val="32"/>
          <w:szCs w:val="32"/>
        </w:rPr>
      </w:pPr>
      <w:r>
        <w:rPr>
          <w:rFonts w:hint="eastAsia" w:ascii="仿宋" w:hAnsi="仿宋" w:eastAsia="仿宋" w:cs="仿宋"/>
          <w:spacing w:val="-8"/>
          <w:sz w:val="32"/>
          <w:szCs w:val="32"/>
          <w:lang w:val="en-US" w:eastAsia="zh-CN"/>
        </w:rPr>
        <w:t>1</w:t>
      </w:r>
      <w:r>
        <w:rPr>
          <w:rFonts w:hint="eastAsia" w:ascii="仿宋" w:hAnsi="仿宋" w:eastAsia="仿宋" w:cs="仿宋"/>
          <w:spacing w:val="-8"/>
          <w:sz w:val="32"/>
          <w:szCs w:val="32"/>
          <w:lang w:eastAsia="zh-CN"/>
        </w:rPr>
        <w:t>）</w:t>
      </w:r>
      <w:r>
        <w:rPr>
          <w:rFonts w:hint="eastAsia" w:ascii="仿宋" w:hAnsi="仿宋" w:eastAsia="仿宋" w:cs="仿宋"/>
          <w:spacing w:val="-8"/>
          <w:sz w:val="32"/>
          <w:szCs w:val="32"/>
        </w:rPr>
        <w:t>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根据实际情况以及承灾体调查组提供的数据选择适合的影响因子构建孕灾环境敏感性指数（VH）。为了消除各指标的量纲和数量级差异，应首先对入选的孕灾环境影响因子进行归一化处理。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评估区域的实际情况以及承灾体调查组提供的数据选择承灾体对象，例如人口密度、人均GDP、农作物面积等经济作物面积，采用加权综合评分法建立承灾体易损性指数。为了消除各指标的量纲和数量级差异，应首先对入选的承灾体数据进行归一化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结合冰雹致灾因子危险性指数（VE）、孕灾环境敏感性指数（VH）、承灾体易损性指数（VS）采用加权求积，得到评估区域内的冰雹灾害风险评估指数。</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firstLine="608" w:firstLineChars="200"/>
        <w:jc w:val="both"/>
        <w:textAlignment w:val="auto"/>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2）风险区划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计算评估区域内冰雹风险指数的平均值，绘制评估区域的冰雹灾害风险等级空间分布图。</w:t>
      </w:r>
    </w:p>
    <w:p>
      <w:pPr>
        <w:pStyle w:val="6"/>
        <w:keepNext w:val="0"/>
        <w:keepLines w:val="0"/>
        <w:pageBreakBefore w:val="0"/>
        <w:tabs>
          <w:tab w:val="left" w:pos="1069"/>
        </w:tabs>
        <w:kinsoku/>
        <w:wordWrap/>
        <w:overflowPunct/>
        <w:topLinePunct w:val="0"/>
        <w:autoSpaceDN/>
        <w:bidi w:val="0"/>
        <w:adjustRightInd/>
        <w:snapToGrid/>
        <w:spacing w:beforeLines="30" w:afterLines="30" w:line="540" w:lineRule="exact"/>
        <w:ind w:left="0" w:firstLine="643" w:firstLineChars="200"/>
        <w:jc w:val="both"/>
        <w:textAlignment w:val="auto"/>
        <w:rPr>
          <w:rFonts w:ascii="仿宋" w:hAnsi="仿宋" w:eastAsia="仿宋" w:cs="仿宋"/>
          <w:b/>
          <w:bCs/>
          <w:sz w:val="32"/>
          <w:szCs w:val="32"/>
          <w:lang w:val="en-US"/>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val="en-US"/>
        </w:rPr>
        <w:t>.3.5 数据质量控制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依据《气象灾害风险普查数据质量审核工作细则》开展数据质量控制工作。</w:t>
      </w:r>
    </w:p>
    <w:p>
      <w:pPr>
        <w:pStyle w:val="6"/>
        <w:keepNext w:val="0"/>
        <w:keepLines w:val="0"/>
        <w:pageBreakBefore w:val="0"/>
        <w:tabs>
          <w:tab w:val="left" w:pos="1069"/>
        </w:tabs>
        <w:kinsoku/>
        <w:wordWrap/>
        <w:overflowPunct/>
        <w:topLinePunct w:val="0"/>
        <w:autoSpaceDN/>
        <w:bidi w:val="0"/>
        <w:adjustRightInd/>
        <w:snapToGrid/>
        <w:spacing w:beforeLines="30" w:afterLines="30" w:line="540" w:lineRule="exact"/>
        <w:ind w:left="0" w:firstLine="643" w:firstLineChars="200"/>
        <w:jc w:val="both"/>
        <w:textAlignment w:val="auto"/>
        <w:rPr>
          <w:rFonts w:ascii="仿宋" w:hAnsi="仿宋" w:eastAsia="仿宋" w:cs="仿宋"/>
          <w:b/>
          <w:bCs/>
          <w:sz w:val="32"/>
          <w:szCs w:val="32"/>
          <w:lang w:val="en-US"/>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lang w:val="en-US"/>
        </w:rPr>
        <w:t>.3.6 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成果形式主要包括文字报告类、图件类成果、数据类成果。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firstLine="611" w:firstLineChars="200"/>
        <w:jc w:val="both"/>
        <w:textAlignment w:val="auto"/>
        <w:rPr>
          <w:rFonts w:ascii="仿宋" w:hAnsi="仿宋" w:eastAsia="仿宋" w:cs="仿宋"/>
          <w:b/>
          <w:bCs/>
          <w:spacing w:val="-8"/>
          <w:sz w:val="32"/>
          <w:szCs w:val="32"/>
        </w:rPr>
      </w:pPr>
      <w:r>
        <w:rPr>
          <w:rFonts w:hint="eastAsia" w:ascii="仿宋" w:hAnsi="仿宋" w:eastAsia="仿宋" w:cs="仿宋"/>
          <w:b/>
          <w:bCs/>
          <w:spacing w:val="-8"/>
          <w:sz w:val="32"/>
          <w:szCs w:val="32"/>
        </w:rPr>
        <w:t>（</w:t>
      </w:r>
      <w:r>
        <w:rPr>
          <w:rFonts w:hint="eastAsia" w:ascii="仿宋" w:hAnsi="仿宋" w:eastAsia="仿宋" w:cs="仿宋"/>
          <w:b/>
          <w:bCs/>
          <w:spacing w:val="-8"/>
          <w:sz w:val="32"/>
          <w:szCs w:val="32"/>
          <w:lang w:val="en-US"/>
        </w:rPr>
        <w:t>1</w:t>
      </w:r>
      <w:r>
        <w:rPr>
          <w:rFonts w:hint="eastAsia" w:ascii="仿宋" w:hAnsi="仿宋" w:eastAsia="仿宋" w:cs="仿宋"/>
          <w:b/>
          <w:bCs/>
          <w:spacing w:val="-8"/>
          <w:sz w:val="32"/>
          <w:szCs w:val="32"/>
        </w:rPr>
        <w:t>）数据成果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1）区级台风、暴雨、大风、雷电、高温、低温、雪灾等气象灾害不同承灾体风险值；</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2）区级台风、暴雨、大风、雷电、高温、低温、雪灾等气象灾害不同承灾体风险等级。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firstLine="611" w:firstLineChars="200"/>
        <w:jc w:val="both"/>
        <w:textAlignment w:val="auto"/>
        <w:rPr>
          <w:rFonts w:hint="eastAsia" w:ascii="仿宋" w:hAnsi="仿宋" w:eastAsia="仿宋" w:cs="仿宋"/>
          <w:b/>
          <w:bCs/>
          <w:spacing w:val="-8"/>
          <w:sz w:val="32"/>
          <w:szCs w:val="32"/>
        </w:rPr>
      </w:pPr>
      <w:r>
        <w:rPr>
          <w:rFonts w:hint="eastAsia" w:ascii="仿宋" w:hAnsi="仿宋" w:eastAsia="仿宋" w:cs="仿宋"/>
          <w:b/>
          <w:bCs/>
          <w:spacing w:val="-8"/>
          <w:sz w:val="32"/>
          <w:szCs w:val="32"/>
        </w:rPr>
        <w:t>（</w:t>
      </w:r>
      <w:r>
        <w:rPr>
          <w:rFonts w:hint="eastAsia" w:ascii="仿宋" w:hAnsi="仿宋" w:eastAsia="仿宋" w:cs="仿宋"/>
          <w:b/>
          <w:bCs/>
          <w:spacing w:val="-8"/>
          <w:sz w:val="32"/>
          <w:szCs w:val="32"/>
          <w:lang w:val="en-US"/>
        </w:rPr>
        <w:t>2</w:t>
      </w:r>
      <w:r>
        <w:rPr>
          <w:rFonts w:hint="eastAsia" w:ascii="仿宋" w:hAnsi="仿宋" w:eastAsia="仿宋" w:cs="仿宋"/>
          <w:b/>
          <w:bCs/>
          <w:spacing w:val="-8"/>
          <w:sz w:val="32"/>
          <w:szCs w:val="32"/>
        </w:rPr>
        <w:t>）图件成果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1）区级台风对承灾体（人口、GDP、农作物、房屋建筑等）影响的风险区划图；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2）区级暴雨对承灾体（人口，GDP、农作物）影响的风险区划图；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3）区级大风灾害对承灾体（人口、GDP、农作物）影响的风险区划图；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4）区级雷电灾害对承灾体（人口、GDP）影响的风险区划图；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5）区级高温灾害对承灾体（人口、GDP、农作物）风险区划图；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6）区级低温灾害对承灾体（人口、GDP、农作物等）风险区划图；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7）区级雪灾对承灾体（人口、GDP）风险区划图。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图件成果根据承灾体等数据情况调整。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firstLine="611" w:firstLineChars="200"/>
        <w:jc w:val="both"/>
        <w:textAlignment w:val="auto"/>
        <w:rPr>
          <w:rFonts w:hint="eastAsia" w:ascii="仿宋" w:hAnsi="仿宋" w:eastAsia="仿宋" w:cs="仿宋"/>
          <w:b/>
          <w:bCs/>
          <w:spacing w:val="-8"/>
          <w:sz w:val="32"/>
          <w:szCs w:val="32"/>
        </w:rPr>
      </w:pPr>
      <w:r>
        <w:rPr>
          <w:rFonts w:hint="eastAsia" w:ascii="仿宋" w:hAnsi="仿宋" w:eastAsia="仿宋" w:cs="仿宋"/>
          <w:b/>
          <w:bCs/>
          <w:spacing w:val="-8"/>
          <w:sz w:val="32"/>
          <w:szCs w:val="32"/>
        </w:rPr>
        <w:t>（</w:t>
      </w:r>
      <w:r>
        <w:rPr>
          <w:rFonts w:hint="eastAsia" w:ascii="仿宋" w:hAnsi="仿宋" w:eastAsia="仿宋" w:cs="仿宋"/>
          <w:b/>
          <w:bCs/>
          <w:spacing w:val="-8"/>
          <w:sz w:val="32"/>
          <w:szCs w:val="32"/>
          <w:lang w:val="en-US"/>
        </w:rPr>
        <w:t>3</w:t>
      </w:r>
      <w:r>
        <w:rPr>
          <w:rFonts w:hint="eastAsia" w:ascii="仿宋" w:hAnsi="仿宋" w:eastAsia="仿宋" w:cs="仿宋"/>
          <w:b/>
          <w:bCs/>
          <w:spacing w:val="-8"/>
          <w:sz w:val="32"/>
          <w:szCs w:val="32"/>
        </w:rPr>
        <w:t>）文字报告成果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台风、暴雨、高温、低温、大风、雪灾和雷电等气象灾害影响下对人口、GDP、农作物等的风险评估报告。台风灾害影响下对房屋建筑的风险评估报告。</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88" w:name="_Toc31962"/>
      <w:r>
        <w:rPr>
          <w:rFonts w:hint="eastAsia" w:ascii="楷体" w:hAnsi="楷体" w:eastAsia="楷体" w:cs="楷体"/>
          <w:b/>
          <w:bCs/>
          <w:sz w:val="32"/>
          <w:szCs w:val="32"/>
          <w:lang w:val="en-US" w:eastAsia="zh-CN"/>
        </w:rPr>
        <w:t>3.4 水旱灾害</w:t>
      </w:r>
      <w:bookmarkEnd w:id="79"/>
      <w:bookmarkEnd w:id="88"/>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89" w:name="2.4.1_目标"/>
      <w:bookmarkEnd w:id="89"/>
      <w:bookmarkStart w:id="90" w:name="_Toc4903"/>
      <w:r>
        <w:rPr>
          <w:rFonts w:hint="eastAsia" w:ascii="仿宋" w:hAnsi="仿宋" w:eastAsia="仿宋" w:cs="仿宋"/>
          <w:b/>
          <w:bCs/>
          <w:sz w:val="32"/>
          <w:szCs w:val="32"/>
          <w:lang w:val="en-US" w:eastAsia="zh-CN"/>
        </w:rPr>
        <w:t xml:space="preserve">3.4.1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bookmarkEnd w:id="90"/>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开展崇明区水旱灾害风险普查是贯彻落实习近平总书记关于防灾减灾救灾的重要论述精神，是践行“两个维护”的具体行动，是必须要完成好的一项重要政治任务。通过开展普查，摸清水旱灾害风险隐患底数和防灾减灾救灾能力现状，客观认识崇明区水旱灾害风险水平，是提升水旱灾害防治能力的基础性工作，为崇明区有效开展水旱灾害防治和应急管理，大力推进城乡精细化治理和“韧性城市”建设，提升全区抵御水旱灾害的综合防范能力，切实保障全区经济可持续发展提供权威的水旱灾害风险信息和科学决策依据。具体的工作目标：全面获取全区水旱灾害致灾信息，重要承灾体信息，历史灾害信息，掌握灾害隐患情况，查明水利行业、区域抗灾能力和减灾能力。优质高效地完成崇明区水旱灾害风险普查工作，按国家和上海市灾害风险普查主管单位要求的时间节点汇交崇明区水旱灾害风险普查成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3.4.2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bookmarkStart w:id="91" w:name="_Toc76823083"/>
      <w:r>
        <w:rPr>
          <w:rFonts w:hint="eastAsia" w:ascii="仿宋" w:hAnsi="仿宋" w:eastAsia="仿宋" w:cs="仿宋"/>
          <w:b/>
          <w:bCs/>
          <w:spacing w:val="-5"/>
          <w:sz w:val="32"/>
          <w:szCs w:val="32"/>
          <w:lang w:val="en-US" w:eastAsia="zh-CN" w:bidi="zh-CN"/>
        </w:rPr>
        <w:t>空间范围</w:t>
      </w:r>
      <w:bookmarkEnd w:id="91"/>
      <w:r>
        <w:rPr>
          <w:rFonts w:hint="eastAsia" w:ascii="仿宋" w:hAnsi="仿宋" w:eastAsia="仿宋" w:cs="仿宋"/>
          <w:b/>
          <w:bCs/>
          <w:spacing w:val="-5"/>
          <w:sz w:val="32"/>
          <w:szCs w:val="32"/>
          <w:lang w:val="en-US" w:eastAsia="zh-CN" w:bidi="zh-CN"/>
        </w:rPr>
        <w:t>：</w:t>
      </w:r>
      <w:r>
        <w:rPr>
          <w:rFonts w:hint="eastAsia" w:ascii="仿宋" w:hAnsi="仿宋" w:eastAsia="仿宋" w:cs="仿宋"/>
          <w:spacing w:val="-5"/>
          <w:sz w:val="32"/>
          <w:szCs w:val="32"/>
          <w:lang w:val="en-US" w:eastAsia="zh-CN" w:bidi="zh-CN"/>
        </w:rPr>
        <w:t>本次普查实施范围为崇明区（三岛）陆域范围，按照“在地统计”的原则对本区域开展水旱灾害风险普查任务。</w:t>
      </w:r>
      <w:bookmarkStart w:id="92" w:name="_Toc76823084"/>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时间范围</w:t>
      </w:r>
      <w:bookmarkEnd w:id="92"/>
      <w:r>
        <w:rPr>
          <w:rFonts w:hint="eastAsia" w:ascii="仿宋" w:hAnsi="仿宋" w:eastAsia="仿宋" w:cs="仿宋"/>
          <w:b/>
          <w:bCs/>
          <w:spacing w:val="-5"/>
          <w:sz w:val="32"/>
          <w:szCs w:val="32"/>
          <w:lang w:val="en-US" w:eastAsia="zh-CN" w:bidi="zh-CN"/>
        </w:rPr>
        <w:t>：</w:t>
      </w:r>
      <w:r>
        <w:rPr>
          <w:rFonts w:hint="eastAsia" w:ascii="仿宋" w:hAnsi="仿宋" w:eastAsia="仿宋" w:cs="仿宋"/>
          <w:spacing w:val="-5"/>
          <w:sz w:val="32"/>
          <w:szCs w:val="32"/>
          <w:lang w:val="en-US" w:eastAsia="zh-CN" w:bidi="zh-CN"/>
        </w:rPr>
        <w:t>致灾因子调查，依据不同灾害类型特点，收集30年以上长时间连续序列的数据资料，相关信息更新至2020年12月31日。承灾体、重点隐患调查时点为2020年12月31日2020年1月1日至2020年12月31日，近三年时段为2018年1月1日至2020年12月31日，时点为2020年12月31日。</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3.4.3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上海市崇明区第一次自然灾害综合风险普查领导小组办公室关于印发上海市崇明区第一次自然灾害综合风险普查崇明区工作方案的通知》（崇灾险普办〔2021〕1号）工作安排：区水务局负责本区水旱灾害风险调查的灾害致灾调查、承灾体调查、重点隐患调查。</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93" w:name="_Toc5071"/>
      <w:r>
        <w:rPr>
          <w:rFonts w:hint="eastAsia" w:ascii="仿宋" w:hAnsi="仿宋" w:eastAsia="仿宋" w:cs="仿宋"/>
          <w:b/>
          <w:bCs/>
          <w:sz w:val="32"/>
          <w:szCs w:val="32"/>
          <w:lang w:val="en-US" w:eastAsia="zh-CN"/>
        </w:rPr>
        <w:t>3.4.4 水旱灾害致灾调查</w:t>
      </w:r>
      <w:bookmarkEnd w:id="93"/>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4</w:t>
      </w:r>
      <w:r>
        <w:rPr>
          <w:rFonts w:hint="eastAsia" w:ascii="仿宋" w:hAnsi="仿宋" w:eastAsia="仿宋" w:cs="仿宋"/>
          <w:b/>
          <w:bCs/>
          <w:spacing w:val="-8"/>
          <w:sz w:val="32"/>
          <w:szCs w:val="32"/>
          <w:lang w:val="en-US"/>
        </w:rPr>
        <w:t>.1</w:t>
      </w:r>
      <w:r>
        <w:rPr>
          <w:rFonts w:hint="eastAsia" w:ascii="仿宋" w:hAnsi="仿宋" w:eastAsia="仿宋" w:cs="仿宋"/>
          <w:b/>
          <w:bCs/>
          <w:spacing w:val="-8"/>
          <w:sz w:val="32"/>
          <w:szCs w:val="32"/>
          <w:lang w:val="en-US" w:eastAsia="zh-CN"/>
        </w:rPr>
        <w:t xml:space="preserve"> </w:t>
      </w:r>
      <w:r>
        <w:rPr>
          <w:rFonts w:hint="eastAsia" w:ascii="仿宋" w:hAnsi="仿宋" w:eastAsia="仿宋" w:cs="仿宋"/>
          <w:b/>
          <w:bCs/>
          <w:spacing w:val="-8"/>
          <w:sz w:val="32"/>
          <w:szCs w:val="32"/>
          <w:lang w:val="en-US"/>
        </w:rPr>
        <w:t>调查范围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干旱灾害：调查范围涵盖崇明区三岛范围。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内涝灾害：调查范围涵盖崇明区三岛范围。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default" w:ascii="仿宋" w:hAnsi="仿宋" w:eastAsia="仿宋" w:cs="仿宋"/>
          <w:b/>
          <w:bCs/>
          <w:spacing w:val="-8"/>
          <w:sz w:val="32"/>
          <w:szCs w:val="32"/>
          <w:lang w:val="en-US" w:eastAsia="zh-CN"/>
        </w:rPr>
      </w:pPr>
      <w:r>
        <w:rPr>
          <w:rFonts w:hint="eastAsia" w:ascii="仿宋" w:hAnsi="仿宋" w:eastAsia="仿宋" w:cs="仿宋"/>
          <w:b/>
          <w:bCs/>
          <w:spacing w:val="-8"/>
          <w:sz w:val="32"/>
          <w:szCs w:val="32"/>
          <w:lang w:val="en-US" w:eastAsia="zh-CN"/>
        </w:rPr>
        <w:t>3.4.4.2 调查内容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9"/>
        <w:rPr>
          <w:rFonts w:hint="eastAsia" w:ascii="仿宋" w:hAnsi="仿宋" w:eastAsia="仿宋" w:cs="仿宋"/>
          <w:b/>
          <w:bCs/>
          <w:spacing w:val="-8"/>
          <w:sz w:val="32"/>
          <w:szCs w:val="32"/>
          <w:lang w:val="en-US" w:eastAsia="zh-CN"/>
        </w:rPr>
      </w:pPr>
      <w:r>
        <w:rPr>
          <w:rFonts w:hint="eastAsia" w:ascii="仿宋" w:hAnsi="仿宋" w:eastAsia="仿宋" w:cs="仿宋"/>
          <w:b/>
          <w:bCs/>
          <w:spacing w:val="-8"/>
          <w:sz w:val="32"/>
          <w:szCs w:val="32"/>
          <w:lang w:val="en-US" w:eastAsia="zh-CN"/>
        </w:rPr>
        <w:t>（一）干旱灾害调查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崇明区水务局组织实施辖区内干旱灾害致灾调查和调查成果审核汇集等任务，填写相关表格。具体如下：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w:t>
      </w:r>
      <w:r>
        <w:rPr>
          <w:rFonts w:hint="default" w:ascii="仿宋" w:hAnsi="仿宋" w:eastAsia="仿宋" w:cs="仿宋"/>
          <w:spacing w:val="-5"/>
          <w:sz w:val="32"/>
          <w:szCs w:val="32"/>
          <w:lang w:val="en-US" w:eastAsia="zh-CN" w:bidi="zh-CN"/>
        </w:rPr>
        <w:t>1</w:t>
      </w:r>
      <w:r>
        <w:rPr>
          <w:rFonts w:hint="eastAsia" w:ascii="仿宋" w:hAnsi="仿宋" w:eastAsia="仿宋" w:cs="仿宋"/>
          <w:spacing w:val="-5"/>
          <w:sz w:val="32"/>
          <w:szCs w:val="32"/>
          <w:lang w:val="en-US" w:eastAsia="zh-CN" w:bidi="zh-CN"/>
        </w:rPr>
        <w:t>）基础资料：</w:t>
      </w:r>
      <w:r>
        <w:rPr>
          <w:rFonts w:hint="default" w:ascii="仿宋" w:hAnsi="仿宋" w:eastAsia="仿宋" w:cs="仿宋"/>
          <w:spacing w:val="-5"/>
          <w:sz w:val="32"/>
          <w:szCs w:val="32"/>
          <w:lang w:val="en-US" w:eastAsia="zh-CN" w:bidi="zh-CN"/>
        </w:rPr>
        <w:t>2017-2020</w:t>
      </w:r>
      <w:r>
        <w:rPr>
          <w:rFonts w:hint="eastAsia" w:ascii="仿宋" w:hAnsi="仿宋" w:eastAsia="仿宋" w:cs="仿宋"/>
          <w:spacing w:val="-5"/>
          <w:sz w:val="32"/>
          <w:szCs w:val="32"/>
          <w:lang w:val="en-US" w:eastAsia="zh-CN" w:bidi="zh-CN"/>
        </w:rPr>
        <w:t>年水资源总量、地表水供水、地下水供水，居民生活、生产等供用水资料；现状（</w:t>
      </w:r>
      <w:r>
        <w:rPr>
          <w:rFonts w:hint="default" w:ascii="仿宋" w:hAnsi="仿宋" w:eastAsia="仿宋" w:cs="仿宋"/>
          <w:spacing w:val="-5"/>
          <w:sz w:val="32"/>
          <w:szCs w:val="32"/>
          <w:lang w:val="en-US" w:eastAsia="zh-CN" w:bidi="zh-CN"/>
        </w:rPr>
        <w:t>2020</w:t>
      </w:r>
      <w:r>
        <w:rPr>
          <w:rFonts w:hint="eastAsia" w:ascii="仿宋" w:hAnsi="仿宋" w:eastAsia="仿宋" w:cs="仿宋"/>
          <w:spacing w:val="-5"/>
          <w:sz w:val="32"/>
          <w:szCs w:val="32"/>
          <w:lang w:val="en-US" w:eastAsia="zh-CN" w:bidi="zh-CN"/>
        </w:rPr>
        <w:t>年）蓄、引、提、调等抗旱水源工程，监测、预案、服务保障等非工程措施；现状（</w:t>
      </w:r>
      <w:r>
        <w:rPr>
          <w:rFonts w:hint="default" w:ascii="仿宋" w:hAnsi="仿宋" w:eastAsia="仿宋" w:cs="仿宋"/>
          <w:spacing w:val="-5"/>
          <w:sz w:val="32"/>
          <w:szCs w:val="32"/>
          <w:lang w:val="en-US" w:eastAsia="zh-CN" w:bidi="zh-CN"/>
        </w:rPr>
        <w:t>2020</w:t>
      </w:r>
      <w:r>
        <w:rPr>
          <w:rFonts w:hint="eastAsia" w:ascii="仿宋" w:hAnsi="仿宋" w:eastAsia="仿宋" w:cs="仿宋"/>
          <w:spacing w:val="-5"/>
          <w:sz w:val="32"/>
          <w:szCs w:val="32"/>
          <w:lang w:val="en-US" w:eastAsia="zh-CN" w:bidi="zh-CN"/>
        </w:rPr>
        <w:t>年）城镇供水水源情况。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w:t>
      </w:r>
      <w:r>
        <w:rPr>
          <w:rFonts w:hint="default" w:ascii="仿宋" w:hAnsi="仿宋" w:eastAsia="仿宋" w:cs="仿宋"/>
          <w:spacing w:val="-5"/>
          <w:sz w:val="32"/>
          <w:szCs w:val="32"/>
          <w:lang w:val="en-US" w:eastAsia="zh-CN" w:bidi="zh-CN"/>
        </w:rPr>
        <w:t>2</w:t>
      </w:r>
      <w:r>
        <w:rPr>
          <w:rFonts w:hint="eastAsia" w:ascii="仿宋" w:hAnsi="仿宋" w:eastAsia="仿宋" w:cs="仿宋"/>
          <w:spacing w:val="-5"/>
          <w:sz w:val="32"/>
          <w:szCs w:val="32"/>
          <w:lang w:val="en-US" w:eastAsia="zh-CN" w:bidi="zh-CN"/>
        </w:rPr>
        <w:t>）灾害事件资料：</w:t>
      </w:r>
      <w:r>
        <w:rPr>
          <w:rFonts w:hint="default" w:ascii="仿宋" w:hAnsi="仿宋" w:eastAsia="仿宋" w:cs="仿宋"/>
          <w:spacing w:val="-5"/>
          <w:sz w:val="32"/>
          <w:szCs w:val="32"/>
          <w:lang w:val="en-US" w:eastAsia="zh-CN" w:bidi="zh-CN"/>
        </w:rPr>
        <w:t>2008-2020</w:t>
      </w:r>
      <w:r>
        <w:rPr>
          <w:rFonts w:hint="eastAsia" w:ascii="仿宋" w:hAnsi="仿宋" w:eastAsia="仿宋" w:cs="仿宋"/>
          <w:spacing w:val="-5"/>
          <w:sz w:val="32"/>
          <w:szCs w:val="32"/>
          <w:lang w:val="en-US" w:eastAsia="zh-CN" w:bidi="zh-CN"/>
        </w:rPr>
        <w:t>年各次干旱灾害事件的发生时间、范围、农业和城镇等受灾及损失情况，以及历年实施的抗旱措施、投入人力物力、抗旱效果效益等。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9"/>
        <w:rPr>
          <w:rFonts w:hint="eastAsia" w:ascii="仿宋" w:hAnsi="仿宋" w:eastAsia="仿宋" w:cs="仿宋"/>
          <w:b/>
          <w:bCs/>
          <w:spacing w:val="-8"/>
          <w:sz w:val="32"/>
          <w:szCs w:val="32"/>
          <w:lang w:val="en-US" w:eastAsia="zh-CN"/>
        </w:rPr>
      </w:pPr>
      <w:r>
        <w:rPr>
          <w:rFonts w:hint="eastAsia" w:ascii="仿宋" w:hAnsi="仿宋" w:eastAsia="仿宋" w:cs="仿宋"/>
          <w:b/>
          <w:bCs/>
          <w:spacing w:val="-8"/>
          <w:sz w:val="32"/>
          <w:szCs w:val="32"/>
          <w:lang w:val="en-US" w:eastAsia="zh-CN"/>
        </w:rPr>
        <w:t>（二）郊区易涝区域调查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利用已有资料，明确郊区易涝区界定范围，填写易涝点基本信息，易涝点监测情况，易涝点经济人口基本情况</w:t>
      </w:r>
      <w:r>
        <w:rPr>
          <w:rFonts w:hint="default" w:ascii="仿宋" w:hAnsi="仿宋" w:eastAsia="仿宋" w:cs="仿宋"/>
          <w:spacing w:val="-5"/>
          <w:sz w:val="32"/>
          <w:szCs w:val="32"/>
          <w:lang w:val="en-US" w:eastAsia="zh-CN" w:bidi="zh-CN"/>
        </w:rPr>
        <w:t>。</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eastAsia="zh-CN"/>
        </w:rPr>
      </w:pPr>
      <w:bookmarkStart w:id="94" w:name="_Toc11264"/>
      <w:bookmarkStart w:id="95" w:name="_Toc5793"/>
      <w:r>
        <w:rPr>
          <w:rFonts w:hint="eastAsia" w:ascii="仿宋" w:hAnsi="仿宋" w:eastAsia="仿宋" w:cs="仿宋"/>
          <w:b/>
          <w:bCs/>
          <w:spacing w:val="-8"/>
          <w:sz w:val="32"/>
          <w:szCs w:val="32"/>
          <w:lang w:val="en-US" w:eastAsia="zh-CN"/>
        </w:rPr>
        <w:t>3.4.4.3 工作流程与技术方法</w:t>
      </w:r>
      <w:bookmarkEnd w:id="94"/>
      <w:bookmarkEnd w:id="95"/>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9"/>
        <w:rPr>
          <w:rFonts w:hint="eastAsia" w:ascii="仿宋" w:hAnsi="仿宋" w:eastAsia="仿宋" w:cs="仿宋"/>
          <w:b/>
          <w:bCs/>
          <w:spacing w:val="-8"/>
          <w:sz w:val="32"/>
          <w:szCs w:val="32"/>
          <w:lang w:val="en-US" w:eastAsia="zh-CN"/>
        </w:rPr>
      </w:pPr>
      <w:r>
        <w:rPr>
          <w:rFonts w:hint="eastAsia" w:ascii="仿宋" w:hAnsi="仿宋" w:eastAsia="仿宋" w:cs="仿宋"/>
          <w:b/>
          <w:bCs/>
          <w:spacing w:val="-8"/>
          <w:sz w:val="32"/>
          <w:szCs w:val="32"/>
          <w:lang w:val="en-US" w:eastAsia="zh-CN"/>
        </w:rPr>
        <w:t>（一）干旱灾害调查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干旱灾害风险调查评估与区划编制技术要求》开展干旱灾害致灾调查工作。采用典型调查与统计上报相结合的方法，收集整理辖区内不同统计单元的水资源及供用水资料，历史旱情旱灾资料，蓄、引、提、调等抗旱水源工程能力，监测、预案、服务保障等非工程措施防御能力等基础资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9"/>
        <w:rPr>
          <w:rFonts w:hint="eastAsia" w:ascii="仿宋" w:hAnsi="仿宋" w:eastAsia="仿宋" w:cs="仿宋"/>
          <w:b/>
          <w:bCs/>
          <w:spacing w:val="-8"/>
          <w:sz w:val="32"/>
          <w:szCs w:val="32"/>
          <w:lang w:val="en-US" w:eastAsia="zh-CN"/>
        </w:rPr>
      </w:pPr>
      <w:r>
        <w:rPr>
          <w:rFonts w:hint="eastAsia" w:ascii="仿宋" w:hAnsi="仿宋" w:eastAsia="仿宋" w:cs="仿宋"/>
          <w:b/>
          <w:bCs/>
          <w:spacing w:val="-8"/>
          <w:sz w:val="32"/>
          <w:szCs w:val="32"/>
          <w:lang w:val="en-US" w:eastAsia="zh-CN"/>
        </w:rPr>
        <w:t>（二）郊区易涝区域调查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国家、行业、上海市有关规定和要求，充分利用已有水利普查等资料，针对本次普查内容，通过工程勘测、站点观测、问卷调查、资料调查、统计分析、抽查核查等多样化的手段综合运用，对郊区内涝风险进行调查，得到内涝灾害范围、等级、致灾原因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40" w:lineRule="exact"/>
        <w:ind w:firstLine="480" w:firstLineChars="200"/>
        <w:jc w:val="center"/>
        <w:textAlignment w:val="auto"/>
        <w:rPr>
          <w:rFonts w:hint="eastAsia" w:eastAsia="宋体" w:asciiTheme="minorEastAsia" w:hAnsiTheme="minorEastAsia"/>
          <w:color w:val="000000" w:themeColor="text1"/>
          <w:sz w:val="24"/>
          <w:szCs w:val="24"/>
          <w:lang w:val="en-US" w:eastAsia="zh-CN"/>
          <w14:textFill>
            <w14:solidFill>
              <w14:schemeClr w14:val="tx1"/>
            </w14:solidFill>
          </w14:textFill>
        </w:rPr>
      </w:pPr>
      <w:r>
        <w:rPr>
          <w:rFonts w:ascii="仿宋_GB2312" w:hAnsi="仿宋_GB2312" w:eastAsia="宋体" w:cs="仿宋_GB2312"/>
          <w:color w:val="000000"/>
          <w:kern w:val="0"/>
          <w:sz w:val="24"/>
          <w:szCs w:val="28"/>
          <w:lang w:val="en-US" w:eastAsia="zh-CN" w:bidi="ar"/>
        </w:rPr>
        <w:drawing>
          <wp:anchor distT="0" distB="0" distL="114300" distR="114300" simplePos="0" relativeHeight="251662336" behindDoc="0" locked="0" layoutInCell="1" allowOverlap="1">
            <wp:simplePos x="0" y="0"/>
            <wp:positionH relativeFrom="column">
              <wp:posOffset>91440</wp:posOffset>
            </wp:positionH>
            <wp:positionV relativeFrom="paragraph">
              <wp:posOffset>129540</wp:posOffset>
            </wp:positionV>
            <wp:extent cx="5052060" cy="1684020"/>
            <wp:effectExtent l="0" t="0" r="7620" b="7620"/>
            <wp:wrapTopAndBottom/>
            <wp:docPr id="1" name="图片 1" descr="未命名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文件(2)"/>
                    <pic:cNvPicPr>
                      <a:picLocks noChangeAspect="1"/>
                    </pic:cNvPicPr>
                  </pic:nvPicPr>
                  <pic:blipFill>
                    <a:blip r:embed="rId20"/>
                    <a:stretch>
                      <a:fillRect/>
                    </a:stretch>
                  </pic:blipFill>
                  <pic:spPr>
                    <a:xfrm>
                      <a:off x="0" y="0"/>
                      <a:ext cx="5052060" cy="1684020"/>
                    </a:xfrm>
                    <a:prstGeom prst="rect">
                      <a:avLst/>
                    </a:prstGeom>
                  </pic:spPr>
                </pic:pic>
              </a:graphicData>
            </a:graphic>
          </wp:anchor>
        </w:drawing>
      </w:r>
      <w:r>
        <w:rPr>
          <w:rFonts w:hint="eastAsia" w:eastAsia="宋体" w:asciiTheme="minorEastAsia" w:hAnsiTheme="minorEastAsia"/>
          <w:color w:val="000000" w:themeColor="text1"/>
          <w:sz w:val="24"/>
          <w:szCs w:val="24"/>
          <w:lang w:val="en-US" w:eastAsia="zh-CN"/>
          <w14:textFill>
            <w14:solidFill>
              <w14:schemeClr w14:val="tx1"/>
            </w14:solidFill>
          </w14:textFill>
        </w:rPr>
        <w:t>图2.</w:t>
      </w:r>
      <w:r>
        <w:rPr>
          <w:rFonts w:hint="eastAsia" w:asciiTheme="minorEastAsia" w:hAnsiTheme="minorEastAsia"/>
          <w:color w:val="000000" w:themeColor="text1"/>
          <w:sz w:val="24"/>
          <w:szCs w:val="24"/>
          <w:lang w:val="en-US" w:eastAsia="zh-CN"/>
          <w14:textFill>
            <w14:solidFill>
              <w14:schemeClr w14:val="tx1"/>
            </w14:solidFill>
          </w14:textFill>
        </w:rPr>
        <w:t>4</w:t>
      </w:r>
      <w:r>
        <w:rPr>
          <w:rFonts w:hint="eastAsia" w:eastAsia="宋体" w:asciiTheme="minorEastAsia" w:hAnsiTheme="minorEastAsia"/>
          <w:color w:val="000000" w:themeColor="text1"/>
          <w:sz w:val="24"/>
          <w:szCs w:val="24"/>
          <w:lang w:val="en-US" w:eastAsia="zh-CN"/>
          <w14:textFill>
            <w14:solidFill>
              <w14:schemeClr w14:val="tx1"/>
            </w14:solidFill>
          </w14:textFill>
        </w:rPr>
        <w:t>.</w:t>
      </w:r>
      <w:r>
        <w:rPr>
          <w:rFonts w:hint="eastAsia" w:asciiTheme="minorEastAsia" w:hAnsiTheme="minorEastAsia"/>
          <w:color w:val="000000" w:themeColor="text1"/>
          <w:sz w:val="24"/>
          <w:szCs w:val="24"/>
          <w:lang w:val="en-US" w:eastAsia="zh-CN"/>
          <w14:textFill>
            <w14:solidFill>
              <w14:schemeClr w14:val="tx1"/>
            </w14:solidFill>
          </w14:textFill>
        </w:rPr>
        <w:t>4.3</w:t>
      </w:r>
      <w:r>
        <w:rPr>
          <w:rFonts w:hint="eastAsia" w:eastAsia="宋体" w:asciiTheme="minorEastAsia" w:hAnsiTheme="minorEastAsia"/>
          <w:color w:val="000000" w:themeColor="text1"/>
          <w:sz w:val="24"/>
          <w:szCs w:val="24"/>
          <w:lang w:val="en-US" w:eastAsia="zh-CN"/>
          <w14:textFill>
            <w14:solidFill>
              <w14:schemeClr w14:val="tx1"/>
            </w14:solidFill>
          </w14:textFill>
        </w:rPr>
        <w:t>-1技术流程图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4</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 xml:space="preserve"> </w:t>
      </w:r>
      <w:r>
        <w:rPr>
          <w:rFonts w:hint="eastAsia" w:ascii="仿宋" w:hAnsi="仿宋" w:eastAsia="仿宋" w:cs="仿宋"/>
          <w:b/>
          <w:bCs/>
          <w:spacing w:val="-8"/>
          <w:sz w:val="32"/>
          <w:szCs w:val="32"/>
          <w:lang w:val="en-US"/>
        </w:rPr>
        <w:t>主要成果</w:t>
      </w:r>
    </w:p>
    <w:p>
      <w:pPr>
        <w:pStyle w:val="12"/>
        <w:keepNext w:val="0"/>
        <w:keepLines w:val="0"/>
        <w:pageBreakBefore w:val="0"/>
        <w:widowControl w:val="0"/>
        <w:numPr>
          <w:ilvl w:val="0"/>
          <w:numId w:val="13"/>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干旱灾害调查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包括2017-2020年供用水情况调查表、（2020年）现状抗旱工程及非工程能力调查表、（2020年）城镇现状水源情况调查表、2008-2020年旱情及旱灾损失调查表等。</w:t>
      </w:r>
    </w:p>
    <w:p>
      <w:pPr>
        <w:pStyle w:val="12"/>
        <w:keepNext w:val="0"/>
        <w:keepLines w:val="0"/>
        <w:pageBreakBefore w:val="0"/>
        <w:widowControl w:val="0"/>
        <w:numPr>
          <w:ilvl w:val="0"/>
          <w:numId w:val="13"/>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郊区易涝区域调查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bookmarkStart w:id="96" w:name="_Toc13616"/>
      <w:r>
        <w:rPr>
          <w:rFonts w:hint="eastAsia" w:ascii="仿宋" w:hAnsi="仿宋" w:eastAsia="仿宋" w:cs="仿宋"/>
          <w:spacing w:val="-5"/>
          <w:sz w:val="32"/>
          <w:szCs w:val="32"/>
          <w:lang w:val="en-US" w:eastAsia="zh-CN" w:bidi="zh-CN"/>
        </w:rPr>
        <w:t>成果形式主要包括文字报告、基础资料和成果数据集、数据库等，具体如下：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郊区易涝区域调查成果报告、郊区易涝区域调查表、相关成果填报上海市第一次自然灾害综合风险普查数据库。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次数据采集工作是在收集及分析资料基础上，以区为单位填写，精确到村（社区），对易涝点地区（内涝隐患点）基本情况、内涝隐患点及周边基本情况、内涝防灾措施情况进行采集。收集数据应仔细核查，录入的数据应与原始资料进行核查对比，并建立逐级审核制度，确保数据质量和填报规范。</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3.4.5 承灾体调查</w:t>
      </w:r>
      <w:bookmarkEnd w:id="96"/>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5</w:t>
      </w:r>
      <w:r>
        <w:rPr>
          <w:rFonts w:hint="eastAsia" w:ascii="仿宋" w:hAnsi="仿宋" w:eastAsia="仿宋" w:cs="仿宋"/>
          <w:b/>
          <w:bCs/>
          <w:spacing w:val="-8"/>
          <w:sz w:val="32"/>
          <w:szCs w:val="32"/>
          <w:lang w:val="en-US"/>
        </w:rPr>
        <w:t>.1</w:t>
      </w:r>
      <w:r>
        <w:rPr>
          <w:rFonts w:hint="eastAsia" w:ascii="仿宋" w:hAnsi="仿宋" w:eastAsia="仿宋" w:cs="仿宋"/>
          <w:b/>
          <w:bCs/>
          <w:spacing w:val="-8"/>
          <w:sz w:val="32"/>
          <w:szCs w:val="32"/>
          <w:lang w:val="en-US" w:eastAsia="zh-CN"/>
        </w:rPr>
        <w:t xml:space="preserve"> </w:t>
      </w:r>
      <w:r>
        <w:rPr>
          <w:rFonts w:hint="eastAsia" w:ascii="仿宋" w:hAnsi="仿宋" w:eastAsia="仿宋" w:cs="仿宋"/>
          <w:b/>
          <w:bCs/>
          <w:spacing w:val="-8"/>
          <w:sz w:val="32"/>
          <w:szCs w:val="32"/>
          <w:lang w:val="en-US"/>
        </w:rPr>
        <w:t>调查范围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依上海市下发任务清单调查：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海塘：崇明区涉及海塘3条段，本次调查为3条段，涉及长度288.1km。</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水闸：崇明区涉及水闸179座。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排水设施：崇明区涉及雨水泵站8座；雨水管网37505条段，长度554.37km。</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供水设施：崇明区涉及城市供水水源地（2个水库）、水厂5座，供水管网246km。</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调查工作量以本次调查成果为准。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 xml:space="preserve">5.2 </w:t>
      </w:r>
      <w:r>
        <w:rPr>
          <w:rFonts w:hint="eastAsia" w:ascii="仿宋" w:hAnsi="仿宋" w:eastAsia="仿宋" w:cs="仿宋"/>
          <w:b/>
          <w:bCs/>
          <w:spacing w:val="-8"/>
          <w:sz w:val="32"/>
          <w:szCs w:val="32"/>
          <w:lang w:val="en-US"/>
        </w:rPr>
        <w:t>调查内容</w:t>
      </w:r>
    </w:p>
    <w:p>
      <w:pPr>
        <w:pStyle w:val="12"/>
        <w:keepNext w:val="0"/>
        <w:keepLines w:val="0"/>
        <w:pageBreakBefore w:val="0"/>
        <w:widowControl w:val="0"/>
        <w:numPr>
          <w:ilvl w:val="0"/>
          <w:numId w:val="14"/>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防洪</w:t>
      </w:r>
      <w:r>
        <w:rPr>
          <w:rFonts w:hint="eastAsia" w:ascii="仿宋" w:hAnsi="仿宋" w:eastAsia="仿宋" w:cs="仿宋"/>
          <w:b/>
          <w:bCs/>
          <w:spacing w:val="-12"/>
          <w:sz w:val="32"/>
          <w:szCs w:val="32"/>
          <w:lang w:val="en-US"/>
        </w:rPr>
        <w:t>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针对三岛海塘的防洪海塘调查数据汇总、核查、标准化整理，全面、系统掌握全区主要防洪（潮）设施的空间位置信息和灾害属性信息。</w:t>
      </w:r>
    </w:p>
    <w:p>
      <w:pPr>
        <w:pStyle w:val="12"/>
        <w:keepNext w:val="0"/>
        <w:keepLines w:val="0"/>
        <w:pageBreakBefore w:val="0"/>
        <w:widowControl w:val="0"/>
        <w:numPr>
          <w:ilvl w:val="0"/>
          <w:numId w:val="14"/>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除涝设施调查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通过对崇明区3个水利片（含圩区）的除涝设施调查数据汇总、核查、标准化整理，全面、系统掌握主要除涝设施的空间位置信息和灾害属性信息。</w:t>
      </w:r>
    </w:p>
    <w:p>
      <w:pPr>
        <w:pStyle w:val="12"/>
        <w:keepNext w:val="0"/>
        <w:keepLines w:val="0"/>
        <w:pageBreakBefore w:val="0"/>
        <w:widowControl w:val="0"/>
        <w:numPr>
          <w:ilvl w:val="0"/>
          <w:numId w:val="14"/>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城镇雨水排水设施调查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上海市城镇雨水排水规划（2020~2035年）》确定的城镇排水系统设计标准，以内涝点、雨水排水设施及历史灾害等相关调查成果、雨水排水设施规划设计资料、现场记录资料等为基础，整理统计崇明区雨水排水设施现状情况，为雨水排水设施调查提供基础资料。</w:t>
      </w:r>
    </w:p>
    <w:p>
      <w:pPr>
        <w:pStyle w:val="12"/>
        <w:keepNext w:val="0"/>
        <w:keepLines w:val="0"/>
        <w:pageBreakBefore w:val="0"/>
        <w:widowControl w:val="0"/>
        <w:numPr>
          <w:ilvl w:val="0"/>
          <w:numId w:val="14"/>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供水设施调查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通过对供水水源地、供水水厂、供水泵站、管网设施调查数据汇总、核查、标准化整理，全面、系统掌握全区主要供水设施的空间位置信息和灾害属性信息。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5</w:t>
      </w:r>
      <w:r>
        <w:rPr>
          <w:rFonts w:hint="eastAsia" w:ascii="仿宋" w:hAnsi="仿宋" w:eastAsia="仿宋" w:cs="仿宋"/>
          <w:b/>
          <w:bCs/>
          <w:spacing w:val="-8"/>
          <w:sz w:val="32"/>
          <w:szCs w:val="32"/>
          <w:lang w:val="en-US"/>
        </w:rPr>
        <w:t>.</w:t>
      </w:r>
      <w:r>
        <w:rPr>
          <w:rFonts w:hint="eastAsia" w:ascii="仿宋" w:hAnsi="仿宋" w:eastAsia="仿宋" w:cs="仿宋"/>
          <w:b/>
          <w:bCs/>
          <w:spacing w:val="-8"/>
          <w:sz w:val="32"/>
          <w:szCs w:val="32"/>
          <w:lang w:val="en-US" w:eastAsia="zh-CN"/>
        </w:rPr>
        <w:t xml:space="preserve">3 </w:t>
      </w:r>
      <w:r>
        <w:rPr>
          <w:rFonts w:hint="eastAsia" w:ascii="仿宋" w:hAnsi="仿宋" w:eastAsia="仿宋" w:cs="仿宋"/>
          <w:b/>
          <w:bCs/>
          <w:spacing w:val="-8"/>
          <w:sz w:val="32"/>
          <w:szCs w:val="32"/>
          <w:lang w:val="en-US"/>
        </w:rPr>
        <w:t>工作流程与技术方法</w:t>
      </w:r>
    </w:p>
    <w:p>
      <w:pPr>
        <w:pStyle w:val="12"/>
        <w:keepNext w:val="0"/>
        <w:keepLines w:val="0"/>
        <w:pageBreakBefore w:val="0"/>
        <w:widowControl w:val="0"/>
        <w:numPr>
          <w:ilvl w:val="0"/>
          <w:numId w:val="15"/>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防洪（潮）设施调查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利用已有基础数据，组织规划设计、工程管理单位和沿河乡镇，开展承灾体单体信息和区域性特征调查，对本辖区内三岛海塘堤防工程的空间位置信息和灾害属性信息进行调查。设施基础信息和灾害属性信息主要包括设施类型、数量、价值、服务能力和设防水平等内容。</w:t>
      </w:r>
    </w:p>
    <w:p>
      <w:pPr>
        <w:pStyle w:val="12"/>
        <w:keepNext w:val="0"/>
        <w:keepLines w:val="0"/>
        <w:pageBreakBefore w:val="0"/>
        <w:widowControl w:val="0"/>
        <w:numPr>
          <w:ilvl w:val="0"/>
          <w:numId w:val="15"/>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除涝设施调查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除涝设施普查需要统筹利用已有基础数据，组织规划设计、工程管理单位和沿河乡镇，开展承灾体单体信息和区域性特征调查，重点对本辖区内海塘、水闸、圩区等重要承灾体的空间位置信息和灾害属性信息进行调查。设施基础信息和灾害属性信息主要包括设施类型、数量、价值、服务能力和设防水平等内容。</w:t>
      </w:r>
    </w:p>
    <w:p>
      <w:pPr>
        <w:pStyle w:val="12"/>
        <w:keepNext w:val="0"/>
        <w:keepLines w:val="0"/>
        <w:pageBreakBefore w:val="0"/>
        <w:widowControl w:val="0"/>
        <w:numPr>
          <w:ilvl w:val="0"/>
          <w:numId w:val="15"/>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城镇雨水排水设施调查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城镇雨水排水能力调查工作流程如下：收集整理基础资料和相关项目成果，调查城镇雨水排水设施能力。</w:t>
      </w:r>
    </w:p>
    <w:p>
      <w:pPr>
        <w:pStyle w:val="12"/>
        <w:keepNext w:val="0"/>
        <w:keepLines w:val="0"/>
        <w:pageBreakBefore w:val="0"/>
        <w:widowControl w:val="0"/>
        <w:numPr>
          <w:ilvl w:val="0"/>
          <w:numId w:val="15"/>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供水设施调查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取水设施、净水厂设施和加压泵站设施归纳为厂站设施类，输水管道设施和配水干管管网归纳为管道设施。输水管线指取水设施与净水厂设施之间的管线，加压泵站指输水管线中或配水管网中的加压设施。其中取水设施、净水厂设施和加压泵站设施归纳为厂站设施类，为《供水设施－厂站调查表》的主要调查内容；输水管道设施和配水干管管网归纳为管道设施，为《供水设施－管道调查表》的主要调查内容。首先通过文字描述供水设施所在的地理位置，然后利用手机 APP填写《供水设施－厂站调查表》或《供水设施－管道调查表》上的内容。填写内容为第一部分（管理信息），第二部分（一般性能），第三部分（技术指标）。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5</w:t>
      </w:r>
      <w:r>
        <w:rPr>
          <w:rFonts w:hint="eastAsia" w:ascii="仿宋" w:hAnsi="仿宋" w:eastAsia="仿宋" w:cs="仿宋"/>
          <w:b/>
          <w:bCs/>
          <w:spacing w:val="-8"/>
          <w:sz w:val="32"/>
          <w:szCs w:val="32"/>
          <w:lang w:val="en-US"/>
        </w:rPr>
        <w:t>.</w:t>
      </w:r>
      <w:r>
        <w:rPr>
          <w:rFonts w:hint="eastAsia" w:ascii="仿宋" w:hAnsi="仿宋" w:eastAsia="仿宋" w:cs="仿宋"/>
          <w:b/>
          <w:bCs/>
          <w:spacing w:val="-8"/>
          <w:sz w:val="32"/>
          <w:szCs w:val="32"/>
          <w:lang w:val="en-US" w:eastAsia="zh-CN"/>
        </w:rPr>
        <w:t xml:space="preserve">4 </w:t>
      </w:r>
      <w:r>
        <w:rPr>
          <w:rFonts w:hint="eastAsia" w:ascii="仿宋" w:hAnsi="仿宋" w:eastAsia="仿宋" w:cs="仿宋"/>
          <w:b/>
          <w:bCs/>
          <w:spacing w:val="-8"/>
          <w:sz w:val="32"/>
          <w:szCs w:val="32"/>
          <w:lang w:val="en-US"/>
        </w:rPr>
        <w:t>主要成果</w:t>
      </w:r>
    </w:p>
    <w:p>
      <w:pPr>
        <w:pStyle w:val="12"/>
        <w:keepNext w:val="0"/>
        <w:keepLines w:val="0"/>
        <w:pageBreakBefore w:val="0"/>
        <w:widowControl w:val="0"/>
        <w:numPr>
          <w:ilvl w:val="0"/>
          <w:numId w:val="16"/>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防洪（潮）设施调查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成果形式主要包括文字报告、基础资料和成果数据集、空间分布图、数据库等，具体如下：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（1）防洪（潮）设施调查（大陆及三岛海塘）专项工作报告；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（2）防洪（潮）设施调查数据表单。</w:t>
      </w:r>
    </w:p>
    <w:p>
      <w:pPr>
        <w:pStyle w:val="12"/>
        <w:keepNext w:val="0"/>
        <w:keepLines w:val="0"/>
        <w:pageBreakBefore w:val="0"/>
        <w:widowControl w:val="0"/>
        <w:numPr>
          <w:ilvl w:val="0"/>
          <w:numId w:val="16"/>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除涝设施调查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成果形式主要包括文字报告、基础资料和成果数据集，具体如下：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（1）除涝设施调查专题调查成果报告；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（2）除涝设施调查表。</w:t>
      </w:r>
    </w:p>
    <w:p>
      <w:pPr>
        <w:pStyle w:val="12"/>
        <w:keepNext w:val="0"/>
        <w:keepLines w:val="0"/>
        <w:pageBreakBefore w:val="0"/>
        <w:widowControl w:val="0"/>
        <w:numPr>
          <w:ilvl w:val="0"/>
          <w:numId w:val="16"/>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城镇雨水排水设施调查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项目成果包括基础数据、文字报告等两部分，以纸质版和电子版两种形式提交。</w:t>
      </w:r>
    </w:p>
    <w:p>
      <w:pPr>
        <w:pStyle w:val="12"/>
        <w:keepNext w:val="0"/>
        <w:keepLines w:val="0"/>
        <w:pageBreakBefore w:val="0"/>
        <w:widowControl w:val="0"/>
        <w:numPr>
          <w:ilvl w:val="0"/>
          <w:numId w:val="16"/>
        </w:numPr>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供水设施调查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项目成果包括供水设施调查表、供水设施空间分布图。</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97" w:name="_Toc27570"/>
      <w:r>
        <w:rPr>
          <w:rFonts w:hint="eastAsia" w:ascii="仿宋" w:hAnsi="仿宋" w:eastAsia="仿宋" w:cs="仿宋"/>
          <w:b/>
          <w:bCs/>
          <w:sz w:val="32"/>
          <w:szCs w:val="32"/>
          <w:lang w:val="en-US" w:eastAsia="zh-CN"/>
        </w:rPr>
        <w:t>3.4.6 重点隐患调查</w:t>
      </w:r>
      <w:bookmarkEnd w:id="97"/>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6</w:t>
      </w:r>
      <w:r>
        <w:rPr>
          <w:rFonts w:hint="eastAsia" w:ascii="仿宋" w:hAnsi="仿宋" w:eastAsia="仿宋" w:cs="仿宋"/>
          <w:b/>
          <w:bCs/>
          <w:spacing w:val="-8"/>
          <w:sz w:val="32"/>
          <w:szCs w:val="32"/>
          <w:lang w:val="en-US"/>
        </w:rPr>
        <w:t>.1</w:t>
      </w:r>
      <w:r>
        <w:rPr>
          <w:rFonts w:hint="eastAsia" w:ascii="仿宋" w:hAnsi="仿宋" w:eastAsia="仿宋" w:cs="仿宋"/>
          <w:b/>
          <w:bCs/>
          <w:spacing w:val="-8"/>
          <w:sz w:val="32"/>
          <w:szCs w:val="32"/>
          <w:lang w:val="en-US" w:eastAsia="zh-CN"/>
        </w:rPr>
        <w:t xml:space="preserve"> </w:t>
      </w:r>
      <w:r>
        <w:rPr>
          <w:rFonts w:hint="eastAsia" w:ascii="仿宋" w:hAnsi="仿宋" w:eastAsia="仿宋" w:cs="仿宋"/>
          <w:b/>
          <w:bCs/>
          <w:spacing w:val="-8"/>
          <w:sz w:val="32"/>
          <w:szCs w:val="32"/>
          <w:lang w:val="en-US"/>
        </w:rPr>
        <w:t>调查范围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海塘：本次调查为3条段，涉及长度288.1km。</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水闸：崇明区涉及水闸179座。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排水设施：涉及雨水泵站6座；雨水管网37505条段，长度554.37km。</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供水设施：城市供水水源地（2个水库）、水厂5座，供水管网246km。</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调查工作量以本次调查成果为准。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3</w:t>
      </w:r>
      <w:r>
        <w:rPr>
          <w:rFonts w:hint="eastAsia" w:ascii="仿宋" w:hAnsi="仿宋" w:eastAsia="仿宋" w:cs="仿宋"/>
          <w:b/>
          <w:bCs/>
          <w:spacing w:val="-8"/>
          <w:sz w:val="32"/>
          <w:szCs w:val="32"/>
          <w:lang w:val="en-US"/>
        </w:rPr>
        <w:t>.4.</w:t>
      </w:r>
      <w:r>
        <w:rPr>
          <w:rFonts w:hint="eastAsia" w:ascii="仿宋" w:hAnsi="仿宋" w:eastAsia="仿宋" w:cs="仿宋"/>
          <w:b/>
          <w:bCs/>
          <w:spacing w:val="-8"/>
          <w:sz w:val="32"/>
          <w:szCs w:val="32"/>
          <w:lang w:val="en-US" w:eastAsia="zh-CN"/>
        </w:rPr>
        <w:t>6</w:t>
      </w:r>
      <w:r>
        <w:rPr>
          <w:rFonts w:hint="eastAsia" w:ascii="仿宋" w:hAnsi="仿宋" w:eastAsia="仿宋" w:cs="仿宋"/>
          <w:b/>
          <w:bCs/>
          <w:spacing w:val="-8"/>
          <w:sz w:val="32"/>
          <w:szCs w:val="32"/>
          <w:lang w:val="en-US"/>
        </w:rPr>
        <w:t>.2</w:t>
      </w:r>
      <w:r>
        <w:rPr>
          <w:rFonts w:hint="eastAsia" w:ascii="仿宋" w:hAnsi="仿宋" w:eastAsia="仿宋" w:cs="仿宋"/>
          <w:b/>
          <w:bCs/>
          <w:spacing w:val="-8"/>
          <w:sz w:val="32"/>
          <w:szCs w:val="32"/>
          <w:lang w:val="en-US" w:eastAsia="zh-CN"/>
        </w:rPr>
        <w:t xml:space="preserve"> </w:t>
      </w:r>
      <w:r>
        <w:rPr>
          <w:rFonts w:hint="eastAsia" w:ascii="仿宋" w:hAnsi="仿宋" w:eastAsia="仿宋" w:cs="仿宋"/>
          <w:b/>
          <w:bCs/>
          <w:spacing w:val="-8"/>
          <w:sz w:val="32"/>
          <w:szCs w:val="32"/>
          <w:lang w:val="en-US"/>
        </w:rPr>
        <w:t>调查内容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（一）洪（潮）水灾害隐患调查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（1）海塘调查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通过灾害隐患调查，掌握海塘隐患的情况，查明区域抵抗洪（潮）水灾害袭击的能力，客观认识目前我区海塘的防御水平。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（2）水闸调查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通过隐患调查，掌握我区水闸的隐患情况，客观认识水闸运行风险水平。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（3）水库调查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通过隐患调查，掌握水库的隐患情况，客观认识水库运行风险水平。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（二）内涝灾害隐患调查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（1）区域除涝能力调查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全面调查3个水利分片及相关圩区的现状除涝能力。</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（2）城镇雨水排水能力调查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上海市城镇雨水排水规划（2020~2035年）》确定的，以崇明区水旱灾害（暴雨、内涝点、雨水排水设施及历史灾害等）相关调查成果、雨水排水设施规划设计资料、现场记录资料等为基础，整理统计我区雨水排水设施现状情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 xml:space="preserve">3.4.6.3 </w:t>
      </w:r>
      <w:r>
        <w:rPr>
          <w:rFonts w:hint="eastAsia" w:ascii="仿宋" w:hAnsi="仿宋" w:eastAsia="仿宋" w:cs="仿宋"/>
          <w:b/>
          <w:bCs/>
          <w:spacing w:val="-8"/>
          <w:sz w:val="32"/>
          <w:szCs w:val="32"/>
          <w:lang w:val="en-US"/>
        </w:rPr>
        <w:t>工作流程与技术方法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（一）</w:t>
      </w:r>
      <w:r>
        <w:rPr>
          <w:rFonts w:hint="eastAsia" w:ascii="仿宋" w:hAnsi="仿宋" w:eastAsia="仿宋" w:cs="仿宋"/>
          <w:b/>
          <w:bCs/>
          <w:spacing w:val="-12"/>
          <w:sz w:val="32"/>
          <w:szCs w:val="32"/>
          <w:lang w:val="en-US"/>
        </w:rPr>
        <w:t>洪（潮）水灾害隐患调查</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（1）海塘调查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在根据外部提供的洪（潮）水文资料的基础上，根据收集的承灾体现状资料，对海塘前沿滩势稳定开展分析，调查海塘的防洪挡潮能力、结构稳定性、渗流安全性并给出海塘防御能力的综合评价，开展海塘运行危险源辨识与风险评价，对存在的风险提出应对措施。</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（2）水闸调查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采取现场调查、资料收集整理、专家访谈/问卷等手段调查水闸工程基础资料及运行管理情况。坚持全面调查、突出重点的原则，结合历年安全鉴定成果及维修加固情况，根据工程重要性分类，采用定量与定性相结合的方法，从运行管理、工程质量、防洪标准、消能防冲安全、渗流安全、结构安全、金属结构安全及机电设备安全等角度排查水闸安全隐患，结合水闸事故影响范围，评价水闸运行风险及防御能力，分析相关原因，提出对策措施与建议。</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（3）水库调查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在根据外部提供的洪（潮）水文资料的基础上，根据收集的水库现状资料，对水库前沿滩势稳定开展分析，调查水库的防洪挡潮能力、结构稳定性、渗流安全性并给出水库防御能力的综合评价，对存在的风险提出应对措施。</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（二）内涝灾害隐患调查</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（1）区域除涝能力调查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针对现有设施进行基础数据整理与现场调查相结合的作业方法进行填报分析。</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（2）城镇雨水排水能力调查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城镇雨水排水能力调查工作流程如下：收集整理基础资料和相关项目成果，调查城镇雨水排水设施能力，形成最终成果。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11" w:firstLineChars="200"/>
        <w:jc w:val="both"/>
        <w:textAlignment w:val="auto"/>
        <w:outlineLvl w:val="3"/>
        <w:rPr>
          <w:rFonts w:hint="eastAsia" w:ascii="仿宋" w:hAnsi="仿宋" w:eastAsia="仿宋" w:cs="仿宋"/>
          <w:b/>
          <w:bCs/>
          <w:spacing w:val="-8"/>
          <w:sz w:val="32"/>
          <w:szCs w:val="32"/>
          <w:lang w:val="en-US"/>
        </w:rPr>
      </w:pPr>
      <w:r>
        <w:rPr>
          <w:rFonts w:hint="eastAsia" w:ascii="仿宋" w:hAnsi="仿宋" w:eastAsia="仿宋" w:cs="仿宋"/>
          <w:b/>
          <w:bCs/>
          <w:spacing w:val="-8"/>
          <w:sz w:val="32"/>
          <w:szCs w:val="32"/>
          <w:lang w:val="en-US" w:eastAsia="zh-CN"/>
        </w:rPr>
        <w:t xml:space="preserve">3.4.6.4 </w:t>
      </w:r>
      <w:r>
        <w:rPr>
          <w:rFonts w:hint="eastAsia" w:ascii="仿宋" w:hAnsi="仿宋" w:eastAsia="仿宋" w:cs="仿宋"/>
          <w:b/>
          <w:bCs/>
          <w:spacing w:val="-8"/>
          <w:sz w:val="32"/>
          <w:szCs w:val="32"/>
          <w:lang w:val="en-US"/>
        </w:rPr>
        <w:t>主要成果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（一）</w:t>
      </w:r>
      <w:r>
        <w:rPr>
          <w:rFonts w:hint="eastAsia" w:ascii="仿宋" w:hAnsi="仿宋" w:eastAsia="仿宋" w:cs="仿宋"/>
          <w:b/>
          <w:bCs/>
          <w:spacing w:val="-12"/>
          <w:sz w:val="32"/>
          <w:szCs w:val="32"/>
          <w:lang w:val="en-US"/>
        </w:rPr>
        <w:t>洪（潮）水灾害隐患调查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（1）海塘调查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数据成果：隐患调查数据表单。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成果报告：三岛海塘隐患调查报告。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（2）水闸调查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水闸防御能力调查最终成果汇交主要是调查数据类成果、文字报告类成果。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1）提交上海市水闸基础信息调查表。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2）提交上海市水闸防御能力调查与评估现场检查记录表、水闸隐患排查数据采集表及水闸工程安全风险隐患普查表。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3）提交上海市水闸防御能力调查报告。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（3）水库调查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数据成果：水库隐患调查数据表单。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（二）内涝灾害隐患调查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（1）区域除涝能力调查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《区域除涝能力调查报告》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（2）城镇雨水排水能力调查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《城镇雨水排水能力调查》项目成果包括基础数据、文字报告等两部分，以纸质版和电子版两种形式提交。</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3.4.7 数据质量控制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第一次全国自然灾害综合风险普查实施方案（修订版）》、《上海市第一次自然灾害综合风险普查实施方案（征求意见稿）》，按照国家、市层面建立的普查任务实施质量评价技术标准，区水务局负责本区的水旱灾害风险成果质量进行技术把关。</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98" w:name="_Toc1998"/>
      <w:bookmarkStart w:id="99" w:name="_Toc19533"/>
      <w:r>
        <w:rPr>
          <w:rFonts w:hint="eastAsia" w:ascii="楷体" w:hAnsi="楷体" w:eastAsia="楷体" w:cs="楷体"/>
          <w:b/>
          <w:bCs/>
          <w:sz w:val="32"/>
          <w:szCs w:val="32"/>
          <w:lang w:val="en-US" w:eastAsia="zh-CN"/>
        </w:rPr>
        <w:t>3.5 海洋灾害</w:t>
      </w:r>
      <w:bookmarkEnd w:id="98"/>
      <w:bookmarkEnd w:id="99"/>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100" w:name="2.5.1_调查范围"/>
      <w:bookmarkEnd w:id="100"/>
      <w:bookmarkStart w:id="101" w:name="_Toc17493"/>
      <w:r>
        <w:rPr>
          <w:rFonts w:hint="eastAsia" w:ascii="仿宋" w:hAnsi="仿宋" w:eastAsia="仿宋" w:cs="仿宋"/>
          <w:b/>
          <w:bCs/>
          <w:sz w:val="32"/>
          <w:szCs w:val="32"/>
          <w:lang w:val="en-US" w:eastAsia="zh-CN"/>
        </w:rPr>
        <w:t xml:space="preserve">3.5.1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bookmarkEnd w:id="101"/>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洋灾害风险普查是全国自然灾害综合风险普查的重要组成部分，也是一项重大的国情国力调查，是提升全国海洋灾害防控能力的基础工作。通过组织开展我区海洋灾害风险普查，摸清海洋灾害风险隐患底数，查明重点区域抗灾能力，客观认识我区海洋灾害风险水平，为我区有效开展海洋灾害防治和应急管理工作、有力推进城乡精细化治理和“韧性城市”建设、切实保障社会经济可持续发展提供权威的灾害风险信息和科学决策依据。</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102" w:name="_Toc25615"/>
      <w:r>
        <w:rPr>
          <w:rFonts w:hint="eastAsia" w:ascii="仿宋" w:hAnsi="仿宋" w:eastAsia="仿宋" w:cs="仿宋"/>
          <w:b/>
          <w:bCs/>
          <w:sz w:val="32"/>
          <w:szCs w:val="32"/>
          <w:lang w:val="en-US" w:eastAsia="zh-CN"/>
        </w:rPr>
        <w:t xml:space="preserve">3.5.2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bookmarkEnd w:id="102"/>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（一）</w:t>
      </w:r>
      <w:r>
        <w:rPr>
          <w:rFonts w:hint="eastAsia" w:ascii="楷体" w:hAnsi="楷体" w:eastAsia="楷体" w:cs="楷体"/>
          <w:b/>
          <w:bCs/>
          <w:sz w:val="32"/>
          <w:szCs w:val="32"/>
          <w:lang w:eastAsia="zh-CN"/>
        </w:rPr>
        <w:t>调查</w:t>
      </w:r>
      <w:r>
        <w:rPr>
          <w:rFonts w:hint="eastAsia" w:ascii="仿宋" w:hAnsi="仿宋" w:eastAsia="仿宋" w:cs="仿宋"/>
          <w:b/>
          <w:bCs/>
          <w:spacing w:val="-12"/>
          <w:sz w:val="32"/>
          <w:szCs w:val="32"/>
          <w:lang w:val="en-US" w:eastAsia="zh-CN"/>
        </w:rPr>
        <w:t>对象</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灾害种类：</w:t>
      </w:r>
      <w:r>
        <w:rPr>
          <w:rFonts w:hint="eastAsia" w:ascii="仿宋" w:hAnsi="仿宋" w:eastAsia="仿宋" w:cs="仿宋"/>
          <w:spacing w:val="-5"/>
          <w:sz w:val="32"/>
          <w:szCs w:val="32"/>
          <w:lang w:val="en-US" w:eastAsia="zh-CN" w:bidi="zh-CN"/>
        </w:rPr>
        <w:t>根据《上海市第一次自然灾害综合风险普查崇明区工作方案》安排，我局负责调查风暴潮、海啸、海岸侵蚀三个灾种。</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承灾体调查种类：</w:t>
      </w:r>
      <w:r>
        <w:rPr>
          <w:rFonts w:hint="eastAsia" w:ascii="仿宋" w:hAnsi="仿宋" w:eastAsia="仿宋" w:cs="仿宋"/>
          <w:spacing w:val="-5"/>
          <w:sz w:val="32"/>
          <w:szCs w:val="32"/>
          <w:lang w:val="en-US" w:eastAsia="zh-CN" w:bidi="zh-CN"/>
        </w:rPr>
        <w:t>受海洋灾害影响的主要承灾体，包括海岸防护工程、渔港、商港、滨海旅游区、海水养殖区、海上风电工程等。其中我区不涉及海上风电工程、商港、滨海旅游区承灾体调查。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重点隐患调查种类：</w:t>
      </w:r>
      <w:r>
        <w:rPr>
          <w:rFonts w:hint="eastAsia" w:ascii="仿宋" w:hAnsi="仿宋" w:eastAsia="仿宋" w:cs="仿宋"/>
          <w:spacing w:val="-5"/>
          <w:sz w:val="32"/>
          <w:szCs w:val="32"/>
          <w:lang w:val="en-US" w:eastAsia="zh-CN" w:bidi="zh-CN"/>
        </w:rPr>
        <w:t>针对海洋灾害致灾孕灾、主要海洋承灾体两个类别的隐患，向陆一侧以海洋灾害漫滩、漫堤、溃堤、管涌、堤脚掏空等海岸防护和淹没隐患为重点，向海一侧海水养殖区、渔港等为重点。</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spacing w:val="-12"/>
          <w:sz w:val="32"/>
          <w:szCs w:val="32"/>
          <w:lang w:val="en-US"/>
        </w:rPr>
      </w:pPr>
      <w:r>
        <w:rPr>
          <w:rFonts w:hint="eastAsia" w:ascii="仿宋" w:hAnsi="仿宋" w:eastAsia="仿宋" w:cs="仿宋"/>
          <w:b/>
          <w:bCs/>
          <w:spacing w:val="-12"/>
          <w:sz w:val="32"/>
          <w:szCs w:val="32"/>
          <w:lang w:val="en-US" w:eastAsia="zh-CN"/>
        </w:rPr>
        <w:t>（二）</w:t>
      </w:r>
      <w:r>
        <w:rPr>
          <w:rFonts w:hint="eastAsia" w:ascii="仿宋" w:hAnsi="仿宋" w:eastAsia="仿宋" w:cs="仿宋"/>
          <w:b/>
          <w:bCs/>
          <w:spacing w:val="-12"/>
          <w:sz w:val="32"/>
          <w:szCs w:val="32"/>
          <w:lang w:val="en-US"/>
        </w:rPr>
        <w:t>普查时空范围</w:t>
      </w:r>
    </w:p>
    <w:p>
      <w:pPr>
        <w:keepNext w:val="0"/>
        <w:keepLines w:val="0"/>
        <w:pageBreakBefore w:val="0"/>
        <w:widowControl w:val="0"/>
        <w:kinsoku/>
        <w:wordWrap/>
        <w:overflowPunct/>
        <w:topLinePunct w:val="0"/>
        <w:autoSpaceDE w:val="0"/>
        <w:autoSpaceDN w:val="0"/>
        <w:bidi w:val="0"/>
        <w:adjustRightInd/>
        <w:snapToGrid/>
        <w:spacing w:line="540" w:lineRule="exact"/>
        <w:ind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空间范围：</w:t>
      </w:r>
      <w:r>
        <w:rPr>
          <w:rFonts w:hint="eastAsia" w:ascii="仿宋" w:hAnsi="仿宋" w:eastAsia="仿宋" w:cs="仿宋"/>
          <w:spacing w:val="-5"/>
          <w:sz w:val="32"/>
          <w:szCs w:val="32"/>
          <w:lang w:val="en-US" w:eastAsia="zh-CN" w:bidi="zh-CN"/>
        </w:rPr>
        <w:t>陆域涵盖崇明区行政区全域，海域涵盖《海域涵盖上海市海洋功能区划（2011-2020 年）》。</w:t>
      </w:r>
    </w:p>
    <w:p>
      <w:pPr>
        <w:keepNext w:val="0"/>
        <w:keepLines w:val="0"/>
        <w:pageBreakBefore w:val="0"/>
        <w:widowControl w:val="0"/>
        <w:kinsoku/>
        <w:wordWrap/>
        <w:overflowPunct/>
        <w:topLinePunct w:val="0"/>
        <w:autoSpaceDE w:val="0"/>
        <w:autoSpaceDN w:val="0"/>
        <w:bidi w:val="0"/>
        <w:adjustRightInd/>
        <w:snapToGrid/>
        <w:spacing w:line="540" w:lineRule="exact"/>
        <w:ind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时间范围：</w:t>
      </w:r>
      <w:r>
        <w:rPr>
          <w:rFonts w:hint="eastAsia" w:ascii="仿宋" w:hAnsi="仿宋" w:eastAsia="仿宋" w:cs="仿宋"/>
          <w:spacing w:val="-5"/>
          <w:sz w:val="32"/>
          <w:szCs w:val="32"/>
          <w:lang w:val="en-US" w:eastAsia="zh-CN" w:bidi="zh-CN"/>
        </w:rPr>
        <w:t>根据调查内容分类确定普查时段（时点），致灾孕灾因子调查依据不同灾害类型特点，调查收集30年以上长时间连续序列的数据资料，相关信息更新至2020年12月31日。承灾体和重点隐患调查时间点为2020年12月31日。</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3.5.3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p>
    <w:p>
      <w:pPr>
        <w:keepNext w:val="0"/>
        <w:keepLines w:val="0"/>
        <w:pageBreakBefore w:val="0"/>
        <w:widowControl w:val="0"/>
        <w:kinsoku/>
        <w:wordWrap/>
        <w:overflowPunct/>
        <w:topLinePunct w:val="0"/>
        <w:autoSpaceDE w:val="0"/>
        <w:autoSpaceDN w:val="0"/>
        <w:bidi w:val="0"/>
        <w:adjustRightInd/>
        <w:snapToGrid/>
        <w:spacing w:line="540" w:lineRule="exact"/>
        <w:ind w:firstLine="620" w:firstLineChars="200"/>
        <w:jc w:val="both"/>
        <w:textAlignment w:val="auto"/>
        <w:rPr>
          <w:rFonts w:hint="eastAsia" w:ascii="仿宋" w:hAnsi="仿宋" w:eastAsia="仿宋" w:cs="仿宋"/>
          <w:spacing w:val="-5"/>
          <w:sz w:val="32"/>
          <w:szCs w:val="32"/>
          <w:lang w:val="en-US" w:eastAsia="zh-CN" w:bidi="zh-CN"/>
        </w:rPr>
      </w:pPr>
      <w:bookmarkStart w:id="103" w:name="2.5.2_调查内容"/>
      <w:bookmarkEnd w:id="103"/>
      <w:bookmarkStart w:id="104" w:name="_Toc8701"/>
      <w:r>
        <w:rPr>
          <w:rFonts w:hint="eastAsia" w:ascii="仿宋" w:hAnsi="仿宋" w:eastAsia="仿宋" w:cs="仿宋"/>
          <w:spacing w:val="-5"/>
          <w:sz w:val="32"/>
          <w:szCs w:val="32"/>
          <w:lang w:val="en-US" w:eastAsia="zh-CN" w:bidi="zh-CN"/>
        </w:rPr>
        <w:t>根据《上海市崇明区第一次自然灾害综合风险普查领导小组办公室关于印发上海市第一次自然灾害综合风险普查崇明区工作方案的通知》（崇灾险普办〔2021〕1号）工作安排：区海洋局负责我区海洋灾害风险调查的致灾孕灾调查（风暴潮、海啸、海岸侵蚀）、承灾体调查、重点隐患调查。</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（一）致灾调查</w:t>
      </w:r>
    </w:p>
    <w:p>
      <w:pPr>
        <w:pStyle w:val="12"/>
        <w:keepNext w:val="0"/>
        <w:keepLines w:val="0"/>
        <w:pageBreakBefore w:val="0"/>
        <w:widowControl w:val="0"/>
        <w:kinsoku/>
        <w:wordWrap/>
        <w:overflowPunct/>
        <w:topLinePunct w:val="0"/>
        <w:autoSpaceDE w:val="0"/>
        <w:autoSpaceDN/>
        <w:bidi w:val="0"/>
        <w:adjustRightInd/>
        <w:snapToGrid/>
        <w:spacing w:line="56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结合已有业务工作基础及其成果转化利用，调查风暴潮、海啸、海岸侵蚀致灾孕灾观测要素，进一步掌握辖区内各类海洋灾害时空分布特征和发展趋势。</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（二）重点隐患调查</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全面调掌握我区沿海各类海洋灾害底数，结合承灾体调查成果，摸清隐患区（点）的基本类型、位置、规模、灾害风险及属性。</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致灾孕灾、主要承灾体两个类别的隐患，向陆一侧以海洋灾害漫滩、漫堤、溃堤、管涌、堤脚掏空等海岸防护和淹没隐患为重点，向海一侧以脆弱性和灾害损失较高的海水养殖区受灾隐患、渔港渔船防台防浪隐患等为重点，开展重点隐患调查。</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3.5.4 海洋灾害致灾调查</w:t>
      </w:r>
      <w:bookmarkEnd w:id="104"/>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643" w:firstLineChars="200"/>
        <w:jc w:val="both"/>
        <w:textAlignment w:val="auto"/>
        <w:outlineLvl w:val="3"/>
        <w:rPr>
          <w:rFonts w:hint="eastAsia" w:ascii="仿宋" w:hAnsi="仿宋" w:eastAsia="仿宋" w:cs="仿宋"/>
          <w:b/>
          <w:bCs/>
          <w:spacing w:val="-12"/>
          <w:sz w:val="32"/>
          <w:szCs w:val="32"/>
          <w:lang w:val="en-US"/>
        </w:rPr>
      </w:pPr>
      <w:bookmarkStart w:id="105" w:name="_Toc8660"/>
      <w:r>
        <w:rPr>
          <w:rFonts w:hint="eastAsia" w:ascii="仿宋" w:hAnsi="仿宋" w:eastAsia="仿宋" w:cs="仿宋"/>
          <w:b/>
          <w:bCs/>
          <w:sz w:val="32"/>
          <w:szCs w:val="32"/>
          <w:lang w:val="en-US" w:eastAsia="zh-CN"/>
        </w:rPr>
        <w:t xml:space="preserve">3.5.4.1 </w:t>
      </w:r>
      <w:r>
        <w:rPr>
          <w:rFonts w:hint="eastAsia" w:ascii="仿宋" w:hAnsi="仿宋" w:eastAsia="仿宋" w:cs="仿宋"/>
          <w:b/>
          <w:bCs/>
          <w:spacing w:val="-12"/>
          <w:sz w:val="32"/>
          <w:szCs w:val="32"/>
          <w:lang w:val="en-US"/>
        </w:rPr>
        <w:t>调查范围</w:t>
      </w:r>
      <w:bookmarkEnd w:id="105"/>
    </w:p>
    <w:p>
      <w:pPr>
        <w:keepNext w:val="0"/>
        <w:keepLines w:val="0"/>
        <w:pageBreakBefore w:val="0"/>
        <w:widowControl w:val="0"/>
        <w:kinsoku/>
        <w:wordWrap/>
        <w:overflowPunct/>
        <w:topLinePunct w:val="0"/>
        <w:autoSpaceDE w:val="0"/>
        <w:autoSpaceDN w:val="0"/>
        <w:bidi w:val="0"/>
        <w:adjustRightInd/>
        <w:snapToGrid/>
        <w:spacing w:line="540" w:lineRule="exact"/>
        <w:ind w:firstLine="623" w:firstLineChars="200"/>
        <w:jc w:val="both"/>
        <w:textAlignment w:val="auto"/>
        <w:rPr>
          <w:rFonts w:hint="eastAsia" w:ascii="仿宋" w:hAnsi="仿宋" w:eastAsia="仿宋" w:cs="仿宋"/>
          <w:spacing w:val="-5"/>
          <w:sz w:val="32"/>
          <w:szCs w:val="32"/>
          <w:lang w:val="en-US" w:eastAsia="zh-CN" w:bidi="zh-CN"/>
        </w:rPr>
      </w:pPr>
      <w:bookmarkStart w:id="106" w:name="_Toc10388"/>
      <w:r>
        <w:rPr>
          <w:rFonts w:hint="eastAsia" w:ascii="仿宋" w:hAnsi="仿宋" w:eastAsia="仿宋" w:cs="仿宋"/>
          <w:b/>
          <w:bCs/>
          <w:spacing w:val="-5"/>
          <w:sz w:val="32"/>
          <w:szCs w:val="32"/>
          <w:lang w:val="en-US" w:eastAsia="zh-CN" w:bidi="zh-CN"/>
        </w:rPr>
        <w:t>风暴潮调查范围：</w:t>
      </w:r>
      <w:r>
        <w:rPr>
          <w:rFonts w:hint="eastAsia" w:ascii="仿宋" w:hAnsi="仿宋" w:eastAsia="仿宋" w:cs="仿宋"/>
          <w:spacing w:val="-5"/>
          <w:sz w:val="32"/>
          <w:szCs w:val="32"/>
          <w:lang w:val="en-US" w:eastAsia="zh-CN" w:bidi="zh-CN"/>
        </w:rPr>
        <w:t>主要在我区沿海地区从海岸线向陆一侧延伸至海拔10米等高线，而且纵深不超过10公里，长江河口区域延伸至沿海各乡镇，向海延伸至领海基线。</w:t>
      </w:r>
    </w:p>
    <w:p>
      <w:pPr>
        <w:keepNext w:val="0"/>
        <w:keepLines w:val="0"/>
        <w:pageBreakBefore w:val="0"/>
        <w:widowControl w:val="0"/>
        <w:kinsoku/>
        <w:wordWrap/>
        <w:overflowPunct/>
        <w:topLinePunct w:val="0"/>
        <w:autoSpaceDE w:val="0"/>
        <w:autoSpaceDN w:val="0"/>
        <w:bidi w:val="0"/>
        <w:adjustRightInd/>
        <w:snapToGrid/>
        <w:spacing w:line="540" w:lineRule="exact"/>
        <w:ind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海啸调查范围：</w:t>
      </w:r>
      <w:r>
        <w:rPr>
          <w:rFonts w:hint="eastAsia" w:ascii="仿宋" w:hAnsi="仿宋" w:eastAsia="仿宋" w:cs="仿宋"/>
          <w:spacing w:val="-5"/>
          <w:sz w:val="32"/>
          <w:szCs w:val="32"/>
          <w:lang w:val="en-US" w:eastAsia="zh-CN" w:bidi="zh-CN"/>
        </w:rPr>
        <w:t>我区历史海啸发生区域调查涵盖整个崇明区陆域范围。</w:t>
      </w:r>
    </w:p>
    <w:p>
      <w:pPr>
        <w:keepNext w:val="0"/>
        <w:keepLines w:val="0"/>
        <w:pageBreakBefore w:val="0"/>
        <w:widowControl w:val="0"/>
        <w:kinsoku/>
        <w:wordWrap/>
        <w:overflowPunct/>
        <w:topLinePunct w:val="0"/>
        <w:autoSpaceDE w:val="0"/>
        <w:autoSpaceDN w:val="0"/>
        <w:bidi w:val="0"/>
        <w:adjustRightInd/>
        <w:snapToGrid/>
        <w:spacing w:line="540" w:lineRule="exact"/>
        <w:ind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海岸侵蚀调查范围：</w:t>
      </w:r>
      <w:r>
        <w:rPr>
          <w:rFonts w:hint="eastAsia" w:ascii="仿宋" w:hAnsi="仿宋" w:eastAsia="仿宋" w:cs="仿宋"/>
          <w:spacing w:val="-5"/>
          <w:sz w:val="32"/>
          <w:szCs w:val="32"/>
          <w:lang w:val="en-US" w:eastAsia="zh-CN" w:bidi="zh-CN"/>
        </w:rPr>
        <w:t>陆域涵盖崇明区行政单元，海域部分由海岸线向海一侧延伸不超过海图20米等深线。尺度以沿海村为调查单元。</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3.5.4.2 调查内容</w:t>
      </w:r>
      <w:bookmarkEnd w:id="106"/>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（一）</w:t>
      </w:r>
      <w:r>
        <w:rPr>
          <w:rFonts w:hint="eastAsia" w:ascii="仿宋" w:hAnsi="仿宋" w:eastAsia="仿宋" w:cs="仿宋"/>
          <w:b/>
          <w:bCs/>
          <w:spacing w:val="-12"/>
          <w:sz w:val="32"/>
          <w:szCs w:val="32"/>
          <w:lang w:val="en-US"/>
        </w:rPr>
        <w:t>风暴潮致灾孕灾要素调查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搜集整理沿海现有的海洋、水文代表站位1978-2020年间年风暴潮灾害过程最大增水和最高潮位观测资料，观测数据统一到1985国家高程基准。原则上一般要求有不少于20年的连续实测资料，如果观测时长不足20年的，调查有观测记录以来的所有实测资料；收集调查区域的警戒潮位值。水文资料（包括潮位资料、增水资料）和警戒潮位资料的调查精度为厘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（二）</w:t>
      </w:r>
      <w:r>
        <w:rPr>
          <w:rFonts w:hint="eastAsia" w:ascii="仿宋" w:hAnsi="仿宋" w:eastAsia="仿宋" w:cs="仿宋"/>
          <w:b/>
          <w:bCs/>
          <w:spacing w:val="-12"/>
          <w:sz w:val="32"/>
          <w:szCs w:val="32"/>
          <w:lang w:val="en-US"/>
        </w:rPr>
        <w:t>海啸致灾孕灾要素调查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收集震源信息资料和我区沿海典型潮位站海啸波动序列资料。对收集到的数据进行标准化处理和质量控制审核。海啸调查资料包括地震源参数和分钟级海啸波动水位数据，水位数据调查精确到厘米。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（三）</w:t>
      </w:r>
      <w:r>
        <w:rPr>
          <w:rFonts w:hint="eastAsia" w:ascii="仿宋" w:hAnsi="仿宋" w:eastAsia="仿宋" w:cs="仿宋"/>
          <w:b/>
          <w:bCs/>
          <w:spacing w:val="-12"/>
          <w:sz w:val="32"/>
          <w:szCs w:val="32"/>
          <w:lang w:val="en-US"/>
        </w:rPr>
        <w:t>海岸侵蚀致灾孕灾要素调查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07" w:name="_Toc77585429"/>
      <w:bookmarkStart w:id="108" w:name="_Toc11677"/>
      <w:r>
        <w:rPr>
          <w:rFonts w:hint="eastAsia" w:ascii="仿宋" w:hAnsi="仿宋" w:eastAsia="仿宋" w:cs="仿宋"/>
          <w:spacing w:val="-5"/>
          <w:sz w:val="32"/>
          <w:szCs w:val="32"/>
          <w:lang w:val="en-US" w:eastAsia="zh-CN" w:bidi="zh-CN"/>
        </w:rPr>
        <w:t>围绕海平面上升、海岸类型、风暴潮最大增水、平均波高和海岸变化速率等因素开展海岸侵蚀调查。</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3.5.4.3 工作流程与技术方法</w:t>
      </w:r>
      <w:bookmarkEnd w:id="107"/>
      <w:bookmarkEnd w:id="108"/>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收集风暴潮、海啸、海岸侵蚀3个种类海洋灾害致灾孕灾要素数据，按照《海洋观测规范第2部分：海滨观测》和《海洋观测延时资料质量控制审核技术规范》等技术规范进行数据的标准化处理，分析数据资料在空间连续性和时间连续性以及资料的完整性和可用性，并对数据进行校核和质量控制，形成能够满足开展海洋灾害致灾孕灾要素成果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（一）</w:t>
      </w:r>
      <w:r>
        <w:rPr>
          <w:rFonts w:hint="eastAsia" w:ascii="仿宋" w:hAnsi="仿宋" w:eastAsia="仿宋" w:cs="仿宋"/>
          <w:b/>
          <w:bCs/>
          <w:spacing w:val="-12"/>
          <w:sz w:val="32"/>
          <w:szCs w:val="32"/>
          <w:lang w:val="en-US"/>
        </w:rPr>
        <w:t>风暴潮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搜集整理我区堡镇水位站等现有沿海海洋、水文代表站实测潮位值，通过调和分析等手段分析得到天文潮数据、增水数据，并统计过程最大增水、最高潮位。对观测数据进行质量控制，根据观测资料的特点、变化范围，进行一般性检验，对观测格式等进行非法码检验，进行相关要素的相关性检验以及统计特性检验。参照《海洋观测延时资料质量控制审核技术规范》进行水文气象观测数据的标准化处理，对数据进行分类分级，形成标准数据集。收集区域警戒潮位核定结果中的警戒潮位值。根据以上收集和分析处理的数据完成调查表的填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原则上在原有1989-2018年历史灾情数据进行整理分析的基础上扩充历史灾情数据为1978-2020年，但若建站时间不足上述要求，对有稳定观测资料起至2020年的数据进行收集整理。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（二）</w:t>
      </w:r>
      <w:r>
        <w:rPr>
          <w:rFonts w:hint="eastAsia" w:ascii="仿宋" w:hAnsi="仿宋" w:eastAsia="仿宋" w:cs="仿宋"/>
          <w:b/>
          <w:bCs/>
          <w:spacing w:val="-12"/>
          <w:sz w:val="32"/>
          <w:szCs w:val="32"/>
          <w:lang w:val="en-US"/>
        </w:rPr>
        <w:t>海啸</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收集地震源信息资料，包括历史潮位观测数据、历史天文潮数据、历史海啸资料，收集整理地震信息中可能引发沿海海啸的相关时段典型潮位站海啸波动序列资料。开展历史海啸增水分析，对历史海啸期间崇明沿海水位数据进行频率分析，结合天文潮、气象等条件，分离历史海啸增水。对收集到的数据进行标准化处理和质量控制审核。根据以上收集和分析处理的数据完成调查表的填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（三）</w:t>
      </w:r>
      <w:r>
        <w:rPr>
          <w:rFonts w:hint="eastAsia" w:ascii="仿宋" w:hAnsi="仿宋" w:eastAsia="仿宋" w:cs="仿宋"/>
          <w:b/>
          <w:bCs/>
          <w:spacing w:val="-12"/>
          <w:sz w:val="32"/>
          <w:szCs w:val="32"/>
          <w:lang w:val="en-US"/>
        </w:rPr>
        <w:t>海岸侵蚀</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09" w:name="_Toc1456"/>
      <w:r>
        <w:rPr>
          <w:rFonts w:hint="eastAsia" w:ascii="仿宋" w:hAnsi="仿宋" w:eastAsia="仿宋" w:cs="仿宋"/>
          <w:spacing w:val="-5"/>
          <w:sz w:val="32"/>
          <w:szCs w:val="32"/>
          <w:lang w:val="en-US" w:eastAsia="zh-CN" w:bidi="zh-CN"/>
        </w:rPr>
        <w:t>参照《海岸侵蚀监测与评价技术规程（试行）》（原国家海洋局，2014），海岸侵蚀调查包括数据资料收集、数据质量分析、资料更新与补充调查、数据处理及成果汇总等4个方面。</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通过收集不同期次岸线修测成果 ，以及航空影像、遥感影像等解译成果 ，量算海岸线、等深线位置的变化，统计计算侵蚀岸线长度，最大侵蚀距离、平均侵蚀距离、侵蚀总面积等数据。调查海岸侵蚀受损情况，收集海岸线动态变化情况及岸线定位数据等。经过分析、标准化处理、校核、汇总后，填写海岸侵蚀调查表。</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3.5.4.4 主要成果</w:t>
      </w:r>
      <w:bookmarkEnd w:id="109"/>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1</w:t>
      </w: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w:t>
      </w:r>
      <w:bookmarkStart w:id="110" w:name="_Toc77585436"/>
      <w:bookmarkStart w:id="111" w:name="_Toc66092021"/>
      <w:bookmarkStart w:id="112" w:name="_Toc77443415"/>
      <w:bookmarkStart w:id="113" w:name="_Toc77442822"/>
      <w:r>
        <w:rPr>
          <w:rFonts w:hint="eastAsia" w:ascii="仿宋" w:hAnsi="仿宋" w:eastAsia="仿宋" w:cs="仿宋"/>
          <w:spacing w:val="-5"/>
          <w:sz w:val="32"/>
          <w:szCs w:val="32"/>
          <w:lang w:val="en-US" w:eastAsia="zh-CN" w:bidi="zh-CN"/>
        </w:rPr>
        <w:t>致灾孕灾要素形成的标准成果数据集；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2）其他相关成果数据集。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2</w:t>
      </w: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文字报告</w:t>
      </w:r>
      <w:bookmarkEnd w:id="110"/>
      <w:bookmarkEnd w:id="111"/>
      <w:bookmarkEnd w:id="112"/>
      <w:bookmarkEnd w:id="113"/>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w:t>
      </w:r>
      <w:bookmarkStart w:id="114" w:name="2.5.3_评估内容"/>
      <w:bookmarkEnd w:id="114"/>
      <w:bookmarkStart w:id="115" w:name="_Toc18259"/>
      <w:bookmarkStart w:id="116" w:name="_Toc8699"/>
      <w:r>
        <w:rPr>
          <w:rFonts w:hint="eastAsia" w:ascii="仿宋" w:hAnsi="仿宋" w:eastAsia="仿宋" w:cs="仿宋"/>
          <w:spacing w:val="-5"/>
          <w:sz w:val="32"/>
          <w:szCs w:val="32"/>
          <w:lang w:val="en-US" w:eastAsia="zh-CN" w:bidi="zh-CN"/>
        </w:rPr>
        <w:t>）沿海风暴潮灾害危险性调查技术报告；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2）沿海海啸灾害危险调查技术报告；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3）海岸侵蚀致灾孕灾要素调查技术报告。</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3.5.5 承灾体调查</w:t>
      </w:r>
      <w:bookmarkEnd w:id="115"/>
      <w:bookmarkEnd w:id="116"/>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17" w:name="_Hlk61533892"/>
      <w:r>
        <w:rPr>
          <w:rFonts w:hint="eastAsia" w:ascii="仿宋" w:hAnsi="仿宋" w:eastAsia="仿宋" w:cs="仿宋"/>
          <w:spacing w:val="-5"/>
          <w:sz w:val="32"/>
          <w:szCs w:val="32"/>
          <w:lang w:val="en-US" w:eastAsia="zh-CN" w:bidi="zh-CN"/>
        </w:rPr>
        <w:t>基于资料收集、现场测量、核查、核实等技术手段，调查海岸防护工程以及海水养殖区、渔港等主要海洋灾害承灾体情况，完善各类承灾体的基础信息和相关属性信息，形成海洋灾害主要承灾体数据集。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《海洋灾害承灾体调查技术规程》（海预减字〔2015〕13号）、《海洋灾害承灾体调查指南》等技术规范是本次承灾体调查工作的主要依据。</w:t>
      </w:r>
    </w:p>
    <w:bookmarkEnd w:id="117"/>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3.5.5.1 调查范围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调查空间范围：</w:t>
      </w:r>
      <w:r>
        <w:rPr>
          <w:rFonts w:hint="eastAsia" w:ascii="仿宋" w:hAnsi="仿宋" w:eastAsia="仿宋" w:cs="仿宋"/>
          <w:spacing w:val="-5"/>
          <w:sz w:val="32"/>
          <w:szCs w:val="32"/>
          <w:lang w:val="en-US" w:eastAsia="zh-CN" w:bidi="zh-CN"/>
        </w:rPr>
        <w:t>海海岸防护工程调查范围为崇明辖区内主海塘。有随塘河的海塘为堤身、堤外坡脚外侧20米滩地和堤内坡脚至随塘河边缘的护堤地；无随塘河的海塘为堤身、堤外坡脚外侧20米滩地和堤内坡脚外侧20米护堤地。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其他主要海洋灾害承灾体调查范围：以海岸线为基准，向陆一侧纵深10公里，如陆域所确定的调查范围没有完全覆盖村或社区的行政区域，则该村或社区的调查范围向外扩展直至完全覆盖，（整个崇明区行政管理范围内的18个乡镇），海域涵盖《上海市海洋功能区划（2011-2020年）》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调查时间范围：</w:t>
      </w:r>
      <w:r>
        <w:rPr>
          <w:rFonts w:hint="eastAsia" w:ascii="仿宋" w:hAnsi="仿宋" w:eastAsia="仿宋" w:cs="仿宋"/>
          <w:spacing w:val="-5"/>
          <w:sz w:val="32"/>
          <w:szCs w:val="32"/>
          <w:lang w:val="en-US" w:eastAsia="zh-CN" w:bidi="zh-CN"/>
        </w:rPr>
        <w:t>调查年度时段为2020年1月1日至2020年12月31日，近三年时段为2018年1月1日至2020年12月31日，时间点为2020年12月31日。</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3.5.5.2 调查内容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以以资料收集、遥感信息提取和现场调查相结合的形式开展海岸防护工程以及海水养殖区、渔港等主要海洋灾害承灾体调查。对数据缺失、信息不满足填表要求或与遥感影像资料有明显位置差异的承灾体开展现场补充调查，对已经完成资料收集的区域进行抽样核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（一）</w:t>
      </w:r>
      <w:r>
        <w:rPr>
          <w:rFonts w:hint="eastAsia" w:ascii="仿宋" w:hAnsi="仿宋" w:eastAsia="仿宋" w:cs="仿宋"/>
          <w:b/>
          <w:bCs/>
          <w:spacing w:val="-12"/>
          <w:sz w:val="32"/>
          <w:szCs w:val="32"/>
        </w:rPr>
        <w:t>海岸防护工程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主要调查本辖区内主海塘位置分布、类型、长度、设防标准、建设年代等；水闸、泵站工程主要调查内容为已建成的水闸的位置、设计标准等，泵站工程的位置、类型等。对调查表中缺失信息进行现场补充调查。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（二）</w:t>
      </w:r>
      <w:r>
        <w:rPr>
          <w:rFonts w:hint="eastAsia" w:ascii="仿宋" w:hAnsi="仿宋" w:eastAsia="仿宋" w:cs="仿宋"/>
          <w:b/>
          <w:bCs/>
          <w:spacing w:val="-12"/>
          <w:sz w:val="32"/>
          <w:szCs w:val="32"/>
        </w:rPr>
        <w:t>海水养殖区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主要调查本辖区内持有海水养殖海域使用权证（不动产证）或相关养殖权证的海水养殖区的位置、范围、养殖方式、产量或产值等，填《海水养殖区信息调查表》；对调查表中缺失信息进行现场补充调查。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（三）</w:t>
      </w:r>
      <w:r>
        <w:rPr>
          <w:rFonts w:hint="eastAsia" w:ascii="仿宋" w:hAnsi="仿宋" w:eastAsia="仿宋" w:cs="仿宋"/>
          <w:b/>
          <w:bCs/>
          <w:spacing w:val="-12"/>
          <w:sz w:val="32"/>
          <w:szCs w:val="32"/>
        </w:rPr>
        <w:t>渔港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主要调查本辖区内已建成渔港、锚地等基本情况，包括渔港及锚地位置、面积、设计容量及可否避台、淤积及疏浚情况、渔船类型及数量等，填《渔港信息调查表》《渔港锚地调查表》，对调查表中缺失信息进行现场补充调查。</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0"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3.5.5.3 工作流程与技术方法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承承灾体调查参照《海洋灾害承灾体调查技术规程》《海洋灾害承灾体调查指南》等相关技术规范要求，采取“前期资料收集及预处理—实地调查—资料整编—成果编制—验收归档”的技术流程进行实施，如图</w:t>
      </w:r>
      <w:r>
        <w:rPr>
          <w:rFonts w:hint="eastAsia" w:ascii="仿宋" w:hAnsi="仿宋" w:eastAsia="仿宋" w:cs="仿宋"/>
          <w:spacing w:val="-5"/>
          <w:sz w:val="32"/>
          <w:szCs w:val="32"/>
          <w:lang w:val="en-US" w:eastAsia="zh-CN" w:bidi="zh-CN"/>
        </w:rPr>
        <w:t>3</w:t>
      </w: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5.5</w:t>
      </w:r>
      <w:r>
        <w:rPr>
          <w:rFonts w:hint="eastAsia" w:ascii="仿宋" w:hAnsi="仿宋" w:eastAsia="仿宋" w:cs="仿宋"/>
          <w:spacing w:val="-5"/>
          <w:sz w:val="32"/>
          <w:szCs w:val="32"/>
          <w:lang w:val="zh-CN" w:eastAsia="zh-CN" w:bidi="zh-CN"/>
        </w:rPr>
        <w:t>-1。</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60" w:firstLineChars="200"/>
        <w:jc w:val="both"/>
        <w:textAlignment w:val="auto"/>
        <w:rPr>
          <w:rFonts w:hint="eastAsia" w:ascii="仿宋" w:hAnsi="仿宋" w:eastAsia="仿宋" w:cs="仿宋"/>
          <w:spacing w:val="-12"/>
          <w:sz w:val="32"/>
          <w:szCs w:val="32"/>
          <w:lang w:val="zh-CN"/>
        </w:rPr>
      </w:pPr>
      <w:r>
        <w:drawing>
          <wp:anchor distT="0" distB="0" distL="114300" distR="114300" simplePos="0" relativeHeight="251662336" behindDoc="0" locked="0" layoutInCell="1" allowOverlap="1">
            <wp:simplePos x="0" y="0"/>
            <wp:positionH relativeFrom="column">
              <wp:posOffset>1069340</wp:posOffset>
            </wp:positionH>
            <wp:positionV relativeFrom="paragraph">
              <wp:posOffset>64135</wp:posOffset>
            </wp:positionV>
            <wp:extent cx="3305175" cy="3990975"/>
            <wp:effectExtent l="0" t="0" r="1905" b="1905"/>
            <wp:wrapNone/>
            <wp:docPr id="3"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
                    <pic:cNvPicPr>
                      <a:picLocks noChangeAspect="1"/>
                    </pic:cNvPicPr>
                  </pic:nvPicPr>
                  <pic:blipFill>
                    <a:blip r:embed="rId21"/>
                    <a:stretch>
                      <a:fillRect/>
                    </a:stretch>
                  </pic:blipFill>
                  <pic:spPr>
                    <a:xfrm>
                      <a:off x="0" y="0"/>
                      <a:ext cx="3305175" cy="3990975"/>
                    </a:xfrm>
                    <a:prstGeom prst="rect">
                      <a:avLst/>
                    </a:prstGeom>
                    <a:noFill/>
                    <a:ln>
                      <a:noFill/>
                    </a:ln>
                  </pic:spPr>
                </pic:pic>
              </a:graphicData>
            </a:graphic>
          </wp:anchor>
        </w:drawing>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lang w:val="zh-CN"/>
        </w:rPr>
      </w:pPr>
    </w:p>
    <w:p>
      <w:pPr>
        <w:keepNext w:val="0"/>
        <w:keepLines w:val="0"/>
        <w:pageBreakBefore w:val="0"/>
        <w:kinsoku/>
        <w:wordWrap/>
        <w:overflowPunct/>
        <w:topLinePunct w:val="0"/>
        <w:bidi w:val="0"/>
        <w:adjustRightInd/>
        <w:snapToGrid/>
        <w:spacing w:line="540" w:lineRule="exact"/>
        <w:ind w:firstLine="562" w:firstLineChars="200"/>
        <w:jc w:val="center"/>
        <w:textAlignment w:val="auto"/>
        <w:rPr>
          <w:rFonts w:hint="eastAsia" w:ascii="仿宋" w:hAnsi="仿宋" w:eastAsia="仿宋"/>
          <w:b/>
          <w:bCs/>
          <w:sz w:val="28"/>
          <w:szCs w:val="28"/>
          <w:lang w:val="zh-CN"/>
        </w:rPr>
      </w:pPr>
    </w:p>
    <w:p>
      <w:pPr>
        <w:keepNext w:val="0"/>
        <w:keepLines w:val="0"/>
        <w:pageBreakBefore w:val="0"/>
        <w:kinsoku/>
        <w:wordWrap/>
        <w:overflowPunct/>
        <w:topLinePunct w:val="0"/>
        <w:bidi w:val="0"/>
        <w:adjustRightInd/>
        <w:snapToGrid/>
        <w:spacing w:line="540" w:lineRule="exact"/>
        <w:ind w:firstLine="562" w:firstLineChars="200"/>
        <w:jc w:val="center"/>
        <w:textAlignment w:val="auto"/>
        <w:rPr>
          <w:rFonts w:hint="eastAsia" w:ascii="仿宋" w:hAnsi="仿宋" w:eastAsia="仿宋"/>
          <w:b/>
          <w:bCs/>
          <w:sz w:val="28"/>
          <w:szCs w:val="28"/>
          <w:lang w:val="zh-CN"/>
        </w:rPr>
      </w:pPr>
    </w:p>
    <w:p>
      <w:pPr>
        <w:keepNext w:val="0"/>
        <w:keepLines w:val="0"/>
        <w:pageBreakBefore w:val="0"/>
        <w:kinsoku/>
        <w:wordWrap/>
        <w:overflowPunct/>
        <w:topLinePunct w:val="0"/>
        <w:bidi w:val="0"/>
        <w:adjustRightInd/>
        <w:snapToGrid/>
        <w:spacing w:line="540" w:lineRule="exact"/>
        <w:ind w:firstLine="562" w:firstLineChars="200"/>
        <w:jc w:val="center"/>
        <w:textAlignment w:val="auto"/>
        <w:rPr>
          <w:rFonts w:ascii="仿宋" w:hAnsi="仿宋" w:eastAsia="仿宋"/>
          <w:b/>
          <w:bCs/>
          <w:sz w:val="28"/>
          <w:szCs w:val="28"/>
          <w:lang w:val="zh-CN"/>
        </w:rPr>
      </w:pPr>
      <w:r>
        <w:rPr>
          <w:rFonts w:hint="eastAsia" w:ascii="仿宋" w:hAnsi="仿宋" w:eastAsia="仿宋"/>
          <w:b/>
          <w:bCs/>
          <w:sz w:val="28"/>
          <w:szCs w:val="28"/>
          <w:lang w:val="zh-CN"/>
        </w:rPr>
        <w:t>图</w:t>
      </w:r>
      <w:r>
        <w:rPr>
          <w:rFonts w:hint="eastAsia" w:ascii="仿宋" w:hAnsi="仿宋" w:eastAsia="仿宋"/>
          <w:b/>
          <w:bCs/>
          <w:sz w:val="28"/>
          <w:szCs w:val="28"/>
          <w:lang w:val="en-US" w:eastAsia="zh-CN"/>
        </w:rPr>
        <w:t>3</w:t>
      </w:r>
      <w:r>
        <w:rPr>
          <w:rFonts w:hint="eastAsia" w:ascii="仿宋" w:hAnsi="仿宋" w:eastAsia="仿宋"/>
          <w:b/>
          <w:bCs/>
          <w:sz w:val="28"/>
          <w:szCs w:val="28"/>
          <w:lang w:val="zh-CN"/>
        </w:rPr>
        <w:t>.</w:t>
      </w:r>
      <w:r>
        <w:rPr>
          <w:rFonts w:hint="eastAsia" w:ascii="仿宋" w:hAnsi="仿宋" w:eastAsia="仿宋"/>
          <w:b/>
          <w:bCs/>
          <w:sz w:val="28"/>
          <w:szCs w:val="28"/>
          <w:lang w:val="zh-CN" w:eastAsia="zh-CN"/>
        </w:rPr>
        <w:t>5.5</w:t>
      </w:r>
      <w:r>
        <w:rPr>
          <w:rFonts w:hint="eastAsia" w:ascii="仿宋" w:hAnsi="仿宋" w:eastAsia="仿宋"/>
          <w:b/>
          <w:bCs/>
          <w:sz w:val="28"/>
          <w:szCs w:val="28"/>
          <w:lang w:val="zh-CN"/>
        </w:rPr>
        <w:t>-1承灾体调查技术路线图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（1）</w:t>
      </w:r>
      <w:r>
        <w:rPr>
          <w:rFonts w:hint="eastAsia" w:ascii="仿宋" w:hAnsi="仿宋" w:eastAsia="仿宋" w:cs="仿宋"/>
          <w:b/>
          <w:bCs/>
          <w:spacing w:val="-12"/>
          <w:sz w:val="32"/>
          <w:szCs w:val="32"/>
        </w:rPr>
        <w:t>资料收集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在明确调查要素、确定调查范围以及确认资料来源的基础上，开展收集资料，资料来源及主要方式见表</w:t>
      </w: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2.5</w:t>
      </w:r>
      <w:r>
        <w:rPr>
          <w:rFonts w:hint="eastAsia" w:ascii="仿宋" w:hAnsi="仿宋" w:eastAsia="仿宋" w:cs="仿宋"/>
          <w:spacing w:val="-5"/>
          <w:sz w:val="32"/>
          <w:szCs w:val="32"/>
          <w:lang w:val="zh-CN" w:eastAsia="zh-CN" w:bidi="zh-CN"/>
        </w:rPr>
        <w:t>-2，所有调查信息采集表均需信息来源单位盖章确认。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1）海岸防护工程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根据海岸防护相关调查表，采用走访调研、数据共享等方式对崇明区内主海塘位置分布、类型、长度、宽度、材料、设防标准、建设年代等进行资料收集；水闸、泵站工程主要调查内容为已建成的水闸的位置、设计标准、建成时间等，泵站工程的位置、类型、建成时间等，进行资料收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2）其他主要海洋灾害承灾体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根据其他主要海洋灾害承灾体相关调查表，采用走访调研、数据共享、现场调查等方式收集承灾体基础信息，所有调查信息采集表均需信息来源单位盖章确认。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14" w:firstLineChars="200"/>
        <w:jc w:val="center"/>
        <w:textAlignment w:val="auto"/>
        <w:rPr>
          <w:rFonts w:hint="eastAsia" w:ascii="仿宋" w:hAnsi="仿宋" w:eastAsia="仿宋" w:cs="仿宋"/>
          <w:b/>
          <w:bCs/>
          <w:spacing w:val="-12"/>
          <w:sz w:val="28"/>
          <w:szCs w:val="28"/>
        </w:rPr>
      </w:pPr>
      <w:r>
        <w:rPr>
          <w:rFonts w:hint="eastAsia" w:ascii="仿宋" w:hAnsi="仿宋" w:eastAsia="仿宋" w:cs="仿宋"/>
          <w:b/>
          <w:bCs/>
          <w:spacing w:val="-12"/>
          <w:sz w:val="28"/>
          <w:szCs w:val="28"/>
        </w:rPr>
        <w:t>表</w:t>
      </w:r>
      <w:r>
        <w:rPr>
          <w:rFonts w:hint="eastAsia" w:ascii="仿宋" w:hAnsi="仿宋" w:eastAsia="仿宋" w:cs="仿宋"/>
          <w:b/>
          <w:bCs/>
          <w:spacing w:val="-12"/>
          <w:sz w:val="28"/>
          <w:szCs w:val="28"/>
          <w:lang w:val="en-US" w:eastAsia="zh-CN"/>
        </w:rPr>
        <w:t>3</w:t>
      </w:r>
      <w:r>
        <w:rPr>
          <w:rFonts w:hint="eastAsia" w:ascii="仿宋" w:hAnsi="仿宋" w:eastAsia="仿宋" w:cs="仿宋"/>
          <w:b/>
          <w:bCs/>
          <w:spacing w:val="-12"/>
          <w:sz w:val="28"/>
          <w:szCs w:val="28"/>
          <w:lang w:val="zh-CN"/>
        </w:rPr>
        <w:t>.</w:t>
      </w:r>
      <w:r>
        <w:rPr>
          <w:rFonts w:hint="eastAsia" w:ascii="仿宋" w:hAnsi="仿宋" w:eastAsia="仿宋" w:cs="仿宋"/>
          <w:b/>
          <w:bCs/>
          <w:spacing w:val="-12"/>
          <w:sz w:val="28"/>
          <w:szCs w:val="28"/>
          <w:lang w:val="en-US" w:eastAsia="zh-CN"/>
        </w:rPr>
        <w:t>2.5</w:t>
      </w:r>
      <w:r>
        <w:rPr>
          <w:rFonts w:hint="eastAsia" w:ascii="仿宋" w:hAnsi="仿宋" w:eastAsia="仿宋" w:cs="仿宋"/>
          <w:b/>
          <w:bCs/>
          <w:spacing w:val="-12"/>
          <w:sz w:val="28"/>
          <w:szCs w:val="28"/>
          <w:lang w:val="zh-CN"/>
        </w:rPr>
        <w:t>-</w:t>
      </w:r>
      <w:r>
        <w:rPr>
          <w:rFonts w:hint="eastAsia" w:ascii="仿宋" w:hAnsi="仿宋" w:eastAsia="仿宋" w:cs="仿宋"/>
          <w:b/>
          <w:bCs/>
          <w:spacing w:val="-12"/>
          <w:sz w:val="28"/>
          <w:szCs w:val="28"/>
        </w:rPr>
        <w:t>2承灾体调查资料信息及收集单位简表</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b/>
                <w:bCs/>
                <w:sz w:val="32"/>
                <w:szCs w:val="32"/>
              </w:rPr>
            </w:pPr>
            <w:r>
              <w:rPr>
                <w:rFonts w:hint="eastAsia" w:ascii="仿宋" w:hAnsi="仿宋" w:eastAsia="仿宋" w:cs="仿宋"/>
                <w:b/>
                <w:bCs/>
                <w:spacing w:val="-12"/>
                <w:sz w:val="32"/>
                <w:szCs w:val="32"/>
              </w:rPr>
              <w:t>资料信息</w:t>
            </w:r>
          </w:p>
        </w:tc>
        <w:tc>
          <w:tcPr>
            <w:tcW w:w="203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right="0"/>
              <w:jc w:val="center"/>
              <w:textAlignment w:val="auto"/>
              <w:rPr>
                <w:rFonts w:hint="eastAsia" w:ascii="仿宋" w:hAnsi="仿宋" w:eastAsia="仿宋" w:cs="仿宋"/>
                <w:b/>
                <w:bCs/>
                <w:sz w:val="32"/>
                <w:szCs w:val="32"/>
              </w:rPr>
            </w:pPr>
            <w:r>
              <w:rPr>
                <w:rFonts w:hint="eastAsia" w:ascii="仿宋" w:hAnsi="仿宋" w:eastAsia="仿宋" w:cs="仿宋"/>
                <w:b/>
                <w:bCs/>
                <w:spacing w:val="-12"/>
                <w:sz w:val="32"/>
                <w:szCs w:val="32"/>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海塘信息、堤防信息</w:t>
            </w:r>
          </w:p>
        </w:tc>
        <w:tc>
          <w:tcPr>
            <w:tcW w:w="2036" w:type="dxa"/>
            <w:vMerge w:val="restart"/>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52" w:firstLineChars="200"/>
              <w:jc w:val="center"/>
              <w:textAlignment w:val="auto"/>
              <w:rPr>
                <w:rFonts w:hint="eastAsia" w:ascii="仿宋" w:hAnsi="仿宋" w:eastAsia="仿宋" w:cs="仿宋"/>
                <w:spacing w:val="-12"/>
                <w:sz w:val="30"/>
                <w:szCs w:val="30"/>
              </w:rPr>
            </w:pPr>
          </w:p>
          <w:p>
            <w:pPr>
              <w:pStyle w:val="12"/>
              <w:keepNext w:val="0"/>
              <w:keepLines w:val="0"/>
              <w:pageBreakBefore w:val="0"/>
              <w:widowControl w:val="0"/>
              <w:kinsoku/>
              <w:wordWrap/>
              <w:overflowPunct/>
              <w:topLinePunct w:val="0"/>
              <w:autoSpaceDE w:val="0"/>
              <w:autoSpaceDN/>
              <w:bidi w:val="0"/>
              <w:adjustRightInd/>
              <w:snapToGrid/>
              <w:spacing w:line="540" w:lineRule="exact"/>
              <w:ind w:right="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分（泄）洪闸、挡潮闸、排（退）水闸工程信息</w:t>
            </w:r>
          </w:p>
        </w:tc>
        <w:tc>
          <w:tcPr>
            <w:tcW w:w="2036" w:type="dxa"/>
            <w:vMerge w:val="continue"/>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00" w:firstLineChars="200"/>
              <w:jc w:val="center"/>
              <w:textAlignment w:val="auto"/>
              <w:rPr>
                <w:rFonts w:hint="eastAsia"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海塘工险段信息</w:t>
            </w:r>
          </w:p>
        </w:tc>
        <w:tc>
          <w:tcPr>
            <w:tcW w:w="2036" w:type="dxa"/>
            <w:vMerge w:val="continue"/>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00" w:firstLineChars="200"/>
              <w:jc w:val="center"/>
              <w:textAlignment w:val="auto"/>
              <w:rPr>
                <w:rFonts w:hint="eastAsia"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渔港、锚地信息表</w:t>
            </w:r>
            <w:r>
              <w:rPr>
                <w:rFonts w:hint="eastAsia" w:ascii="仿宋" w:hAnsi="仿宋" w:eastAsia="仿宋" w:cs="仿宋"/>
                <w:spacing w:val="-12"/>
                <w:sz w:val="30"/>
                <w:szCs w:val="30"/>
                <w:lang w:eastAsia="zh-CN"/>
              </w:rPr>
              <w:t>－</w:t>
            </w:r>
            <w:r>
              <w:rPr>
                <w:rFonts w:hint="eastAsia" w:ascii="仿宋" w:hAnsi="仿宋" w:eastAsia="仿宋" w:cs="仿宋"/>
                <w:spacing w:val="-12"/>
                <w:sz w:val="30"/>
                <w:szCs w:val="30"/>
              </w:rPr>
              <w:t>锚地</w:t>
            </w:r>
          </w:p>
        </w:tc>
        <w:tc>
          <w:tcPr>
            <w:tcW w:w="2036" w:type="dxa"/>
            <w:vMerge w:val="restart"/>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海事部门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渔港、锚地信息表</w:t>
            </w:r>
            <w:r>
              <w:rPr>
                <w:rFonts w:hint="eastAsia" w:ascii="仿宋" w:hAnsi="仿宋" w:eastAsia="仿宋" w:cs="仿宋"/>
                <w:spacing w:val="-12"/>
                <w:sz w:val="30"/>
                <w:szCs w:val="30"/>
                <w:lang w:eastAsia="zh-CN"/>
              </w:rPr>
              <w:t>－</w:t>
            </w:r>
            <w:r>
              <w:rPr>
                <w:rFonts w:hint="eastAsia" w:ascii="仿宋" w:hAnsi="仿宋" w:eastAsia="仿宋" w:cs="仿宋"/>
                <w:spacing w:val="-12"/>
                <w:sz w:val="30"/>
                <w:szCs w:val="30"/>
              </w:rPr>
              <w:t>渔港</w:t>
            </w:r>
          </w:p>
        </w:tc>
        <w:tc>
          <w:tcPr>
            <w:tcW w:w="2036" w:type="dxa"/>
            <w:vMerge w:val="continue"/>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00" w:firstLineChars="200"/>
              <w:jc w:val="center"/>
              <w:textAlignment w:val="auto"/>
              <w:rPr>
                <w:rFonts w:hint="eastAsia"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海水养殖区分布信息</w:t>
            </w:r>
          </w:p>
        </w:tc>
        <w:tc>
          <w:tcPr>
            <w:tcW w:w="203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农业农村委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电力设施信息表（海上风电工程）</w:t>
            </w:r>
          </w:p>
        </w:tc>
        <w:tc>
          <w:tcPr>
            <w:tcW w:w="203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经信委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滨海旅游区等旅游娱乐设施信息</w:t>
            </w:r>
          </w:p>
        </w:tc>
        <w:tc>
          <w:tcPr>
            <w:tcW w:w="203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海堤补充测量成果</w:t>
            </w:r>
          </w:p>
        </w:tc>
        <w:tc>
          <w:tcPr>
            <w:tcW w:w="2036" w:type="dxa"/>
          </w:tcPr>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center"/>
              <w:textAlignment w:val="auto"/>
              <w:rPr>
                <w:rFonts w:hint="eastAsia" w:ascii="仿宋" w:hAnsi="仿宋" w:eastAsia="仿宋" w:cs="仿宋"/>
                <w:sz w:val="30"/>
                <w:szCs w:val="30"/>
              </w:rPr>
            </w:pPr>
            <w:r>
              <w:rPr>
                <w:rFonts w:hint="eastAsia" w:ascii="仿宋" w:hAnsi="仿宋" w:eastAsia="仿宋" w:cs="仿宋"/>
                <w:spacing w:val="-12"/>
                <w:sz w:val="30"/>
                <w:szCs w:val="30"/>
              </w:rPr>
              <w:t>水务局</w:t>
            </w:r>
          </w:p>
        </w:tc>
      </w:tr>
    </w:tbl>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2</w:t>
      </w: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rPr>
        <w:t>资料预处理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对收集的资料进行检查、筛选、确定适用信息，预填调查表，并在遥感影像上对调查目标进行预判。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1）资料分选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对收集的资料进行分类整理、检查、筛选，确定适用信息。以乡镇为单位对收集的资料根据承灾体类型进行分类整理；对资料的合理性、时效性及一致性进行检查；根据资料检查结果，确定可以使用的信息。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2）预填表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通过对已有资料整理分选，将现有信息及满足填表要求的信息提取出来，初步填写本区海洋灾害承灾体调查表，尽量填写齐全。根据调查对象预填表情况，按类分类统计缺失信息数据，用于后续实地调查。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3）遥感预判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将收集到的各类承灾体的平面坐标信息矢量化；在GIS软件中，将矢量化后的坐标位置叠加到经过几何精校正处理后的遥感影像图上，进行比对分析；确定位置坐标信息的正确性，如两个位置有约30米明显偏差，则将该对象记录于现场坐标核查统计表，便于现场对其位置核实或重新测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（3）实地调查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实地调查分为现场补充调查、现场核查、现场核实。主要工作为针对预填的承灾体调查表中缺失的信息开展实地补充调查；对遥感预判中地理位置误差较大的对象进行核查；对调查数据以抽样调查的方式进行核实。</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）海岸防护工程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调查现有资料依据为《上海市海塘调查资料》（2018），更新补齐2018-2020年12月31日的海塘信息。主要收集勘测、设计、施工、验收、运行管理及工程现状等资料，重点收集批复的海堤设计和竣工验收文件。对信息不全，不满足填表要求的部分开展补充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2）其他主要海洋灾害承灾体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海水养殖区、渔港等主要海洋灾害承灾体的调查，通过现场调查、走访以及现场核查方式，开展缺失信息的现场补充调查。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4</w:t>
      </w: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rPr>
        <w:t>资料整编</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参照《海洋灾害承灾体调查技术规程》《海洋灾害承灾体调查指南》等相关技术规范要求，对收集的各类资料进行整编。</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5</w:t>
      </w: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rPr>
        <w:t>成果编制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整理主要海洋灾害承灾体数据表，建立承灾体数据以及基础地理信息数据集，分析承灾体分布主要特征，编制项目工作报告和技术报告。</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0"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3.5.5.4 主要成果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1</w:t>
      </w: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rPr>
        <w:t>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1）崇明区海洋灾害承灾体调查成果数据集（海岸防护工程）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2）崇明区海洋灾害承灾体调查成果数据集（海岸防护工程除外）</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（2）</w:t>
      </w:r>
      <w:r>
        <w:rPr>
          <w:rFonts w:hint="eastAsia" w:ascii="仿宋" w:hAnsi="仿宋" w:eastAsia="仿宋" w:cs="仿宋"/>
          <w:b/>
          <w:bCs/>
          <w:spacing w:val="-12"/>
          <w:sz w:val="32"/>
          <w:szCs w:val="32"/>
        </w:rPr>
        <w:t>报告成果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1）崇明区海岸防护工程调查工作报告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2）崇明区海岸防护工程调查技术报告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3）崇明区海洋灾害风险普查承灾体调查工作报告（海岸防护工程除外）</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4）崇明区海洋灾害风险普查承灾体调查技术报告（海岸防护工程除外）</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118" w:name="2.5.4_任务分工"/>
      <w:bookmarkEnd w:id="118"/>
      <w:bookmarkStart w:id="119" w:name="_Toc30166"/>
      <w:r>
        <w:rPr>
          <w:rFonts w:hint="eastAsia" w:ascii="仿宋" w:hAnsi="仿宋" w:eastAsia="仿宋" w:cs="仿宋"/>
          <w:b/>
          <w:bCs/>
          <w:sz w:val="32"/>
          <w:szCs w:val="32"/>
          <w:lang w:val="en-US" w:eastAsia="zh-CN"/>
        </w:rPr>
        <w:t>3.5.6 重点隐患调查</w:t>
      </w:r>
      <w:bookmarkEnd w:id="119"/>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0"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3.5.6.1 调查范围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调查空间范围：</w:t>
      </w:r>
      <w:r>
        <w:rPr>
          <w:rFonts w:hint="eastAsia" w:ascii="仿宋" w:hAnsi="仿宋" w:eastAsia="仿宋" w:cs="仿宋"/>
          <w:spacing w:val="-5"/>
          <w:sz w:val="32"/>
          <w:szCs w:val="32"/>
          <w:lang w:val="zh-CN" w:eastAsia="zh-CN" w:bidi="zh-CN"/>
        </w:rPr>
        <w:t>海岸防护工程调查范围</w:t>
      </w:r>
      <w:r>
        <w:rPr>
          <w:rFonts w:hint="eastAsia" w:ascii="仿宋" w:hAnsi="仿宋" w:eastAsia="仿宋" w:cs="仿宋"/>
          <w:spacing w:val="-5"/>
          <w:sz w:val="32"/>
          <w:szCs w:val="32"/>
          <w:lang w:val="en-US" w:eastAsia="zh-CN" w:bidi="zh-CN"/>
        </w:rPr>
        <w:t>为崇明</w:t>
      </w:r>
      <w:r>
        <w:rPr>
          <w:rFonts w:hint="eastAsia" w:ascii="仿宋" w:hAnsi="仿宋" w:eastAsia="仿宋" w:cs="仿宋"/>
          <w:spacing w:val="-5"/>
          <w:sz w:val="32"/>
          <w:szCs w:val="32"/>
          <w:lang w:val="zh-CN" w:eastAsia="zh-CN" w:bidi="zh-CN"/>
        </w:rPr>
        <w:t>辖区内主海塘。有随塘河的海塘为堤身、堤外坡脚外侧20米滩地和堤内坡脚至随塘河边缘的护堤地；无随塘河的海塘为堤身、堤外坡脚外侧20米滩地和堤内坡脚外侧20米护堤地。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调查时间范围：</w:t>
      </w:r>
      <w:r>
        <w:rPr>
          <w:rFonts w:hint="eastAsia" w:ascii="仿宋" w:hAnsi="仿宋" w:eastAsia="仿宋" w:cs="仿宋"/>
          <w:spacing w:val="-5"/>
          <w:sz w:val="32"/>
          <w:szCs w:val="32"/>
          <w:lang w:val="zh-CN" w:eastAsia="zh-CN" w:bidi="zh-CN"/>
        </w:rPr>
        <w:t>调查年度时段为2020年1月1日至2020年12月31日，近三年时段为2018年1月1日至2020年12月31日，时间点为2020年12月31日。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b/>
          <w:bCs/>
          <w:spacing w:val="-5"/>
          <w:sz w:val="32"/>
          <w:szCs w:val="32"/>
          <w:lang w:val="zh-CN" w:eastAsia="zh-CN" w:bidi="zh-CN"/>
        </w:rPr>
        <w:t>其他主要海洋灾害承灾体调查范围：</w:t>
      </w:r>
      <w:r>
        <w:rPr>
          <w:rFonts w:hint="eastAsia" w:ascii="仿宋" w:hAnsi="仿宋" w:eastAsia="仿宋" w:cs="仿宋"/>
          <w:spacing w:val="-5"/>
          <w:sz w:val="32"/>
          <w:szCs w:val="32"/>
          <w:lang w:val="zh-CN" w:eastAsia="zh-CN" w:bidi="zh-CN"/>
        </w:rPr>
        <w:t>以海岸线为基准，向陆一侧纵深10公里，如陆域所确定的调查范围没有完全覆盖村或社区的行政区域，则该村或社区的调查范围向外扩展直至完全覆盖。（崇明三岛陆域范围全覆盖），海域涵盖《上海市海洋功能区划（2011-2020年）》范围。</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0"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3.5.6.2 调查内容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以海洋灾害主要承灾体（海堤、渔港、海水养殖区）为重点，通过资料收集、补充现场勘察、隐患区（点）确定、结果核查、成果汇总处理等工作流程，调查隐患区（点）的基本类型、位置、范围，隐患等级。</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0"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3.5.6.3 工作流程与技术方法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包含资料收集、补充现场勘察、隐患区（点）确定阶段、成果核验和成果汇总分析等工作流程。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（1）</w:t>
      </w:r>
      <w:r>
        <w:rPr>
          <w:rFonts w:hint="eastAsia" w:ascii="仿宋" w:hAnsi="仿宋" w:eastAsia="仿宋" w:cs="仿宋"/>
          <w:b/>
          <w:bCs/>
          <w:spacing w:val="-12"/>
          <w:sz w:val="32"/>
          <w:szCs w:val="32"/>
        </w:rPr>
        <w:t>资料收集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参照《海洋灾害重点隐患调查与评估技术规范》等相关技术规范，收集地理信息，海洋观测、历史灾害等基础资料，调查获取沿海防护工程（海堤）、滨海旅游区、渔港、海水养殖区、商港等承灾体相关资料。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地理信息主要收集调查地区的比例尺不低于1:1万的数字高程模型（DEM）资料，时限性要求不超过两年。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海洋观测资料主要包括致灾孕灾调查，风暴潮、海浪灾害的历史过程观测数据。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沿海防护工程主要调查内容为已建成的公益性海堤、海塘、海挡等结构物的位置分布、类型、长度、堤顶和挡浪墙顶高程、设计防护标准等信息，以及堤后保护区域内人口、经济和重要承灾体。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海水养殖区主要调查持有海水养殖海域使用权证（不动产证）或相关养殖权证的海水养殖区位置、面积、养殖方式、养殖种类、产量或产值等信息。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渔港类主要调查内容为已建成渔港及避风锚地的位置、面积、设计船型、靠泊容量等信息。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应充分利用承灾体调查成果及</w:t>
      </w:r>
      <w:r>
        <w:rPr>
          <w:rFonts w:hint="eastAsia" w:ascii="仿宋" w:hAnsi="仿宋" w:eastAsia="仿宋" w:cs="仿宋"/>
          <w:spacing w:val="-5"/>
          <w:sz w:val="32"/>
          <w:szCs w:val="32"/>
          <w:lang w:val="en-US" w:eastAsia="zh-CN" w:bidi="zh-CN"/>
        </w:rPr>
        <w:t>历史海洋灾害调查成果，</w:t>
      </w:r>
      <w:r>
        <w:rPr>
          <w:rFonts w:hint="eastAsia" w:ascii="仿宋" w:hAnsi="仿宋" w:eastAsia="仿宋" w:cs="仿宋"/>
          <w:spacing w:val="-5"/>
          <w:sz w:val="32"/>
          <w:szCs w:val="32"/>
          <w:lang w:val="zh-CN" w:eastAsia="zh-CN" w:bidi="zh-CN"/>
        </w:rPr>
        <w:t>对承灾体调查未涉及的部分开展补充收集。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（2）调查流程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）海堤现场调查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在资料收集的基础上，根据《海洋灾害重点隐患调查与评估技术规范—海岸防护工程》等相关技术规范，通过现场勘查、海堤工程图件与实况对比相结合的方式，保证堤防数据的准确度和现实性。同一名称、规划、设计、施工标准的海堤为一个自然段；在一个自然段的海堤上，至少须对其首、末、中段三个以上的点位进行坐标及高程测量（其中必须包括一个沉降最低点的测量）。对于跨行政区的海堤自然段，则测量辖区内的海堤。通过分析收集到的堤坝信息，梳理出各种险工、险段信息，主要有病险海堤、没有达到防洪潮标准的海堤、病险水闸泵站等；然后现场测量这些海堤设施的坐标、高程等要素并拍照、录像，详细收集险工、险段的历史受灾情况。海堤测得的坐标，还须与遥感图件进行比对，如有较大偏差，则须核实或重新测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2）其他海洋灾害重要承灾体调查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在资料收集、遥感调查分析的基础上，参照《海洋灾害重点隐患调查与评估技术规范》等相关技术规范，对不能满足调查要求的海水养殖区、滨海旅游区、渔港和商港等相关数据开展现场补充调查。包括测量主体工程的位置和结构属性信息等，并拍照、录像，获取现场数据、图像资料。海水养殖区主要调查位置、面积或范围、养殖方式、养殖种类、产量或产值等。渔港（商港）主要调查已建成渔港（商港）和避风锚地的位置、面积、容纳量等；滨海旅游区包括已投入运营的砂质海滩，主要调查位置、级别、面积、设计日游客接待量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（4）成果核验</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洋灾害隐患区（点）确定后，应采用自检和逐级核验相结合的方式，征求地方相关行业部门对隐患调查结果的意见，对有疑问或问题的隐患区（点）开展实地勘测，结合历史灾情比对，核验并修正完善隐患调查结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（5）成果分析整合</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整合分析隐患调查成果，形成隐患数据表单及数据集，并将其空间化形成隐患空间分布图。形成技术报告和隐患清单。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（6）技术方法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1）向陆一侧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海岸防护及淹没隐患：参照《海洋灾害重点隐患调查与评估技术规范—海岸防护工程》开展工作。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2）向海一侧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海水养殖区灾害隐患：基于当地10年重现期风暴潮、海浪灾害过程，参照《海洋灾害重点隐患调查与评估技术规范—海水养殖区》开展工作。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渔港灾害隐患：参照《海洋灾害重点隐患调查与评估技术规范—渔港》开展工作。</w:t>
      </w:r>
    </w:p>
    <w:p>
      <w:pPr>
        <w:pStyle w:val="12"/>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0"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3.5.6.4 主要成果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lang w:val="en-US"/>
        </w:rPr>
        <w:t>1</w:t>
      </w:r>
      <w:r>
        <w:rPr>
          <w:rFonts w:hint="eastAsia" w:ascii="仿宋" w:hAnsi="仿宋" w:eastAsia="仿宋" w:cs="仿宋"/>
          <w:b/>
          <w:bCs/>
          <w:spacing w:val="-12"/>
          <w:sz w:val="32"/>
          <w:szCs w:val="32"/>
          <w:lang w:val="en-US" w:eastAsia="zh-CN"/>
        </w:rPr>
        <w:t>）</w:t>
      </w:r>
      <w:r>
        <w:rPr>
          <w:rFonts w:hint="eastAsia" w:ascii="仿宋" w:hAnsi="仿宋" w:eastAsia="仿宋" w:cs="仿宋"/>
          <w:b/>
          <w:bCs/>
          <w:spacing w:val="-12"/>
          <w:sz w:val="32"/>
          <w:szCs w:val="32"/>
        </w:rPr>
        <w:t>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1）崇明区海岸防护工程隐患调查数据集；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2）崇明区海水养殖区海洋灾害隐患调查数据集；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3）崇明区渔港海洋灾害隐患调查数据集；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（2）报告成果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1）崇明区海洋灾害风险普查重点隐患调查工作报告。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2）崇明区海洋灾害风险普查重点隐患调查技术报告。</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120" w:name="2.5.5_工作流程与技术方法"/>
      <w:bookmarkEnd w:id="120"/>
      <w:bookmarkStart w:id="121" w:name="_Toc22197"/>
      <w:r>
        <w:rPr>
          <w:rFonts w:hint="eastAsia" w:ascii="仿宋" w:hAnsi="仿宋" w:eastAsia="仿宋" w:cs="仿宋"/>
          <w:b/>
          <w:bCs/>
          <w:sz w:val="32"/>
          <w:szCs w:val="32"/>
          <w:lang w:val="en-US" w:eastAsia="zh-CN"/>
        </w:rPr>
        <w:t xml:space="preserve">3.5.7 </w:t>
      </w:r>
      <w:bookmarkEnd w:id="121"/>
      <w:r>
        <w:rPr>
          <w:rFonts w:hint="eastAsia" w:ascii="仿宋" w:hAnsi="仿宋" w:eastAsia="仿宋" w:cs="仿宋"/>
          <w:b/>
          <w:bCs/>
          <w:sz w:val="32"/>
          <w:szCs w:val="32"/>
          <w:lang w:val="en-US" w:eastAsia="zh-CN"/>
        </w:rPr>
        <w:t>数据质量控制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22" w:name="2.5.5.1_工作流程"/>
      <w:bookmarkEnd w:id="122"/>
      <w:r>
        <w:rPr>
          <w:rFonts w:hint="eastAsia" w:ascii="仿宋" w:hAnsi="仿宋" w:eastAsia="仿宋" w:cs="仿宋"/>
          <w:spacing w:val="-5"/>
          <w:sz w:val="32"/>
          <w:szCs w:val="32"/>
          <w:lang w:val="en-US" w:eastAsia="zh-CN" w:bidi="zh-CN"/>
        </w:rPr>
        <w:t>依照崇明区灾险普查办实质量控制方案，制定各阶段质量控制的内容、技术方法和要求全过程质量控制，各项内容根据实施环节和成果特点，确定过程质量控制的工作节、组织实施及监督抽查办法，并做好工作记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（一）质量控制工作机制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区水务局负责本级海洋普查工作质量控制，依照国家和市、区层面质量控制方案、技术要求等有关规范要求，建立逐级审核质量控制工作机制，承担质量主体责任，全面落实质量控制措施要求。</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（二）过程质量控制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本次普查实施全过程质量控制，重点是：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（1）普查原始资料的质量核查；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（2）遥感影像数据的处理和解译的质量控制；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（3）外业调查的质量控制；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（4）普查数据库的质量控制；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（5）成果的质量控制。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（三）质量控制的监督抽查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接受定期市、区灾险普查办的监督抽查，监督抽查的内容包括普查质量管理工作的开展情况、质量检查和验收的执行情况、成果质量状况等，监督检查采取现场巡视、调查与座谈、质量记录查阅、成果质量抽检等多种形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（四）成果质检与逐级核查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水务部局承担本区海洋灾害普查成果审核工作，检查工作全覆盖、不留空白。质检发现问题，需及时整改，其中直接组织本部门相关业务人员实施的由该部门自行整改，通过委托第三方专业技术机构实施的，责成第三方实施机构限期整改。</w:t>
      </w:r>
      <w:bookmarkStart w:id="123" w:name="2.5.7_成果"/>
      <w:bookmarkEnd w:id="123"/>
      <w:bookmarkStart w:id="124" w:name="2.6_森林火灾"/>
      <w:bookmarkEnd w:id="124"/>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125" w:name="_Toc29548"/>
      <w:r>
        <w:rPr>
          <w:rFonts w:hint="eastAsia" w:ascii="楷体" w:hAnsi="楷体" w:eastAsia="楷体" w:cs="楷体"/>
          <w:b/>
          <w:bCs/>
          <w:sz w:val="32"/>
          <w:szCs w:val="32"/>
          <w:lang w:val="en-US" w:eastAsia="zh-CN"/>
        </w:rPr>
        <w:t>3.6 森林火灾</w:t>
      </w:r>
      <w:bookmarkEnd w:id="125"/>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126" w:name="2.6.1_目标"/>
      <w:bookmarkEnd w:id="126"/>
      <w:bookmarkStart w:id="127" w:name="_Toc7001"/>
      <w:r>
        <w:rPr>
          <w:rFonts w:hint="eastAsia" w:ascii="仿宋" w:hAnsi="仿宋" w:eastAsia="仿宋" w:cs="仿宋"/>
          <w:b/>
          <w:bCs/>
          <w:sz w:val="32"/>
          <w:szCs w:val="32"/>
          <w:lang w:val="en-US" w:eastAsia="zh-CN"/>
        </w:rPr>
        <w:t xml:space="preserve">3.6.1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bookmarkEnd w:id="127"/>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组织开展崇明区森林火灾风险普查，摸清森林火灾风险隐患底数，查明重点区域抗灾能力，客观认识森林火灾风险水平，为有效开展森林火灾防治和应急管理、切实保障社会经济可持续发展提供权威的森林火灾风险信息及科学决策提供依据。</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128" w:name="2.6.2_范围"/>
      <w:bookmarkEnd w:id="128"/>
      <w:bookmarkStart w:id="129" w:name="_Toc18662"/>
      <w:r>
        <w:rPr>
          <w:rFonts w:hint="eastAsia" w:ascii="仿宋" w:hAnsi="仿宋" w:eastAsia="仿宋" w:cs="仿宋"/>
          <w:b/>
          <w:bCs/>
          <w:sz w:val="32"/>
          <w:szCs w:val="32"/>
          <w:lang w:val="en-US" w:eastAsia="zh-CN"/>
        </w:rPr>
        <w:t xml:space="preserve">3.6.2 </w:t>
      </w:r>
      <w:bookmarkEnd w:id="129"/>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空间范围：</w:t>
      </w:r>
      <w:r>
        <w:rPr>
          <w:rFonts w:hint="eastAsia" w:ascii="仿宋" w:hAnsi="仿宋" w:eastAsia="仿宋" w:cs="仿宋"/>
          <w:spacing w:val="-5"/>
          <w:sz w:val="32"/>
          <w:szCs w:val="32"/>
          <w:lang w:val="en-US" w:eastAsia="zh-CN" w:bidi="zh-CN"/>
        </w:rPr>
        <w:t>崇明区全区范围。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时间范围：</w:t>
      </w:r>
      <w:r>
        <w:rPr>
          <w:rFonts w:hint="eastAsia" w:ascii="仿宋" w:hAnsi="仿宋" w:eastAsia="仿宋" w:cs="仿宋"/>
          <w:spacing w:val="-5"/>
          <w:sz w:val="32"/>
          <w:szCs w:val="32"/>
          <w:lang w:val="en-US" w:eastAsia="zh-CN" w:bidi="zh-CN"/>
        </w:rPr>
        <w:t>根据调查内容分类确定普查时段（时点），森林火灾危险性调查，收集30年以上长时间连续序列的数据资料，相关信息更新至2020年12月31日。野外火源调查时间为近五年，时段为2016年1月1日至2020年12月31日；气象数据获取和采集时段为2011年1月1日至2020年12月31日；历史森林火灾信息采集时段为1990年1月1日至2020年12月31日；减灾能力调查年度时段为2020年1月1日至2020年12月31日。</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3.6.3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（一）</w:t>
      </w:r>
      <w:r>
        <w:rPr>
          <w:rFonts w:hint="eastAsia" w:ascii="仿宋" w:hAnsi="仿宋" w:eastAsia="仿宋" w:cs="仿宋"/>
          <w:b/>
          <w:bCs/>
          <w:spacing w:val="-12"/>
          <w:sz w:val="32"/>
          <w:szCs w:val="32"/>
        </w:rPr>
        <w:t>风险要素信息调查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开展森林可燃物调查、野外火源调查和气象条件调查，建设森林危险性调查与评估数据库。综合森林可燃物、燃烧性因子、立地类型、野外火源以及气象件等情况，结合已有资源数据、调查数据、多源遥感数据及共享的历史火灾数据成果，对森林火灾危险性进行综合研判与分析评估，编制崇明区森林和草原火灾危险性等级分布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（2）森林火灾重要承灾体调查与评估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信息共享、外业调查、数据整合等方式，掌握翔实准确的全区森林资源、生态环境及基础设施等森林火灾承灾体空间分布及灾害属性特征，掌握受森林火灾影响的人口和财富的数量、价值、设防水平等底数信息，建立承灾体调查成果地理信息数据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（3）森林火灾历史灾害调查和评估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通过信息共享和数据整合方式，获取全区森林火灾历史数据，包括年度森林火灾统计数据、森林火灾档案及重特大森林火灾的案例数据。建立要素完整、内容详实、数据规范的长时间序列历史灾害数据集。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（4）森林火灾减灾能力调查与评估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信息共享、外业调查、数据整合等方式，全面掌握崇明区政府的森林防火管理能力、专业森林防扑火队伍、物资储备库（点）、预警监测站点和各类防火设施等的概况、地址、装备设备、覆盖率和储备能力等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（5）森林火灾重点隐患调查与评估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重点隐患调查针对潜在用火点、减灾能力薄弱隐患开展，其中减灾能力薄弱隐患的调查对象包括林火阻隔系统、防火瞭望监测系统、防火道路、地方（半）专业防扑火队伍、防火物资储备库等减灾资源基本情况和薄弱情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（6）风险评估与区划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依据森林火灾危险性调查结果，结合历次火灾发生原因、灾损情况和扑救情况以及不同危险性等级区域的人口、经济、自然资源与环境情况，构建森林火灾影响及损失评估模型，评估森林火灾风险。</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基于森林火灾风险评估结果，划分不同尺度不同单元内的森林火灾风险等级，形成不同行政区划单元（或经营单位）的森林火灾风险区划分布图。</w:t>
      </w:r>
    </w:p>
    <w:p>
      <w:pPr>
        <w:pStyle w:val="6"/>
        <w:keepNext w:val="0"/>
        <w:keepLines w:val="0"/>
        <w:pageBreakBefore w:val="0"/>
        <w:widowControl w:val="0"/>
        <w:numPr>
          <w:ilvl w:val="0"/>
          <w:numId w:val="0"/>
        </w:numPr>
        <w:tabs>
          <w:tab w:val="left" w:pos="1069"/>
        </w:tabs>
        <w:kinsoku/>
        <w:wordWrap/>
        <w:overflowPunct/>
        <w:topLinePunct w:val="0"/>
        <w:autoSpaceDE/>
        <w:autoSpaceDN/>
        <w:bidi w:val="0"/>
        <w:adjustRightInd/>
        <w:snapToGrid/>
        <w:spacing w:before="0" w:after="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130" w:name="2.6.3_内容"/>
      <w:bookmarkEnd w:id="130"/>
      <w:r>
        <w:rPr>
          <w:rFonts w:hint="eastAsia" w:ascii="仿宋" w:hAnsi="仿宋" w:eastAsia="仿宋" w:cs="仿宋"/>
          <w:b/>
          <w:bCs/>
          <w:sz w:val="32"/>
          <w:szCs w:val="32"/>
          <w:lang w:val="en-US" w:eastAsia="zh-CN"/>
        </w:rPr>
        <w:t>3.6.4 工作流程与技术方法</w:t>
      </w:r>
    </w:p>
    <w:p>
      <w:pPr>
        <w:pStyle w:val="12"/>
        <w:keepNext w:val="0"/>
        <w:keepLines w:val="0"/>
        <w:pageBreakBefore w:val="0"/>
        <w:widowControl w:val="0"/>
        <w:kinsoku/>
        <w:wordWrap/>
        <w:overflowPunct/>
        <w:topLinePunct w:val="0"/>
        <w:autoSpaceDE/>
        <w:autoSpaceDN/>
        <w:bidi w:val="0"/>
        <w:adjustRightInd/>
        <w:snapToGrid/>
        <w:spacing w:line="540" w:lineRule="exact"/>
        <w:ind w:left="0" w:leftChars="0" w:right="0" w:firstLine="595" w:firstLineChars="200"/>
        <w:jc w:val="both"/>
        <w:textAlignment w:val="auto"/>
        <w:outlineLvl w:val="3"/>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3.6.4.1 技术路线</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充分利用森林资源一体化监测数据、国土三调等专项调查形成的相关数据、资料和图件成果，遵循“内外业相结合”、“按行政界统计”原则，采取全面调查、典型调查和重点调查相结合的方式，利用数据汇集整理、档案查阅、现场勘查（调查）、遥感解译等多种调查技术手段，开展森林火灾危险性调查。对各类数据逐级进行审核、检查和订正。运用统计分析、空间分析等多种方法，开展危险性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通过信息共享和数据整合方式，全面获取森林覆盖区域及林缘100m范围内重要承灾体数据、森林火灾历史数据及森林火灾减灾能力数据。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通过开展森林火灾重点隐患调查，获取减灾能力薄弱隐患信息，在整合改造其他已有调查数据的基础上，采用空间叠加分析、专家评定等方法进行重点隐患评估，并对火灾隐患进行分区分级综合评定。</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综合利用危险性调查与评估的成果，重点隐患的空间分布和分级成果，主要承灾体脆弱性评估、暴露度评估结果，参考行业规范或业务工作惯例，开展定量或定性的风险评估。依据风险评估成果，结合孕灾环境、行政边界、地理分区等因素开展风险区划，结合崇明区森林火灾防治措施和防治工作部署现状，制定防治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outlineLvl w:val="3"/>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3.6.4.2 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1.遥感解译、历史资料汇集、现场调查等多种技术手段相结合开展森林火灾致灾孕灾要素调查。</w:t>
      </w:r>
      <w:r>
        <w:rPr>
          <w:rFonts w:hint="eastAsia" w:ascii="仿宋" w:hAnsi="仿宋" w:eastAsia="仿宋" w:cs="仿宋"/>
          <w:spacing w:val="-5"/>
          <w:sz w:val="32"/>
          <w:szCs w:val="32"/>
          <w:lang w:val="en-US" w:eastAsia="zh-CN" w:bidi="zh-CN"/>
        </w:rPr>
        <w:t>汇集气象、水文等数据，结合多种方法校核验证，采集森林火灾致灾孕灾要素数据资料。运用统计分析、工程填图、模拟仿真等方法，实现对森林火灾致灾危险性的评估。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2.内外业一体化技术开展承灾体调查。</w:t>
      </w:r>
      <w:r>
        <w:rPr>
          <w:rFonts w:hint="eastAsia" w:ascii="仿宋" w:hAnsi="仿宋" w:eastAsia="仿宋" w:cs="仿宋"/>
          <w:spacing w:val="-5"/>
          <w:sz w:val="32"/>
          <w:szCs w:val="32"/>
          <w:lang w:val="en-US" w:eastAsia="zh-CN" w:bidi="zh-CN"/>
        </w:rPr>
        <w:t>共享利用承灾体管理部门已有普查、调查数据库和业务数据资料，按风险普查对承灾体数据的要求进行统计、整理入库。采取遥感影像识别、无人机航拍数据提取等技术手段获取房屋建筑等承灾体的分布、轮廓特征信息，通过互联网数据抓取、现场调查与复核等多样技术手段，结合数据调查APP移动终端采集承灾体数量、价值、设防水平等灾害属性信息，并采用分层级抽样、详查、人工复核等手段，保证数据质量。运用GIS空间技术，评估并生成承灾体数量、价值空间分布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3.全面调查和重点调查相结合的方式开展历史灾害调查。</w:t>
      </w:r>
      <w:r>
        <w:rPr>
          <w:rFonts w:hint="eastAsia" w:ascii="仿宋" w:hAnsi="仿宋" w:eastAsia="仿宋" w:cs="仿宋"/>
          <w:spacing w:val="-5"/>
          <w:sz w:val="32"/>
          <w:szCs w:val="32"/>
          <w:lang w:val="en-US" w:eastAsia="zh-CN" w:bidi="zh-CN"/>
        </w:rPr>
        <w:t>全面调查1990年以来的年度森林火灾、历史森林火灾事件，重点调查1990年以来重大森林事件的致灾因素、灾害损失、应对措施和恢复重建等情况。构建历史灾害调查数据体系，利用统计分析、空间分析等方法开展历史灾害的时空特征和规律的分析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4.多要素、全链条相结合开展森林火灾重点隐患综合排查。</w:t>
      </w:r>
      <w:r>
        <w:rPr>
          <w:rFonts w:hint="eastAsia" w:ascii="仿宋" w:hAnsi="仿宋" w:eastAsia="仿宋" w:cs="仿宋"/>
          <w:spacing w:val="-5"/>
          <w:sz w:val="32"/>
          <w:szCs w:val="32"/>
          <w:lang w:val="en-US" w:eastAsia="zh-CN" w:bidi="zh-CN"/>
        </w:rPr>
        <w:t>在致灾要素调查与危险性评估基础上，形成灾害高危险区，在承灾体调查基础上，开展森林火灾设防水平的判定；基于森林火灾防灾减灾工程普查信息，开展森林火灾防护工程的防护能力水平与规划及技术规范要求的关系判定；充分利用致灾孕灾、承灾体等多源信息，基于GIS空间叠加分析方法，研判不易发现或难以判定的森林火灾隐患；运用专家经验及层次分析等方法对灾害隐患进行分区、分类、分级综合评定。</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5.多对象、多方法、多尺度分析相结合开展森林火灾风险评估。</w:t>
      </w:r>
      <w:r>
        <w:rPr>
          <w:rFonts w:hint="eastAsia" w:ascii="仿宋" w:hAnsi="仿宋" w:eastAsia="仿宋" w:cs="仿宋"/>
          <w:spacing w:val="-5"/>
          <w:sz w:val="32"/>
          <w:szCs w:val="32"/>
          <w:lang w:val="en-US" w:eastAsia="zh-CN" w:bidi="zh-CN"/>
        </w:rPr>
        <w:t>森林火灾风险全要素调查与评估成果为森林火灾灾害风险提供致灾因子、承灾体、历史灾害、减灾能力等风险要素信息，重点隐患排查成果为森林火灾风险提供隐患分布和分级的信息。运用等级评估、期望损失、超越概率、情景分析等方法，综合危险性评估、脆弱性评估、暴露度评估的结果，参考行业规范和业务工作惯例，开展森林火灾风险评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6.自然属性与社会经济属性兼顾、定性和定量结合的方式开展森林火灾灾害风险区划与防治区划。</w:t>
      </w:r>
      <w:r>
        <w:rPr>
          <w:rFonts w:hint="eastAsia" w:ascii="仿宋" w:hAnsi="仿宋" w:eastAsia="仿宋" w:cs="仿宋"/>
          <w:spacing w:val="-5"/>
          <w:sz w:val="32"/>
          <w:szCs w:val="32"/>
          <w:lang w:val="en-US" w:eastAsia="zh-CN" w:bidi="zh-CN"/>
        </w:rPr>
        <w:t>根据风险评估成果，结合孕灾环境、行政边界、地理分区等要素信息，通过定性和定量相结合的区划方法进行森林火灾风险区划制定，并结合各灾害和承灾体防治特点制定防治区划。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7.综合运用地理信息、云计算、大数据、物联网、区块链等先进技术开展普查基础空间信息制备与软件系统建设。</w:t>
      </w:r>
      <w:r>
        <w:rPr>
          <w:rFonts w:hint="eastAsia" w:ascii="仿宋" w:hAnsi="仿宋" w:eastAsia="仿宋" w:cs="仿宋"/>
          <w:spacing w:val="-5"/>
          <w:sz w:val="32"/>
          <w:szCs w:val="32"/>
          <w:lang w:val="en-US" w:eastAsia="zh-CN" w:bidi="zh-CN"/>
        </w:rPr>
        <w:t>通过地理信息、遥感等技术手段，实现对森林火灾风险要素、普查成果等空间信息的采集、处理、分析、存储与管理。</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3.6.5 数据质量控制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rPr>
        <w:t>1、质检组织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由区绿化市容局组成质检组，对森林火灾风险普查所有成果资料，开展区级检查验收，区级检查完毕后报市绿化市容局验收。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rPr>
        <w:t>2、质检内容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（1）内业资料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检查普查成果资料的完整性，包括各类数据库、调查卡片以及图片资料等。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（2）外业调查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重点对森林可燃物类型划分，样地布设，样地调查以及各项因子采集等情况。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（3）数据质量检查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① 数据入库校验</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采用逻辑校核法对指标与指标、表与表、区域与整体等之间的逻辑关系进行检查与校核，对采集入库数据的完整性、准确性等进行检查和校验，避免数据矛盾或错误。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② 数据质量监控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对通过数据校验规则入库后的数据进行实时监控，包括数据处理过程检查、数据应用检查、成果发布前检查、关键指标校验、系统告警管理。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③ 数据质量问题处理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通过数据校验规则入库后的数据进行实时监控，发现数据问题时触发问题处理流程。对触发问题处理流程的数据进行核查，评估数据质量，分析系统指标，给出核查结果和处理意见。对检查中变化较大或与已有数据比对结果偏差较大的指标提出野外校核意见，并核实数据真实性。</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3.6.6 普查成果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rPr>
        <w:t>（1）</w:t>
      </w:r>
      <w:r>
        <w:rPr>
          <w:rFonts w:hint="eastAsia" w:ascii="仿宋" w:hAnsi="仿宋" w:eastAsia="仿宋" w:cs="仿宋"/>
          <w:b/>
          <w:bCs/>
          <w:spacing w:val="-12"/>
          <w:sz w:val="32"/>
          <w:szCs w:val="32"/>
          <w:lang w:eastAsia="zh-CN"/>
        </w:rPr>
        <w:t>数据</w:t>
      </w:r>
      <w:r>
        <w:rPr>
          <w:rFonts w:hint="eastAsia" w:ascii="仿宋" w:hAnsi="仿宋" w:eastAsia="仿宋" w:cs="仿宋"/>
          <w:b/>
          <w:bCs/>
          <w:spacing w:val="-12"/>
          <w:sz w:val="32"/>
          <w:szCs w:val="32"/>
        </w:rPr>
        <w:t>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森林可燃物原始外业调查记录数据；森林可燃物样地调查成果；森林可燃物含水率、燃烧性观测数据集；森林分类型可燃物样方载量（包括灌木层、草本层、枯落物层）调查汇总表等；森林火灾减灾资源调查的原始数据。森林火灾备灾、应急救援、转移安置、恢复重建，以及减灾能力评估结果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rPr>
        <w:t>（2）数据库成果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崇明区森林火灾风险评估数据库。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rPr>
        <w:t>（3）文字报告成果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崇明区森林火灾风险普查报告（附图件）。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p>
    <w:p>
      <w:pPr>
        <w:keepNext w:val="0"/>
        <w:keepLines w:val="0"/>
        <w:pageBreakBefore w:val="0"/>
        <w:kinsoku/>
        <w:wordWrap/>
        <w:overflowPunct/>
        <w:topLinePunct w:val="0"/>
        <w:bidi w:val="0"/>
        <w:adjustRightInd/>
        <w:snapToGrid/>
        <w:spacing w:line="540" w:lineRule="exact"/>
        <w:ind w:firstLine="723" w:firstLineChars="200"/>
        <w:textAlignment w:val="auto"/>
        <w:rPr>
          <w:rFonts w:hint="eastAsia" w:ascii="黑体" w:hAnsi="黑体" w:eastAsia="黑体" w:cs="黑体"/>
          <w:b/>
          <w:bCs/>
          <w:sz w:val="36"/>
          <w:szCs w:val="36"/>
          <w:lang w:eastAsia="zh-CN"/>
        </w:rPr>
      </w:pPr>
      <w:bookmarkStart w:id="131" w:name="_Toc16156"/>
      <w:r>
        <w:rPr>
          <w:rFonts w:hint="eastAsia" w:ascii="黑体" w:hAnsi="黑体" w:eastAsia="黑体" w:cs="黑体"/>
          <w:b/>
          <w:bCs/>
          <w:sz w:val="36"/>
          <w:szCs w:val="36"/>
          <w:lang w:eastAsia="zh-CN"/>
        </w:rPr>
        <w:br w:type="page"/>
      </w:r>
    </w:p>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132" w:name="_Toc8277"/>
      <w:r>
        <w:rPr>
          <w:rFonts w:hint="eastAsia" w:ascii="黑体" w:hAnsi="黑体" w:eastAsia="黑体" w:cs="黑体"/>
          <w:b/>
          <w:bCs/>
          <w:sz w:val="36"/>
          <w:szCs w:val="36"/>
          <w:lang w:eastAsia="zh-CN"/>
        </w:rPr>
        <w:t>第</w:t>
      </w:r>
      <w:r>
        <w:rPr>
          <w:rFonts w:hint="eastAsia" w:ascii="黑体" w:hAnsi="黑体" w:eastAsia="黑体" w:cs="黑体"/>
          <w:b/>
          <w:bCs/>
          <w:sz w:val="36"/>
          <w:szCs w:val="36"/>
          <w:lang w:val="en-US" w:eastAsia="zh-CN"/>
        </w:rPr>
        <w:t>4</w:t>
      </w:r>
      <w:r>
        <w:rPr>
          <w:rFonts w:hint="eastAsia" w:ascii="黑体" w:hAnsi="黑体" w:eastAsia="黑体" w:cs="黑体"/>
          <w:b/>
          <w:bCs/>
          <w:sz w:val="36"/>
          <w:szCs w:val="36"/>
          <w:lang w:eastAsia="zh-CN"/>
        </w:rPr>
        <w:t>章</w:t>
      </w:r>
      <w:r>
        <w:rPr>
          <w:rFonts w:hint="default"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承灾体调查与评估</w:t>
      </w:r>
      <w:bookmarkEnd w:id="131"/>
      <w:bookmarkEnd w:id="132"/>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133" w:name="3.1_房屋建筑调查"/>
      <w:bookmarkEnd w:id="133"/>
      <w:bookmarkStart w:id="134" w:name="_Toc19132"/>
      <w:bookmarkStart w:id="135" w:name="_Toc3392"/>
      <w:r>
        <w:rPr>
          <w:rFonts w:hint="eastAsia" w:ascii="楷体" w:hAnsi="楷体" w:eastAsia="楷体" w:cs="楷体"/>
          <w:b/>
          <w:bCs/>
          <w:sz w:val="32"/>
          <w:szCs w:val="32"/>
          <w:lang w:val="en-US" w:eastAsia="zh-CN"/>
        </w:rPr>
        <w:t>4.1 城镇房屋建筑调查</w:t>
      </w:r>
      <w:bookmarkEnd w:id="134"/>
      <w:bookmarkEnd w:id="135"/>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36" w:name="3.2_交通运输基础设施调查"/>
      <w:bookmarkEnd w:id="136"/>
      <w:bookmarkStart w:id="137" w:name="3.1.1_调查范围"/>
      <w:bookmarkEnd w:id="137"/>
      <w:bookmarkStart w:id="138" w:name="_Toc31884"/>
      <w:r>
        <w:rPr>
          <w:rFonts w:hint="eastAsia" w:ascii="仿宋" w:hAnsi="仿宋" w:eastAsia="仿宋" w:cs="仿宋"/>
          <w:b/>
          <w:bCs/>
          <w:sz w:val="32"/>
          <w:szCs w:val="32"/>
          <w:lang w:val="en-US" w:eastAsia="zh-CN"/>
        </w:rPr>
        <w:t xml:space="preserve">4.1.1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bookmarkEnd w:id="138"/>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第一次全国自然灾害综合风险普查工作要求，崇明区开展第一次城镇房屋综合风险普查，摸清本区城镇房屋综合风险和防范治理风险能力现状，客观认识我区城镇房屋综合风险水平，提升城镇房屋综合风险防治能力，为本区有效开展城镇房屋综合风险防治和应急管理，大力推进城乡精细化治理和韧性城市建设，提升抵御城镇房屋综合风险防范能力，保障社会经济可持续发展提供权威的城镇房屋综合风险信息和科学决策依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（一）摸清底数，为第一次全国自然灾害综合风险普查提供我区房屋建筑提供基础数据，全面获取本区城镇房屋综合风险信息，获取历史灾害信息，掌握重点隐患情况，查明区域城镇房屋综合抗灾能力。</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二）通过调查，掌握翔实准确的全区城镇房屋建筑承灾体数量、空间分布及属性特征，协助市级相关单位建立城镇房屋建筑调查成果地理信息系统数据库。全面提升我区城镇房屋综合风险防范能力，切实保障经济社会平稳可持续发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三）推动普查成果转化应用和数据资源共建共享，为非常态应急管理、常态灾害风险分析和防灾减灾、空间发展规划、生态文明建设等各项工作提供基础数据和科学决策依据。推动构建符合本区城镇房屋综合风险防治、城乡精细化治理需要的综合风险和减灾能力调查评估信息化系统，不断推进自然灾害风险识别、研判、预警、管控全链条全周期治理。</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39" w:name="_Toc18161"/>
      <w:r>
        <w:rPr>
          <w:rFonts w:hint="eastAsia" w:ascii="仿宋" w:hAnsi="仿宋" w:eastAsia="仿宋" w:cs="仿宋"/>
          <w:b/>
          <w:bCs/>
          <w:sz w:val="32"/>
          <w:szCs w:val="32"/>
          <w:lang w:val="en-US" w:eastAsia="zh-CN"/>
        </w:rPr>
        <w:t xml:space="preserve">4.1.2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bookmarkEnd w:id="139"/>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普查对象为标准时点实际存在的城镇房屋建筑。</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于本区城镇房屋建筑（分为住宅和非住宅）进行调查。其中未完成竣工验收手续的在建工程不在本次调查范围之内。对于本次崇明区城镇房屋安全隐患排查工作，原则上依据所在土地的权属性质，国有土地上的房屋建筑按城镇房屋建筑填报。其中已经征收为国有土地但地上附着的房屋建筑仍为征收前自建的，按照城镇房屋建筑填报，但需明确判断是否经过专业设计建造。</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0" w:name="_Toc19921"/>
      <w:r>
        <w:rPr>
          <w:rFonts w:hint="eastAsia" w:ascii="仿宋" w:hAnsi="仿宋" w:eastAsia="仿宋" w:cs="仿宋"/>
          <w:b/>
          <w:bCs/>
          <w:sz w:val="32"/>
          <w:szCs w:val="32"/>
          <w:lang w:val="en-US" w:eastAsia="zh-CN"/>
        </w:rPr>
        <w:t xml:space="preserve">4.1.3 </w:t>
      </w:r>
      <w:bookmarkEnd w:id="140"/>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次调查内容与城镇房屋安全隐患排查内容保持一致，并满足综合灾害风险普查《城镇房屋建筑调查技术导则》有关要求。城镇规划范围内所有房屋（包括住宅类及非住宅类建筑），调查的内容主要包括城镇房屋建筑的基本信息，例如地理位置、建筑面积、结构、建设年代、层数、使用状况、设防水平和使用情况等信息。根据不同的调查对象和调查内容，制定城镇居住类房屋安全信息采集表和城镇非居住类房屋信息采集表2份调查表。调查表及调查软件所设项目的填写，依照城镇安全隐患排查技术方案实施。调查表所设调查项目全部纳入房屋安全排查系统，通过信息化方式录入和汇交数据，调查表仅供工作过程中参考。</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1" w:name="_Toc17326"/>
      <w:r>
        <w:rPr>
          <w:rFonts w:hint="eastAsia" w:ascii="仿宋" w:hAnsi="仿宋" w:eastAsia="仿宋" w:cs="仿宋"/>
          <w:b/>
          <w:bCs/>
          <w:sz w:val="32"/>
          <w:szCs w:val="32"/>
          <w:lang w:val="en-US" w:eastAsia="zh-CN"/>
        </w:rPr>
        <w:t>4.1.4 工作流程与技术方法</w:t>
      </w:r>
      <w:bookmarkEnd w:id="141"/>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w:t>
      </w:r>
      <w:r>
        <w:rPr>
          <w:rFonts w:hint="eastAsia" w:ascii="仿宋" w:hAnsi="仿宋" w:eastAsia="仿宋" w:cs="仿宋"/>
          <w:b/>
          <w:bCs/>
          <w:spacing w:val="-12"/>
          <w:sz w:val="32"/>
          <w:szCs w:val="32"/>
        </w:rPr>
        <w:t>一</w:t>
      </w:r>
      <w:r>
        <w:rPr>
          <w:rFonts w:hint="eastAsia" w:ascii="仿宋" w:hAnsi="仿宋" w:eastAsia="仿宋" w:cs="仿宋"/>
          <w:b/>
          <w:bCs/>
          <w:spacing w:val="-12"/>
          <w:sz w:val="32"/>
          <w:szCs w:val="32"/>
          <w:lang w:eastAsia="zh-CN"/>
        </w:rPr>
        <w:t>）参与部门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在全区自然灾害综合风险普查领导小组及其办公室的领导下，结合本区工作实际，将本次自然灾害综合风险普查房屋建筑承灾体调查部署落实。</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区各行业主管部门要根据职责，将应当纳入行业安全监管范围的城镇房屋全部纳入安全监管范围，强化监管，并做好与市级协调机制和行业主管部门的工作对接。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房屋管理部门负责牵头组织城镇房屋安全隐患排查整治，灾普城镇房屋承载体调查以及违法建设和违法违规审批清查工作。应急管理部门结合第一次全国自然灾害综合风险普查，协同做好排查整治协调等工作。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消防救援支队负责指导人员密集场所房屋的消防安全管理。规划资源部门负责结合城镇房屋数据核查和调查工作成果，共享城镇不动产登记相关信息和地图信息，协助开展违法建筑整治等工作。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市场监管部门负责指导城镇经营类房屋涉及的营业执照和食品经营许可证复查。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城管执法部门负责违法建筑和违规破坏承重构件房屋的整治等工作。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财政部门负责将城镇房屋安全管理相关经费纳入政府预算。文化旅游部门负责指导城镇文化和旅游经营性场所安全管理等工作。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民族宗教部门负责指导城镇宗教活动场所和宗教院校的安全管理等工作。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国资部门负责指导下属国有企业的城镇房屋安全管理等工作。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经委部门负责指导商业贸易机构的城镇房屋安全管理等工作。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机关事务管理部门负责指导机关办公用房安全管理等工作。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教育部门负责指导城镇中小学和幼儿园的房屋安全管理等工作。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公安部门负责指导城镇旅馆业、特种行业的许可证复核等工作。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交通部门负责指导交通运输行业的房屋安全管理等工作。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民政部门负责背导城镇养老机构场所的房屋安全管理等工作。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司法行政部门负责配合有关方面完善城镇房屋建设管理制度，强化法治保障等工作。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卫生健康部门负责指导城镇医疗场所的房屋安全管理等工作。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（二）调查方法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此次调查的技术路线是充分利用城镇房屋安全隐患排查等专项调查和评估工作形成的相关数据资料，以区级行政区为基本调查单元，遵循“内外业相结合”、“在地统计”原则，采取全面调查方式，利用档案查阅、现场勘查（调查）、遥感等多种调查技术手段开展城镇房屋建筑调查。具体的调查方法如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（1）采用全面调查的方法。</w:t>
      </w:r>
      <w:r>
        <w:rPr>
          <w:rFonts w:hint="eastAsia" w:ascii="仿宋" w:hAnsi="仿宋" w:eastAsia="仿宋" w:cs="仿宋"/>
          <w:spacing w:val="-5"/>
          <w:sz w:val="32"/>
          <w:szCs w:val="32"/>
          <w:lang w:val="en-US" w:eastAsia="zh-CN" w:bidi="zh-CN"/>
        </w:rPr>
        <w:t>区住房保障房屋管理局将已有的可复用数据内业输入软件系统，调查人员采用数据调查APP移动终端外业采集信息、现场完成填报，内业完成数据整理。房屋建筑以实际存在的每一栋单体建筑为单位进行登记。涵盖住宅与非住宅的房屋住建调查，力求调查的全面性和完整性。</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（2）采用内外业相结合的作业方式。</w:t>
      </w:r>
      <w:r>
        <w:rPr>
          <w:rFonts w:hint="eastAsia" w:ascii="仿宋" w:hAnsi="仿宋" w:eastAsia="仿宋" w:cs="仿宋"/>
          <w:spacing w:val="-5"/>
          <w:sz w:val="32"/>
          <w:szCs w:val="32"/>
          <w:lang w:val="en-US" w:eastAsia="zh-CN" w:bidi="zh-CN"/>
        </w:rPr>
        <w:t>充分利用各主管部门已有的业务数据资料，将已有的建筑的基本信息由内业输入城镇房屋风险普查系统，随后调查人员进行现场调查、当场拍照填报系统信息，最后内业整理完成。</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（3）采用信息化数据采集模式。</w:t>
      </w:r>
      <w:r>
        <w:rPr>
          <w:rFonts w:hint="eastAsia" w:ascii="仿宋" w:hAnsi="仿宋" w:eastAsia="仿宋" w:cs="仿宋"/>
          <w:spacing w:val="-5"/>
          <w:sz w:val="32"/>
          <w:szCs w:val="32"/>
          <w:lang w:val="en-US" w:eastAsia="zh-CN" w:bidi="zh-CN"/>
        </w:rPr>
        <w:t>调查人员赴现场调查前，应利用系统全面熟悉所负责调查区域的工作底图，然后进行现场调查和填报工作，确保调查登记完整规范、真实准确、不重不漏。在实地调查时，调查人员使用电子采集设备（平板电脑或智能手机）登记调查对象信息并联网实时传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（三）工作流程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普查工作按照“全区统一领导、各方共同参与、分步推进实施”的原则组织实施。调查流程依照《上海市第一次全国自然灾害综合风险普查工作方案》实施，全程基于信息化采集模式，主要包括以下环节：</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软件系统建设与部署：依托市住房城乡建设管理委负责牵头开发上海市房屋安全排查软件系统，在全区、各乡镇进行部署。软件系统基于全市“一网统管”平台，使用平台自有遥感影像和矢量数据底图，由以下部分构成：</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1）基于政务微信的全市房屋建筑数据采集系统移动端APP；</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2）基于政务网的全市房屋建筑数据采集系统电脑端；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3）与住房和城乡建设部进行数据交换的数据接口，区、乡镇承担房屋建筑调查任务的有关部门应保障必要的数据处理办公环境和网络条件，采取必要的安全措施，确保数据处理工作的安全、正常进行。</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（2）账号分配：全区各级数据采集用户账号，由区住房保障房屋管理局负责分配和管理。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技术培训：面向各乡镇根据实际情况开展技术培训。培训内容主要包括技术要求、工作流程、报表填报等。本区根据实际将培训要求落实到乡镇每一位排查人员，确保排查人员全面掌握城镇房屋安全隐患排查标准，熟练使用排查整治APP，准确填报相关报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（4）内业整理：外业信息采集前，收集汇总各有关部门掌握的既有数据成果，包括但不限于城建档案资料，以及各行业主管部门掌握的涉及房屋建筑的基础数据，整理后录入或批量导入软件系统。</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外业采集：由专业调查人员在实地进行房屋调查，拍摄房屋的外观照片，判断房屋的安全状况和完整程度。汇总房屋建筑的基本信息。各级调查人员外业根据软件系统移动端或电脑端输入软件系统采集房屋建筑调查所需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技术支持：针对房屋排查过程中涉及大量专业评估、鉴定工作，区住房保障房屋管理局提供备选专业检测机构和相关技术力量，加强技术支持。以区级行政区为基本调查单元，遵循“内外业相结合”、“在地统计”原则，采取全面调查方式，利用档案查阅、现场勘查（调查）、遥感等多种调查技术手段开展城镇房屋建筑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7）数据共享：各级相关部门，按照全市“一网统管”工作要求，共享调查获取的数据，同时根据工作需求、按照相应的权限获取其他部门共享的数据。相关部门要积极响应下发房屋调查文件，协助获取房屋的基本信息数据，确保调查的顺利实施和开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8）经费支持：由区住房保障房屋管理局会同专业机构研究论证。对排查、整治和评估费用进行测算，明确区承担的经费标准，区财政部门给予支持，落实经费保障并做好对接指导。区级财政保障房屋安全排查及对存在安全隐患的房屋进行评估鉴定等费用，各业务主管部门给予相应政策支持。要加强资金管理，普查资金专款专用，保障普查工作按计划顺利开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（9）数据汇交：区住房保障房屋管理局通过软件系统将调查数据汇交至上级部门。同时，各相关行业主管部门配合推进落实本行业房屋建筑的排查和数据汇交工作。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10）数据质量审核：房屋建筑调查实行严格的质量控制制度，建立健全调查数据质量追溯和问责机制，确保调查数据的可核查、可追溯、可问责。对未通过审核的数据或成果，要求下级在规定时限内完成修改更新和再次汇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（11）工作总结：区住房保障房屋管理局编写本区城镇房屋承灾体调查报告，包括工作总结及技术总结两部分，分别提交上级相关部门。</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2" w:name="_Toc14737"/>
      <w:r>
        <w:rPr>
          <w:rFonts w:hint="eastAsia" w:ascii="仿宋" w:hAnsi="仿宋" w:eastAsia="仿宋" w:cs="仿宋"/>
          <w:b/>
          <w:bCs/>
          <w:sz w:val="32"/>
          <w:szCs w:val="32"/>
          <w:lang w:val="en-US" w:eastAsia="zh-CN"/>
        </w:rPr>
        <w:t>4.1.5 数据质量控制</w:t>
      </w:r>
      <w:bookmarkEnd w:id="142"/>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房屋建筑调查成果质检核查工作指南和技术规范、细则等开展数据质量控制工作。区住房保障房屋管理局负责本辖区城镇房屋普查数据的自检和成果汇交。自检应依据住建部数据与成果质量审核技术规范及相关技术规程，采取软件质检、人工核查等方式，对本级产生的各类数据、图件、文字报告等数据与成果的完整性、规范性、准确性进行质量审核。自检合格后，应形成完整的质量检查报告，会同普查成果一并提交上级部门。</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3" w:name="_Toc28827"/>
      <w:r>
        <w:rPr>
          <w:rFonts w:hint="eastAsia" w:ascii="仿宋" w:hAnsi="仿宋" w:eastAsia="仿宋" w:cs="仿宋"/>
          <w:b/>
          <w:bCs/>
          <w:sz w:val="32"/>
          <w:szCs w:val="32"/>
          <w:lang w:val="en-US" w:eastAsia="zh-CN"/>
        </w:rPr>
        <w:t>4.1.6 成果</w:t>
      </w:r>
      <w:bookmarkEnd w:id="143"/>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rPr>
        <w:t>（一）数据成果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数据与成果的汇交均通过普查软件完成。在数据汇交的基础上，全面获得崇明区房屋建筑承灾体分布、类型、数量、价值和设防水平等基础信息，形成包括城镇住宅建筑、城</w:t>
      </w:r>
      <w:r>
        <w:rPr>
          <w:rFonts w:hint="eastAsia" w:ascii="仿宋" w:hAnsi="仿宋" w:eastAsia="仿宋" w:cs="仿宋"/>
          <w:spacing w:val="-5"/>
          <w:sz w:val="32"/>
          <w:szCs w:val="32"/>
          <w:lang w:val="en-US" w:eastAsia="zh-CN" w:bidi="zh-CN"/>
        </w:rPr>
        <w:softHyphen/>
      </w:r>
      <w:r>
        <w:rPr>
          <w:rFonts w:hint="eastAsia" w:ascii="仿宋" w:hAnsi="仿宋" w:eastAsia="仿宋" w:cs="仿宋"/>
          <w:spacing w:val="-5"/>
          <w:sz w:val="32"/>
          <w:szCs w:val="32"/>
          <w:lang w:val="en-US" w:eastAsia="zh-CN" w:bidi="zh-CN"/>
        </w:rPr>
        <w:t>镇非住宅建筑2类数据集。数据成果将纳入全市“一网统管”平台数据库，并按要求接入住房和城乡建设管理部数据库。区住房保障房屋管理局要加强对已有成果、基础数据与图件的利用，最大限度为调查工作提供便利，将具体业务系统数据共享互通，促进行业监管的信息化，提升监管效率和水平，实现普查工作效益最大化。</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rPr>
        <w:t>（二）图件成果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在统一的底图上，建立本区城镇房屋等含有属性信息的承灾体地理位置分布图。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rPr>
        <w:t>（三）工作报告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城镇房屋建筑承灾体调查工作报告和成果分析报告。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rPr>
        <w:t>（四）人员储备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住房保障房屋管理局应落实普查人员队伍，加强人员培训和考核。视条件将有关工作以政府购买服务的方式委托第三方机构进行的，要加强对第三方机构专业能力的审查，优先选用具有建设工程勘察设计、施工、监理、房屋鉴定资质或具有同等专业能力的机构。</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144" w:name="_Toc29781"/>
      <w:bookmarkStart w:id="145" w:name="_Toc12373"/>
      <w:r>
        <w:rPr>
          <w:rFonts w:hint="eastAsia" w:ascii="楷体" w:hAnsi="楷体" w:eastAsia="楷体" w:cs="楷体"/>
          <w:b/>
          <w:bCs/>
          <w:sz w:val="32"/>
          <w:szCs w:val="32"/>
          <w:lang w:val="en-US" w:eastAsia="zh-CN"/>
        </w:rPr>
        <w:t>4.2 农村房屋建筑调查</w:t>
      </w:r>
      <w:bookmarkEnd w:id="144"/>
      <w:bookmarkEnd w:id="145"/>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6" w:name="_Toc21165"/>
      <w:r>
        <w:rPr>
          <w:rFonts w:hint="eastAsia" w:ascii="仿宋" w:hAnsi="仿宋" w:eastAsia="仿宋" w:cs="仿宋"/>
          <w:b/>
          <w:bCs/>
          <w:sz w:val="32"/>
          <w:szCs w:val="32"/>
          <w:lang w:val="en-US" w:eastAsia="zh-CN"/>
        </w:rPr>
        <w:t xml:space="preserve">4.2.1 </w:t>
      </w:r>
      <w:bookmarkEnd w:id="146"/>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第一次全国自然灾害综合风险普查工作及市灾险普查办的工作要求，为全面提升本区农村房屋抵御自然灾害综合防范能力，有效开展自然灾害防治和应急管理，开展本区承灾体农村房屋建筑调查工作，摸清本区农村房屋灾害风险隐患底数和防灾减灾救灾能力现状，保障社会经济可持续发展，提供农村房屋灾害风险信息和科学决策依据。</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7" w:name="_Toc19140"/>
      <w:r>
        <w:rPr>
          <w:rFonts w:hint="eastAsia" w:ascii="仿宋" w:hAnsi="仿宋" w:eastAsia="仿宋" w:cs="仿宋"/>
          <w:b/>
          <w:bCs/>
          <w:sz w:val="32"/>
          <w:szCs w:val="32"/>
          <w:lang w:val="en-US" w:eastAsia="zh-CN"/>
        </w:rPr>
        <w:t xml:space="preserve">4.2.2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bookmarkEnd w:id="147"/>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对本区所有农村集体土地上的房屋建筑（分为住宅和非住宅）进行调查。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一是未完成竣工验收手续的在建建筑不在本次调查范围之内；二是对于已经征收为国有土地但地上附着的房屋建筑仍为征收前自建的，也不在本次农村房屋建筑调查范围内，而作为城镇房屋来调查。</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8" w:name="_Toc3315"/>
      <w:r>
        <w:rPr>
          <w:rFonts w:hint="eastAsia" w:ascii="仿宋" w:hAnsi="仿宋" w:eastAsia="仿宋" w:cs="仿宋"/>
          <w:b/>
          <w:bCs/>
          <w:sz w:val="32"/>
          <w:szCs w:val="32"/>
          <w:lang w:val="en-US" w:eastAsia="zh-CN"/>
        </w:rPr>
        <w:t xml:space="preserve">4.2.3 </w:t>
      </w:r>
      <w:bookmarkEnd w:id="148"/>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次灾普调查与农村房屋安全隐患排查内容保持一致，并满足综合灾害风险普查《农村房屋建筑调查技术导则》的有关要求。主要包括农村房屋建筑的基本信息、建筑信息、设防信息和使用情况等。根据市普查工作专班下发的农村房屋安全信息采集表及“农村房屋安全隐患排查”调查软件所设项目，依照农村安全隐患排查技术方案实施。调查表所设调查项目全部纳入房屋安全排查系统，通过信息化方式录入和汇交数据，并将调查表制作成WPS表格下发至各乡镇、各村，用于调查后留存，以备核查和备案所需。</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49" w:name="_Toc25678"/>
      <w:r>
        <w:rPr>
          <w:rFonts w:hint="eastAsia" w:ascii="仿宋" w:hAnsi="仿宋" w:eastAsia="仿宋" w:cs="仿宋"/>
          <w:b/>
          <w:bCs/>
          <w:sz w:val="32"/>
          <w:szCs w:val="32"/>
          <w:lang w:val="en-US" w:eastAsia="zh-CN"/>
        </w:rPr>
        <w:t xml:space="preserve">4.2.4 </w:t>
      </w:r>
      <w:bookmarkEnd w:id="149"/>
      <w:r>
        <w:rPr>
          <w:rFonts w:hint="eastAsia" w:ascii="仿宋" w:hAnsi="仿宋" w:eastAsia="仿宋" w:cs="仿宋"/>
          <w:b/>
          <w:bCs/>
          <w:sz w:val="32"/>
          <w:szCs w:val="32"/>
          <w:lang w:val="en-US" w:eastAsia="zh-CN"/>
        </w:rPr>
        <w:t>工作流程与技术方法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（1）采用全面调查的方法。</w:t>
      </w:r>
      <w:r>
        <w:rPr>
          <w:rFonts w:hint="eastAsia" w:ascii="仿宋" w:hAnsi="仿宋" w:eastAsia="仿宋" w:cs="仿宋"/>
          <w:spacing w:val="-5"/>
          <w:sz w:val="32"/>
          <w:szCs w:val="32"/>
          <w:lang w:val="en-US" w:eastAsia="zh-CN" w:bidi="zh-CN"/>
        </w:rPr>
        <w:t>房屋建筑以实际存在的每一栋单体建筑为单位进行登记。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（2）采用内外业结合的作业方式。</w:t>
      </w:r>
      <w:r>
        <w:rPr>
          <w:rFonts w:hint="eastAsia" w:ascii="仿宋" w:hAnsi="仿宋" w:eastAsia="仿宋" w:cs="仿宋"/>
          <w:spacing w:val="-5"/>
          <w:sz w:val="32"/>
          <w:szCs w:val="32"/>
          <w:lang w:val="en-US" w:eastAsia="zh-CN" w:bidi="zh-CN"/>
        </w:rPr>
        <w:t>充分利用各主管部门已有的业务数据资料，调查人员进行现场调查，对比核实，确保数据准确无误后再将相关信息输入房屋安全排查系统，内业整理完成。</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（3）采用信息化数据采集模式。</w:t>
      </w:r>
      <w:r>
        <w:rPr>
          <w:rFonts w:hint="eastAsia" w:ascii="仿宋" w:hAnsi="仿宋" w:eastAsia="仿宋" w:cs="仿宋"/>
          <w:spacing w:val="-5"/>
          <w:sz w:val="32"/>
          <w:szCs w:val="32"/>
          <w:lang w:val="en-US" w:eastAsia="zh-CN" w:bidi="zh-CN"/>
        </w:rPr>
        <w:t>调查人员赴现场调查前，应利用软件系统全面熟悉所负责调查区域的工作底图，然后进行现场调查和填报工作，确保调查登记真实准确、不重不漏。在实地调查时，调查人员使用电子采集设备（平板电脑或智能手机）登记调查对象信息并联网实时传输。</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4.2.5 数据质量控制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依据房屋建筑调查成果质检核查工作指南和技术规范、细则等开展数据质量控制工作。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4.2.6 成果</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595" w:firstLineChars="200"/>
        <w:jc w:val="both"/>
        <w:textAlignment w:val="auto"/>
        <w:outlineLvl w:val="9"/>
        <w:rPr>
          <w:rFonts w:hint="eastAsia" w:ascii="仿宋" w:hAnsi="仿宋" w:eastAsia="仿宋" w:cs="仿宋"/>
          <w:b/>
          <w:bCs/>
          <w:spacing w:val="-12"/>
          <w:sz w:val="32"/>
          <w:szCs w:val="32"/>
          <w:lang w:val="zh-CN" w:eastAsia="zh-CN" w:bidi="zh-CN"/>
        </w:rPr>
      </w:pPr>
      <w:r>
        <w:rPr>
          <w:rFonts w:hint="eastAsia" w:ascii="仿宋" w:hAnsi="仿宋" w:eastAsia="仿宋" w:cs="仿宋"/>
          <w:b/>
          <w:bCs/>
          <w:spacing w:val="-12"/>
          <w:sz w:val="32"/>
          <w:szCs w:val="32"/>
          <w:lang w:val="zh-CN" w:eastAsia="zh-CN" w:bidi="zh-CN"/>
        </w:rPr>
        <w:t>（</w:t>
      </w:r>
      <w:r>
        <w:rPr>
          <w:rFonts w:hint="eastAsia" w:ascii="仿宋" w:hAnsi="仿宋" w:eastAsia="仿宋" w:cs="仿宋"/>
          <w:b/>
          <w:bCs/>
          <w:spacing w:val="-12"/>
          <w:sz w:val="32"/>
          <w:szCs w:val="32"/>
          <w:lang w:val="en-US" w:eastAsia="zh-CN" w:bidi="zh-CN"/>
        </w:rPr>
        <w:t>1</w:t>
      </w:r>
      <w:r>
        <w:rPr>
          <w:rFonts w:hint="eastAsia" w:ascii="仿宋" w:hAnsi="仿宋" w:eastAsia="仿宋" w:cs="仿宋"/>
          <w:b/>
          <w:bCs/>
          <w:spacing w:val="-12"/>
          <w:sz w:val="32"/>
          <w:szCs w:val="32"/>
          <w:lang w:val="zh-CN" w:eastAsia="zh-CN" w:bidi="zh-CN"/>
        </w:rPr>
        <w:t>）数据成果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全面获得崇明区农村房屋建筑承灾体分布、类型、数量、价值和设防水平等基础信息，形成包括农村住宅建筑、农村非住宅建筑 2 类数据集。数据成果将纳入全市“一网统管”平台数据库，并按要求接入住房和城乡建设管理部数据库。</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595" w:firstLineChars="200"/>
        <w:jc w:val="both"/>
        <w:textAlignment w:val="auto"/>
        <w:outlineLvl w:val="9"/>
        <w:rPr>
          <w:rFonts w:hint="eastAsia" w:ascii="仿宋" w:hAnsi="仿宋" w:eastAsia="仿宋" w:cs="仿宋"/>
          <w:b/>
          <w:bCs/>
          <w:spacing w:val="-12"/>
          <w:sz w:val="32"/>
          <w:szCs w:val="32"/>
          <w:lang w:val="zh-CN" w:eastAsia="zh-CN" w:bidi="zh-CN"/>
        </w:rPr>
      </w:pPr>
      <w:bookmarkStart w:id="150" w:name="3.1.6.2 工作报告"/>
      <w:bookmarkEnd w:id="150"/>
      <w:bookmarkStart w:id="151" w:name="3.1.6.2 工作报告"/>
      <w:bookmarkEnd w:id="151"/>
      <w:r>
        <w:rPr>
          <w:rFonts w:hint="eastAsia" w:ascii="仿宋" w:hAnsi="仿宋" w:eastAsia="仿宋" w:cs="仿宋"/>
          <w:b/>
          <w:bCs/>
          <w:spacing w:val="-12"/>
          <w:sz w:val="32"/>
          <w:szCs w:val="32"/>
          <w:lang w:val="zh-CN" w:eastAsia="zh-CN" w:bidi="zh-CN"/>
        </w:rPr>
        <w:t>（</w:t>
      </w:r>
      <w:r>
        <w:rPr>
          <w:rFonts w:hint="eastAsia" w:ascii="仿宋" w:hAnsi="仿宋" w:eastAsia="仿宋" w:cs="仿宋"/>
          <w:b/>
          <w:bCs/>
          <w:spacing w:val="-12"/>
          <w:sz w:val="32"/>
          <w:szCs w:val="32"/>
          <w:lang w:val="en-US" w:eastAsia="zh-CN" w:bidi="zh-CN"/>
        </w:rPr>
        <w:t>2</w:t>
      </w:r>
      <w:r>
        <w:rPr>
          <w:rFonts w:hint="eastAsia" w:ascii="仿宋" w:hAnsi="仿宋" w:eastAsia="仿宋" w:cs="仿宋"/>
          <w:b/>
          <w:bCs/>
          <w:spacing w:val="-12"/>
          <w:sz w:val="32"/>
          <w:szCs w:val="32"/>
          <w:lang w:val="zh-CN" w:eastAsia="zh-CN" w:bidi="zh-CN"/>
        </w:rPr>
        <w:t>）工作报告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）农村房屋建筑承灾体调查工作报告和成果分析报告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）房屋建筑承灾体调查技术报告</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152" w:name="_Toc10380"/>
      <w:bookmarkStart w:id="153" w:name="_Toc388"/>
      <w:r>
        <w:rPr>
          <w:rFonts w:hint="eastAsia" w:ascii="楷体" w:hAnsi="楷体" w:eastAsia="楷体" w:cs="楷体"/>
          <w:b/>
          <w:bCs/>
          <w:sz w:val="32"/>
          <w:szCs w:val="32"/>
          <w:lang w:val="en-US" w:eastAsia="zh-CN"/>
        </w:rPr>
        <w:t>4.3 交通运输设施调查</w:t>
      </w:r>
      <w:bookmarkEnd w:id="152"/>
      <w:bookmarkEnd w:id="153"/>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54" w:name="3.2.1_调查范围"/>
      <w:bookmarkEnd w:id="154"/>
      <w:bookmarkStart w:id="155" w:name="_Toc4075"/>
      <w:r>
        <w:rPr>
          <w:rFonts w:hint="eastAsia" w:ascii="仿宋" w:hAnsi="仿宋" w:eastAsia="仿宋" w:cs="仿宋"/>
          <w:b/>
          <w:bCs/>
          <w:sz w:val="32"/>
          <w:szCs w:val="32"/>
          <w:lang w:val="en-US" w:eastAsia="zh-CN"/>
        </w:rPr>
        <w:t xml:space="preserve">4.3.1 </w:t>
      </w:r>
      <w:bookmarkEnd w:id="155"/>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组织开展崇明区交通运输承灾体风险普查，摸清交通运输承灾体风险隐患底数，查明重点区域抗灾能力，客观认识交通运输承灾体风险水平，为有效开展交通运输灾害防治和应急管理、切实保障社会经济可持续发展提供权威的交通运输承灾体风险信息及科学决策提供依据。</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4.3.2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本区交通运输基础设施承灾体普查对象为公路、城市道路。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公路设施普查范围包括交通行业管辖的营运及在建的农村公路及其附属的桥梁设施。</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城市道路设施普查范围包括交通行业管辖的营运及在建的市政道路、市政桥梁。</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56" w:name="3.2.2_调查内容"/>
      <w:bookmarkEnd w:id="156"/>
      <w:bookmarkStart w:id="157" w:name="_Toc26215"/>
      <w:r>
        <w:rPr>
          <w:rFonts w:hint="eastAsia" w:ascii="仿宋" w:hAnsi="仿宋" w:eastAsia="仿宋" w:cs="仿宋"/>
          <w:b/>
          <w:bCs/>
          <w:sz w:val="32"/>
          <w:szCs w:val="32"/>
          <w:lang w:val="en-US" w:eastAsia="zh-CN"/>
        </w:rPr>
        <w:t xml:space="preserve">4.3.3 </w:t>
      </w:r>
      <w:bookmarkEnd w:id="157"/>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p>
    <w:p>
      <w:pPr>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（一）</w:t>
      </w:r>
      <w:r>
        <w:rPr>
          <w:rFonts w:hint="eastAsia" w:ascii="仿宋" w:hAnsi="仿宋" w:eastAsia="仿宋" w:cs="仿宋"/>
          <w:b/>
          <w:bCs/>
          <w:spacing w:val="-12"/>
          <w:sz w:val="32"/>
          <w:szCs w:val="32"/>
        </w:rPr>
        <w:t>公路承灾体普查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rPr>
        <w:t>1.</w:t>
      </w:r>
      <w:r>
        <w:rPr>
          <w:rFonts w:hint="eastAsia" w:ascii="仿宋" w:hAnsi="仿宋" w:eastAsia="仿宋" w:cs="仿宋"/>
          <w:b/>
          <w:bCs/>
          <w:spacing w:val="-12"/>
          <w:sz w:val="32"/>
          <w:szCs w:val="32"/>
        </w:rPr>
        <w:t>公路承灾体属性信息普查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公路设施属性信息采集包括公路路线信息、公路桥梁信息。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（1）公路路线</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路路线信息包括路线编号、路线名称、路段名称、里程桩号、修建年代、管养单位、技术等级、路基宽度、面层类型、抗震设防等级、防洪标准等。对未涉及的其他信息或需要特别说明的可在其他需要说明的信息中阐述。</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（2）桥梁</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桥梁信息包括路线名称、桥梁名称、里程桩号、修建年代、管养单位、桥梁类型、跨越地物类型、通航等级、主桥上部构造结构类型、主桥上部结构材料、墩台防撞设施类型、桥墩类型、抗震设防等级、防洪标准等。对未涉及的其他信息或需要特别说明的可在其他需要说明的信息中阐述。</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rPr>
        <w:t>2.公路自然灾害信息普查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公路自然灾害信息普查为灾害属性要素信息和风险点信息。自然灾害风险点信息采集是对路域范围内对公路有影响的灾害风险点历史信息、现状信息进行采集。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（1）地质灾害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崩塌，包括坡体结构（土质、岩质、土石混合）；斜坡几何特征（坡高、坡度）；灾害历史特征（灾害发生时间或频率、灾害危害情况（断通状况、危害对象、危害程度；灾害处治情况）；风险点现状特征（裂缝、结构物破损情况、破损严重程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滑坡，包括坡体结构（土质、岩质、土石混合），斜坡几何特征（坡高、坡度），灾害历史特征（滑坡发生时间及发生频率；断通情况，危害对象及危害程度；灾害处治情况）；风险点现状特征（裂缝、结构物破损情况、破损严重程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3）沉陷与塌陷，包括灾害历史特征（发生时间及发生频率；触发因素、规模；断通状况、危害形式、危害对象、危害程度；灾害处治情况）；风险点现状特征（裂缝、结构破损情况、破损严重程度）。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（2）水旱灾害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公路水毁，包括灾害现状特征（发生时间及发生频率；水毁部位、水毁规模、水毁类型；断通状况、危害方式、危害对象、危害程度；灾害处治情况）；风险点现状特征（结构破损情况、破损严重程度）。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（3）地震灾害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地震灾害包括地震发生时间、震级、距震中距离等信息，地震灾害造成危害。调用单灾种普查信息，不单独采集。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（4）气象灾害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气象灾害包括灾害类型，灾害开始时间、结束时间、持续时间、灾害等级及灾害危害等。调用单灾种普查信息，不单独采集。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（5）海洋灾害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海洋灾害包括灾害类型，灾害开始时间、结束时间、持续时间、灾害等级及灾害危害等。调用单灾种普查信息，不单独采集。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（6）森林和草原火灾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森林和草原火灾包括灾害开始时间、结束时间、持续时间、灾害等级、灾害危害等。调用单灾种普查信息，不单独采集。</w:t>
      </w:r>
    </w:p>
    <w:p>
      <w:pPr>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595" w:firstLineChars="200"/>
        <w:jc w:val="both"/>
        <w:textAlignment w:val="auto"/>
        <w:rPr>
          <w:rFonts w:hint="eastAsia" w:ascii="仿宋" w:hAnsi="仿宋" w:eastAsia="仿宋" w:cs="仿宋"/>
          <w:b/>
          <w:bCs/>
          <w:spacing w:val="-12"/>
          <w:sz w:val="32"/>
          <w:szCs w:val="32"/>
          <w:lang w:eastAsia="zh-CN"/>
        </w:rPr>
      </w:pPr>
      <w:r>
        <w:rPr>
          <w:rFonts w:hint="eastAsia" w:ascii="仿宋" w:hAnsi="仿宋" w:eastAsia="仿宋" w:cs="仿宋"/>
          <w:b/>
          <w:bCs/>
          <w:spacing w:val="-12"/>
          <w:sz w:val="32"/>
          <w:szCs w:val="32"/>
          <w:lang w:eastAsia="zh-CN"/>
        </w:rPr>
        <w:t>（二）城市道路承灾体普查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val="en-US"/>
        </w:rPr>
        <w:t>1.</w:t>
      </w:r>
      <w:r>
        <w:rPr>
          <w:rFonts w:hint="eastAsia" w:ascii="仿宋" w:hAnsi="仿宋" w:eastAsia="仿宋" w:cs="仿宋"/>
          <w:b/>
          <w:bCs/>
          <w:spacing w:val="-12"/>
          <w:sz w:val="32"/>
          <w:szCs w:val="32"/>
        </w:rPr>
        <w:t>城市道路承灾体属性信息普查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城市道路承灾体属性信息普查分为市政道路、市政桥梁信息普查。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（1）市政道路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市政道路普查范围主要为城市次干路（含四条车道及以上）及以上、连接重要设施（如：学校、医院、交通枢纽等）的道路、与公路普查道路衔接的城市道路、应急管理相关的重要道路。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包括道路名称、道路起点/终点（第N段道路起点/终点）、道路等级、通车日期、工程投资、路幅形式、路面宽度、机动车道数、红线宽度、是否为城市救灾生命线、设计速度、设计阶段项目场地抗震设防烈度等。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（2）市政桥梁</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市政桥梁普查范围为城市范围内修建在河道上的桥梁和道路与道路立交、道路跨越铁路的立交桥。人行天桥、人行地下通道、轨道交通和城市隧道普查不在本次的普查范围内。</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包括桥梁名称、所在道路（线路）等级、正斜交角、桥梁类别、桥梁总长、设计使用年限、桥梁检测记录、加固、维修记录、技术状况等级、附属设施等。</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rPr>
      </w:pPr>
      <w:r>
        <w:rPr>
          <w:rFonts w:hint="eastAsia" w:ascii="仿宋" w:hAnsi="仿宋" w:eastAsia="仿宋" w:cs="仿宋"/>
          <w:b/>
          <w:bCs/>
          <w:spacing w:val="-12"/>
          <w:sz w:val="32"/>
          <w:szCs w:val="32"/>
          <w:lang w:val="en-US" w:eastAsia="zh-CN"/>
        </w:rPr>
        <w:t>2.</w:t>
      </w:r>
      <w:r>
        <w:rPr>
          <w:rFonts w:hint="eastAsia" w:ascii="仿宋" w:hAnsi="仿宋" w:eastAsia="仿宋" w:cs="仿宋"/>
          <w:b/>
          <w:bCs/>
          <w:spacing w:val="-12"/>
          <w:sz w:val="32"/>
          <w:szCs w:val="32"/>
          <w:lang w:val="en-US"/>
        </w:rPr>
        <w:t>城市道路灾害信息普查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（1）市政道路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市政道路安全信息普查包括设计阶段项目场地抗震设防烈度、区域地质构造及不良地质简述及隐患等。其中，区域地质构造及不良地质简述包括：滑坡土地段路基、崩塌地段路基、岩堆地段路基、岩溶地段路基、软土地段路基、膨胀土地段路基、红黏土与高液限土地区路基、盐渍土地区路基、多年冻土地区路基、风沙地区路基、雪害地段路基、涎流冰地段路基、采空区路基、滨海路基、水库地段路基、季节性冻土地区路基、黄土地区路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（2）市政桥梁</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市政桥梁隐患普查包括桥区不良地质、是否存在滑坡灾害、是否有过强风后损伤、是否存在冲刷或冰凌、是否有超限车辆通行情况、是否经过抗倾覆评价、是否存在车船物撞击风险、最严重的耐久性环境作用、桥梁单项控制指标等。</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58" w:name="3.2.4_工作流程与技术方法"/>
      <w:bookmarkEnd w:id="158"/>
      <w:bookmarkStart w:id="159" w:name="_Toc14640"/>
      <w:r>
        <w:rPr>
          <w:rFonts w:hint="eastAsia" w:ascii="仿宋" w:hAnsi="仿宋" w:eastAsia="仿宋" w:cs="仿宋"/>
          <w:b/>
          <w:bCs/>
          <w:sz w:val="32"/>
          <w:szCs w:val="32"/>
          <w:lang w:val="en-US" w:eastAsia="zh-CN"/>
        </w:rPr>
        <w:t>4.3.4 技术路线与方法</w:t>
      </w:r>
      <w:bookmarkEnd w:id="159"/>
    </w:p>
    <w:p>
      <w:pPr>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（一）</w:t>
      </w:r>
      <w:r>
        <w:rPr>
          <w:rFonts w:hint="eastAsia" w:ascii="仿宋" w:hAnsi="仿宋" w:eastAsia="仿宋" w:cs="仿宋"/>
          <w:b/>
          <w:bCs/>
          <w:spacing w:val="-12"/>
          <w:sz w:val="32"/>
          <w:szCs w:val="32"/>
        </w:rPr>
        <w:t>技术路线</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充分利用前期各类专项调查和评估等工作形成的相关数据、资料和图件成果，以及符合调查时点要求的遥感影像（优于0.5米空间分辨率），以区级行政区为基本调查单元，遵循“内外业相结合”、“在地统计”原则，采取全面调查、抽样调查、典型调查和重点调查相结合的方式，利用站点观测资料汇集、档案查阅、现场勘查（调查）和工程勘测、遥感解译等多种调查技术手段，开展交通运输基础设施承灾体调查。利用内外业一体化技术，共享利用已有普查、调查数据库和业务数据资料，按风险普查对承灾体数据的要求进行统计、整体入库，采用现场调查与复核等多种技术手段，逐级进行审核、检查，保证数据质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配合市级综合利用灾害高危险区及避让区分布，重要承灾体类型、分布及设防水平，重大工程减灾能力等方面普查及评估资料，采取空间叠加分析、专家评定等方法进行重要承灾体选址及设防水平方面的隐患识别；利用多灾种、灾害链信息，运用各类综合分析方法，对灾害隐患进行分区分类分级综合评定。</w:t>
      </w:r>
    </w:p>
    <w:p>
      <w:pPr>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（二）</w:t>
      </w:r>
      <w:r>
        <w:rPr>
          <w:rFonts w:hint="eastAsia" w:ascii="仿宋" w:hAnsi="仿宋" w:eastAsia="仿宋" w:cs="仿宋"/>
          <w:b/>
          <w:bCs/>
          <w:spacing w:val="-12"/>
          <w:sz w:val="32"/>
          <w:szCs w:val="32"/>
        </w:rPr>
        <w:t>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1、遥感解译、历史资料汇集、现场调查等多种技术手段相结合开展交通运输承灾体致灾孕灾要素调查。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内外业一体化技术开展承灾体调查。共享利用承灾体管理部门已有普查、调查数据库和业务数据资料，按风险普查对承灾体数据的要求进行统计、整理入库。通过互联网数据抓取、现场调查与复核等多样技术手段，结合数据调查APP移动终端采集承灾体数量、价值、设防水平等灾害属性信息，并采用分层级抽样、详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交通委、区交通建管中心要充分发挥相关行业领域技术单位、专业队伍和有关科研机构与高等院校等专业力量的作用，通过购买服务等方式，选择具有地理测绘、工程勘察、公路行业设计等领域专业且信誉良好的技术支撑单位参与普查工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5" w:firstLineChars="200"/>
        <w:jc w:val="both"/>
        <w:textAlignment w:val="auto"/>
        <w:rPr>
          <w:rFonts w:hint="eastAsia" w:ascii="仿宋" w:hAnsi="仿宋" w:eastAsia="仿宋" w:cs="仿宋"/>
          <w:b/>
          <w:bCs/>
          <w:spacing w:val="-12"/>
          <w:sz w:val="32"/>
          <w:szCs w:val="32"/>
          <w:lang w:val="en-US" w:eastAsia="zh-CN"/>
        </w:rPr>
      </w:pPr>
      <w:r>
        <w:rPr>
          <w:rFonts w:hint="eastAsia" w:ascii="仿宋" w:hAnsi="仿宋" w:eastAsia="仿宋" w:cs="仿宋"/>
          <w:b/>
          <w:bCs/>
          <w:spacing w:val="-12"/>
          <w:sz w:val="32"/>
          <w:szCs w:val="32"/>
          <w:lang w:val="en-US" w:eastAsia="zh-CN"/>
        </w:rPr>
        <w:t>（三）调查流程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1.调查准备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（1）组建调查组</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由3人以上，交通专业相关工程师及高级工程师组成调查组。调查人员需经专业培训，身体健康，工作认真负责，具有一定的专业知识和分析处置隐患能力，同时具备一定的照相技术。资料调查、现场检查、记录、拍照应分工明确并协调配合。</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（2）制定调查工作流程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1）确定调查范围：本次对本区符合要求的交通运输基础设施承灾体，进行基本信息的调查工作。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2）档案资料调查：收集档案资料，划定交通运输基础设施承灾体分布的区域，确定可能存在隐患的地区，选定调查路线。</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3）外业现场调查：积极组织人力、物力按选定的调查路线对交通运输基础设施承灾体进行外业调查。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4）根据调查结果、损坏情况及技术状况，为风险评价和区划提供依据。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（3）准备常规调查设备</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1）清洁工具：扫帚、钢刷、刮刀、铲子等。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2）检测工具：钢直尺、钢卷尺、测距仪、量角器、铅锤等。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3）协助目视检测工具：手电筒、放大镜等。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4）记录工具：调查表、记事本、照相机、粉笔或标识笔等。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5"/>
          <w:sz w:val="32"/>
          <w:szCs w:val="32"/>
          <w:lang w:val="en-US" w:eastAsia="zh-CN" w:bidi="zh-CN"/>
        </w:rPr>
        <w:t>5）其他设备：工具袋、工作服、雨衣、医药箱等。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（4）其他</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准备运输车辆、交通船及相关资料等。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2.人员安排</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普查工作要加强对信息采集人员的培训，确保第一手数据的质量。普查工作调查数据质量的审核应由技术支撑单位会同区交通委、区交通建管中心实施。</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（1）选用参加相关专业工作5年以上的工程师进行资料处理、10年以上的高级工程师进行资料整理、复核。组长对所有普查结果进行审核，确保调查信息的准确无误。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（2）档案资料调查应由相关专业工程师完成。现场对档案资料进行拍照留存并记录，填写交通运输基础设施承灾体普查表。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（3）外业现场调查应由相关专业工程师完成，必要时可带领非专业人员完成。现场对交通运输基础设施承灾体重要部位进行拍照并记录，并现场核对交通运输基础设施承灾体普查表，填报隐患信息。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（4）资料整理工作应由相关专业工程师完成。</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（5）外业现场核查应由相关专业高级工程师完成，确保调查内容准确无误。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（6）成果资料核查应由相关专业高级工程师完成，确保成果资料准确无误。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3.调查实施</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（1）内业资料调查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1）档案资料收集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档案资料主要包括：养护、维修与加固资料：灾害事故报告等。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勘察设计资料：勘察与测绘成果、初步设计报告、竣工图（平面图、断面图等主要图纸）电子版资料等。</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2）确定调查路线</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根据档案资料，对交通运输基础设施承灾体重要性进行分级，综合分析比较后对调查路线、调查的重点进行排序，最终确定调查优先权。</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3）调查步骤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依据档案资料填写交通运输基础设施承灾体普查表，完善相关信息。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查询到的档案资料，不建议将档案带出档案室，避免档案丢失。建议现场对档案资料进行拍照留存并记录，档案资料照片不准外传。档案资料拍照完毕后根据照片内容，填写交通运输基础设施承灾体普查表，并安排专人进行核查，确保填写内容准确无误。</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（2）外业现场调查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1）调查步骤</w:t>
      </w:r>
    </w:p>
    <w:p>
      <w:pPr>
        <w:keepNext w:val="0"/>
        <w:keepLines w:val="0"/>
        <w:pageBreakBefore w:val="0"/>
        <w:widowControl w:val="0"/>
        <w:numPr>
          <w:ilvl w:val="0"/>
          <w:numId w:val="17"/>
        </w:numPr>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按选定路线到达交通运输基础设施承灾体；</w:t>
      </w:r>
    </w:p>
    <w:p>
      <w:pPr>
        <w:keepNext w:val="0"/>
        <w:keepLines w:val="0"/>
        <w:pageBreakBefore w:val="0"/>
        <w:widowControl w:val="0"/>
        <w:numPr>
          <w:ilvl w:val="0"/>
          <w:numId w:val="17"/>
        </w:numPr>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按交通运输基础设施承灾体普查表要求的内容进行各项检查，并认真做好检查记录；</w:t>
      </w:r>
    </w:p>
    <w:p>
      <w:pPr>
        <w:keepNext w:val="0"/>
        <w:keepLines w:val="0"/>
        <w:pageBreakBefore w:val="0"/>
        <w:widowControl w:val="0"/>
        <w:numPr>
          <w:ilvl w:val="0"/>
          <w:numId w:val="17"/>
        </w:numPr>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记录存在隐患的部位，并标识拍照；</w:t>
      </w:r>
    </w:p>
    <w:p>
      <w:pPr>
        <w:keepNext w:val="0"/>
        <w:keepLines w:val="0"/>
        <w:pageBreakBefore w:val="0"/>
        <w:widowControl w:val="0"/>
        <w:numPr>
          <w:ilvl w:val="0"/>
          <w:numId w:val="17"/>
        </w:numPr>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及时归档各类图片、照片、影像、笔录、录音等原始资料和实地调查获得的其他补充资料。</w:t>
      </w:r>
    </w:p>
    <w:p>
      <w:pPr>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leftChars="0" w:right="0" w:rightChars="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2）调查内容</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外业现场调查是对档案资料进行核实补充，确定已有资料的准确性和完备性。</w:t>
      </w:r>
    </w:p>
    <w:p>
      <w:pPr>
        <w:keepNext w:val="0"/>
        <w:keepLines w:val="0"/>
        <w:pageBreakBefore w:val="0"/>
        <w:widowControl w:val="0"/>
        <w:numPr>
          <w:ilvl w:val="0"/>
          <w:numId w:val="18"/>
        </w:numPr>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核对交通运输基础设施位置和范围。</w:t>
      </w:r>
    </w:p>
    <w:p>
      <w:pPr>
        <w:keepNext w:val="0"/>
        <w:keepLines w:val="0"/>
        <w:pageBreakBefore w:val="0"/>
        <w:widowControl w:val="0"/>
        <w:numPr>
          <w:ilvl w:val="0"/>
          <w:numId w:val="18"/>
        </w:numPr>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进行基本信息核实、修改、补充、完善、拍照，经确认无误后上传。</w:t>
      </w:r>
    </w:p>
    <w:p>
      <w:pPr>
        <w:keepNext w:val="0"/>
        <w:keepLines w:val="0"/>
        <w:pageBreakBefore w:val="0"/>
        <w:widowControl w:val="0"/>
        <w:numPr>
          <w:ilvl w:val="0"/>
          <w:numId w:val="18"/>
        </w:numPr>
        <w:kinsoku/>
        <w:wordWrap/>
        <w:overflowPunct/>
        <w:topLinePunct w:val="0"/>
        <w:autoSpaceDE w:val="0"/>
        <w:autoSpaceDN/>
        <w:bidi w:val="0"/>
        <w:adjustRightInd/>
        <w:snapToGrid/>
        <w:spacing w:line="540" w:lineRule="exact"/>
        <w:ind w:left="0" w:leftChars="0" w:right="0" w:firstLine="592" w:firstLineChars="200"/>
        <w:jc w:val="both"/>
        <w:textAlignment w:val="auto"/>
        <w:rPr>
          <w:rFonts w:hint="eastAsia" w:ascii="仿宋" w:hAnsi="仿宋" w:eastAsia="仿宋" w:cs="仿宋"/>
          <w:spacing w:val="-12"/>
          <w:sz w:val="32"/>
          <w:szCs w:val="32"/>
        </w:rPr>
      </w:pPr>
      <w:r>
        <w:rPr>
          <w:rFonts w:hint="eastAsia" w:ascii="仿宋" w:hAnsi="仿宋" w:eastAsia="仿宋" w:cs="仿宋"/>
          <w:spacing w:val="-12"/>
          <w:sz w:val="32"/>
          <w:szCs w:val="32"/>
        </w:rPr>
        <w:t>现场影像资料应包含交通运输基础设施总体风貌，基本使用情况，特别要注意采集其裂缝、倾斜、变形等情况图片。</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60" w:name="3.2.6_成果"/>
      <w:bookmarkEnd w:id="160"/>
      <w:bookmarkStart w:id="161" w:name="3.2.5_数据质量控制"/>
      <w:bookmarkEnd w:id="161"/>
      <w:bookmarkStart w:id="162" w:name="_Toc8204"/>
      <w:r>
        <w:rPr>
          <w:rFonts w:hint="eastAsia" w:ascii="仿宋" w:hAnsi="仿宋" w:eastAsia="仿宋" w:cs="仿宋"/>
          <w:b/>
          <w:bCs/>
          <w:sz w:val="32"/>
          <w:szCs w:val="32"/>
          <w:lang w:val="en-US" w:eastAsia="zh-CN"/>
        </w:rPr>
        <w:t xml:space="preserve">4.3.5 </w:t>
      </w:r>
      <w:bookmarkEnd w:id="162"/>
      <w:r>
        <w:rPr>
          <w:rFonts w:hint="eastAsia" w:ascii="仿宋" w:hAnsi="仿宋" w:eastAsia="仿宋" w:cs="仿宋"/>
          <w:b/>
          <w:bCs/>
          <w:sz w:val="32"/>
          <w:szCs w:val="32"/>
          <w:lang w:val="en-US" w:eastAsia="zh-CN"/>
        </w:rPr>
        <w:t>数据质量控制</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（一）质检组织</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由区交通委组成质检组，对交通运输承灾体普查所有成果资料，开展区级检查验收，区级检查完毕后报市交通委验收。</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（二）质检内容</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1.内业资料</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检查数据资料的完整性、规范性和真实性。</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2.外业调查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重点对交通运输承灾体类型划分，对应标准和要求进行道路拍照采集。</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3.数据质量检查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（1）基础数据校验</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检查数据采集与录入情况，并进行数据审核，数据的完整性、规范和真实，数据来源是否可靠，有无基层数据重采、重报和核实订正的记录。</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（2）质量问题处理</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对于存疑的数据资料，应开展二次现场普查进行核实，修改覆盖、补充有误或缺项部分数据。</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4.3.6 成果</w:t>
      </w:r>
    </w:p>
    <w:p>
      <w:pPr>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w:t>
      </w:r>
      <w:r>
        <w:rPr>
          <w:rFonts w:hint="eastAsia" w:ascii="仿宋" w:hAnsi="仿宋" w:eastAsia="仿宋" w:cs="仿宋"/>
          <w:b/>
          <w:bCs/>
          <w:spacing w:val="-12"/>
          <w:sz w:val="32"/>
          <w:szCs w:val="32"/>
          <w:lang w:val="en-US" w:eastAsia="zh-CN"/>
        </w:rPr>
        <w:t>1</w:t>
      </w:r>
      <w:r>
        <w:rPr>
          <w:rFonts w:hint="eastAsia" w:ascii="仿宋" w:hAnsi="仿宋" w:eastAsia="仿宋" w:cs="仿宋"/>
          <w:b/>
          <w:bCs/>
          <w:spacing w:val="-12"/>
          <w:sz w:val="32"/>
          <w:szCs w:val="32"/>
          <w:lang w:eastAsia="zh-CN"/>
        </w:rPr>
        <w:t>）</w:t>
      </w:r>
      <w:r>
        <w:rPr>
          <w:rFonts w:hint="eastAsia" w:ascii="仿宋" w:hAnsi="仿宋" w:eastAsia="仿宋" w:cs="仿宋"/>
          <w:b/>
          <w:bCs/>
          <w:spacing w:val="-12"/>
          <w:sz w:val="32"/>
          <w:szCs w:val="32"/>
        </w:rPr>
        <w:t>数据成果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1）公路、城市道路承灾体属性信息普查数据集；</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2）公路、城市道路承灾体灾害风险点信息普查数据集。</w:t>
      </w:r>
    </w:p>
    <w:p>
      <w:pPr>
        <w:keepNext w:val="0"/>
        <w:keepLines w:val="0"/>
        <w:pageBreakBefore w:val="0"/>
        <w:widowControl w:val="0"/>
        <w:numPr>
          <w:ilvl w:val="0"/>
          <w:numId w:val="0"/>
        </w:numPr>
        <w:kinsoku/>
        <w:wordWrap/>
        <w:overflowPunct/>
        <w:topLinePunct w:val="0"/>
        <w:autoSpaceDE w:val="0"/>
        <w:autoSpaceDN/>
        <w:bidi w:val="0"/>
        <w:adjustRightInd/>
        <w:snapToGrid/>
        <w:spacing w:line="540" w:lineRule="exact"/>
        <w:ind w:right="0" w:rightChars="0" w:firstLine="595" w:firstLineChars="200"/>
        <w:jc w:val="both"/>
        <w:textAlignment w:val="auto"/>
        <w:rPr>
          <w:rFonts w:hint="eastAsia" w:ascii="仿宋" w:hAnsi="仿宋" w:eastAsia="仿宋" w:cs="仿宋"/>
          <w:b/>
          <w:bCs/>
          <w:spacing w:val="-12"/>
          <w:sz w:val="32"/>
          <w:szCs w:val="32"/>
        </w:rPr>
      </w:pPr>
      <w:r>
        <w:rPr>
          <w:rFonts w:hint="eastAsia" w:ascii="仿宋" w:hAnsi="仿宋" w:eastAsia="仿宋" w:cs="仿宋"/>
          <w:b/>
          <w:bCs/>
          <w:spacing w:val="-12"/>
          <w:sz w:val="32"/>
          <w:szCs w:val="32"/>
          <w:lang w:eastAsia="zh-CN"/>
        </w:rPr>
        <w:t>（</w:t>
      </w:r>
      <w:r>
        <w:rPr>
          <w:rFonts w:hint="eastAsia" w:ascii="仿宋" w:hAnsi="仿宋" w:eastAsia="仿宋" w:cs="仿宋"/>
          <w:b/>
          <w:bCs/>
          <w:spacing w:val="-12"/>
          <w:sz w:val="32"/>
          <w:szCs w:val="32"/>
          <w:lang w:val="en-US" w:eastAsia="zh-CN"/>
        </w:rPr>
        <w:t>2</w:t>
      </w:r>
      <w:r>
        <w:rPr>
          <w:rFonts w:hint="eastAsia" w:ascii="仿宋" w:hAnsi="仿宋" w:eastAsia="仿宋" w:cs="仿宋"/>
          <w:b/>
          <w:bCs/>
          <w:spacing w:val="-12"/>
          <w:sz w:val="32"/>
          <w:szCs w:val="32"/>
          <w:lang w:eastAsia="zh-CN"/>
        </w:rPr>
        <w:t>）</w:t>
      </w:r>
      <w:r>
        <w:rPr>
          <w:rFonts w:hint="eastAsia" w:ascii="仿宋" w:hAnsi="仿宋" w:eastAsia="仿宋" w:cs="仿宋"/>
          <w:b/>
          <w:bCs/>
          <w:spacing w:val="-12"/>
          <w:sz w:val="32"/>
          <w:szCs w:val="32"/>
        </w:rPr>
        <w:t>文字报告成果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1）自然灾害综合风险交通运输基础设施承灾体普查综合类工作总结报告；</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2）自然灾害综合风险交通运输基础设施承灾体普查技术总结报告；</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163" w:name="3.5_公共服务设施调查"/>
      <w:bookmarkEnd w:id="163"/>
      <w:bookmarkStart w:id="164" w:name="3.3_水利设施调查"/>
      <w:bookmarkEnd w:id="164"/>
      <w:bookmarkStart w:id="165" w:name="_Toc32399"/>
      <w:bookmarkStart w:id="166" w:name="_Toc11744"/>
      <w:r>
        <w:rPr>
          <w:rFonts w:hint="eastAsia" w:ascii="楷体" w:hAnsi="楷体" w:eastAsia="楷体" w:cs="楷体"/>
          <w:b/>
          <w:bCs/>
          <w:sz w:val="32"/>
          <w:szCs w:val="32"/>
          <w:lang w:val="en-US" w:eastAsia="zh-CN"/>
        </w:rPr>
        <w:t>4.4 公共服务设施调查</w:t>
      </w:r>
      <w:bookmarkEnd w:id="165"/>
      <w:bookmarkEnd w:id="166"/>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67" w:name="3.5.1_调查范围"/>
      <w:bookmarkEnd w:id="167"/>
      <w:bookmarkStart w:id="168" w:name="_Toc15532"/>
      <w:r>
        <w:rPr>
          <w:rFonts w:hint="eastAsia" w:ascii="仿宋" w:hAnsi="仿宋" w:eastAsia="仿宋" w:cs="仿宋"/>
          <w:b/>
          <w:bCs/>
          <w:sz w:val="32"/>
          <w:szCs w:val="32"/>
          <w:lang w:val="en-US" w:eastAsia="zh-CN"/>
        </w:rPr>
        <w:t xml:space="preserve">4.4.1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组织开展崇明区公共服务设施承灾体调查，摸清交公共服务设施承灾体风险隐患底数，查明重点区域抗灾能力，客观认识公共服务设施承灾体风险水平，为有效开展公共服务设施应急管理、切实保障社会经济可持续发展提供权威的公共服务设施承灾体风险信息及科学决策提供依据。</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4.4.2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bookmarkEnd w:id="168"/>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共服务设施调查范围主要包括：学校、医疗卫生机构、公共文化场所、体育场馆、旅游景区、星级饭店等公共服务管理部门等的地理位置分布及范围、应急保障能力等灾害属性信息；宗教活动场所、提供住宿的社会服务机构、大型城市综合体/大型超市/百货店/亿元以上商品交易市场等公共服务设施等针对单体机构的基础信息、地理分布和应急保障能力等灾害信息；所属区级/乡镇行政单元经济社会情况。</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69" w:name="3.5.2_调查内容"/>
      <w:bookmarkEnd w:id="169"/>
      <w:bookmarkStart w:id="170" w:name="_Toc1892"/>
      <w:r>
        <w:rPr>
          <w:rFonts w:hint="eastAsia" w:ascii="仿宋" w:hAnsi="仿宋" w:eastAsia="仿宋" w:cs="仿宋"/>
          <w:b/>
          <w:bCs/>
          <w:sz w:val="32"/>
          <w:szCs w:val="32"/>
          <w:lang w:val="en-US" w:eastAsia="zh-CN"/>
        </w:rPr>
        <w:t xml:space="preserve">4.4.3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bookmarkEnd w:id="170"/>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71" w:name="3.5.3_任务分工"/>
      <w:bookmarkEnd w:id="171"/>
      <w:r>
        <w:rPr>
          <w:rFonts w:hint="eastAsia" w:ascii="仿宋" w:hAnsi="仿宋" w:eastAsia="仿宋" w:cs="仿宋"/>
          <w:spacing w:val="-5"/>
          <w:sz w:val="32"/>
          <w:szCs w:val="32"/>
          <w:lang w:val="en-US" w:eastAsia="zh-CN" w:bidi="zh-CN"/>
        </w:rPr>
        <w:t>公共服务设施调查主要获取学校、医疗卫生机构、提供住宿的社会服务机构、公共文化场所、体育场馆、宗教活动场所、旅游景区、星级饭店、大型城市综合体、大型城市综合体/大型超市/百货店/亿元以上商品交易市场等九类服务系统的地理分布、人员构成、服务能力、应急保障能力等属性特征，以及获取区级和乡镇行政单元最新经济社会情况统计数据。</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一是学校、医疗卫生机构、提供住宿的社会服务机构、公共文化场所、体育场馆、旅游景区、星级饭店、宗教活动场所、大型超市综合体大型超市/百货店/亿元以上商品交易市场的地理位置、基本概况、人员情况、功能与服务情况、应急保障能力等信息调查。（《学校调查表》《医疗卫生机构调查表》《提供住宿的社会服务机构调查表》《公共文化场所调查表》《体育场馆调查表》《旅游景区调查表》《星级饭店调查表》《宗教活动场所调查表》《大型超市/百货店/亿元以上商品交易市场调查表》）。</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二是区级和乡镇行政单元最新经济社会情况统计数据，包括区级单元GDP、主要农作物（小麦、玉米和水稻）生产情况统计，以及乡镇主要农作物（小麦、玉米和水稻）播种面积统计。</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72" w:name="_Toc14741"/>
      <w:r>
        <w:rPr>
          <w:rFonts w:hint="eastAsia" w:ascii="仿宋" w:hAnsi="仿宋" w:eastAsia="仿宋" w:cs="仿宋"/>
          <w:b/>
          <w:bCs/>
          <w:sz w:val="32"/>
          <w:szCs w:val="32"/>
          <w:lang w:val="en-US" w:eastAsia="zh-CN"/>
        </w:rPr>
        <w:t>4.4.4 工作流程与技术方法</w:t>
      </w:r>
      <w:bookmarkEnd w:id="172"/>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73" w:name="3.5.5_数据质量控制"/>
      <w:bookmarkEnd w:id="173"/>
      <w:r>
        <w:rPr>
          <w:rFonts w:hint="eastAsia" w:ascii="仿宋" w:hAnsi="仿宋" w:eastAsia="仿宋" w:cs="仿宋"/>
          <w:spacing w:val="-5"/>
          <w:sz w:val="32"/>
          <w:szCs w:val="32"/>
          <w:lang w:val="en-US" w:eastAsia="zh-CN" w:bidi="zh-CN"/>
        </w:rPr>
        <w:t>包括工作准备、工作任务分工和业务培训、调查对象清查、专题要素制备、内业调查及现场核实、数据质量审核上报等六个阶段。</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（1）工作准备。</w:t>
      </w:r>
      <w:r>
        <w:rPr>
          <w:rFonts w:hint="eastAsia" w:ascii="仿宋" w:hAnsi="仿宋" w:eastAsia="仿宋" w:cs="仿宋"/>
          <w:spacing w:val="-5"/>
          <w:sz w:val="32"/>
          <w:szCs w:val="32"/>
          <w:lang w:val="en-US" w:eastAsia="zh-CN" w:bidi="zh-CN"/>
        </w:rPr>
        <w:t>区灾险普查办下发普查实施</w:t>
      </w:r>
      <w:r>
        <w:rPr>
          <w:rFonts w:hint="eastAsia" w:ascii="仿宋" w:hAnsi="仿宋" w:eastAsia="仿宋" w:cs="仿宋"/>
          <w:spacing w:val="-5"/>
          <w:sz w:val="32"/>
          <w:szCs w:val="32"/>
          <w:lang w:val="zh-CN" w:eastAsia="zh-CN" w:bidi="zh-CN"/>
        </w:rPr>
        <w:t>细则</w:t>
      </w:r>
      <w:r>
        <w:rPr>
          <w:rFonts w:hint="eastAsia" w:ascii="仿宋" w:hAnsi="仿宋" w:eastAsia="仿宋" w:cs="仿宋"/>
          <w:spacing w:val="-5"/>
          <w:sz w:val="32"/>
          <w:szCs w:val="32"/>
          <w:lang w:val="en-US" w:eastAsia="zh-CN" w:bidi="zh-CN"/>
        </w:rPr>
        <w:t>和工作部署安排，会同各方共同推进普查工作的有序进行。区应急局具体负责组织公共服务设施普查工作；各相关部门均需成立工作组负责相关工作。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（2）工作任务分工和业务培训。</w:t>
      </w:r>
      <w:r>
        <w:rPr>
          <w:rFonts w:hint="eastAsia" w:ascii="仿宋" w:hAnsi="仿宋" w:eastAsia="仿宋" w:cs="仿宋"/>
          <w:spacing w:val="-5"/>
          <w:sz w:val="32"/>
          <w:szCs w:val="32"/>
          <w:lang w:val="en-US" w:eastAsia="zh-CN" w:bidi="zh-CN"/>
        </w:rPr>
        <w:t>区应急局按照工作分工明确有关部门的具体职责，开展工作动员部署和业务培训。工作动员部署由区级根据当地实际情况开展，明确调查工作的要求、重要性、意义以及工作的整体部署。业务培训由区应急局组织实施，主要介绍《公共服务设施调查技术规范》、调查报告编制方法及调查工作相关重点要求。</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（3）调查对象清查。</w:t>
      </w:r>
      <w:r>
        <w:rPr>
          <w:rFonts w:hint="eastAsia" w:ascii="仿宋" w:hAnsi="仿宋" w:eastAsia="仿宋" w:cs="仿宋"/>
          <w:spacing w:val="-5"/>
          <w:sz w:val="32"/>
          <w:szCs w:val="32"/>
          <w:lang w:val="en-US" w:eastAsia="zh-CN" w:bidi="zh-CN"/>
        </w:rPr>
        <w:t>主要是为了摸清调查对象目录、基本情况和分布状况，确保调查单位和对象不重不漏。对于公共服务设施调查工作，清查阶段要摸清本辖区内所有在普查范围之内的学校、医疗卫生机构、提供住宿的社会服务机构、公共文化场所、旅游景区、星级饭店、体育场馆、宗教活动场所、大型城市综合体/大型超市/百货店/亿元以上商品交易市场等单位、机构或场所目录，基本情况和地址信息。</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（4）专题要素制备。</w:t>
      </w:r>
      <w:r>
        <w:rPr>
          <w:rFonts w:hint="eastAsia" w:ascii="仿宋" w:hAnsi="仿宋" w:eastAsia="仿宋" w:cs="仿宋"/>
          <w:spacing w:val="-5"/>
          <w:sz w:val="32"/>
          <w:szCs w:val="32"/>
          <w:lang w:val="en-US" w:eastAsia="zh-CN" w:bidi="zh-CN"/>
        </w:rPr>
        <w:t>根据清查阶段提供的公共服务设施地址信息，对其进行空间定位，并按照要求构建面状空间数据。</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（5）内业调查及现场核实。</w:t>
      </w:r>
      <w:r>
        <w:rPr>
          <w:rFonts w:hint="eastAsia" w:ascii="仿宋" w:hAnsi="仿宋" w:eastAsia="仿宋" w:cs="仿宋"/>
          <w:spacing w:val="-5"/>
          <w:sz w:val="32"/>
          <w:szCs w:val="32"/>
          <w:lang w:val="en-US" w:eastAsia="zh-CN" w:bidi="zh-CN"/>
        </w:rPr>
        <w:t>是公共服务设施调查的主体工作，是基于清查名录及其空间分布信息，利用调查数据平台核对空间位置，补充完善各类公共服务设施相应的调查指标信息，形成最终调查成果的重要环节。</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（6）质量审核上报。</w:t>
      </w:r>
      <w:r>
        <w:rPr>
          <w:rFonts w:hint="eastAsia" w:ascii="仿宋" w:hAnsi="仿宋" w:eastAsia="仿宋" w:cs="仿宋"/>
          <w:spacing w:val="-5"/>
          <w:sz w:val="32"/>
          <w:szCs w:val="32"/>
          <w:lang w:val="en-US" w:eastAsia="zh-CN" w:bidi="zh-CN"/>
        </w:rPr>
        <w:t>区应急管理部门负责本辖区所有调查数据成果的汇总和核查，按照“各参与部门—各区应急管理局—市应急管理局”的流程，将调查数据成果逐级审核、上报、汇总，配合市应急局形成本市调查成果库。</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74" w:name="_Toc23387"/>
      <w:r>
        <w:rPr>
          <w:rFonts w:hint="eastAsia" w:ascii="仿宋" w:hAnsi="仿宋" w:eastAsia="仿宋" w:cs="仿宋"/>
          <w:b/>
          <w:bCs/>
          <w:sz w:val="32"/>
          <w:szCs w:val="32"/>
          <w:lang w:val="en-US" w:eastAsia="zh-CN"/>
        </w:rPr>
        <w:t>4.4.5 数据质量控制</w:t>
      </w:r>
      <w:bookmarkEnd w:id="174"/>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具体按照《应急管理系统调查成果质检核查技术细则》执行。</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75" w:name="3.5.6_成果"/>
      <w:bookmarkEnd w:id="175"/>
      <w:bookmarkStart w:id="176" w:name="_Toc8248"/>
      <w:r>
        <w:rPr>
          <w:rFonts w:hint="eastAsia" w:ascii="仿宋" w:hAnsi="仿宋" w:eastAsia="仿宋" w:cs="仿宋"/>
          <w:b/>
          <w:bCs/>
          <w:sz w:val="32"/>
          <w:szCs w:val="32"/>
          <w:lang w:val="en-US" w:eastAsia="zh-CN"/>
        </w:rPr>
        <w:t>4.4.6 成果</w:t>
      </w:r>
      <w:bookmarkEnd w:id="176"/>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bookmarkStart w:id="177" w:name="3.5.6.1_数据成果"/>
      <w:bookmarkEnd w:id="177"/>
      <w:r>
        <w:rPr>
          <w:rFonts w:hint="eastAsia" w:ascii="仿宋" w:hAnsi="仿宋" w:eastAsia="仿宋" w:cs="仿宋"/>
          <w:b/>
          <w:bCs/>
          <w:spacing w:val="-5"/>
          <w:sz w:val="32"/>
          <w:szCs w:val="32"/>
          <w:lang w:val="en-US" w:eastAsia="zh-CN" w:bidi="zh-CN"/>
        </w:rPr>
        <w:t>（1）数据成果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公共服务设施调查数据集。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bookmarkStart w:id="178" w:name="3.5.6.2_文字报告成果"/>
      <w:bookmarkEnd w:id="178"/>
      <w:r>
        <w:rPr>
          <w:rFonts w:hint="eastAsia" w:ascii="仿宋" w:hAnsi="仿宋" w:eastAsia="仿宋" w:cs="仿宋"/>
          <w:b/>
          <w:bCs/>
          <w:spacing w:val="-5"/>
          <w:sz w:val="32"/>
          <w:szCs w:val="32"/>
          <w:lang w:val="en-US" w:eastAsia="zh-CN" w:bidi="zh-CN"/>
        </w:rPr>
        <w:t>（2）文字报告成果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公共服务系统调查工作报告和成果分析报告。</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179" w:name="3.6_危险化学品企业调查"/>
      <w:bookmarkEnd w:id="179"/>
      <w:bookmarkStart w:id="180" w:name="_Toc7040"/>
      <w:bookmarkStart w:id="181" w:name="_Toc21376"/>
      <w:r>
        <w:rPr>
          <w:rFonts w:hint="eastAsia" w:ascii="楷体" w:hAnsi="楷体" w:eastAsia="楷体" w:cs="楷体"/>
          <w:b/>
          <w:bCs/>
          <w:sz w:val="32"/>
          <w:szCs w:val="32"/>
          <w:lang w:val="en-US" w:eastAsia="zh-CN"/>
        </w:rPr>
        <w:t>4.5 危险化学品企业调查</w:t>
      </w:r>
      <w:bookmarkEnd w:id="180"/>
      <w:bookmarkEnd w:id="181"/>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82" w:name="3.6.1_调查范围"/>
      <w:bookmarkEnd w:id="182"/>
      <w:bookmarkStart w:id="183" w:name="_Toc5785"/>
      <w:r>
        <w:rPr>
          <w:rFonts w:hint="eastAsia" w:ascii="仿宋" w:hAnsi="仿宋" w:eastAsia="仿宋" w:cs="仿宋"/>
          <w:b/>
          <w:bCs/>
          <w:sz w:val="32"/>
          <w:szCs w:val="32"/>
          <w:lang w:val="en-US" w:eastAsia="zh-CN"/>
        </w:rPr>
        <w:t xml:space="preserve">4.5.1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目标</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通过组织开展崇明区危险化学企业调查，摸清全区危险化学品承灾体、空间分布情况、风险隐患底数，为后续危险化学品企业承灾体风险防治与区划提供科学有效的决策。</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4.5.2 </w:t>
      </w:r>
      <w:bookmarkEnd w:id="183"/>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范围</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84" w:name="3.6.2_调查内容"/>
      <w:bookmarkEnd w:id="184"/>
      <w:r>
        <w:rPr>
          <w:rFonts w:hint="eastAsia" w:ascii="仿宋" w:hAnsi="仿宋" w:eastAsia="仿宋" w:cs="仿宋"/>
          <w:spacing w:val="-5"/>
          <w:sz w:val="32"/>
          <w:szCs w:val="32"/>
          <w:lang w:val="en-US" w:eastAsia="zh-CN" w:bidi="zh-CN"/>
        </w:rPr>
        <w:t>危险化学品企业调查范围包括所有崇明区辖区范围内所有的危险化学品企业及重大危险源，以及加油加气加氢站。</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85" w:name="_Toc8019"/>
      <w:r>
        <w:rPr>
          <w:rFonts w:hint="eastAsia" w:ascii="仿宋" w:hAnsi="仿宋" w:eastAsia="仿宋" w:cs="仿宋"/>
          <w:b/>
          <w:bCs/>
          <w:sz w:val="32"/>
          <w:szCs w:val="32"/>
          <w:lang w:val="en-US" w:eastAsia="zh-CN"/>
        </w:rPr>
        <w:t xml:space="preserve">4.5.3 </w:t>
      </w:r>
      <w:r>
        <w:rPr>
          <w:rFonts w:hint="eastAsia" w:ascii="楷体" w:hAnsi="楷体" w:eastAsia="楷体" w:cs="楷体"/>
          <w:b/>
          <w:bCs/>
          <w:sz w:val="32"/>
          <w:szCs w:val="32"/>
          <w:lang w:eastAsia="zh-CN"/>
        </w:rPr>
        <w:t>调查</w:t>
      </w:r>
      <w:r>
        <w:rPr>
          <w:rFonts w:hint="eastAsia" w:ascii="仿宋" w:hAnsi="仿宋" w:eastAsia="仿宋" w:cs="仿宋"/>
          <w:b/>
          <w:bCs/>
          <w:sz w:val="32"/>
          <w:szCs w:val="32"/>
          <w:lang w:val="en-US" w:eastAsia="zh-CN"/>
        </w:rPr>
        <w:t>内容</w:t>
      </w:r>
      <w:bookmarkEnd w:id="185"/>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86" w:name="3.6.3_任务分工"/>
      <w:bookmarkEnd w:id="186"/>
      <w:r>
        <w:rPr>
          <w:rFonts w:hint="eastAsia" w:ascii="仿宋" w:hAnsi="仿宋" w:eastAsia="仿宋" w:cs="仿宋"/>
          <w:spacing w:val="-5"/>
          <w:sz w:val="32"/>
          <w:szCs w:val="32"/>
          <w:lang w:val="en-US" w:eastAsia="zh-CN" w:bidi="zh-CN"/>
        </w:rPr>
        <w:t>更新调查危险化学品企业、重大危险源以及加油加气加氢站的基础信息，补充调查地理空间分布、设防水平、灾害防御能力、应急保障能力等灾害属性信息。</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87" w:name="3.6.4_工作流程与技术方法"/>
      <w:bookmarkEnd w:id="187"/>
      <w:bookmarkStart w:id="188" w:name="_Toc15802"/>
      <w:r>
        <w:rPr>
          <w:rFonts w:hint="eastAsia" w:ascii="仿宋" w:hAnsi="仿宋" w:eastAsia="仿宋" w:cs="仿宋"/>
          <w:b/>
          <w:bCs/>
          <w:sz w:val="32"/>
          <w:szCs w:val="32"/>
          <w:lang w:val="en-US" w:eastAsia="zh-CN"/>
        </w:rPr>
        <w:t>4.5.4 工作流程与技术方法</w:t>
      </w:r>
      <w:bookmarkEnd w:id="188"/>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0" w:leftChars="0" w:right="0" w:rightChars="0" w:firstLine="635" w:firstLineChars="200"/>
        <w:jc w:val="both"/>
        <w:textAlignment w:val="auto"/>
        <w:rPr>
          <w:rFonts w:hint="eastAsia" w:ascii="仿宋" w:hAnsi="仿宋" w:eastAsia="仿宋" w:cs="仿宋"/>
          <w:b/>
          <w:bCs/>
          <w:sz w:val="32"/>
          <w:szCs w:val="32"/>
        </w:rPr>
      </w:pPr>
      <w:bookmarkStart w:id="189" w:name="3.6.4.1_工作流程"/>
      <w:bookmarkEnd w:id="189"/>
      <w:r>
        <w:rPr>
          <w:rFonts w:hint="eastAsia" w:ascii="仿宋" w:hAnsi="仿宋" w:eastAsia="仿宋" w:cs="仿宋"/>
          <w:b/>
          <w:bCs/>
          <w:spacing w:val="-2"/>
          <w:sz w:val="32"/>
          <w:szCs w:val="32"/>
          <w:lang w:eastAsia="zh-CN"/>
        </w:rPr>
        <w:t>（一）</w:t>
      </w:r>
      <w:r>
        <w:rPr>
          <w:rFonts w:hint="eastAsia" w:ascii="仿宋" w:hAnsi="仿宋" w:eastAsia="仿宋" w:cs="仿宋"/>
          <w:b/>
          <w:bCs/>
          <w:spacing w:val="-2"/>
          <w:sz w:val="32"/>
          <w:szCs w:val="32"/>
        </w:rPr>
        <w:t>工作流程</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90" w:name="3.6.4.2_技术方法"/>
      <w:bookmarkEnd w:id="190"/>
      <w:r>
        <w:rPr>
          <w:rFonts w:hint="eastAsia" w:ascii="仿宋" w:hAnsi="仿宋" w:eastAsia="仿宋" w:cs="仿宋"/>
          <w:spacing w:val="-5"/>
          <w:sz w:val="32"/>
          <w:szCs w:val="32"/>
          <w:lang w:val="en-US" w:eastAsia="zh-CN" w:bidi="zh-CN"/>
        </w:rPr>
        <w:t>危险化学品企业自然灾害承灾体调查采用自下而上逐级填报、专家指导评估与分级审核校对相结合的组织方式。其中，区应急局负责组织开展调查和数据自检，并配合市级展调查数据的核查与成果分析评估。</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区应急局组织辖区内相关企业按照《危险化学品承灾体调查技术规范》的要求，在普查软件系统填报调查表格，自检合格的数据通过填报系统上报至市级，不合格的驳回至企业。</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区应急局组建工作组，对危险化学品企业承灾体调查数据进行汇总、质检，质检不合格的驳回至单位，最终由形成全区危险化学品企业承灾体数据库，并将成果上报至市灾险普查办。</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right="0" w:rightChars="0" w:firstLine="635" w:firstLineChars="200"/>
        <w:jc w:val="both"/>
        <w:textAlignment w:val="auto"/>
        <w:rPr>
          <w:rFonts w:hint="eastAsia" w:ascii="仿宋" w:hAnsi="仿宋" w:eastAsia="仿宋" w:cs="仿宋"/>
          <w:b/>
          <w:bCs/>
          <w:sz w:val="32"/>
          <w:szCs w:val="32"/>
        </w:rPr>
      </w:pPr>
      <w:r>
        <w:rPr>
          <w:rFonts w:hint="eastAsia" w:ascii="仿宋" w:hAnsi="仿宋" w:eastAsia="仿宋" w:cs="仿宋"/>
          <w:b/>
          <w:bCs/>
          <w:spacing w:val="-2"/>
          <w:sz w:val="32"/>
          <w:szCs w:val="32"/>
          <w:lang w:eastAsia="zh-CN"/>
        </w:rPr>
        <w:t>（二）</w:t>
      </w:r>
      <w:r>
        <w:rPr>
          <w:rFonts w:hint="eastAsia" w:ascii="仿宋" w:hAnsi="仿宋" w:eastAsia="仿宋" w:cs="仿宋"/>
          <w:b/>
          <w:bCs/>
          <w:spacing w:val="-2"/>
          <w:sz w:val="32"/>
          <w:szCs w:val="32"/>
        </w:rPr>
        <w:t>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191" w:name="3.6.5_数据质量控制"/>
      <w:bookmarkEnd w:id="191"/>
      <w:r>
        <w:rPr>
          <w:rFonts w:hint="eastAsia" w:ascii="仿宋" w:hAnsi="仿宋" w:eastAsia="仿宋" w:cs="仿宋"/>
          <w:spacing w:val="-5"/>
          <w:sz w:val="32"/>
          <w:szCs w:val="32"/>
          <w:lang w:val="en-US" w:eastAsia="zh-CN" w:bidi="zh-CN"/>
        </w:rPr>
        <w:t>采用资料收集、现场调查、统计分析、数据核查、专家评议和风险矩阵等方式进行承灾体调查，以及配合市级进行汇总分析、致灾危险性评估等工作。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92" w:name="_Toc17126"/>
      <w:r>
        <w:rPr>
          <w:rFonts w:hint="eastAsia" w:ascii="仿宋" w:hAnsi="仿宋" w:eastAsia="仿宋" w:cs="仿宋"/>
          <w:b/>
          <w:bCs/>
          <w:sz w:val="32"/>
          <w:szCs w:val="32"/>
          <w:lang w:val="en-US" w:eastAsia="zh-CN"/>
        </w:rPr>
        <w:t>4.5.5 数据质量控制</w:t>
      </w:r>
      <w:bookmarkEnd w:id="192"/>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按照“自下而上”的流程，区应急管理部门组织开展调查指标信息的质量核查，保证数据质量的真实性。区级组织乡镇、村（社区）参与质量审核工作。具体按照《应急管理系统调查成果质检核查技术细则》执行。</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firstLine="643" w:firstLineChars="200"/>
        <w:jc w:val="both"/>
        <w:textAlignment w:val="auto"/>
        <w:rPr>
          <w:rFonts w:hint="eastAsia" w:ascii="仿宋" w:hAnsi="仿宋" w:eastAsia="仿宋" w:cs="仿宋"/>
          <w:b/>
          <w:bCs/>
          <w:sz w:val="32"/>
          <w:szCs w:val="32"/>
          <w:lang w:val="en-US" w:eastAsia="zh-CN"/>
        </w:rPr>
      </w:pPr>
      <w:bookmarkStart w:id="193" w:name="3.6.6_成果"/>
      <w:bookmarkEnd w:id="193"/>
      <w:bookmarkStart w:id="194" w:name="_Toc8057"/>
      <w:r>
        <w:rPr>
          <w:rFonts w:hint="eastAsia" w:ascii="仿宋" w:hAnsi="仿宋" w:eastAsia="仿宋" w:cs="仿宋"/>
          <w:b/>
          <w:bCs/>
          <w:sz w:val="32"/>
          <w:szCs w:val="32"/>
          <w:lang w:val="en-US" w:eastAsia="zh-CN"/>
        </w:rPr>
        <w:t>4.5.6 成果</w:t>
      </w:r>
      <w:bookmarkEnd w:id="194"/>
    </w:p>
    <w:p>
      <w:pPr>
        <w:pStyle w:val="27"/>
        <w:keepNext w:val="0"/>
        <w:keepLines w:val="0"/>
        <w:pageBreakBefore w:val="0"/>
        <w:widowControl w:val="0"/>
        <w:numPr>
          <w:ilvl w:val="0"/>
          <w:numId w:val="0"/>
        </w:numPr>
        <w:tabs>
          <w:tab w:val="left" w:pos="1121"/>
        </w:tabs>
        <w:kinsoku/>
        <w:wordWrap/>
        <w:overflowPunct/>
        <w:topLinePunct w:val="0"/>
        <w:autoSpaceDE w:val="0"/>
        <w:autoSpaceDN/>
        <w:bidi w:val="0"/>
        <w:adjustRightInd/>
        <w:snapToGrid/>
        <w:spacing w:line="540" w:lineRule="exact"/>
        <w:ind w:leftChars="0" w:right="0" w:rightChars="0" w:firstLine="623" w:firstLineChars="200"/>
        <w:jc w:val="both"/>
        <w:textAlignment w:val="auto"/>
        <w:rPr>
          <w:rFonts w:hint="default" w:ascii="仿宋" w:hAnsi="仿宋" w:eastAsia="仿宋" w:cs="仿宋"/>
          <w:b/>
          <w:bCs/>
          <w:spacing w:val="-5"/>
          <w:sz w:val="32"/>
          <w:szCs w:val="32"/>
          <w:lang w:val="en-US" w:eastAsia="zh-CN" w:bidi="zh-CN"/>
        </w:rPr>
      </w:pPr>
      <w:bookmarkStart w:id="195" w:name="3.6.6.1_数据库"/>
      <w:bookmarkEnd w:id="195"/>
      <w:r>
        <w:rPr>
          <w:rFonts w:hint="eastAsia" w:ascii="仿宋" w:hAnsi="仿宋" w:eastAsia="仿宋" w:cs="仿宋"/>
          <w:b/>
          <w:bCs/>
          <w:spacing w:val="-5"/>
          <w:sz w:val="32"/>
          <w:szCs w:val="32"/>
          <w:lang w:val="en-US" w:eastAsia="zh-CN" w:bidi="zh-CN"/>
        </w:rPr>
        <w:t>（</w:t>
      </w:r>
      <w:r>
        <w:rPr>
          <w:rFonts w:hint="default" w:ascii="仿宋" w:hAnsi="仿宋" w:eastAsia="仿宋" w:cs="仿宋"/>
          <w:b/>
          <w:bCs/>
          <w:spacing w:val="-5"/>
          <w:sz w:val="32"/>
          <w:szCs w:val="32"/>
          <w:lang w:val="en-US" w:eastAsia="zh-CN" w:bidi="zh-CN"/>
        </w:rPr>
        <w:t>1</w:t>
      </w:r>
      <w:r>
        <w:rPr>
          <w:rFonts w:hint="eastAsia" w:ascii="仿宋" w:hAnsi="仿宋" w:eastAsia="仿宋" w:cs="仿宋"/>
          <w:b/>
          <w:bCs/>
          <w:spacing w:val="-5"/>
          <w:sz w:val="32"/>
          <w:szCs w:val="32"/>
          <w:lang w:val="en-US" w:eastAsia="zh-CN" w:bidi="zh-CN"/>
        </w:rPr>
        <w:t>）</w:t>
      </w:r>
      <w:r>
        <w:rPr>
          <w:rFonts w:hint="default" w:ascii="仿宋" w:hAnsi="仿宋" w:eastAsia="仿宋" w:cs="仿宋"/>
          <w:b/>
          <w:bCs/>
          <w:spacing w:val="-5"/>
          <w:sz w:val="32"/>
          <w:szCs w:val="32"/>
          <w:lang w:val="en-US" w:eastAsia="zh-CN" w:bidi="zh-CN"/>
        </w:rPr>
        <w:t>数据成果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危险化学品企业承灾体数据库。</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23" w:firstLineChars="200"/>
        <w:jc w:val="both"/>
        <w:textAlignment w:val="auto"/>
        <w:rPr>
          <w:rFonts w:hint="default" w:ascii="仿宋" w:hAnsi="仿宋" w:eastAsia="仿宋" w:cs="仿宋"/>
          <w:b/>
          <w:bCs/>
          <w:spacing w:val="-5"/>
          <w:sz w:val="32"/>
          <w:szCs w:val="32"/>
          <w:lang w:val="en-US" w:eastAsia="zh-CN" w:bidi="zh-CN"/>
        </w:rPr>
      </w:pPr>
      <w:bookmarkStart w:id="196" w:name="3.6.6.2_成果图集"/>
      <w:bookmarkEnd w:id="196"/>
      <w:r>
        <w:rPr>
          <w:rFonts w:hint="eastAsia" w:ascii="仿宋" w:hAnsi="仿宋" w:eastAsia="仿宋" w:cs="仿宋"/>
          <w:b/>
          <w:bCs/>
          <w:spacing w:val="-5"/>
          <w:sz w:val="32"/>
          <w:szCs w:val="32"/>
          <w:lang w:val="en-US" w:eastAsia="zh-CN" w:bidi="zh-CN"/>
        </w:rPr>
        <w:t>（</w:t>
      </w:r>
      <w:r>
        <w:rPr>
          <w:rFonts w:hint="default" w:ascii="仿宋" w:hAnsi="仿宋" w:eastAsia="仿宋" w:cs="仿宋"/>
          <w:b/>
          <w:bCs/>
          <w:spacing w:val="-5"/>
          <w:sz w:val="32"/>
          <w:szCs w:val="32"/>
          <w:lang w:val="en-US" w:eastAsia="zh-CN" w:bidi="zh-CN"/>
        </w:rPr>
        <w:t>2</w:t>
      </w:r>
      <w:r>
        <w:rPr>
          <w:rFonts w:hint="eastAsia" w:ascii="仿宋" w:hAnsi="仿宋" w:eastAsia="仿宋" w:cs="仿宋"/>
          <w:b/>
          <w:bCs/>
          <w:spacing w:val="-5"/>
          <w:sz w:val="32"/>
          <w:szCs w:val="32"/>
          <w:lang w:val="en-US" w:eastAsia="zh-CN" w:bidi="zh-CN"/>
        </w:rPr>
        <w:t>）</w:t>
      </w:r>
      <w:r>
        <w:rPr>
          <w:rFonts w:hint="default" w:ascii="仿宋" w:hAnsi="仿宋" w:eastAsia="仿宋" w:cs="仿宋"/>
          <w:b/>
          <w:bCs/>
          <w:spacing w:val="-5"/>
          <w:sz w:val="32"/>
          <w:szCs w:val="32"/>
          <w:lang w:val="en-US" w:eastAsia="zh-CN" w:bidi="zh-CN"/>
        </w:rPr>
        <w:t>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全区危险化学品企业承灾体分布图。</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23" w:firstLineChars="200"/>
        <w:jc w:val="both"/>
        <w:textAlignment w:val="auto"/>
        <w:rPr>
          <w:rFonts w:hint="default" w:ascii="仿宋" w:hAnsi="仿宋" w:eastAsia="仿宋" w:cs="仿宋"/>
          <w:b/>
          <w:bCs/>
          <w:spacing w:val="-5"/>
          <w:sz w:val="32"/>
          <w:szCs w:val="32"/>
          <w:lang w:val="en-US" w:eastAsia="zh-CN" w:bidi="zh-CN"/>
        </w:rPr>
      </w:pPr>
      <w:bookmarkStart w:id="197" w:name="3.6.6.3_报告"/>
      <w:bookmarkEnd w:id="197"/>
      <w:r>
        <w:rPr>
          <w:rFonts w:hint="default" w:ascii="仿宋" w:hAnsi="仿宋" w:eastAsia="仿宋" w:cs="仿宋"/>
          <w:b/>
          <w:bCs/>
          <w:spacing w:val="-5"/>
          <w:sz w:val="32"/>
          <w:szCs w:val="32"/>
          <w:lang w:val="en-US" w:eastAsia="zh-CN" w:bidi="zh-CN"/>
        </w:rPr>
        <w:t>（3）文字报告成果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危险化学品企业调查工作报告和成果分析报告。</w:t>
      </w:r>
      <w:bookmarkStart w:id="198" w:name="3.7_其他承灾体数据共享整理及补充调查"/>
      <w:bookmarkEnd w:id="198"/>
      <w:bookmarkStart w:id="199" w:name="3.8_固定资产重置成本评估"/>
      <w:bookmarkEnd w:id="199"/>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keepNext w:val="0"/>
        <w:keepLines w:val="0"/>
        <w:pageBreakBefore w:val="0"/>
        <w:kinsoku/>
        <w:wordWrap/>
        <w:overflowPunct/>
        <w:topLinePunct w:val="0"/>
        <w:bidi w:val="0"/>
        <w:adjustRightInd/>
        <w:snapToGrid/>
        <w:spacing w:line="540" w:lineRule="exact"/>
        <w:ind w:firstLine="723" w:firstLineChars="200"/>
        <w:textAlignment w:val="auto"/>
        <w:rPr>
          <w:rFonts w:hint="eastAsia" w:ascii="黑体" w:hAnsi="黑体" w:eastAsia="黑体" w:cs="黑体"/>
          <w:b/>
          <w:bCs/>
          <w:sz w:val="36"/>
          <w:szCs w:val="36"/>
          <w:lang w:eastAsia="zh-CN"/>
        </w:rPr>
      </w:pPr>
      <w:bookmarkStart w:id="200" w:name="_Toc28464"/>
      <w:r>
        <w:rPr>
          <w:rFonts w:hint="eastAsia" w:ascii="黑体" w:hAnsi="黑体" w:eastAsia="黑体" w:cs="黑体"/>
          <w:b/>
          <w:bCs/>
          <w:sz w:val="36"/>
          <w:szCs w:val="36"/>
          <w:lang w:eastAsia="zh-CN"/>
        </w:rPr>
        <w:br w:type="page"/>
      </w:r>
    </w:p>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201" w:name="_Toc22261"/>
      <w:r>
        <w:rPr>
          <w:rFonts w:hint="eastAsia" w:ascii="黑体" w:hAnsi="黑体" w:eastAsia="黑体" w:cs="黑体"/>
          <w:b/>
          <w:bCs/>
          <w:sz w:val="36"/>
          <w:szCs w:val="36"/>
          <w:lang w:eastAsia="zh-CN"/>
        </w:rPr>
        <w:t>第</w:t>
      </w:r>
      <w:r>
        <w:rPr>
          <w:rFonts w:hint="eastAsia" w:ascii="黑体" w:hAnsi="黑体" w:eastAsia="黑体" w:cs="黑体"/>
          <w:b/>
          <w:bCs/>
          <w:sz w:val="36"/>
          <w:szCs w:val="36"/>
          <w:lang w:val="en-US" w:eastAsia="zh-CN"/>
        </w:rPr>
        <w:t>5</w:t>
      </w:r>
      <w:r>
        <w:rPr>
          <w:rFonts w:hint="eastAsia" w:ascii="黑体" w:hAnsi="黑体" w:eastAsia="黑体" w:cs="黑体"/>
          <w:b/>
          <w:bCs/>
          <w:sz w:val="36"/>
          <w:szCs w:val="36"/>
          <w:lang w:eastAsia="zh-CN"/>
        </w:rPr>
        <w:t>章</w:t>
      </w:r>
      <w:r>
        <w:rPr>
          <w:rFonts w:hint="default"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历史灾害调查与评估</w:t>
      </w:r>
      <w:bookmarkEnd w:id="200"/>
      <w:bookmarkEnd w:id="201"/>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02" w:name="4.1_目标"/>
      <w:bookmarkEnd w:id="202"/>
      <w:bookmarkStart w:id="203" w:name="_Toc28717"/>
      <w:bookmarkStart w:id="204" w:name="_Toc98"/>
      <w:r>
        <w:rPr>
          <w:rFonts w:hint="eastAsia" w:ascii="楷体" w:hAnsi="楷体" w:eastAsia="楷体" w:cs="楷体"/>
          <w:b/>
          <w:bCs/>
          <w:sz w:val="32"/>
          <w:szCs w:val="32"/>
          <w:lang w:val="en-US" w:eastAsia="zh-CN"/>
        </w:rPr>
        <w:t>5</w:t>
      </w:r>
      <w:r>
        <w:rPr>
          <w:rFonts w:hint="default" w:ascii="楷体" w:hAnsi="楷体" w:eastAsia="楷体" w:cs="楷体"/>
          <w:b/>
          <w:bCs/>
          <w:sz w:val="32"/>
          <w:szCs w:val="32"/>
          <w:lang w:eastAsia="zh-CN"/>
        </w:rPr>
        <w:t xml:space="preserve">.1 </w:t>
      </w:r>
      <w:r>
        <w:rPr>
          <w:rFonts w:hint="eastAsia" w:ascii="楷体" w:hAnsi="楷体" w:eastAsia="楷体" w:cs="楷体"/>
          <w:b/>
          <w:bCs/>
          <w:sz w:val="32"/>
          <w:szCs w:val="32"/>
          <w:lang w:eastAsia="zh-CN"/>
        </w:rPr>
        <w:t>调查</w:t>
      </w:r>
      <w:r>
        <w:rPr>
          <w:rFonts w:hint="eastAsia" w:ascii="楷体" w:hAnsi="楷体" w:eastAsia="楷体" w:cs="楷体"/>
          <w:b/>
          <w:bCs/>
          <w:sz w:val="32"/>
          <w:szCs w:val="32"/>
          <w:lang w:val="en-US" w:eastAsia="zh-CN"/>
        </w:rPr>
        <w:t>目标</w:t>
      </w:r>
      <w:bookmarkEnd w:id="203"/>
      <w:bookmarkEnd w:id="204"/>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05" w:name="4.2_任务"/>
      <w:bookmarkEnd w:id="205"/>
      <w:r>
        <w:rPr>
          <w:rFonts w:hint="eastAsia" w:ascii="仿宋" w:hAnsi="仿宋" w:eastAsia="仿宋" w:cs="仿宋"/>
          <w:spacing w:val="-5"/>
          <w:sz w:val="32"/>
          <w:szCs w:val="32"/>
          <w:lang w:val="en-US" w:eastAsia="zh-CN" w:bidi="zh-CN"/>
        </w:rPr>
        <w:t>开展历史灾害调查是为了全面挖掘、整理、汇总1978年以来本区年度自然灾害灾情、历史一般灾害事件灾情以及协助市级完成重大自然灾害事件灾情，建立要素完整、内容详实、数据规范的长时间序列历史灾害数据集，全面查清本区各类自然灾害的时空分布基本情况，系统掌握本区各类自然灾害时空分布规律，详细摸清自然灾害高发易发区域和综合防治重点区域，为区灾害综合风险普查工作提供可靠的历史灾害信息支撑和保障。</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eastAsia="zh-CN"/>
        </w:rPr>
      </w:pPr>
      <w:bookmarkStart w:id="206" w:name="_Toc31339"/>
      <w:bookmarkStart w:id="207" w:name="_Toc23363"/>
      <w:r>
        <w:rPr>
          <w:rFonts w:hint="eastAsia" w:ascii="楷体" w:hAnsi="楷体" w:eastAsia="楷体" w:cs="楷体"/>
          <w:b/>
          <w:bCs/>
          <w:sz w:val="32"/>
          <w:szCs w:val="32"/>
          <w:lang w:val="en-US" w:eastAsia="zh-CN"/>
        </w:rPr>
        <w:t xml:space="preserve">5.2 </w:t>
      </w:r>
      <w:r>
        <w:rPr>
          <w:rFonts w:hint="eastAsia" w:ascii="楷体" w:hAnsi="楷体" w:eastAsia="楷体" w:cs="楷体"/>
          <w:b/>
          <w:bCs/>
          <w:sz w:val="32"/>
          <w:szCs w:val="32"/>
          <w:lang w:eastAsia="zh-CN"/>
        </w:rPr>
        <w:t>调查范围</w:t>
      </w:r>
      <w:bookmarkEnd w:id="206"/>
      <w:bookmarkEnd w:id="207"/>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调查空间范围：</w:t>
      </w:r>
      <w:r>
        <w:rPr>
          <w:rFonts w:hint="eastAsia" w:ascii="仿宋" w:hAnsi="仿宋" w:eastAsia="仿宋" w:cs="仿宋"/>
          <w:spacing w:val="-5"/>
          <w:sz w:val="32"/>
          <w:szCs w:val="32"/>
          <w:lang w:val="en-US" w:eastAsia="zh-CN" w:bidi="zh-CN"/>
        </w:rPr>
        <w:t>崇明区行政区域。</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调查时间范围：</w:t>
      </w:r>
      <w:r>
        <w:rPr>
          <w:rFonts w:hint="eastAsia" w:ascii="仿宋" w:hAnsi="仿宋" w:eastAsia="仿宋" w:cs="仿宋"/>
          <w:spacing w:val="-5"/>
          <w:sz w:val="32"/>
          <w:szCs w:val="32"/>
          <w:lang w:val="en-US" w:eastAsia="zh-CN" w:bidi="zh-CN"/>
        </w:rPr>
        <w:t>历史年度自然灾害灾情和历史一般灾害灾情调查时段为1978-2020年；历史重大自然灾害事件调查时段为1949-2020年。其中，重大自然灾害包括：洪涝灾害、台风灾害、地震灾害、森林火灾等灾害种类。按照《国家突发公共事件总体应急预案》《国家自然灾害救助应急预案》的有关要求，重大自然灾害指达到启动国家级Ⅱ级（含）以上应急响应阈值标准的灾害事件，阈值标准按照死亡失踪100人及以上判定，倒塌和严重损坏房屋、紧急转移安置人口不作为阈值标准。针对台风灾害，将致灾危险性作为参考判定标准。由国务院第一次全国自然灾害综合风险普查领导小组办公室会同相关行业部门确定1949-2020年达到重大自然灾害阈值标准的事件清单以及事件涉及区级行政区范围</w:t>
      </w:r>
      <w:bookmarkStart w:id="208" w:name="4.2.3_现有工作基础"/>
      <w:bookmarkEnd w:id="208"/>
      <w:r>
        <w:rPr>
          <w:rFonts w:hint="eastAsia" w:ascii="仿宋" w:hAnsi="仿宋" w:eastAsia="仿宋" w:cs="仿宋"/>
          <w:spacing w:val="-5"/>
          <w:sz w:val="32"/>
          <w:szCs w:val="32"/>
          <w:lang w:val="en-US" w:eastAsia="zh-CN" w:bidi="zh-CN"/>
        </w:rPr>
        <w:t>。</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09" w:name="_Toc16954"/>
      <w:bookmarkStart w:id="210" w:name="_Toc22510"/>
      <w:r>
        <w:rPr>
          <w:rFonts w:hint="eastAsia" w:ascii="楷体" w:hAnsi="楷体" w:eastAsia="楷体" w:cs="楷体"/>
          <w:b/>
          <w:bCs/>
          <w:sz w:val="32"/>
          <w:szCs w:val="32"/>
          <w:lang w:val="en-US" w:eastAsia="zh-CN"/>
        </w:rPr>
        <w:t>5</w:t>
      </w:r>
      <w:r>
        <w:rPr>
          <w:rFonts w:hint="default" w:ascii="楷体" w:hAnsi="楷体" w:eastAsia="楷体" w:cs="楷体"/>
          <w:b/>
          <w:bCs/>
          <w:sz w:val="32"/>
          <w:szCs w:val="32"/>
          <w:lang w:eastAsia="zh-CN"/>
        </w:rPr>
        <w:t>.</w:t>
      </w:r>
      <w:r>
        <w:rPr>
          <w:rFonts w:hint="eastAsia" w:ascii="楷体" w:hAnsi="楷体" w:eastAsia="楷体" w:cs="楷体"/>
          <w:b/>
          <w:bCs/>
          <w:sz w:val="32"/>
          <w:szCs w:val="32"/>
          <w:lang w:val="en-US" w:eastAsia="zh-CN"/>
        </w:rPr>
        <w:t>3</w:t>
      </w:r>
      <w:r>
        <w:rPr>
          <w:rFonts w:hint="default" w:ascii="楷体" w:hAnsi="楷体" w:eastAsia="楷体" w:cs="楷体"/>
          <w:b/>
          <w:bCs/>
          <w:sz w:val="32"/>
          <w:szCs w:val="32"/>
          <w:lang w:eastAsia="zh-CN"/>
        </w:rPr>
        <w:t xml:space="preserve"> </w:t>
      </w:r>
      <w:bookmarkEnd w:id="209"/>
      <w:r>
        <w:rPr>
          <w:rFonts w:hint="eastAsia" w:ascii="楷体" w:hAnsi="楷体" w:eastAsia="楷体" w:cs="楷体"/>
          <w:b/>
          <w:bCs/>
          <w:sz w:val="32"/>
          <w:szCs w:val="32"/>
          <w:lang w:val="en-US" w:eastAsia="zh-CN"/>
        </w:rPr>
        <w:t>调查内容</w:t>
      </w:r>
      <w:bookmarkEnd w:id="210"/>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11" w:name="4.2.1_具体任务"/>
      <w:bookmarkEnd w:id="211"/>
      <w:r>
        <w:rPr>
          <w:rFonts w:hint="eastAsia" w:ascii="仿宋" w:hAnsi="仿宋" w:eastAsia="仿宋" w:cs="仿宋"/>
          <w:spacing w:val="-5"/>
          <w:sz w:val="32"/>
          <w:szCs w:val="32"/>
          <w:lang w:val="en-US" w:eastAsia="zh-CN" w:bidi="zh-CN"/>
        </w:rPr>
        <w:t>历史灾害调查是对历史上发生过的各类灾害的统计调查或案例调查，主要包括历史年度自然灾害灾情调查、历史一般灾害灾情调查、重大历史自然灾害调查、历史年度自然灾害灾情评估。历史年度自然灾害灾情评估是在调查的基础上，对区域各种灾害的发生频率、影响范围和受灾程度进行统计分析，对灾害的历史规律进行评估，用于揭示灾害趋势、影响态势、空间格局等灾害区域特征。</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12" w:name="4.3_内容"/>
      <w:bookmarkEnd w:id="212"/>
      <w:bookmarkStart w:id="213" w:name="4.4_工作流程与技术方法"/>
      <w:bookmarkEnd w:id="213"/>
      <w:bookmarkStart w:id="214" w:name="4.3.1_历史年度自然灾害灾情调查"/>
      <w:bookmarkEnd w:id="214"/>
      <w:bookmarkStart w:id="215" w:name="4.2.1.1_历史年度自然灾害灾情调查"/>
      <w:bookmarkEnd w:id="215"/>
      <w:bookmarkStart w:id="216" w:name="_Toc23894"/>
      <w:bookmarkStart w:id="217" w:name="_Toc25398"/>
      <w:r>
        <w:rPr>
          <w:rFonts w:hint="eastAsia" w:ascii="仿宋" w:hAnsi="仿宋" w:eastAsia="仿宋" w:cs="仿宋"/>
          <w:b/>
          <w:bCs/>
          <w:sz w:val="32"/>
          <w:szCs w:val="32"/>
          <w:lang w:val="en-US" w:eastAsia="zh-CN"/>
        </w:rPr>
        <w:t>5.3.1 历史年度自然灾害灾情调查</w:t>
      </w:r>
      <w:bookmarkEnd w:id="216"/>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以年度为统计基准、以区级行政区为基本统计单元，查清全区1978年以来逐年各类自然灾害的年度主要灾害信息统计指标，具体包括：地震灾害、台风灾害、风雹灾害、低温冷冻灾害、雪灾、洪涝灾害、海洋灾害（风暴潮、海浪）、森林和草原火灾等。主要内容包含核心灾情指标数据，包括当年年末总人口、当年播种面积、当年地区生产总值等基础数据，以及年度自然灾害报告等。</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18" w:name="4.3.2_历史一般灾害事件调查"/>
      <w:bookmarkEnd w:id="218"/>
      <w:bookmarkStart w:id="219" w:name="_Toc31165"/>
      <w:r>
        <w:rPr>
          <w:rFonts w:hint="eastAsia" w:ascii="仿宋" w:hAnsi="仿宋" w:eastAsia="仿宋" w:cs="仿宋"/>
          <w:b/>
          <w:bCs/>
          <w:sz w:val="32"/>
          <w:szCs w:val="32"/>
          <w:lang w:val="en-US" w:eastAsia="zh-CN"/>
        </w:rPr>
        <w:t>5.3.2 历史一般灾害事件调查</w:t>
      </w:r>
      <w:bookmarkEnd w:id="219"/>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20" w:name="4.3.3_重大历史自然灾害调查"/>
      <w:bookmarkEnd w:id="220"/>
      <w:r>
        <w:rPr>
          <w:rFonts w:hint="eastAsia" w:ascii="仿宋" w:hAnsi="仿宋" w:eastAsia="仿宋" w:cs="仿宋"/>
          <w:spacing w:val="-5"/>
          <w:sz w:val="32"/>
          <w:szCs w:val="32"/>
          <w:lang w:val="en-US" w:eastAsia="zh-CN" w:bidi="zh-CN"/>
        </w:rPr>
        <w:t>以单一历史灾害事件为统计基准、以区级行政区为基本统计单元，全面普查1978年以来本区发生的自然灾害事件，调查内容包括灾害发生时间、影响范围、灾害损失、致灾因子、救援救灾工作开展情况等，查清全区1978年以来全区发生的气象、水旱、地震、海洋、森林和草原火灾等各类自然灾害的主要灾害信息统计指标，具体包括：利用已有气象监测站、水文监测站、海洋监测站、地震监测台站的观测资料，填报灾害事件发生时的关键致灾气象要素、水文要素、海洋要素、地震要素等致灾因子数据；利用档案资料、地方志、地方政府工作报告等已有资料，查清各类自然灾害事件的持续时间、影响范围、主要损失情况、应对工作情况等灾情数据和信息。</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21" w:name="_Toc19732"/>
      <w:r>
        <w:rPr>
          <w:rFonts w:hint="eastAsia" w:ascii="仿宋" w:hAnsi="仿宋" w:eastAsia="仿宋" w:cs="仿宋"/>
          <w:b/>
          <w:bCs/>
          <w:sz w:val="32"/>
          <w:szCs w:val="32"/>
          <w:lang w:val="en-US" w:eastAsia="zh-CN"/>
        </w:rPr>
        <w:t>5.3.3 重大历史自然灾害调查</w:t>
      </w:r>
      <w:bookmarkEnd w:id="221"/>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重点调查1949年至2020年发生的重大自然灾害，包括：地震灾害、台风灾害、洪涝灾害、森林火灾。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rPr>
          <w:rFonts w:hint="eastAsia" w:ascii="仿宋" w:hAnsi="仿宋" w:eastAsia="仿宋" w:cs="仿宋"/>
          <w:b/>
          <w:bCs/>
          <w:spacing w:val="-3"/>
          <w:sz w:val="32"/>
          <w:szCs w:val="32"/>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1</w:t>
      </w: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rPr>
        <w:t>重大地震灾害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主要内容包括反映重大地震灾害事件总体情况及发展变化情况的致灾因子数据及灾区基本情况数据，人员受灾情况、房屋倒损情况、基础设施损毁情况等灾情数据，包括指标数据、报告数据、专题图数据、照片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rPr>
          <w:rFonts w:hint="eastAsia" w:ascii="仿宋" w:hAnsi="仿宋" w:eastAsia="仿宋" w:cs="仿宋"/>
          <w:b/>
          <w:bCs/>
          <w:spacing w:val="-3"/>
          <w:sz w:val="32"/>
          <w:szCs w:val="32"/>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2</w:t>
      </w: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rPr>
        <w:t>重大台风灾害</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调查主要内容包括反映重大台风灾害事件总体情况及发展变化情况的致灾因子数据，人员受灾情况、房屋倒损情况、基础设施损毁情况、农作物受灾情况等灾情数据。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rPr>
          <w:rFonts w:hint="eastAsia" w:ascii="仿宋" w:hAnsi="仿宋" w:eastAsia="仿宋" w:cs="仿宋"/>
          <w:b/>
          <w:bCs/>
          <w:spacing w:val="-3"/>
          <w:sz w:val="32"/>
          <w:szCs w:val="32"/>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3</w:t>
      </w: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rPr>
        <w:t>重大洪涝灾害调查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主要内容包括反映重大洪涝灾害事件总体情况及发展变化情况的致灾因子数据，人员受灾情况、房屋倒损情况、基础设施损毁情况、农作物受灾情况等灾情数据。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rPr>
          <w:rFonts w:hint="eastAsia" w:ascii="仿宋" w:hAnsi="仿宋" w:eastAsia="仿宋" w:cs="仿宋"/>
          <w:b/>
          <w:bCs/>
          <w:spacing w:val="-3"/>
          <w:sz w:val="32"/>
          <w:szCs w:val="32"/>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4</w:t>
      </w: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rPr>
        <w:t>重大森林火灾调查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主要内容包括反映重大森林火灾事件总体情况及发展变化情况的致灾因子数据，人员受灾情况等灾情数据。</w:t>
      </w:r>
      <w:bookmarkStart w:id="222" w:name="4.3.4_历史年度自然灾害灾情评估"/>
      <w:bookmarkEnd w:id="222"/>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0" w:firstLineChars="0"/>
        <w:jc w:val="both"/>
        <w:textAlignment w:val="auto"/>
        <w:outlineLvl w:val="1"/>
        <w:rPr>
          <w:rFonts w:hint="eastAsia" w:ascii="楷体" w:hAnsi="楷体" w:eastAsia="楷体" w:cs="楷体"/>
          <w:b/>
          <w:bCs/>
          <w:sz w:val="32"/>
          <w:szCs w:val="32"/>
          <w:lang w:val="en-US" w:eastAsia="zh-CN"/>
        </w:rPr>
      </w:pPr>
      <w:bookmarkStart w:id="223" w:name="_Toc4320"/>
      <w:r>
        <w:rPr>
          <w:rFonts w:hint="eastAsia" w:ascii="楷体" w:hAnsi="楷体" w:eastAsia="楷体" w:cs="楷体"/>
          <w:b/>
          <w:bCs/>
          <w:sz w:val="32"/>
          <w:szCs w:val="32"/>
          <w:lang w:val="en-US" w:eastAsia="zh-CN"/>
        </w:rPr>
        <w:t>5</w:t>
      </w:r>
      <w:r>
        <w:rPr>
          <w:rFonts w:hint="default" w:ascii="楷体" w:hAnsi="楷体" w:eastAsia="楷体" w:cs="楷体"/>
          <w:b/>
          <w:bCs/>
          <w:sz w:val="32"/>
          <w:szCs w:val="32"/>
          <w:lang w:eastAsia="zh-CN"/>
        </w:rPr>
        <w:t>.</w:t>
      </w:r>
      <w:r>
        <w:rPr>
          <w:rFonts w:hint="eastAsia" w:ascii="楷体" w:hAnsi="楷体" w:eastAsia="楷体" w:cs="楷体"/>
          <w:b/>
          <w:bCs/>
          <w:sz w:val="32"/>
          <w:szCs w:val="32"/>
          <w:lang w:val="en-US" w:eastAsia="zh-CN"/>
        </w:rPr>
        <w:t>4</w:t>
      </w:r>
      <w:r>
        <w:rPr>
          <w:rFonts w:hint="default" w:ascii="楷体" w:hAnsi="楷体" w:eastAsia="楷体" w:cs="楷体"/>
          <w:b/>
          <w:bCs/>
          <w:sz w:val="32"/>
          <w:szCs w:val="32"/>
          <w:lang w:eastAsia="zh-CN"/>
        </w:rPr>
        <w:t xml:space="preserve"> </w:t>
      </w:r>
      <w:r>
        <w:rPr>
          <w:rFonts w:hint="eastAsia" w:ascii="楷体" w:hAnsi="楷体" w:eastAsia="楷体" w:cs="楷体"/>
          <w:b/>
          <w:bCs/>
          <w:sz w:val="32"/>
          <w:szCs w:val="32"/>
          <w:lang w:val="en-US" w:eastAsia="zh-CN"/>
        </w:rPr>
        <w:t>工作流程与技术方法</w:t>
      </w:r>
      <w:bookmarkEnd w:id="217"/>
      <w:bookmarkEnd w:id="223"/>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2"/>
        <w:rPr>
          <w:rFonts w:hint="eastAsia" w:ascii="仿宋" w:hAnsi="仿宋" w:eastAsia="仿宋" w:cs="仿宋"/>
          <w:b/>
          <w:bCs/>
          <w:sz w:val="32"/>
          <w:szCs w:val="32"/>
          <w:lang w:val="en-US" w:eastAsia="zh-CN"/>
        </w:rPr>
      </w:pPr>
      <w:bookmarkStart w:id="224" w:name="4.4.1_总体工作流程"/>
      <w:bookmarkEnd w:id="224"/>
      <w:bookmarkStart w:id="225" w:name="_Toc8148"/>
      <w:r>
        <w:rPr>
          <w:rFonts w:hint="eastAsia" w:ascii="仿宋" w:hAnsi="仿宋" w:eastAsia="仿宋" w:cs="仿宋"/>
          <w:b/>
          <w:bCs/>
          <w:sz w:val="32"/>
          <w:szCs w:val="32"/>
          <w:lang w:val="en-US" w:eastAsia="zh-CN"/>
        </w:rPr>
        <w:t>5.4.1 总体工作流程</w:t>
      </w:r>
      <w:bookmarkEnd w:id="225"/>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根据风险调查工程总体目标要求和历史灾害调查工作目标，按“属地原则”，以本区为基本工作单元，采取全面调查和重点调查为主的调查形式。调查数据的收集采用清查登记、档案查阅、抽样走访等多种调查技术。整个调查遵循内业为主、外业辅助的原则，充分利用已有的基础资料，积极开展部门之间的协作与交流。通过分析整理基层的调查数据，并对填报数据进行审核、检查、修订、录入，逐级上报审核、逐级汇总分析，形成自下而上的信息获取、审核、传输、存储、分析为一体的调查数据处理规范，形成历史灾害调查数据集。</w:t>
      </w:r>
    </w:p>
    <w:p>
      <w:pPr>
        <w:pStyle w:val="7"/>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right="0" w:rightChars="0" w:firstLine="643"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5.4.1.1 </w:t>
      </w:r>
      <w:r>
        <w:rPr>
          <w:rFonts w:hint="eastAsia" w:ascii="仿宋" w:hAnsi="仿宋" w:eastAsia="仿宋" w:cs="仿宋"/>
          <w:sz w:val="32"/>
          <w:szCs w:val="32"/>
        </w:rPr>
        <w:t>主要工作步骤</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历史灾害调查的主要工作步骤包括前期准备阶段、清查登记阶段、填表上报阶段和成果汇交阶段。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（一）前期准备阶段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主要包含编制历史灾害调查方案、数据处理方案、落实调查人员、组织调查试点、开展调查培训、收集处理基础数据等环节。</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r>
        <w:rPr>
          <w:rFonts w:hint="eastAsia" w:ascii="仿宋" w:hAnsi="仿宋" w:eastAsia="仿宋" w:cs="仿宋"/>
          <w:b/>
          <w:bCs/>
          <w:spacing w:val="-5"/>
          <w:sz w:val="32"/>
          <w:szCs w:val="32"/>
          <w:lang w:val="en-US" w:eastAsia="zh-CN" w:bidi="zh-CN"/>
        </w:rPr>
        <w:t>（二）清查登记阶段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按“属地原则”，以区应急局为主组织实施清查工作，全面查阅、梳理、整编本区历史灾害相关档案、文献、年鉴、地方志、记录及电子化文档、数据库等，按工程确定的调查规范和报表样式，整理形成年度灾害、一般灾害事件清单数据。配合市级整理形成重大自然灾害清单等清查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rPr>
          <w:rFonts w:hint="eastAsia" w:ascii="仿宋" w:hAnsi="仿宋" w:eastAsia="仿宋" w:cs="仿宋"/>
          <w:b/>
          <w:bCs/>
          <w:spacing w:val="-3"/>
          <w:sz w:val="32"/>
          <w:szCs w:val="32"/>
          <w:lang w:eastAsia="zh-CN"/>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三</w:t>
      </w:r>
      <w:r>
        <w:rPr>
          <w:rFonts w:hint="eastAsia" w:ascii="仿宋" w:hAnsi="仿宋" w:eastAsia="仿宋" w:cs="仿宋"/>
          <w:b/>
          <w:bCs/>
          <w:spacing w:val="-3"/>
          <w:sz w:val="32"/>
          <w:szCs w:val="32"/>
          <w:lang w:eastAsia="zh-CN"/>
        </w:rPr>
        <w:t>）填表上报阶段</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历史灾害调查采用内外业相结合的原则，内业充分利用各种专业调查和统计部门的资料，尽可能多的提取所需要的信息，外业侧重于抽查、核对和补充。在充分利用已有资料的同时，对原有资料进行核查，及时发现问题，纠正错误。对有问题的资料，及时向有关部门反映。</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历史灾害调查表由区应急局组织填报，并采取交叉作业的方式，抽取一定比例调查表进行检查，不满足验收标准要求重新填报，直至满足验收标准。区应急局通过填报系统录入调查数据，要求专人填报、专人复核，并通过系统预设的校验关系进行自动校审，发现错误及时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rPr>
          <w:rFonts w:hint="eastAsia" w:ascii="仿宋" w:hAnsi="仿宋" w:eastAsia="仿宋" w:cs="仿宋"/>
          <w:b/>
          <w:bCs/>
          <w:spacing w:val="-3"/>
          <w:sz w:val="32"/>
          <w:szCs w:val="32"/>
          <w:lang w:eastAsia="zh-CN"/>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四</w:t>
      </w:r>
      <w:r>
        <w:rPr>
          <w:rFonts w:hint="eastAsia" w:ascii="仿宋" w:hAnsi="仿宋" w:eastAsia="仿宋" w:cs="仿宋"/>
          <w:b/>
          <w:bCs/>
          <w:spacing w:val="-3"/>
          <w:sz w:val="32"/>
          <w:szCs w:val="32"/>
          <w:lang w:eastAsia="zh-CN"/>
        </w:rPr>
        <w:t>）数据检查制度</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为了保证调查成果的真实性和准确性，拟建立调查成果的区级检查、市级核查两级检查制度，采用分阶段成果检查制度，即每一阶段成果需经过检查合格后方可转入下一阶段，保证成果质量。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（1）区级自检</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应急管理部门对本行政区域的调查成果质量负总责。区应急管理部门对调查成果进行100%全面自检，以确保成果的完整性、规范性、真实性和准确性。检查内容包括调查成果是否齐全、完整；检查应对质量问题、问题处理及质量评价等内容进行全程记录，记录须认真、及时、规范。市应急管理部门对区级调查成果进行检查和汇总，在全面检查区级自检记录的基础上，重点检查调查成果的完整性和规范性，形成区级检查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（2）市级全面检查和成果汇总</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级汇总成果，由市级调查单位组织全面检查，确保区调查成果整体质量。市应急管理局在调查成果完整性和规范性检查的基础上，重点检查成果的真实性和准确性。市级对区级调查成果进行验收，在成果验收前，市应急管理部门按一定比例抽取调查对象，逐个进行审核、比对、核查，按统一标准进行验收，验收不合格的重新进行调查，直至验收合格为止。</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完成数据汇集任务后，区、市两级应急管理部门组织开展历史灾害调查成果开发应用研究，协同建立区、市两级历史灾害数据库和空间成果图。</w:t>
      </w:r>
    </w:p>
    <w:p>
      <w:pPr>
        <w:pStyle w:val="7"/>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right="0" w:rightChars="0" w:firstLine="643"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5.4.1.2 </w:t>
      </w:r>
      <w:r>
        <w:rPr>
          <w:rFonts w:hint="eastAsia" w:ascii="仿宋" w:hAnsi="仿宋" w:eastAsia="仿宋" w:cs="仿宋"/>
          <w:sz w:val="32"/>
          <w:szCs w:val="32"/>
        </w:rPr>
        <w:t>灾种对应关系</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应急管理局是历史灾害调查的实施主体，负责开展历史灾害调查工作，其调查对象自然灾害的种类，主要以现行《自然灾害情况统计制度》《特别重大自然灾害损失统计制度》（以下简称“统计制度”）为依据。</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26" w:name="4.4.2_历史年度自然灾害灾情调查"/>
      <w:bookmarkEnd w:id="226"/>
      <w:bookmarkStart w:id="227" w:name="_Toc31598"/>
      <w:r>
        <w:rPr>
          <w:rFonts w:hint="eastAsia" w:ascii="仿宋" w:hAnsi="仿宋" w:eastAsia="仿宋" w:cs="仿宋"/>
          <w:b/>
          <w:bCs/>
          <w:sz w:val="32"/>
          <w:szCs w:val="32"/>
          <w:lang w:val="en-US" w:eastAsia="zh-CN"/>
        </w:rPr>
        <w:t>5.4.2 历史年度自然灾害灾情调查</w:t>
      </w:r>
      <w:bookmarkEnd w:id="227"/>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pacing w:val="-2"/>
          <w:sz w:val="32"/>
          <w:szCs w:val="32"/>
          <w:lang w:val="en-US" w:eastAsia="zh-CN"/>
        </w:rPr>
      </w:pPr>
      <w:bookmarkStart w:id="228" w:name="4.4.2.1_任务分工"/>
      <w:bookmarkEnd w:id="228"/>
      <w:r>
        <w:rPr>
          <w:rFonts w:hint="eastAsia" w:ascii="仿宋" w:hAnsi="仿宋" w:eastAsia="仿宋" w:cs="仿宋"/>
          <w:b/>
          <w:bCs/>
          <w:sz w:val="32"/>
          <w:szCs w:val="32"/>
          <w:lang w:val="en-US" w:eastAsia="zh-CN"/>
        </w:rPr>
        <w:t xml:space="preserve">5.4.2.1 </w:t>
      </w:r>
      <w:r>
        <w:rPr>
          <w:rFonts w:hint="eastAsia" w:ascii="仿宋" w:hAnsi="仿宋" w:eastAsia="仿宋" w:cs="仿宋"/>
          <w:b/>
          <w:bCs/>
          <w:spacing w:val="-2"/>
          <w:sz w:val="32"/>
          <w:szCs w:val="32"/>
          <w:lang w:val="en-US" w:eastAsia="zh-CN"/>
        </w:rPr>
        <w:t>任务分工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29" w:name="4.4.2.2_工作流程"/>
      <w:bookmarkEnd w:id="229"/>
      <w:r>
        <w:rPr>
          <w:rFonts w:hint="eastAsia" w:ascii="仿宋" w:hAnsi="仿宋" w:eastAsia="仿宋" w:cs="仿宋"/>
          <w:spacing w:val="-5"/>
          <w:sz w:val="32"/>
          <w:szCs w:val="32"/>
          <w:lang w:val="en-US" w:eastAsia="zh-CN" w:bidi="zh-CN"/>
        </w:rPr>
        <w:t>历史年度自然灾害灾情调查由区应急管理局牵头实施，并对调查工作和调查成果负责。区应急管理局组织本区各有关部门集中填报，并逐级上报。</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pacing w:val="-2"/>
          <w:sz w:val="32"/>
          <w:szCs w:val="32"/>
          <w:lang w:val="en-US" w:eastAsia="zh-CN"/>
        </w:rPr>
      </w:pPr>
      <w:r>
        <w:rPr>
          <w:rFonts w:hint="eastAsia" w:ascii="仿宋" w:hAnsi="仿宋" w:eastAsia="仿宋" w:cs="仿宋"/>
          <w:b/>
          <w:bCs/>
          <w:sz w:val="32"/>
          <w:szCs w:val="32"/>
          <w:lang w:val="en-US" w:eastAsia="zh-CN"/>
        </w:rPr>
        <w:t xml:space="preserve">5.4.2.2 </w:t>
      </w:r>
      <w:r>
        <w:rPr>
          <w:rFonts w:hint="eastAsia" w:ascii="仿宋" w:hAnsi="仿宋" w:eastAsia="仿宋" w:cs="仿宋"/>
          <w:b/>
          <w:bCs/>
          <w:spacing w:val="-2"/>
          <w:sz w:val="32"/>
          <w:szCs w:val="32"/>
          <w:lang w:val="en-US" w:eastAsia="zh-CN"/>
        </w:rPr>
        <w:t>工作流程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30" w:name="4.4.2.3_技术方法"/>
      <w:bookmarkEnd w:id="230"/>
      <w:r>
        <w:rPr>
          <w:rFonts w:hint="eastAsia" w:ascii="仿宋" w:hAnsi="仿宋" w:eastAsia="仿宋" w:cs="仿宋"/>
          <w:spacing w:val="-5"/>
          <w:sz w:val="32"/>
          <w:szCs w:val="32"/>
          <w:lang w:val="en-US" w:eastAsia="zh-CN" w:bidi="zh-CN"/>
        </w:rPr>
        <w:t>历史年度自然灾害灾情调查为以年为周期的统计调查，采用自下而上逐级填报与分级审核校对相结合的组织方式。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区级行政单元为填报起点，通过整编本地区历史灾害资料，按照调查表式填报本地区历史年度灾害损失统计数据，并通过填报系统上报至市，并配合市级对本区填报数据进行抽查核查。</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pacing w:val="-2"/>
          <w:sz w:val="32"/>
          <w:szCs w:val="32"/>
          <w:lang w:val="en-US" w:eastAsia="zh-CN"/>
        </w:rPr>
      </w:pPr>
      <w:r>
        <w:rPr>
          <w:rFonts w:hint="eastAsia" w:ascii="仿宋" w:hAnsi="仿宋" w:eastAsia="仿宋" w:cs="仿宋"/>
          <w:b/>
          <w:bCs/>
          <w:sz w:val="32"/>
          <w:szCs w:val="32"/>
          <w:lang w:val="en-US" w:eastAsia="zh-CN"/>
        </w:rPr>
        <w:t xml:space="preserve">5.4.2.3 </w:t>
      </w:r>
      <w:r>
        <w:rPr>
          <w:rFonts w:hint="eastAsia" w:ascii="仿宋" w:hAnsi="仿宋" w:eastAsia="仿宋" w:cs="仿宋"/>
          <w:b/>
          <w:bCs/>
          <w:spacing w:val="-2"/>
          <w:sz w:val="32"/>
          <w:szCs w:val="32"/>
          <w:lang w:val="en-US" w:eastAsia="zh-CN"/>
        </w:rPr>
        <w:t>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31" w:name="4.4.3_历史一般灾害事件调查"/>
      <w:bookmarkEnd w:id="231"/>
      <w:r>
        <w:rPr>
          <w:rFonts w:hint="eastAsia" w:ascii="仿宋" w:hAnsi="仿宋" w:eastAsia="仿宋" w:cs="仿宋"/>
          <w:spacing w:val="-5"/>
          <w:sz w:val="32"/>
          <w:szCs w:val="32"/>
          <w:lang w:val="en-US" w:eastAsia="zh-CN" w:bidi="zh-CN"/>
        </w:rPr>
        <w:t>通过查阅档案资料、已建历史灾害数据库数据，以及对行业单位调研等方式进行年度历史灾害调查数据的收集，资料来源于地方志、救灾档案、政府档案、以及重点行业部门（包括水务、气象、地震（应急）、自然资源、交通、电力、卫健、教育、统计等）统计数据或档案、上海市自然灾害灾情管理系统电子档案。</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32" w:name="_Toc18626"/>
      <w:r>
        <w:rPr>
          <w:rFonts w:hint="eastAsia" w:ascii="仿宋" w:hAnsi="仿宋" w:eastAsia="仿宋" w:cs="仿宋"/>
          <w:b/>
          <w:bCs/>
          <w:sz w:val="32"/>
          <w:szCs w:val="32"/>
          <w:lang w:val="en-US" w:eastAsia="zh-CN"/>
        </w:rPr>
        <w:t>5.4.3 历史一般灾害事件调查</w:t>
      </w:r>
      <w:bookmarkEnd w:id="232"/>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z w:val="32"/>
          <w:szCs w:val="32"/>
          <w:lang w:val="en-US" w:eastAsia="zh-CN"/>
        </w:rPr>
      </w:pPr>
      <w:bookmarkStart w:id="233" w:name="4.4.3.1_任务分工"/>
      <w:bookmarkEnd w:id="233"/>
      <w:r>
        <w:rPr>
          <w:rFonts w:hint="eastAsia" w:ascii="仿宋" w:hAnsi="仿宋" w:eastAsia="仿宋" w:cs="仿宋"/>
          <w:b/>
          <w:bCs/>
          <w:sz w:val="32"/>
          <w:szCs w:val="32"/>
          <w:lang w:val="en-US" w:eastAsia="zh-CN"/>
        </w:rPr>
        <w:t>5.4.3.1 任务分工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34" w:name="4.4.3.2_工作流程"/>
      <w:bookmarkEnd w:id="234"/>
      <w:r>
        <w:rPr>
          <w:rFonts w:hint="eastAsia" w:ascii="仿宋" w:hAnsi="仿宋" w:eastAsia="仿宋" w:cs="仿宋"/>
          <w:spacing w:val="-5"/>
          <w:sz w:val="32"/>
          <w:szCs w:val="32"/>
          <w:lang w:val="en-US" w:eastAsia="zh-CN" w:bidi="zh-CN"/>
        </w:rPr>
        <w:t>历史一般灾害灾情调查由区应急局牵头实施，并对调查工作和调查成果负责；区政府应充分利用区民政、气象、水利、地震、地质、林草、海洋等部门基础的各类型历史数据、档案、文献，组织各有关部门集中填报，按照逐级填报、层级汇聚的方式开展。区负责对已填报数据进行审核、质检、审核、汇总。其中，1978年至2008年历史一般灾害灾情调查，按照现行《自然灾害情况统计制度》规定的业务程序，采用对历史灾害事件补报的形式，通过逐级报送、层级审核并按灾害过程对下级报送事件进行组织归纳。2009年至2020年历史一般灾害灾情调查以现有全国自然灾害管理系统上报灾情信息为基础，区级各填报单位按照本工程制定的调查表式，补充填报部分致灾因子和特征指标。</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5.4.3.2 工作流程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35" w:name="4.4.3.3_技术方法"/>
      <w:bookmarkEnd w:id="235"/>
      <w:r>
        <w:rPr>
          <w:rFonts w:hint="eastAsia" w:ascii="仿宋" w:hAnsi="仿宋" w:eastAsia="仿宋" w:cs="仿宋"/>
          <w:spacing w:val="-5"/>
          <w:sz w:val="32"/>
          <w:szCs w:val="32"/>
          <w:lang w:val="en-US" w:eastAsia="zh-CN" w:bidi="zh-CN"/>
        </w:rPr>
        <w:t>历史自然灾害事件灾情调查为以事件为对象的全面调查，通过区级填报的方式开展，同时采用自下而上的逐级报送和自上而下的过程组织两种事件管理模式。</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自下而上地逐级报送。区级将1978年至2008年灾害事件，按照统一的报表和指标体系，采用逐年补报方式，通过系统逐级填报。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区级行政单元通过整理本地区历史灾害资料，梳理形成本地区的历史灾害事件清单和数据（含灾情数据和致灾因子数据），以事件为统计单元，按规定的表式填报并上报至上海市。</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上海市对区级报送的灾害事件，首先对数据的规范性、完备性、合理性进行审查，审查通过的，进行下一步的过程组织；审查未通过的，驳回区进行修改后再次上报。其次按灾害过程对区事件进行组织，形成市级灾害事件，按规定的表式填报并上报至应急管理部。</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自上而下的过程组织。灾害事件过程组织采用事件清单比对和时空相似性原则相互验证的技术路线。对区报送的灾害事件集合，市应急管理部门对一般性灾害事件，以梳理历史资料形成的本地区历史灾害事件清单为参考，按照灾种同类、发生时间相近、空间范围相邻的原则，将属于同一灾害过程的区级事件进行聚类，形成上海市灾害事件；对于不属于灾害过程的独立区级事件，则单独形成一个上海市灾害事件；最后上海市将汇聚形成的事件集上报至应急管理部。</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5.4.3.3 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36" w:name="4.4.4_重大历史自然灾害调查"/>
      <w:bookmarkEnd w:id="236"/>
      <w:r>
        <w:rPr>
          <w:rFonts w:hint="eastAsia" w:ascii="仿宋" w:hAnsi="仿宋" w:eastAsia="仿宋" w:cs="仿宋"/>
          <w:spacing w:val="-5"/>
          <w:sz w:val="32"/>
          <w:szCs w:val="32"/>
          <w:lang w:val="en-US" w:eastAsia="zh-CN" w:bidi="zh-CN"/>
        </w:rPr>
        <w:t>通过查阅档案资料、已建历史灾害数据库数据，以及对行业单位调研等方式进行历史一般灾害灾情调查数据的收集。其中对于灾情和救灾投入数据，1978年至2008年数据，通过收集整理地方志、救灾档案、政府档案等获取；2009年至2020年数据，基于国家自然灾害灾情管理系统、已有各部门基础数据库进行整理后，通过平台汇总填报。较大和重大案例调查指标体系中涉及行业部门的损失和救灾投入、恢复重建数据，由相关部门按照技术标准提供。致灾因子强度及分布，由区灾害综合风险普查机构协调区气象、水务、地震（住建）、自然资源等部门，按照灾害事件清单和调查技术标准提供。</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37" w:name="_Toc30603"/>
      <w:r>
        <w:rPr>
          <w:rFonts w:hint="eastAsia" w:ascii="仿宋" w:hAnsi="仿宋" w:eastAsia="仿宋" w:cs="仿宋"/>
          <w:b/>
          <w:bCs/>
          <w:sz w:val="32"/>
          <w:szCs w:val="32"/>
          <w:lang w:val="en-US" w:eastAsia="zh-CN"/>
        </w:rPr>
        <w:t>5.4.4 重大历史自然灾害调查</w:t>
      </w:r>
      <w:bookmarkEnd w:id="237"/>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z w:val="32"/>
          <w:szCs w:val="32"/>
          <w:lang w:val="en-US" w:eastAsia="zh-CN"/>
        </w:rPr>
      </w:pPr>
      <w:bookmarkStart w:id="238" w:name="4.4.4.1_任务分工"/>
      <w:bookmarkEnd w:id="238"/>
      <w:r>
        <w:rPr>
          <w:rFonts w:hint="eastAsia" w:ascii="仿宋" w:hAnsi="仿宋" w:eastAsia="仿宋" w:cs="仿宋"/>
          <w:b/>
          <w:bCs/>
          <w:sz w:val="32"/>
          <w:szCs w:val="32"/>
          <w:lang w:val="en-US" w:eastAsia="zh-CN"/>
        </w:rPr>
        <w:t>5.4.4.1 任务分工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39" w:name="4.4.4.2_工作流程"/>
      <w:bookmarkEnd w:id="239"/>
      <w:r>
        <w:rPr>
          <w:rFonts w:hint="eastAsia" w:ascii="仿宋" w:hAnsi="仿宋" w:eastAsia="仿宋" w:cs="仿宋"/>
          <w:spacing w:val="-5"/>
          <w:sz w:val="32"/>
          <w:szCs w:val="32"/>
          <w:lang w:val="en-US" w:eastAsia="zh-CN" w:bidi="zh-CN"/>
        </w:rPr>
        <w:t>重大历史自然灾害调查由区应急管理部门组织实施，主要补充重大历史灾害数据资料，清单与范围由国普办统一确定。填报过程中，充分利用本地区民政、气象、水利、地震、地质、林草、海洋等部门基础的各类型历史数据、档案、文献，组织各有关部门集中填报。</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5.4.4.2 工作流程</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40" w:name="4.4.4.3_技术方法"/>
      <w:bookmarkEnd w:id="240"/>
      <w:r>
        <w:rPr>
          <w:rFonts w:hint="eastAsia" w:ascii="仿宋" w:hAnsi="仿宋" w:eastAsia="仿宋" w:cs="仿宋"/>
          <w:spacing w:val="-5"/>
          <w:sz w:val="32"/>
          <w:szCs w:val="32"/>
          <w:lang w:val="en-US" w:eastAsia="zh-CN" w:bidi="zh-CN"/>
        </w:rPr>
        <w:t>重大历史自然灾害调查为以重大灾害事件为对象的专项调查，采用空间范围约束、统计调查填报、数据融合成图的技术路线。</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考虑到1949-2000年的历史重大灾害事件，历史记录信息可能有限的情况，历史重大灾害事件调查划分为两个时段分别处理。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对1949-1977年的历史重大灾害事件，以上海市相关行业部门现有数据积累，采用文献专著、历史档案和志书摘录的方式，建立重大灾害事件库。</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对1978年以来的历史重大灾害事件，采用市级牵头、相关主要灾种部门填报的调查方式。</w:t>
      </w:r>
    </w:p>
    <w:p>
      <w:pPr>
        <w:pStyle w:val="27"/>
        <w:keepNext w:val="0"/>
        <w:keepLines w:val="0"/>
        <w:pageBreakBefore w:val="0"/>
        <w:widowControl w:val="0"/>
        <w:numPr>
          <w:ilvl w:val="0"/>
          <w:numId w:val="0"/>
        </w:numPr>
        <w:tabs>
          <w:tab w:val="left" w:pos="1582"/>
        </w:tabs>
        <w:kinsoku/>
        <w:wordWrap/>
        <w:overflowPunct/>
        <w:topLinePunct w:val="0"/>
        <w:autoSpaceDE w:val="0"/>
        <w:autoSpaceDN/>
        <w:bidi w:val="0"/>
        <w:adjustRightInd/>
        <w:snapToGrid/>
        <w:spacing w:line="540" w:lineRule="exact"/>
        <w:ind w:right="0" w:rightChars="0" w:firstLine="631" w:firstLineChars="200"/>
        <w:jc w:val="both"/>
        <w:textAlignment w:val="auto"/>
        <w:rPr>
          <w:rFonts w:hint="eastAsia" w:ascii="仿宋" w:hAnsi="仿宋" w:eastAsia="仿宋" w:cs="仿宋"/>
          <w:b/>
          <w:bCs/>
          <w:sz w:val="32"/>
          <w:szCs w:val="32"/>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1</w:t>
      </w: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rPr>
        <w:t>数据收集填报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通过收集地方志、救灾档案、政府档案、行业部门统计公报等资料的方式，获取重大历史自然灾害调查数据，详细技术要求见《重大历史灾害调查技术规范》。</w:t>
      </w:r>
    </w:p>
    <w:p>
      <w:pPr>
        <w:pStyle w:val="27"/>
        <w:keepNext w:val="0"/>
        <w:keepLines w:val="0"/>
        <w:pageBreakBefore w:val="0"/>
        <w:widowControl w:val="0"/>
        <w:numPr>
          <w:ilvl w:val="0"/>
          <w:numId w:val="0"/>
        </w:numPr>
        <w:tabs>
          <w:tab w:val="left" w:pos="1582"/>
        </w:tabs>
        <w:kinsoku/>
        <w:wordWrap/>
        <w:overflowPunct/>
        <w:topLinePunct w:val="0"/>
        <w:autoSpaceDE w:val="0"/>
        <w:autoSpaceDN/>
        <w:bidi w:val="0"/>
        <w:adjustRightInd/>
        <w:snapToGrid/>
        <w:spacing w:line="540" w:lineRule="exact"/>
        <w:ind w:right="0" w:rightChars="0" w:firstLine="631" w:firstLineChars="200"/>
        <w:jc w:val="both"/>
        <w:textAlignment w:val="auto"/>
        <w:rPr>
          <w:rFonts w:hint="eastAsia" w:ascii="仿宋" w:hAnsi="仿宋" w:eastAsia="仿宋" w:cs="仿宋"/>
          <w:b/>
          <w:bCs/>
          <w:sz w:val="32"/>
          <w:szCs w:val="32"/>
        </w:rPr>
      </w:pP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lang w:val="en-US" w:eastAsia="zh-CN"/>
        </w:rPr>
        <w:t>2</w:t>
      </w:r>
      <w:r>
        <w:rPr>
          <w:rFonts w:hint="eastAsia" w:ascii="仿宋" w:hAnsi="仿宋" w:eastAsia="仿宋" w:cs="仿宋"/>
          <w:b/>
          <w:bCs/>
          <w:spacing w:val="-3"/>
          <w:sz w:val="32"/>
          <w:szCs w:val="32"/>
          <w:lang w:eastAsia="zh-CN"/>
        </w:rPr>
        <w:t>）</w:t>
      </w:r>
      <w:r>
        <w:rPr>
          <w:rFonts w:hint="eastAsia" w:ascii="仿宋" w:hAnsi="仿宋" w:eastAsia="仿宋" w:cs="仿宋"/>
          <w:b/>
          <w:bCs/>
          <w:spacing w:val="-3"/>
          <w:sz w:val="32"/>
          <w:szCs w:val="32"/>
        </w:rPr>
        <w:t>数据会商核定</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在区灾险普查办数据资料补充收集的基础上，市灾险普查办对获取的历史重大自然灾害灾情数据进行整合，通过普查系统正式上报前，应组织同级相关部门进行会商；最终成果由国务院灾险普查办组织相关涉灾部门和专家进行会商核定。</w:t>
      </w:r>
    </w:p>
    <w:p>
      <w:pPr>
        <w:pStyle w:val="27"/>
        <w:keepNext w:val="0"/>
        <w:keepLines w:val="0"/>
        <w:pageBreakBefore w:val="0"/>
        <w:widowControl w:val="0"/>
        <w:numPr>
          <w:ilvl w:val="0"/>
          <w:numId w:val="0"/>
        </w:numPr>
        <w:tabs>
          <w:tab w:val="left" w:pos="2000"/>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3"/>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5.4.4.3 技术方法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重大历史自然灾害调查主要采用查阅档案资料、遥感影像辅助信息获取、灾害信息空间化等方法。</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通过查阅档案资料、已建历史灾害数据库数据，以及结合历史存档遥感数据分析的形式进行清查和分析，建立重大灾害事件清查表，形成重大灾害事件清单。遥感影像辅助支撑方法主要应用于，辅助档案资料查询中难以获取重大历史灾害事件的致灾因子强度、受灾范围等信息， 可通过历史影像解译反演的方法进行相关信息获取；同时，也可通过历史影像对调查结果进行交叉验证和辅助验证。其中，对于灾情和灾害救助情况数据，1978 年至 2008 年数据，通过收集整理地方志、救灾档案、政府档案等获取；2009 年至 2020 年数据，基于国家自然灾害灾情管理系统、已有各部门基础数据库进行整理后，通过平台汇总填报。对于较大和重大案例调查指标体系中涉及行业部门的损失和救灾投入、恢复重建数据，由相关部门按照技术标准提供。对于致灾因子强度及分布数据， 由各级灾害综合风险普查机构协调本级气象、水利、地震、自然资源等部门，按照灾害事件清单和调查技术标准提供。对于重大自然灾害对于其他行业部门影响数据，由各级灾害综合风险普查机构协调本级交通（铁路）、工信、电力、卫计委、教育、住建、自然资源、能源等部门， 按照灾害事件清单和调查技术标准提供。</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重大灾害事件数据空间化管理，在GIS支持下将各类台账数据空间化至各级行政区划单元，并统一管理原有通过空间化提取的致灾信息和影响范围等信息，将灾害基本信息、致灾因素、灾情要素、救灾投入、行业灾害影响特征指标、社会经济要素等类别进行分要素管理。重大灾害事件数据空间化管理服务于重大灾害事件调查数据的可视化空间化查询和地图专题化展示。</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41" w:name="4.5_成果"/>
      <w:bookmarkEnd w:id="241"/>
      <w:bookmarkStart w:id="242" w:name="_Toc14178"/>
      <w:bookmarkStart w:id="243" w:name="_Toc24325"/>
      <w:r>
        <w:rPr>
          <w:rFonts w:hint="eastAsia" w:ascii="楷体" w:hAnsi="楷体" w:eastAsia="楷体" w:cs="楷体"/>
          <w:b/>
          <w:bCs/>
          <w:sz w:val="32"/>
          <w:szCs w:val="32"/>
          <w:lang w:val="en-US" w:eastAsia="zh-CN"/>
        </w:rPr>
        <w:t>5</w:t>
      </w:r>
      <w:r>
        <w:rPr>
          <w:rFonts w:hint="default" w:ascii="楷体" w:hAnsi="楷体" w:eastAsia="楷体" w:cs="楷体"/>
          <w:b/>
          <w:bCs/>
          <w:sz w:val="32"/>
          <w:szCs w:val="32"/>
          <w:lang w:eastAsia="zh-CN"/>
        </w:rPr>
        <w:t>.</w:t>
      </w:r>
      <w:r>
        <w:rPr>
          <w:rFonts w:hint="eastAsia" w:ascii="楷体" w:hAnsi="楷体" w:eastAsia="楷体" w:cs="楷体"/>
          <w:b/>
          <w:bCs/>
          <w:sz w:val="32"/>
          <w:szCs w:val="32"/>
          <w:lang w:val="en-US" w:eastAsia="zh-CN"/>
        </w:rPr>
        <w:t>5</w:t>
      </w:r>
      <w:r>
        <w:rPr>
          <w:rFonts w:hint="default" w:ascii="楷体" w:hAnsi="楷体" w:eastAsia="楷体" w:cs="楷体"/>
          <w:b/>
          <w:bCs/>
          <w:sz w:val="32"/>
          <w:szCs w:val="32"/>
          <w:lang w:eastAsia="zh-CN"/>
        </w:rPr>
        <w:t xml:space="preserve"> </w:t>
      </w:r>
      <w:r>
        <w:rPr>
          <w:rFonts w:hint="eastAsia" w:ascii="楷体" w:hAnsi="楷体" w:eastAsia="楷体" w:cs="楷体"/>
          <w:b/>
          <w:bCs/>
          <w:sz w:val="32"/>
          <w:szCs w:val="32"/>
          <w:lang w:val="en-US" w:eastAsia="zh-CN"/>
        </w:rPr>
        <w:t>成果</w:t>
      </w:r>
      <w:bookmarkEnd w:id="242"/>
      <w:bookmarkEnd w:id="243"/>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44" w:name="4.5.1_数据成果"/>
      <w:bookmarkEnd w:id="244"/>
      <w:bookmarkStart w:id="245" w:name="_Toc21048"/>
      <w:r>
        <w:rPr>
          <w:rFonts w:hint="eastAsia" w:ascii="仿宋" w:hAnsi="仿宋" w:eastAsia="仿宋" w:cs="仿宋"/>
          <w:spacing w:val="-5"/>
          <w:sz w:val="32"/>
          <w:szCs w:val="32"/>
          <w:lang w:val="en-US" w:eastAsia="zh-CN" w:bidi="zh-CN"/>
        </w:rPr>
        <w:t>历史灾害调查工作成果分为数据成果、文件报告及图件成果。</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line="540" w:lineRule="exact"/>
        <w:ind w:right="0" w:rightChars="0" w:firstLine="643" w:firstLineChars="200"/>
        <w:jc w:val="both"/>
        <w:textAlignment w:val="auto"/>
        <w:outlineLvl w:val="9"/>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1</w:t>
      </w:r>
      <w:r>
        <w:rPr>
          <w:rFonts w:hint="eastAsia" w:ascii="仿宋" w:hAnsi="仿宋" w:eastAsia="仿宋" w:cs="仿宋"/>
          <w:b/>
          <w:bCs/>
          <w:sz w:val="32"/>
          <w:szCs w:val="32"/>
          <w:lang w:eastAsia="zh-CN"/>
        </w:rPr>
        <w:t>）数据成果</w:t>
      </w:r>
      <w:bookmarkEnd w:id="245"/>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46" w:name="4.5.2_报告和图件成果"/>
      <w:bookmarkEnd w:id="246"/>
      <w:r>
        <w:rPr>
          <w:rFonts w:hint="eastAsia" w:ascii="仿宋" w:hAnsi="仿宋" w:eastAsia="仿宋" w:cs="仿宋"/>
          <w:spacing w:val="-5"/>
          <w:sz w:val="32"/>
          <w:szCs w:val="32"/>
          <w:lang w:val="en-US" w:eastAsia="zh-CN" w:bidi="zh-CN"/>
        </w:rPr>
        <w:t>1）1978-2020年区级年度自然灾害主要灾情指标数据集；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2）1949-2020年崇明区重大地震灾害事件、重大台风灾害事件、重大洪涝灾害事件、重大森林火灾事件的灾害数据集（含致灾因子数据和灾情数据）；</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3）1978-2020年区级历史一般灾害事件灾情调查数据集；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4）1978-2020年崇明区空间范围的逐年每十万人受灾人口、每十万人死亡人口、多年可比直接经济损失、直接经济损失占GDP比重数据集。</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bookmarkStart w:id="247" w:name="_Toc17081"/>
      <w:r>
        <w:rPr>
          <w:rFonts w:hint="eastAsia" w:ascii="仿宋" w:hAnsi="仿宋" w:eastAsia="仿宋" w:cs="仿宋"/>
          <w:b/>
          <w:bCs/>
          <w:sz w:val="32"/>
          <w:szCs w:val="32"/>
          <w:lang w:val="en-US" w:eastAsia="zh-CN"/>
        </w:rPr>
        <w:t>（2）报告和图件成果</w:t>
      </w:r>
      <w:bookmarkEnd w:id="247"/>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1）利用历史年度自然灾害灾情调查形成的数据成果，分析历史年度自然灾害事件的时空分布特征，形成报告和图件成果；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2）利用历史一般灾害灾情调查形成的数据成果，分析历史一般灾害事件的时空分布特征，形成报告和图件成果；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3）利用重大历史自然灾害调查形成的数据成果，分析历史重大自然灾害事件的时空分布特征，形成报告和图件成果；</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4）针对历史年度自然灾害灾情评估形成的数据集，分析评估各灾种自然灾害灾情的时空分布特征，形成报告专著；</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5）以历史年度自然灾害灾情调查数据为基础，统一采用统一的图式图例，配合编制上海市历史灾情调查1:50万的专题图件。包括：</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1978-2020年上海市年度每十万人受灾人口、每十万人死亡失踪人口、多年可比直接经济损失、直接经济损失占GDP比重逐年变化专题图。</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48" w:name="第5章_综合减灾能力调查与评估"/>
      <w:bookmarkEnd w:id="248"/>
      <w:bookmarkStart w:id="249" w:name="_Toc1867"/>
      <w:r>
        <w:rPr>
          <w:rFonts w:hint="eastAsia" w:ascii="仿宋" w:hAnsi="仿宋" w:eastAsia="仿宋" w:cs="仿宋"/>
          <w:spacing w:val="-5"/>
          <w:sz w:val="32"/>
          <w:szCs w:val="32"/>
          <w:lang w:val="en-US" w:eastAsia="zh-CN" w:bidi="zh-CN"/>
        </w:rPr>
        <w:br w:type="page"/>
      </w:r>
    </w:p>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250" w:name="_Toc344"/>
      <w:r>
        <w:rPr>
          <w:rFonts w:hint="eastAsia" w:ascii="黑体" w:hAnsi="黑体" w:eastAsia="黑体" w:cs="黑体"/>
          <w:b/>
          <w:bCs/>
          <w:sz w:val="36"/>
          <w:szCs w:val="36"/>
          <w:lang w:eastAsia="zh-CN"/>
        </w:rPr>
        <w:t>第</w:t>
      </w:r>
      <w:r>
        <w:rPr>
          <w:rFonts w:hint="eastAsia" w:ascii="黑体" w:hAnsi="黑体" w:eastAsia="黑体" w:cs="黑体"/>
          <w:b/>
          <w:bCs/>
          <w:sz w:val="36"/>
          <w:szCs w:val="36"/>
          <w:lang w:val="en-US" w:eastAsia="zh-CN"/>
        </w:rPr>
        <w:t>6</w:t>
      </w:r>
      <w:r>
        <w:rPr>
          <w:rFonts w:hint="eastAsia" w:ascii="黑体" w:hAnsi="黑体" w:eastAsia="黑体" w:cs="黑体"/>
          <w:b/>
          <w:bCs/>
          <w:sz w:val="36"/>
          <w:szCs w:val="36"/>
          <w:lang w:eastAsia="zh-CN"/>
        </w:rPr>
        <w:t>章</w:t>
      </w:r>
      <w:r>
        <w:rPr>
          <w:rFonts w:hint="default"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综合减灾能力调查与评估</w:t>
      </w:r>
      <w:bookmarkEnd w:id="249"/>
      <w:bookmarkEnd w:id="250"/>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51" w:name="5.1_目标"/>
      <w:bookmarkEnd w:id="251"/>
      <w:bookmarkStart w:id="252" w:name="_Toc19723"/>
      <w:bookmarkStart w:id="253" w:name="_Toc5811"/>
      <w:r>
        <w:rPr>
          <w:rFonts w:hint="eastAsia" w:ascii="楷体" w:hAnsi="楷体" w:eastAsia="楷体" w:cs="楷体"/>
          <w:b/>
          <w:bCs/>
          <w:sz w:val="32"/>
          <w:szCs w:val="32"/>
          <w:lang w:val="en-US" w:eastAsia="zh-CN"/>
        </w:rPr>
        <w:t>6.1 调查目标</w:t>
      </w:r>
      <w:bookmarkEnd w:id="252"/>
      <w:bookmarkEnd w:id="253"/>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54" w:name="5.2_任务"/>
      <w:bookmarkEnd w:id="254"/>
      <w:r>
        <w:rPr>
          <w:rFonts w:hint="eastAsia" w:ascii="仿宋" w:hAnsi="仿宋" w:eastAsia="仿宋" w:cs="仿宋"/>
          <w:spacing w:val="-5"/>
          <w:sz w:val="32"/>
          <w:szCs w:val="32"/>
          <w:lang w:val="en-US" w:eastAsia="zh-CN" w:bidi="zh-CN"/>
        </w:rPr>
        <w:t>开展崇明区政府减灾能力、企业与社会组织减灾能力、乡镇与社区、家庭减灾能力等进行调查；将区级层面的调查数据汇总、核查与规整；为各级政府开展综合防灾减灾救灾工作与制定区域发展规划政策提供支撑。</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55" w:name="_Toc1822"/>
      <w:bookmarkStart w:id="256" w:name="_Toc11872"/>
      <w:r>
        <w:rPr>
          <w:rFonts w:hint="eastAsia" w:ascii="楷体" w:hAnsi="楷体" w:eastAsia="楷体" w:cs="楷体"/>
          <w:b/>
          <w:bCs/>
          <w:sz w:val="32"/>
          <w:szCs w:val="32"/>
          <w:lang w:val="en-US" w:eastAsia="zh-CN"/>
        </w:rPr>
        <w:t>6.2 调查范围</w:t>
      </w:r>
      <w:bookmarkEnd w:id="255"/>
      <w:bookmarkEnd w:id="256"/>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调查范围为崇明区。调查的空间基本单元为区级各行政单元，主要调查政府、乡镇与社区、家庭用于备灾、应急救援、转移安置和恢复重建的各种减灾资源。</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57" w:name="5.2.1_具体任务"/>
      <w:bookmarkEnd w:id="257"/>
      <w:bookmarkStart w:id="258" w:name="_Toc8652"/>
      <w:r>
        <w:rPr>
          <w:rFonts w:hint="eastAsia" w:ascii="楷体" w:hAnsi="楷体" w:eastAsia="楷体" w:cs="楷体"/>
          <w:b/>
          <w:bCs/>
          <w:sz w:val="32"/>
          <w:szCs w:val="32"/>
          <w:lang w:val="en-US" w:eastAsia="zh-CN"/>
        </w:rPr>
        <w:t>6.3 调查内容</w:t>
      </w:r>
      <w:bookmarkEnd w:id="258"/>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按照国家统一标准，在崇明区范围内利用调查统计、互联网、地理信息技术等，全面查清政府、乡镇与社区、家庭用于防灾减灾救灾的各类资源。市级将会根据调查数据评估各级政府、企业与社会组织、乡镇与社区的灾前备灾、应急救援、转移安置和恢复重建能力，形成市级单元减灾资源分布数据库。</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59" w:name="5.2.1.1_政府减灾能力调查"/>
      <w:bookmarkEnd w:id="259"/>
      <w:bookmarkStart w:id="260" w:name="5.2.2_调查范围"/>
      <w:bookmarkEnd w:id="260"/>
      <w:bookmarkStart w:id="261" w:name="_Toc14805"/>
      <w:r>
        <w:rPr>
          <w:rFonts w:hint="eastAsia" w:ascii="仿宋" w:hAnsi="仿宋" w:eastAsia="仿宋" w:cs="仿宋"/>
          <w:b/>
          <w:bCs/>
          <w:sz w:val="32"/>
          <w:szCs w:val="32"/>
          <w:lang w:val="en-US" w:eastAsia="zh-CN"/>
        </w:rPr>
        <w:t>6.3.1 政府减灾能力调查</w:t>
      </w:r>
      <w:bookmarkEnd w:id="261"/>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采取普查的方式调查区级政府用于灾害备灾、应急救援、转移安置和恢复重建过程的人力、财力、物资资源和灾害管理能力。</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（一）灾害管理能力调查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包括对区应急局、区气象局、区水务局、区绿化市容局、区交通委、区建设管理委、区住房保障房屋管理局、区科委等涉及灾害管理能力单位的调查，具体包括灾害管理队伍概况、防灾减灾规划、灾害应急预案和减灾资金投入情况等。</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（二）行业专业队伍调查</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包括对政府专职和企事业专业消防救援队伍等行业专业队伍的调查；调查内容包括队伍概况、主要装备、抢险救援情况等。</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（三）救灾物资储备基地调查</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包括对区应急物资、经委（粮食和物资储备）、救灾物资储备库（点）的调查，调查内容包括基地概况、储备物资情况。</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（四）应急避难场所调查</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bookmarkStart w:id="262" w:name="5.3.2_企业与社会组织减灾能力调查"/>
      <w:bookmarkEnd w:id="262"/>
      <w:bookmarkStart w:id="263" w:name="_Toc24440"/>
      <w:r>
        <w:rPr>
          <w:rFonts w:hint="eastAsia" w:ascii="仿宋" w:hAnsi="仿宋" w:eastAsia="仿宋" w:cs="仿宋"/>
          <w:spacing w:val="-5"/>
          <w:sz w:val="32"/>
          <w:szCs w:val="32"/>
          <w:lang w:val="en-US" w:eastAsia="zh-CN" w:bidi="zh-CN"/>
        </w:rPr>
        <w:t>包括对区应急局、区民防办等认定、建设或管理的灾害应急避难场所。调查内容包括应急避难场所基本情况和建设管理等内容。</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6.3.2 企业与社会组织减灾能力调查</w:t>
      </w:r>
      <w:bookmarkEnd w:id="263"/>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主要针对市区两级在各级民政部门登记管理、主要开展防灾减灾救灾和应急救援业务的社会组织，从事救灾装备生产、工程建设、采矿工程的大型国有企业，以及区红十字会组织开展调查，具体包括社会组织的基本情况、办公场所与队伍规模、装备物资与具备能力、上一年度开展培训和科普宣教的情况以及上一年度的收支情况。</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64" w:name="5.3.3_乡镇与社区减灾能力调查"/>
      <w:bookmarkEnd w:id="264"/>
      <w:bookmarkStart w:id="265" w:name="_Toc5990"/>
      <w:r>
        <w:rPr>
          <w:rFonts w:hint="eastAsia" w:ascii="仿宋" w:hAnsi="仿宋" w:eastAsia="仿宋" w:cs="仿宋"/>
          <w:b/>
          <w:bCs/>
          <w:sz w:val="32"/>
          <w:szCs w:val="32"/>
          <w:lang w:val="en-US" w:eastAsia="zh-CN"/>
        </w:rPr>
        <w:t>6.3.3 乡镇与社区减灾能力调查</w:t>
      </w:r>
      <w:bookmarkEnd w:id="265"/>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bookmarkStart w:id="266" w:name="5.3.4_家庭减灾能力调查"/>
      <w:bookmarkEnd w:id="266"/>
      <w:r>
        <w:rPr>
          <w:rFonts w:hint="eastAsia" w:ascii="仿宋" w:hAnsi="仿宋" w:eastAsia="仿宋" w:cs="仿宋"/>
          <w:spacing w:val="-5"/>
          <w:sz w:val="32"/>
          <w:szCs w:val="32"/>
          <w:lang w:val="en-US" w:eastAsia="zh-CN" w:bidi="zh-CN"/>
        </w:rPr>
        <w:t>乡镇减灾能力调查的内容包括乡镇基本概况，隐患调查、风险评估与信息通信情况，应急预案建设、培训演练情况，资金、物资和场所等。</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社区（行政村）减灾能力调查的内容包括社区（行政村）基本情况、风险隐患排查情况、防灾减灾救灾能力建设情况、防灾减灾活动开展情况等。</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67" w:name="_Toc10377"/>
      <w:r>
        <w:rPr>
          <w:rFonts w:hint="eastAsia" w:ascii="仿宋" w:hAnsi="仿宋" w:eastAsia="仿宋" w:cs="仿宋"/>
          <w:b/>
          <w:bCs/>
          <w:sz w:val="32"/>
          <w:szCs w:val="32"/>
          <w:lang w:val="en-US" w:eastAsia="zh-CN"/>
        </w:rPr>
        <w:t>6.3.4 家庭减灾能力调查</w:t>
      </w:r>
      <w:bookmarkEnd w:id="267"/>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bookmarkStart w:id="268" w:name="5.4_工作流程与技术方法"/>
      <w:bookmarkEnd w:id="268"/>
      <w:bookmarkStart w:id="269" w:name="5.3.5_综合减灾能力评估与制图"/>
      <w:bookmarkEnd w:id="269"/>
      <w:r>
        <w:rPr>
          <w:rFonts w:hint="eastAsia" w:ascii="仿宋" w:hAnsi="仿宋" w:eastAsia="仿宋" w:cs="仿宋"/>
          <w:spacing w:val="-5"/>
          <w:sz w:val="32"/>
          <w:szCs w:val="32"/>
          <w:lang w:val="en-US" w:eastAsia="zh-CN" w:bidi="zh-CN"/>
        </w:rPr>
        <w:t>家庭减灾能力调查的内容主要包括家庭基本信息、灾害认知能力、灾害自救互救能力等。</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eastAsia="zh-CN"/>
        </w:rPr>
      </w:pPr>
      <w:bookmarkStart w:id="270" w:name="5.3.1_政府减灾能力调查"/>
      <w:bookmarkEnd w:id="270"/>
      <w:bookmarkStart w:id="271" w:name="5.3_内容"/>
      <w:bookmarkEnd w:id="271"/>
      <w:bookmarkStart w:id="272" w:name="_Toc10064"/>
      <w:bookmarkStart w:id="273" w:name="_Toc21947"/>
      <w:r>
        <w:rPr>
          <w:rFonts w:hint="eastAsia" w:ascii="楷体" w:hAnsi="楷体" w:eastAsia="楷体" w:cs="楷体"/>
          <w:b/>
          <w:bCs/>
          <w:sz w:val="32"/>
          <w:szCs w:val="32"/>
          <w:lang w:val="en-US" w:eastAsia="zh-CN"/>
        </w:rPr>
        <w:t xml:space="preserve">6.4 </w:t>
      </w:r>
      <w:r>
        <w:rPr>
          <w:rFonts w:hint="eastAsia" w:ascii="楷体" w:hAnsi="楷体" w:eastAsia="楷体" w:cs="楷体"/>
          <w:b/>
          <w:bCs/>
          <w:sz w:val="32"/>
          <w:szCs w:val="32"/>
          <w:lang w:eastAsia="zh-CN"/>
        </w:rPr>
        <w:t>工作流程与技术方法</w:t>
      </w:r>
      <w:bookmarkEnd w:id="272"/>
      <w:bookmarkEnd w:id="273"/>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274" w:name="5.4.1工作流程"/>
      <w:bookmarkEnd w:id="274"/>
      <w:bookmarkStart w:id="275" w:name="_Toc30666"/>
      <w:r>
        <w:rPr>
          <w:rFonts w:hint="eastAsia" w:ascii="仿宋" w:hAnsi="仿宋" w:eastAsia="仿宋" w:cs="仿宋"/>
          <w:b/>
          <w:bCs/>
          <w:sz w:val="32"/>
          <w:szCs w:val="32"/>
          <w:lang w:val="en-US" w:eastAsia="zh-CN"/>
        </w:rPr>
        <w:t>6.4.1 工作流程</w:t>
      </w:r>
      <w:bookmarkEnd w:id="275"/>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bookmarkStart w:id="276" w:name="5.4.1.1_对象清查"/>
      <w:bookmarkEnd w:id="276"/>
      <w:r>
        <w:rPr>
          <w:rFonts w:hint="eastAsia" w:ascii="仿宋" w:hAnsi="仿宋" w:eastAsia="仿宋" w:cs="仿宋"/>
          <w:b/>
          <w:bCs/>
          <w:sz w:val="32"/>
          <w:szCs w:val="32"/>
          <w:lang w:val="en-US" w:eastAsia="zh-CN"/>
        </w:rPr>
        <w:t>（1）对象清查</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针对综合减灾能力各项调查内容，区灾险普查办组织区级相关单位开展调查对象的清查工作，摸清需要调查对象的名称、代码（可选）、地址和位置等信息。家庭减灾能力调查中由国务院灾险普查办根据行政村（社区）家庭总户数统一抽取行政村（社区），区灾险普查办根据抽中的行政村（社区）上报的常住居民花名册，抽取家庭户并下发调查名单。</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bookmarkStart w:id="277" w:name="5.4.1.2_调查实施"/>
      <w:bookmarkEnd w:id="277"/>
      <w:r>
        <w:rPr>
          <w:rFonts w:hint="eastAsia" w:ascii="仿宋" w:hAnsi="仿宋" w:eastAsia="仿宋" w:cs="仿宋"/>
          <w:b/>
          <w:bCs/>
          <w:sz w:val="32"/>
          <w:szCs w:val="32"/>
          <w:lang w:val="en-US" w:eastAsia="zh-CN"/>
        </w:rPr>
        <w:t>（2）调查实施</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由区应急管理局牵头，各级政府组织本地各有关部门，采用在地统计或属地统计的原则，填写调查对象统计报表。</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43" w:firstLineChars="200"/>
        <w:jc w:val="both"/>
        <w:textAlignment w:val="auto"/>
        <w:outlineLvl w:val="9"/>
        <w:rPr>
          <w:rFonts w:hint="eastAsia" w:ascii="仿宋" w:hAnsi="仿宋" w:eastAsia="仿宋" w:cs="仿宋"/>
          <w:b/>
          <w:bCs/>
          <w:sz w:val="32"/>
          <w:szCs w:val="32"/>
          <w:lang w:val="en-US" w:eastAsia="zh-CN"/>
        </w:rPr>
      </w:pPr>
      <w:bookmarkStart w:id="278" w:name="5.4.1.3_数据审核与验收"/>
      <w:bookmarkEnd w:id="278"/>
      <w:r>
        <w:rPr>
          <w:rFonts w:hint="eastAsia" w:ascii="仿宋" w:hAnsi="仿宋" w:eastAsia="仿宋" w:cs="仿宋"/>
          <w:b/>
          <w:bCs/>
          <w:sz w:val="32"/>
          <w:szCs w:val="32"/>
          <w:lang w:val="en-US" w:eastAsia="zh-CN"/>
        </w:rPr>
        <w:t>（3）数据审核与验收</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bookmarkStart w:id="279" w:name="5.4.1.4_评估制图"/>
      <w:bookmarkEnd w:id="279"/>
      <w:r>
        <w:rPr>
          <w:rFonts w:hint="eastAsia" w:ascii="仿宋" w:hAnsi="仿宋" w:eastAsia="仿宋" w:cs="仿宋"/>
          <w:spacing w:val="-5"/>
          <w:sz w:val="32"/>
          <w:szCs w:val="32"/>
          <w:lang w:val="en-US" w:eastAsia="zh-CN" w:bidi="zh-CN"/>
        </w:rPr>
        <w:t>区应急管理局负责对本级相关政府部门填报的数据进行初步审核，市应急管理部门负责对下级填报数据进行审核、质检、汇总。</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6.4.2 技术方法</w:t>
      </w:r>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技术方法详见《政府减灾能力调查技术规范》、《企业与社会组织减灾能力调查技术规范》、《乡镇与社区减灾能力调查技术规范》、《家庭减灾能力调查技术规范》。</w:t>
      </w:r>
    </w:p>
    <w:p>
      <w:pPr>
        <w:pStyle w:val="5"/>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right="0" w:rightChars="0"/>
        <w:jc w:val="both"/>
        <w:textAlignment w:val="auto"/>
        <w:outlineLvl w:val="1"/>
        <w:rPr>
          <w:rFonts w:hint="eastAsia" w:ascii="仿宋" w:hAnsi="仿宋" w:eastAsia="仿宋" w:cs="仿宋"/>
          <w:b/>
          <w:bCs/>
          <w:sz w:val="32"/>
          <w:szCs w:val="32"/>
          <w:lang w:val="en-US" w:eastAsia="zh-CN"/>
        </w:rPr>
      </w:pPr>
      <w:bookmarkStart w:id="280" w:name="5.4.2_数据质量控制"/>
      <w:bookmarkEnd w:id="280"/>
      <w:bookmarkStart w:id="281" w:name="_Toc20982"/>
      <w:bookmarkStart w:id="282" w:name="_Toc6400"/>
      <w:r>
        <w:rPr>
          <w:rFonts w:hint="eastAsia" w:ascii="仿宋" w:hAnsi="仿宋" w:eastAsia="仿宋" w:cs="仿宋"/>
          <w:b/>
          <w:bCs/>
          <w:sz w:val="32"/>
          <w:szCs w:val="32"/>
          <w:lang w:val="en-US" w:eastAsia="zh-CN"/>
        </w:rPr>
        <w:t>6.5 数据质量控制</w:t>
      </w:r>
      <w:bookmarkEnd w:id="281"/>
      <w:bookmarkEnd w:id="282"/>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综合减灾能力调查，采用自下而上逐级填报与分级审核校对相结合的组织方式，技术路线如图5-1所示。</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pacing w:val="-2"/>
          <w:sz w:val="32"/>
          <w:szCs w:val="32"/>
        </w:rPr>
      </w:pPr>
      <w:r>
        <w:rPr>
          <w:rFonts w:hint="eastAsia" w:ascii="仿宋" w:hAnsi="仿宋" w:eastAsia="仿宋" w:cs="仿宋"/>
          <w:sz w:val="32"/>
          <w:szCs w:val="32"/>
          <w:lang w:val="en-US" w:bidi="ar-SA"/>
        </w:rPr>
        <w:drawing>
          <wp:anchor distT="0" distB="0" distL="0" distR="0" simplePos="0" relativeHeight="251660288" behindDoc="1" locked="0" layoutInCell="1" allowOverlap="1">
            <wp:simplePos x="0" y="0"/>
            <wp:positionH relativeFrom="page">
              <wp:posOffset>1501775</wp:posOffset>
            </wp:positionH>
            <wp:positionV relativeFrom="paragraph">
              <wp:posOffset>76835</wp:posOffset>
            </wp:positionV>
            <wp:extent cx="4594860" cy="365188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2" cstate="print"/>
                    <a:stretch>
                      <a:fillRect/>
                    </a:stretch>
                  </pic:blipFill>
                  <pic:spPr>
                    <a:xfrm>
                      <a:off x="0" y="0"/>
                      <a:ext cx="4594926" cy="3651617"/>
                    </a:xfrm>
                    <a:prstGeom prst="rect">
                      <a:avLst/>
                    </a:prstGeom>
                  </pic:spPr>
                </pic:pic>
              </a:graphicData>
            </a:graphic>
          </wp:anchor>
        </w:drawing>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2" w:firstLineChars="200"/>
        <w:jc w:val="both"/>
        <w:textAlignment w:val="auto"/>
        <w:rPr>
          <w:rFonts w:hint="eastAsia" w:ascii="仿宋" w:hAnsi="仿宋" w:eastAsia="仿宋" w:cs="仿宋"/>
          <w:spacing w:val="-2"/>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2" w:firstLineChars="200"/>
        <w:jc w:val="both"/>
        <w:textAlignment w:val="auto"/>
        <w:rPr>
          <w:rFonts w:hint="eastAsia" w:ascii="仿宋" w:hAnsi="仿宋" w:eastAsia="仿宋" w:cs="仿宋"/>
          <w:spacing w:val="-2"/>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2" w:firstLineChars="200"/>
        <w:jc w:val="both"/>
        <w:textAlignment w:val="auto"/>
        <w:rPr>
          <w:rFonts w:hint="eastAsia" w:ascii="仿宋" w:hAnsi="仿宋" w:eastAsia="仿宋" w:cs="仿宋"/>
          <w:spacing w:val="-2"/>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2" w:firstLineChars="200"/>
        <w:jc w:val="both"/>
        <w:textAlignment w:val="auto"/>
        <w:rPr>
          <w:rFonts w:hint="eastAsia" w:ascii="仿宋" w:hAnsi="仿宋" w:eastAsia="仿宋" w:cs="仿宋"/>
          <w:spacing w:val="-2"/>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2" w:firstLineChars="200"/>
        <w:jc w:val="both"/>
        <w:textAlignment w:val="auto"/>
        <w:rPr>
          <w:rFonts w:hint="eastAsia" w:ascii="仿宋" w:hAnsi="仿宋" w:eastAsia="仿宋" w:cs="仿宋"/>
          <w:spacing w:val="-2"/>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2" w:firstLineChars="200"/>
        <w:jc w:val="both"/>
        <w:textAlignment w:val="auto"/>
        <w:rPr>
          <w:rFonts w:hint="eastAsia" w:ascii="仿宋" w:hAnsi="仿宋" w:eastAsia="仿宋" w:cs="仿宋"/>
          <w:spacing w:val="-2"/>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2" w:firstLineChars="200"/>
        <w:jc w:val="both"/>
        <w:textAlignment w:val="auto"/>
        <w:rPr>
          <w:rFonts w:hint="eastAsia" w:ascii="仿宋" w:hAnsi="仿宋" w:eastAsia="仿宋" w:cs="仿宋"/>
          <w:spacing w:val="-2"/>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40" w:lineRule="exact"/>
        <w:ind w:right="0" w:firstLine="482" w:firstLineChars="200"/>
        <w:jc w:val="both"/>
        <w:textAlignment w:val="auto"/>
        <w:rPr>
          <w:rFonts w:hint="eastAsia" w:ascii="仿宋" w:hAnsi="仿宋" w:eastAsia="仿宋" w:cs="仿宋"/>
          <w:b/>
          <w:sz w:val="24"/>
          <w:szCs w:val="24"/>
        </w:rPr>
      </w:pPr>
    </w:p>
    <w:p>
      <w:pPr>
        <w:keepNext w:val="0"/>
        <w:keepLines w:val="0"/>
        <w:pageBreakBefore w:val="0"/>
        <w:widowControl w:val="0"/>
        <w:kinsoku/>
        <w:wordWrap/>
        <w:overflowPunct/>
        <w:topLinePunct w:val="0"/>
        <w:autoSpaceDE w:val="0"/>
        <w:autoSpaceDN/>
        <w:bidi w:val="0"/>
        <w:adjustRightInd/>
        <w:snapToGrid/>
        <w:spacing w:line="540" w:lineRule="exact"/>
        <w:ind w:right="0" w:firstLine="482" w:firstLineChars="200"/>
        <w:jc w:val="center"/>
        <w:textAlignment w:val="auto"/>
        <w:rPr>
          <w:rFonts w:hint="eastAsia" w:ascii="仿宋" w:hAnsi="仿宋" w:eastAsia="仿宋" w:cs="仿宋"/>
          <w:spacing w:val="-9"/>
          <w:sz w:val="32"/>
          <w:szCs w:val="32"/>
        </w:rPr>
      </w:pPr>
      <w:r>
        <w:rPr>
          <w:rFonts w:hint="eastAsia" w:ascii="仿宋" w:hAnsi="仿宋" w:eastAsia="仿宋" w:cs="仿宋"/>
          <w:b/>
          <w:sz w:val="24"/>
          <w:szCs w:val="24"/>
        </w:rPr>
        <w:t>图</w:t>
      </w:r>
      <w:r>
        <w:rPr>
          <w:rFonts w:hint="eastAsia" w:ascii="仿宋" w:hAnsi="仿宋" w:eastAsia="仿宋" w:cs="仿宋"/>
          <w:b/>
          <w:sz w:val="24"/>
          <w:szCs w:val="24"/>
          <w:lang w:val="en-US" w:eastAsia="zh-CN"/>
        </w:rPr>
        <w:t>6.5</w:t>
      </w:r>
      <w:r>
        <w:rPr>
          <w:rFonts w:hint="eastAsia" w:ascii="仿宋" w:hAnsi="仿宋" w:eastAsia="仿宋" w:cs="仿宋"/>
          <w:b/>
          <w:sz w:val="24"/>
          <w:szCs w:val="24"/>
        </w:rPr>
        <w:t>-1综合减灾</w:t>
      </w:r>
      <w:r>
        <w:rPr>
          <w:rFonts w:hint="eastAsia" w:ascii="仿宋" w:hAnsi="仿宋" w:eastAsia="仿宋" w:cs="仿宋"/>
          <w:b/>
          <w:sz w:val="24"/>
          <w:szCs w:val="24"/>
          <w:lang w:eastAsia="zh-CN"/>
        </w:rPr>
        <w:t>能力</w:t>
      </w:r>
      <w:r>
        <w:rPr>
          <w:rFonts w:hint="eastAsia" w:ascii="仿宋" w:hAnsi="仿宋" w:eastAsia="仿宋" w:cs="仿宋"/>
          <w:b/>
          <w:sz w:val="24"/>
          <w:szCs w:val="24"/>
        </w:rPr>
        <w:t>调查与数据核查技术路</w:t>
      </w:r>
      <w:bookmarkStart w:id="283" w:name="5.4.3_综合减灾能力评估与制图"/>
      <w:bookmarkEnd w:id="283"/>
    </w:p>
    <w:p>
      <w:pPr>
        <w:keepNext w:val="0"/>
        <w:keepLines w:val="0"/>
        <w:pageBreakBefore w:val="0"/>
        <w:widowControl w:val="0"/>
        <w:numPr>
          <w:ilvl w:val="0"/>
          <w:numId w:val="0"/>
        </w:numPr>
        <w:tabs>
          <w:tab w:val="left" w:pos="1584"/>
        </w:tabs>
        <w:kinsoku/>
        <w:wordWrap/>
        <w:overflowPunct/>
        <w:topLinePunct w:val="0"/>
        <w:autoSpaceDE w:val="0"/>
        <w:autoSpaceDN/>
        <w:bidi w:val="0"/>
        <w:adjustRightInd/>
        <w:snapToGrid/>
        <w:spacing w:line="540" w:lineRule="exact"/>
        <w:ind w:leftChars="0" w:right="0" w:rightChars="0" w:firstLine="620" w:firstLineChars="200"/>
        <w:jc w:val="both"/>
        <w:textAlignment w:val="auto"/>
        <w:outlineLvl w:val="9"/>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调查表填报单位审核正式报出调查表，履行填表人自审和负责人审核两道程序，对调查表的规范性和完整性进行审核，审查无误后方可在线提交上报。调查内容，由区应急管理局负责对调查成果进行汇总和审核，调查成果审核通过后才能向上一级应急管理部门提交。通过减灾能力填报系统进行有效性检查，重点检查缺漏项、录入错误和逻辑错误，确保填报数据的合理性、规范性、有效性。区应急管理局单位还应对本单位提交的数据进行排重、修正，重点进行重复统计的审核，直至合格，确保全套调查数据质量。详见《应急管理系统调查成果质检核查技术细则》。</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市应急管理局基于政府、乡镇、社区与家庭减灾能力调查结果，以及部分行业部门减灾能力调查和共享数据，依据《政府减灾能力评估技术规范》《企业与社会组织减灾能力评估技术规范》《乡镇、社区与家庭减灾能力评估技术规范》和《综合减灾能力评估技术规范》，评估市、区两级政府减灾能力，企业与社会组织减灾能力，乡镇、社区与家庭减灾能力，以及综合减灾能力，并编制相应的减灾能力评估图，区应急管理局需做好协助工作。</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284" w:name="5.5_成果"/>
      <w:bookmarkEnd w:id="284"/>
      <w:bookmarkStart w:id="285" w:name="_Toc15405"/>
      <w:bookmarkStart w:id="286" w:name="_Toc26976"/>
      <w:r>
        <w:rPr>
          <w:rFonts w:hint="eastAsia" w:ascii="楷体" w:hAnsi="楷体" w:eastAsia="楷体" w:cs="楷体"/>
          <w:b/>
          <w:bCs/>
          <w:sz w:val="32"/>
          <w:szCs w:val="32"/>
          <w:lang w:val="en-US" w:eastAsia="zh-CN"/>
        </w:rPr>
        <w:t>6.6 成果</w:t>
      </w:r>
      <w:bookmarkEnd w:id="285"/>
      <w:bookmarkEnd w:id="286"/>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bookmarkStart w:id="287" w:name="5.5.1_数据成果"/>
      <w:bookmarkEnd w:id="287"/>
      <w:bookmarkStart w:id="288" w:name="_Toc15410"/>
      <w:r>
        <w:rPr>
          <w:rFonts w:hint="eastAsia" w:ascii="仿宋" w:hAnsi="仿宋" w:eastAsia="仿宋" w:cs="仿宋"/>
          <w:b/>
          <w:bCs/>
          <w:spacing w:val="-5"/>
          <w:sz w:val="32"/>
          <w:szCs w:val="32"/>
          <w:lang w:val="en-US" w:eastAsia="zh-CN" w:bidi="zh-CN"/>
        </w:rPr>
        <w:t>（1）数据成果</w:t>
      </w:r>
      <w:bookmarkEnd w:id="288"/>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bookmarkStart w:id="289" w:name="5.5.2_图件成果"/>
      <w:bookmarkEnd w:id="289"/>
      <w:bookmarkStart w:id="290" w:name="5.5.1.1_调查类数据集"/>
      <w:bookmarkEnd w:id="290"/>
      <w:bookmarkStart w:id="291" w:name="_Toc14078"/>
      <w:r>
        <w:rPr>
          <w:rFonts w:hint="eastAsia" w:ascii="仿宋" w:hAnsi="仿宋" w:eastAsia="仿宋" w:cs="仿宋"/>
          <w:spacing w:val="-5"/>
          <w:sz w:val="32"/>
          <w:szCs w:val="32"/>
          <w:lang w:val="en-US" w:eastAsia="zh-CN" w:bidi="zh-CN"/>
        </w:rPr>
        <w:t>1）区级政府相关部门减灾能力数据集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2）区级政府专职/企事业专职和森林消防队伍减灾能力数据集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3）区级救灾物资储备库数据集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4）区级应急避难场所数据集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5）区地震灾害、地质灾害、气象灾害、水旱灾害、海洋灾害、森林火灾监测站点数据集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6）区地震灾害、地质灾害、气象灾害、水旱灾害、海洋灾害、森林火灾工程防治能力数据集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7）区级企业与社会组织减灾能力数据集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8）全区乡镇减灾能力调查数据集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9）全区各社区（行政村）减灾能力调查数据集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10）全区家庭减灾能力抽样调查数据集</w:t>
      </w:r>
    </w:p>
    <w:bookmarkEnd w:id="291"/>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bookmarkStart w:id="292" w:name="5.5.3_文字报告成果"/>
      <w:bookmarkEnd w:id="292"/>
      <w:bookmarkStart w:id="293" w:name="_Toc28541"/>
      <w:r>
        <w:rPr>
          <w:rFonts w:hint="eastAsia" w:ascii="仿宋" w:hAnsi="仿宋" w:eastAsia="仿宋" w:cs="仿宋"/>
          <w:b/>
          <w:bCs/>
          <w:spacing w:val="-5"/>
          <w:sz w:val="32"/>
          <w:szCs w:val="32"/>
          <w:lang w:val="en-US" w:eastAsia="zh-CN" w:bidi="zh-CN"/>
        </w:rPr>
        <w:t>（2）文字报告成果</w:t>
      </w:r>
      <w:bookmarkEnd w:id="293"/>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1）区减灾能力调查报告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2）乡镇、社区减灾资源调查报告</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3）抽样家庭减灾能力调查报告。</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both"/>
        <w:textAlignment w:val="auto"/>
        <w:rPr>
          <w:rFonts w:hint="eastAsia" w:ascii="仿宋" w:hAnsi="仿宋" w:eastAsia="仿宋" w:cs="仿宋"/>
          <w:sz w:val="32"/>
          <w:szCs w:val="32"/>
        </w:rPr>
        <w:sectPr>
          <w:footerReference r:id="rId8" w:type="default"/>
          <w:pgSz w:w="11910" w:h="16840"/>
          <w:pgMar w:top="1440" w:right="1803" w:bottom="1440" w:left="1803" w:header="0" w:footer="1607" w:gutter="0"/>
          <w:pgNumType w:fmt="decimal"/>
          <w:cols w:space="720" w:num="1"/>
          <w:rtlGutter w:val="0"/>
          <w:docGrid w:linePitch="0" w:charSpace="0"/>
        </w:sectPr>
      </w:pPr>
    </w:p>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294" w:name="第11章_质检核查与成果汇集"/>
      <w:bookmarkEnd w:id="294"/>
      <w:bookmarkStart w:id="295" w:name="8.4_上海市自然灾害风险评估成果的审核"/>
      <w:bookmarkEnd w:id="295"/>
      <w:bookmarkStart w:id="296" w:name="第6章_重点隐患调查与评估"/>
      <w:bookmarkEnd w:id="296"/>
      <w:bookmarkStart w:id="297" w:name="9.2.7_基础软硬件支撑环境与部署"/>
      <w:bookmarkEnd w:id="297"/>
      <w:bookmarkStart w:id="298" w:name="_Toc1235"/>
      <w:bookmarkStart w:id="299" w:name="_Toc24059"/>
      <w:bookmarkStart w:id="300" w:name="_Toc16963"/>
      <w:r>
        <w:rPr>
          <w:rFonts w:hint="eastAsia" w:ascii="黑体" w:hAnsi="黑体" w:eastAsia="黑体" w:cs="黑体"/>
          <w:b/>
          <w:bCs/>
          <w:sz w:val="36"/>
          <w:szCs w:val="36"/>
          <w:lang w:eastAsia="zh-CN"/>
        </w:rPr>
        <w:t>第</w:t>
      </w:r>
      <w:r>
        <w:rPr>
          <w:rFonts w:hint="eastAsia" w:ascii="黑体" w:hAnsi="黑体" w:eastAsia="黑体" w:cs="黑体"/>
          <w:b/>
          <w:bCs/>
          <w:sz w:val="36"/>
          <w:szCs w:val="36"/>
          <w:lang w:val="en-US" w:eastAsia="zh-CN"/>
        </w:rPr>
        <w:t>7</w:t>
      </w:r>
      <w:r>
        <w:rPr>
          <w:rFonts w:hint="eastAsia" w:ascii="黑体" w:hAnsi="黑体" w:eastAsia="黑体" w:cs="黑体"/>
          <w:b/>
          <w:bCs/>
          <w:sz w:val="36"/>
          <w:szCs w:val="36"/>
          <w:lang w:eastAsia="zh-CN"/>
        </w:rPr>
        <w:t>章</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质检核查</w:t>
      </w:r>
      <w:bookmarkEnd w:id="298"/>
      <w:bookmarkEnd w:id="299"/>
      <w:r>
        <w:rPr>
          <w:rFonts w:hint="eastAsia" w:ascii="黑体" w:hAnsi="黑体" w:eastAsia="黑体" w:cs="黑体"/>
          <w:b/>
          <w:bCs/>
          <w:sz w:val="36"/>
          <w:szCs w:val="36"/>
          <w:lang w:eastAsia="zh-CN"/>
        </w:rPr>
        <w:t>与成果汇集</w:t>
      </w:r>
      <w:bookmarkEnd w:id="300"/>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01" w:name="_Toc20452"/>
      <w:bookmarkStart w:id="302" w:name="_Toc26512"/>
      <w:bookmarkStart w:id="303" w:name="_Toc23123"/>
      <w:r>
        <w:rPr>
          <w:rFonts w:hint="eastAsia" w:ascii="楷体" w:hAnsi="楷体" w:eastAsia="楷体" w:cs="楷体"/>
          <w:b/>
          <w:bCs/>
          <w:sz w:val="32"/>
          <w:szCs w:val="32"/>
          <w:lang w:val="en-US" w:eastAsia="zh-CN"/>
        </w:rPr>
        <w:t>7.1 具体内容</w:t>
      </w:r>
      <w:bookmarkEnd w:id="301"/>
      <w:bookmarkEnd w:id="302"/>
      <w:bookmarkEnd w:id="303"/>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bookmarkStart w:id="304" w:name="_Toc13450"/>
      <w:r>
        <w:rPr>
          <w:rFonts w:hint="eastAsia" w:ascii="仿宋" w:hAnsi="仿宋" w:eastAsia="仿宋" w:cs="仿宋"/>
          <w:b/>
          <w:bCs/>
          <w:spacing w:val="-5"/>
          <w:sz w:val="32"/>
          <w:szCs w:val="32"/>
          <w:lang w:val="en-US" w:eastAsia="zh-CN" w:bidi="zh-CN"/>
        </w:rPr>
        <w:t>（1）建立普查数据（成果）汇交与质量控制机制</w:t>
      </w:r>
      <w:bookmarkEnd w:id="304"/>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建立普查成果质量控制机制，明确风险普查质量控制的总体目标、基本原则、实施主体、主要方式、共性要求和管理流程，明确对各行业部门承担的普查任务进行成果汇集和质量审核的工作机制。</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lang w:val="en-US" w:eastAsia="zh-CN" w:bidi="zh-CN"/>
        </w:rPr>
      </w:pPr>
      <w:bookmarkStart w:id="305" w:name="_Toc24723"/>
      <w:r>
        <w:rPr>
          <w:rFonts w:hint="eastAsia" w:ascii="仿宋" w:hAnsi="仿宋" w:eastAsia="仿宋" w:cs="仿宋"/>
          <w:b/>
          <w:bCs/>
          <w:spacing w:val="-5"/>
          <w:sz w:val="32"/>
          <w:szCs w:val="32"/>
          <w:lang w:val="en-US" w:eastAsia="zh-CN" w:bidi="zh-CN"/>
        </w:rPr>
        <w:t>（2）制订普查各项数据（成果）质检与核查实施规则</w:t>
      </w:r>
      <w:bookmarkEnd w:id="305"/>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各行业部门针对承灾体调查和评估、减灾能力调查评估、历史灾害调查等普查任务，制订质检与核查实施规则。规范重点明确各项数据（成果）质量检查的指标体系、评价方法、抽检规范、技术流程、分级标准、管控措施等。</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06" w:name="_Toc15632"/>
      <w:bookmarkStart w:id="307" w:name="_Toc30511"/>
      <w:bookmarkStart w:id="308" w:name="_Toc3705"/>
      <w:r>
        <w:rPr>
          <w:rFonts w:hint="eastAsia" w:ascii="楷体" w:hAnsi="楷体" w:eastAsia="楷体" w:cs="楷体"/>
          <w:b/>
          <w:bCs/>
          <w:sz w:val="32"/>
          <w:szCs w:val="32"/>
          <w:lang w:val="en-US" w:eastAsia="zh-CN"/>
        </w:rPr>
        <w:t>7.2 工作流程与方法</w:t>
      </w:r>
      <w:bookmarkEnd w:id="306"/>
      <w:bookmarkEnd w:id="307"/>
      <w:bookmarkEnd w:id="308"/>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309" w:name="_Toc7373"/>
      <w:r>
        <w:rPr>
          <w:rFonts w:hint="eastAsia" w:ascii="仿宋" w:hAnsi="仿宋" w:eastAsia="仿宋" w:cs="仿宋"/>
          <w:b/>
          <w:bCs/>
          <w:sz w:val="32"/>
          <w:szCs w:val="32"/>
          <w:lang w:val="en-US" w:eastAsia="zh-CN"/>
        </w:rPr>
        <w:t>7.2.1 任务分工</w:t>
      </w:r>
      <w:bookmarkEnd w:id="309"/>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zh-CN" w:eastAsia="zh-CN" w:bidi="zh-CN"/>
        </w:rPr>
        <w:t>区级任务实施主体包括区应急局、区建设管理委、区水务局、区绿化市容局、区住房保障房屋管理局、区交通委、区气象局等部门和单位。具体任务包括：负责区级实施数据（成果）质量和汇集；负责本部门普查数据（成果）的汇集和审核；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负责本区各行业部门普查数据（成果）的汇集和审核；负责全区普查任务实施的跟踪督察及成果质量抽检</w:t>
      </w:r>
      <w:r>
        <w:rPr>
          <w:rFonts w:hint="eastAsia" w:ascii="仿宋" w:hAnsi="仿宋" w:eastAsia="仿宋" w:cs="仿宋"/>
          <w:spacing w:val="-5"/>
          <w:sz w:val="32"/>
          <w:szCs w:val="32"/>
          <w:lang w:val="en-US" w:eastAsia="zh-CN" w:bidi="zh-CN"/>
        </w:rPr>
        <w:t>。</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310" w:name="_Toc17741"/>
      <w:r>
        <w:rPr>
          <w:rFonts w:hint="eastAsia" w:ascii="仿宋" w:hAnsi="仿宋" w:eastAsia="仿宋" w:cs="仿宋"/>
          <w:b/>
          <w:bCs/>
          <w:sz w:val="32"/>
          <w:szCs w:val="32"/>
          <w:lang w:val="en-US" w:eastAsia="zh-CN"/>
        </w:rPr>
        <w:t>7.2.2 工作流程</w:t>
      </w:r>
      <w:bookmarkEnd w:id="310"/>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质检核查工作分为前期准备、本级数据（成果）质量检查和验收、普查成果上报审核汇集与上报、跟踪督察与成果抽查4个阶段。</w:t>
      </w:r>
    </w:p>
    <w:p>
      <w:pPr>
        <w:pStyle w:val="27"/>
        <w:keepNext w:val="0"/>
        <w:keepLines w:val="0"/>
        <w:pageBreakBefore w:val="0"/>
        <w:widowControl w:val="0"/>
        <w:tabs>
          <w:tab w:val="left" w:pos="1588"/>
        </w:tabs>
        <w:kinsoku/>
        <w:wordWrap/>
        <w:overflowPunct/>
        <w:topLinePunct w:val="0"/>
        <w:autoSpaceDE w:val="0"/>
        <w:autoSpaceDN/>
        <w:bidi w:val="0"/>
        <w:adjustRightInd/>
        <w:snapToGrid/>
        <w:spacing w:line="540" w:lineRule="exact"/>
        <w:ind w:left="0" w:leftChars="0" w:right="0" w:firstLine="635" w:firstLineChars="200"/>
        <w:jc w:val="both"/>
        <w:textAlignment w:val="auto"/>
        <w:rPr>
          <w:rFonts w:hint="eastAsia" w:ascii="仿宋" w:hAnsi="仿宋" w:eastAsia="仿宋" w:cs="仿宋"/>
          <w:b/>
          <w:bCs/>
          <w:sz w:val="32"/>
          <w:szCs w:val="32"/>
        </w:rPr>
      </w:pPr>
      <w:r>
        <w:rPr>
          <w:rFonts w:hint="eastAsia" w:ascii="仿宋" w:hAnsi="仿宋" w:eastAsia="仿宋" w:cs="仿宋"/>
          <w:b/>
          <w:bCs/>
          <w:spacing w:val="-2"/>
          <w:sz w:val="32"/>
          <w:szCs w:val="32"/>
          <w:lang w:val="en-US" w:eastAsia="zh-CN"/>
        </w:rPr>
        <w:t>（1）</w:t>
      </w:r>
      <w:r>
        <w:rPr>
          <w:rFonts w:hint="eastAsia" w:ascii="仿宋" w:hAnsi="仿宋" w:eastAsia="仿宋" w:cs="仿宋"/>
          <w:b/>
          <w:bCs/>
          <w:sz w:val="32"/>
          <w:szCs w:val="32"/>
        </w:rPr>
        <w:t>前期准备</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组织编制本区普查质检核查与审核汇集方法，组织开展业务培训。</w:t>
      </w:r>
    </w:p>
    <w:p>
      <w:pPr>
        <w:pStyle w:val="27"/>
        <w:keepNext w:val="0"/>
        <w:keepLines w:val="0"/>
        <w:pageBreakBefore w:val="0"/>
        <w:widowControl w:val="0"/>
        <w:tabs>
          <w:tab w:val="left" w:pos="1588"/>
        </w:tabs>
        <w:kinsoku/>
        <w:wordWrap/>
        <w:overflowPunct/>
        <w:topLinePunct w:val="0"/>
        <w:autoSpaceDE w:val="0"/>
        <w:autoSpaceDN/>
        <w:bidi w:val="0"/>
        <w:adjustRightInd/>
        <w:snapToGrid/>
        <w:spacing w:line="540" w:lineRule="exact"/>
        <w:ind w:left="0" w:leftChars="0" w:right="0" w:firstLine="635" w:firstLineChars="200"/>
        <w:jc w:val="both"/>
        <w:textAlignment w:val="auto"/>
        <w:rPr>
          <w:rFonts w:hint="eastAsia" w:ascii="仿宋" w:hAnsi="仿宋" w:eastAsia="仿宋" w:cs="仿宋"/>
          <w:b/>
          <w:bCs/>
          <w:spacing w:val="-2"/>
          <w:sz w:val="32"/>
          <w:szCs w:val="32"/>
          <w:lang w:val="en-US"/>
        </w:rPr>
      </w:pPr>
      <w:r>
        <w:rPr>
          <w:rFonts w:hint="eastAsia" w:ascii="仿宋" w:hAnsi="仿宋" w:eastAsia="仿宋" w:cs="仿宋"/>
          <w:b/>
          <w:bCs/>
          <w:spacing w:val="-2"/>
          <w:sz w:val="32"/>
          <w:szCs w:val="32"/>
          <w:lang w:val="en-US" w:eastAsia="zh-CN"/>
        </w:rPr>
        <w:t>（2）</w:t>
      </w:r>
      <w:r>
        <w:rPr>
          <w:rFonts w:hint="eastAsia" w:ascii="仿宋" w:hAnsi="仿宋" w:eastAsia="仿宋" w:cs="仿宋"/>
          <w:b/>
          <w:bCs/>
          <w:spacing w:val="-2"/>
          <w:sz w:val="32"/>
          <w:szCs w:val="32"/>
          <w:lang w:val="en-US"/>
        </w:rPr>
        <w:t>数据（成果）质量检查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本</w:t>
      </w:r>
      <w:r>
        <w:rPr>
          <w:rFonts w:hint="eastAsia" w:ascii="仿宋" w:hAnsi="仿宋" w:eastAsia="仿宋" w:cs="仿宋"/>
          <w:spacing w:val="-5"/>
          <w:sz w:val="32"/>
          <w:szCs w:val="32"/>
          <w:lang w:val="zh-CN" w:eastAsia="zh-CN" w:bidi="zh-CN"/>
        </w:rPr>
        <w:t>区各行业部门承担本级普查数据质量检查工作任务，检查工作全覆盖、不留空白。质检发现问题，需及时整改，其中直接组织本部门相关业务人员实施的由该部门自行整改，通过委托第三方专业技术机构实施的，责成第三方实施机构限期整改。自检核查通过后，普查数据（成果）提交对应的上一级行业调查部门。</w:t>
      </w:r>
    </w:p>
    <w:p>
      <w:pPr>
        <w:pStyle w:val="12"/>
        <w:keepNext w:val="0"/>
        <w:keepLines w:val="0"/>
        <w:pageBreakBefore w:val="0"/>
        <w:widowControl w:val="0"/>
        <w:numPr>
          <w:ilvl w:val="0"/>
          <w:numId w:val="19"/>
        </w:numPr>
        <w:kinsoku/>
        <w:wordWrap/>
        <w:overflowPunct/>
        <w:topLinePunct w:val="0"/>
        <w:autoSpaceDE w:val="0"/>
        <w:autoSpaceDN/>
        <w:bidi w:val="0"/>
        <w:adjustRightInd/>
        <w:snapToGrid/>
        <w:spacing w:line="540" w:lineRule="exact"/>
        <w:ind w:left="0" w:leftChars="0" w:right="0" w:firstLine="631" w:firstLineChars="200"/>
        <w:jc w:val="both"/>
        <w:textAlignment w:val="auto"/>
        <w:rPr>
          <w:rFonts w:hint="eastAsia" w:ascii="仿宋" w:hAnsi="仿宋" w:eastAsia="仿宋" w:cs="仿宋"/>
          <w:b/>
          <w:bCs/>
          <w:spacing w:val="-3"/>
          <w:sz w:val="32"/>
          <w:szCs w:val="32"/>
          <w:lang w:val="zh-CN" w:eastAsia="zh-CN" w:bidi="zh-CN"/>
        </w:rPr>
      </w:pPr>
      <w:r>
        <w:rPr>
          <w:rFonts w:hint="eastAsia" w:ascii="仿宋" w:hAnsi="仿宋" w:eastAsia="仿宋" w:cs="仿宋"/>
          <w:b/>
          <w:bCs/>
          <w:spacing w:val="-3"/>
          <w:sz w:val="32"/>
          <w:szCs w:val="32"/>
          <w:lang w:val="zh-CN" w:eastAsia="zh-CN" w:bidi="zh-CN"/>
        </w:rPr>
        <w:t>普查成果审核、汇集与上报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zh-CN" w:eastAsia="zh-CN" w:bidi="zh-CN"/>
        </w:rPr>
        <w:t>区各行业部门组织实施任务的成果通过本级自检审查后，向上级部门提交，由上级部门按照本级质量审查规范进行成果质量核查，对审核通过后进行成果汇集和逐级提交。</w:t>
      </w:r>
      <w:r>
        <w:rPr>
          <w:rFonts w:hint="eastAsia" w:ascii="仿宋" w:hAnsi="仿宋" w:eastAsia="仿宋" w:cs="仿宋"/>
          <w:spacing w:val="-5"/>
          <w:sz w:val="32"/>
          <w:szCs w:val="32"/>
          <w:lang w:val="en-US" w:eastAsia="zh-CN" w:bidi="zh-CN"/>
        </w:rPr>
        <w:t>同时，</w:t>
      </w:r>
      <w:r>
        <w:rPr>
          <w:rFonts w:hint="eastAsia" w:ascii="仿宋" w:hAnsi="仿宋" w:eastAsia="仿宋" w:cs="仿宋"/>
          <w:spacing w:val="-5"/>
          <w:sz w:val="32"/>
          <w:szCs w:val="32"/>
          <w:lang w:val="zh-CN" w:eastAsia="zh-CN" w:bidi="zh-CN"/>
        </w:rPr>
        <w:t>区各行业部门</w:t>
      </w:r>
      <w:r>
        <w:rPr>
          <w:rFonts w:hint="eastAsia" w:ascii="仿宋" w:hAnsi="仿宋" w:eastAsia="仿宋" w:cs="仿宋"/>
          <w:spacing w:val="-5"/>
          <w:sz w:val="32"/>
          <w:szCs w:val="32"/>
          <w:lang w:val="en-US" w:eastAsia="zh-CN" w:bidi="zh-CN"/>
        </w:rPr>
        <w:t>应将本级的普查数据横向汇交至区灾险普查办。</w:t>
      </w:r>
    </w:p>
    <w:p>
      <w:pPr>
        <w:pStyle w:val="27"/>
        <w:keepNext w:val="0"/>
        <w:keepLines w:val="0"/>
        <w:pageBreakBefore w:val="0"/>
        <w:widowControl w:val="0"/>
        <w:tabs>
          <w:tab w:val="left" w:pos="1588"/>
        </w:tabs>
        <w:kinsoku/>
        <w:wordWrap/>
        <w:overflowPunct/>
        <w:topLinePunct w:val="0"/>
        <w:autoSpaceDE w:val="0"/>
        <w:autoSpaceDN/>
        <w:bidi w:val="0"/>
        <w:adjustRightInd/>
        <w:snapToGrid/>
        <w:spacing w:line="540" w:lineRule="exact"/>
        <w:ind w:left="0" w:leftChars="0" w:right="0" w:firstLine="635" w:firstLineChars="200"/>
        <w:jc w:val="both"/>
        <w:textAlignment w:val="auto"/>
        <w:rPr>
          <w:rFonts w:hint="eastAsia" w:ascii="仿宋" w:hAnsi="仿宋" w:eastAsia="仿宋" w:cs="仿宋"/>
          <w:b/>
          <w:bCs/>
          <w:spacing w:val="-2"/>
          <w:sz w:val="32"/>
          <w:szCs w:val="32"/>
          <w:highlight w:val="none"/>
          <w:lang w:val="en-US"/>
        </w:rPr>
      </w:pPr>
      <w:r>
        <w:rPr>
          <w:rFonts w:hint="eastAsia" w:ascii="仿宋" w:hAnsi="仿宋" w:eastAsia="仿宋" w:cs="仿宋"/>
          <w:b/>
          <w:bCs/>
          <w:spacing w:val="-2"/>
          <w:sz w:val="32"/>
          <w:szCs w:val="32"/>
          <w:highlight w:val="none"/>
          <w:lang w:val="en-US" w:eastAsia="zh-CN"/>
        </w:rPr>
        <w:t>（4）</w:t>
      </w:r>
      <w:r>
        <w:rPr>
          <w:rFonts w:hint="eastAsia" w:ascii="仿宋" w:hAnsi="仿宋" w:eastAsia="仿宋" w:cs="仿宋"/>
          <w:b/>
          <w:bCs/>
          <w:spacing w:val="-2"/>
          <w:sz w:val="32"/>
          <w:szCs w:val="32"/>
          <w:highlight w:val="none"/>
          <w:lang w:val="en-US"/>
        </w:rPr>
        <w:t>跟踪督察与成果抽查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区灾险普查办</w:t>
      </w:r>
      <w:r>
        <w:rPr>
          <w:rFonts w:hint="eastAsia" w:ascii="仿宋" w:hAnsi="仿宋" w:eastAsia="仿宋" w:cs="仿宋"/>
          <w:spacing w:val="-5"/>
          <w:sz w:val="32"/>
          <w:szCs w:val="32"/>
          <w:lang w:val="zh-CN" w:eastAsia="zh-CN" w:bidi="zh-CN"/>
        </w:rPr>
        <w:t>负责对</w:t>
      </w:r>
      <w:r>
        <w:rPr>
          <w:rFonts w:hint="eastAsia" w:ascii="仿宋" w:hAnsi="仿宋" w:eastAsia="仿宋" w:cs="仿宋"/>
          <w:spacing w:val="-5"/>
          <w:sz w:val="32"/>
          <w:szCs w:val="32"/>
          <w:lang w:val="en-US" w:eastAsia="zh-CN" w:bidi="zh-CN"/>
        </w:rPr>
        <w:t>本</w:t>
      </w:r>
      <w:r>
        <w:rPr>
          <w:rFonts w:hint="eastAsia" w:ascii="仿宋" w:hAnsi="仿宋" w:eastAsia="仿宋" w:cs="仿宋"/>
          <w:spacing w:val="-5"/>
          <w:sz w:val="32"/>
          <w:szCs w:val="32"/>
          <w:lang w:val="zh-CN" w:eastAsia="zh-CN" w:bidi="zh-CN"/>
        </w:rPr>
        <w:t>区各类普查任务进行跟踪督察，对自检检查合格的调查成果进行核查，包括内业全面核查与外业重点核查，成果质量抽查可采用内业抽查、在线抽查和外业实地抽查三种手段同时开展。</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311" w:name="_Toc16047"/>
      <w:r>
        <w:rPr>
          <w:rFonts w:hint="eastAsia" w:ascii="仿宋" w:hAnsi="仿宋" w:eastAsia="仿宋" w:cs="仿宋"/>
          <w:b/>
          <w:bCs/>
          <w:sz w:val="32"/>
          <w:szCs w:val="32"/>
          <w:lang w:val="en-US" w:eastAsia="zh-CN"/>
        </w:rPr>
        <w:t>7.2.3 工作方法</w:t>
      </w:r>
      <w:bookmarkEnd w:id="311"/>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建立包含组织实施主体质量自检与区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验收核查在内的分类质量管理技术方法体系，软件系统检测与人工检查相结合，技术质检与行政督查相统一，明确本区各部门开展专项成果和综合成果质检核查的职责、任务、办法和流程。</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outlineLvl w:val="3"/>
        <w:rPr>
          <w:rFonts w:hint="eastAsia" w:ascii="仿宋" w:hAnsi="仿宋" w:eastAsia="仿宋" w:cs="仿宋"/>
          <w:b/>
          <w:bCs/>
          <w:sz w:val="32"/>
          <w:szCs w:val="32"/>
        </w:rPr>
      </w:pPr>
      <w:r>
        <w:rPr>
          <w:rFonts w:hint="eastAsia" w:ascii="仿宋" w:hAnsi="仿宋" w:eastAsia="仿宋" w:cs="仿宋"/>
          <w:b/>
          <w:bCs/>
          <w:spacing w:val="-3"/>
          <w:sz w:val="32"/>
          <w:szCs w:val="32"/>
          <w:lang w:val="en-US" w:eastAsia="zh-CN"/>
        </w:rPr>
        <w:t xml:space="preserve">7.2.3.1 </w:t>
      </w:r>
      <w:r>
        <w:rPr>
          <w:rFonts w:hint="eastAsia" w:ascii="仿宋" w:hAnsi="仿宋" w:eastAsia="仿宋" w:cs="仿宋"/>
          <w:b/>
          <w:bCs/>
          <w:sz w:val="32"/>
          <w:szCs w:val="32"/>
        </w:rPr>
        <w:t>实施主体质量自检</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本</w:t>
      </w:r>
      <w:r>
        <w:rPr>
          <w:rFonts w:hint="eastAsia" w:ascii="仿宋" w:hAnsi="仿宋" w:eastAsia="仿宋" w:cs="仿宋"/>
          <w:spacing w:val="-5"/>
          <w:sz w:val="32"/>
          <w:szCs w:val="32"/>
          <w:lang w:val="zh-CN" w:eastAsia="zh-CN" w:bidi="zh-CN"/>
        </w:rPr>
        <w:t>区各行业部门依据各项普查数据（成果）质检核查技术规范，利用普查质检核查分系统对本级形成的普查成果进行100%质量检查。从任务内容、普查范围、采集要素、质量指标等方面，对成果质量进行评估形成系统生成的评估报告，无法通过软件实现质检的任务项，采取人工现场核查和专家评审会方式完成。对于质检核查不合格的任务，退回原实施机构限期整改</w:t>
      </w:r>
      <w:r>
        <w:rPr>
          <w:rFonts w:hint="eastAsia" w:ascii="仿宋" w:hAnsi="仿宋" w:eastAsia="仿宋" w:cs="仿宋"/>
          <w:spacing w:val="-5"/>
          <w:sz w:val="32"/>
          <w:szCs w:val="32"/>
          <w:lang w:val="en-US" w:eastAsia="zh-CN" w:bidi="zh-CN"/>
        </w:rPr>
        <w:t>完成，其中再行产生的人员、材料及经费消耗，由实施机构自行承担。</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outlineLvl w:val="3"/>
        <w:rPr>
          <w:rFonts w:hint="eastAsia" w:ascii="仿宋" w:hAnsi="仿宋" w:eastAsia="仿宋" w:cs="仿宋"/>
          <w:b/>
          <w:bCs/>
          <w:spacing w:val="-3"/>
          <w:sz w:val="32"/>
          <w:szCs w:val="32"/>
          <w:lang w:val="zh-CN" w:eastAsia="zh-CN"/>
        </w:rPr>
      </w:pPr>
      <w:r>
        <w:rPr>
          <w:rFonts w:hint="eastAsia" w:ascii="仿宋" w:hAnsi="仿宋" w:eastAsia="仿宋" w:cs="仿宋"/>
          <w:b/>
          <w:bCs/>
          <w:spacing w:val="-3"/>
          <w:sz w:val="32"/>
          <w:szCs w:val="32"/>
          <w:lang w:val="en-US" w:eastAsia="zh-CN"/>
        </w:rPr>
        <w:t xml:space="preserve">7.2.3.2 </w:t>
      </w:r>
      <w:r>
        <w:rPr>
          <w:rFonts w:hint="eastAsia" w:ascii="仿宋" w:hAnsi="仿宋" w:eastAsia="仿宋" w:cs="仿宋"/>
          <w:b/>
          <w:bCs/>
          <w:spacing w:val="-3"/>
          <w:sz w:val="32"/>
          <w:szCs w:val="32"/>
          <w:lang w:val="zh-CN" w:eastAsia="zh-CN"/>
        </w:rPr>
        <w:t>综合性审核</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组织开展综合性审核，审核对象为通过区各行业审核并汇交至区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的行业普查成果。主要从数据的完整性、规范，指标的合理性、真实性进行等，结合内业核查、实施检查、抽查等方式进行质量检查。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outlineLvl w:val="3"/>
        <w:rPr>
          <w:rFonts w:hint="eastAsia" w:ascii="仿宋" w:hAnsi="仿宋" w:eastAsia="仿宋" w:cs="仿宋"/>
          <w:b/>
          <w:bCs/>
          <w:spacing w:val="-3"/>
          <w:sz w:val="32"/>
          <w:szCs w:val="32"/>
          <w:lang w:val="en-US" w:eastAsia="zh-CN"/>
        </w:rPr>
      </w:pPr>
      <w:r>
        <w:rPr>
          <w:rFonts w:hint="eastAsia" w:ascii="仿宋" w:hAnsi="仿宋" w:eastAsia="仿宋" w:cs="仿宋"/>
          <w:b/>
          <w:bCs/>
          <w:spacing w:val="-3"/>
          <w:sz w:val="32"/>
          <w:szCs w:val="32"/>
          <w:lang w:val="en-US" w:eastAsia="zh-CN"/>
        </w:rPr>
        <w:t>7.2.3.3 普查成果质量抽查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配合市级行业部门对区级普查任务进行按比例抽样抽检，以评估</w:t>
      </w:r>
      <w:r>
        <w:rPr>
          <w:rFonts w:hint="eastAsia" w:ascii="仿宋" w:hAnsi="仿宋" w:eastAsia="仿宋" w:cs="仿宋"/>
          <w:spacing w:val="-5"/>
          <w:sz w:val="32"/>
          <w:szCs w:val="32"/>
          <w:lang w:val="en-US" w:eastAsia="zh-CN" w:bidi="zh-CN"/>
        </w:rPr>
        <w:t>本区</w:t>
      </w:r>
      <w:r>
        <w:rPr>
          <w:rFonts w:hint="eastAsia" w:ascii="仿宋" w:hAnsi="仿宋" w:eastAsia="仿宋" w:cs="仿宋"/>
          <w:spacing w:val="-5"/>
          <w:sz w:val="32"/>
          <w:szCs w:val="32"/>
          <w:lang w:val="zh-CN" w:eastAsia="zh-CN" w:bidi="zh-CN"/>
        </w:rPr>
        <w:t>普查任务完成质量。</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outlineLvl w:val="3"/>
        <w:rPr>
          <w:rFonts w:hint="eastAsia" w:ascii="仿宋" w:hAnsi="仿宋" w:eastAsia="仿宋" w:cs="仿宋"/>
          <w:b/>
          <w:bCs/>
          <w:spacing w:val="-3"/>
          <w:sz w:val="32"/>
          <w:szCs w:val="32"/>
          <w:highlight w:val="none"/>
          <w:lang w:val="en-US" w:eastAsia="zh-CN"/>
        </w:rPr>
      </w:pPr>
      <w:r>
        <w:rPr>
          <w:rFonts w:hint="eastAsia" w:ascii="仿宋" w:hAnsi="仿宋" w:eastAsia="仿宋" w:cs="仿宋"/>
          <w:b/>
          <w:bCs/>
          <w:spacing w:val="-3"/>
          <w:sz w:val="32"/>
          <w:szCs w:val="32"/>
          <w:highlight w:val="none"/>
          <w:lang w:val="en-US" w:eastAsia="zh-CN"/>
        </w:rPr>
        <w:t>7.2.3.4 普查成果汇集</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各行业部门应对</w:t>
      </w:r>
      <w:r>
        <w:rPr>
          <w:rFonts w:hint="eastAsia" w:ascii="仿宋" w:hAnsi="仿宋" w:eastAsia="仿宋" w:cs="仿宋"/>
          <w:spacing w:val="-5"/>
          <w:sz w:val="32"/>
          <w:szCs w:val="32"/>
          <w:lang w:val="zh-CN" w:eastAsia="zh-CN" w:bidi="zh-CN"/>
        </w:rPr>
        <w:t>各专项普查任务建立成果汇集清单，从区到市自下而上逐级上报汇集方式开展。各级成果汇集，</w:t>
      </w:r>
      <w:r>
        <w:rPr>
          <w:rFonts w:hint="eastAsia" w:ascii="仿宋" w:hAnsi="仿宋" w:eastAsia="仿宋" w:cs="仿宋"/>
          <w:spacing w:val="-5"/>
          <w:sz w:val="32"/>
          <w:szCs w:val="32"/>
          <w:lang w:val="en-US" w:eastAsia="zh-CN" w:bidi="zh-CN"/>
        </w:rPr>
        <w:t>区</w:t>
      </w:r>
      <w:r>
        <w:rPr>
          <w:rFonts w:hint="eastAsia" w:ascii="仿宋" w:hAnsi="仿宋" w:eastAsia="仿宋" w:cs="仿宋"/>
          <w:spacing w:val="-5"/>
          <w:sz w:val="32"/>
          <w:szCs w:val="32"/>
          <w:lang w:val="zh-CN" w:eastAsia="zh-CN" w:bidi="zh-CN"/>
        </w:rPr>
        <w:t>级部门分批次向上级部门采用在线/离线的方式上报。</w:t>
      </w:r>
      <w:r>
        <w:rPr>
          <w:rFonts w:hint="eastAsia" w:ascii="仿宋" w:hAnsi="仿宋" w:eastAsia="仿宋" w:cs="仿宋"/>
          <w:spacing w:val="-5"/>
          <w:sz w:val="32"/>
          <w:szCs w:val="32"/>
          <w:lang w:val="en-US" w:eastAsia="zh-CN" w:bidi="zh-CN"/>
        </w:rPr>
        <w:t>区各</w:t>
      </w:r>
      <w:r>
        <w:rPr>
          <w:rFonts w:hint="eastAsia" w:ascii="仿宋" w:hAnsi="仿宋" w:eastAsia="仿宋" w:cs="仿宋"/>
          <w:spacing w:val="-5"/>
          <w:sz w:val="32"/>
          <w:szCs w:val="32"/>
          <w:lang w:val="zh-CN" w:eastAsia="zh-CN" w:bidi="zh-CN"/>
        </w:rPr>
        <w:t>行业部门将通过自检的数据（成果）向</w:t>
      </w:r>
      <w:r>
        <w:rPr>
          <w:rFonts w:hint="eastAsia" w:ascii="仿宋" w:hAnsi="仿宋" w:eastAsia="仿宋" w:cs="仿宋"/>
          <w:spacing w:val="-5"/>
          <w:sz w:val="32"/>
          <w:szCs w:val="32"/>
          <w:lang w:val="en-US" w:eastAsia="zh-CN" w:bidi="zh-CN"/>
        </w:rPr>
        <w:t>区灾险普查办</w:t>
      </w:r>
      <w:r>
        <w:rPr>
          <w:rFonts w:hint="eastAsia" w:ascii="仿宋" w:hAnsi="仿宋" w:eastAsia="仿宋" w:cs="仿宋"/>
          <w:spacing w:val="-5"/>
          <w:sz w:val="32"/>
          <w:szCs w:val="32"/>
          <w:lang w:val="zh-CN" w:eastAsia="zh-CN" w:bidi="zh-CN"/>
        </w:rPr>
        <w:t>进行横向汇集。各行业部门应将本行业上级审核后需修改且更新后的数据（成果），向</w:t>
      </w:r>
      <w:r>
        <w:rPr>
          <w:rFonts w:hint="eastAsia" w:ascii="仿宋" w:hAnsi="仿宋" w:eastAsia="仿宋" w:cs="仿宋"/>
          <w:spacing w:val="-5"/>
          <w:sz w:val="32"/>
          <w:szCs w:val="32"/>
          <w:lang w:val="en-US" w:eastAsia="zh-CN" w:bidi="zh-CN"/>
        </w:rPr>
        <w:t>区灾险普查办</w:t>
      </w:r>
      <w:r>
        <w:rPr>
          <w:rFonts w:hint="eastAsia" w:ascii="仿宋" w:hAnsi="仿宋" w:eastAsia="仿宋" w:cs="仿宋"/>
          <w:spacing w:val="-5"/>
          <w:sz w:val="32"/>
          <w:szCs w:val="32"/>
          <w:lang w:val="zh-CN" w:eastAsia="zh-CN" w:bidi="zh-CN"/>
        </w:rPr>
        <w:t>进行横向更新汇集。</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31" w:firstLineChars="200"/>
        <w:jc w:val="both"/>
        <w:textAlignment w:val="auto"/>
        <w:outlineLvl w:val="2"/>
        <w:rPr>
          <w:rFonts w:hint="eastAsia" w:ascii="仿宋" w:hAnsi="仿宋" w:eastAsia="仿宋" w:cs="仿宋"/>
          <w:b/>
          <w:bCs/>
          <w:spacing w:val="-3"/>
          <w:sz w:val="32"/>
          <w:szCs w:val="32"/>
          <w:lang w:val="en-US" w:eastAsia="zh-CN"/>
        </w:rPr>
      </w:pPr>
      <w:r>
        <w:rPr>
          <w:rFonts w:hint="eastAsia" w:ascii="仿宋" w:hAnsi="仿宋" w:eastAsia="仿宋" w:cs="仿宋"/>
          <w:b/>
          <w:bCs/>
          <w:spacing w:val="-3"/>
          <w:sz w:val="32"/>
          <w:szCs w:val="32"/>
          <w:lang w:val="en-US" w:eastAsia="zh-CN"/>
        </w:rPr>
        <w:t>7.2.4 责任追究</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普查过程中，要加强对普查单位的过程管控和日常监督，及时掌握各作业单位工作情况。发现普查单位及普查人员不认真履行普查责任，或者进行虚假普查损害调查成果质量的，将依照国家法律法规、招标文件及合同书等相关规定的最高量级，从严从重予以惩处，并在全</w:t>
      </w:r>
      <w:r>
        <w:rPr>
          <w:rFonts w:hint="eastAsia" w:ascii="仿宋" w:hAnsi="仿宋" w:eastAsia="仿宋" w:cs="仿宋"/>
          <w:spacing w:val="-5"/>
          <w:sz w:val="32"/>
          <w:szCs w:val="32"/>
          <w:lang w:val="en-US" w:eastAsia="zh-CN" w:bidi="zh-CN"/>
        </w:rPr>
        <w:t>区</w:t>
      </w:r>
      <w:r>
        <w:rPr>
          <w:rFonts w:hint="eastAsia" w:ascii="仿宋" w:hAnsi="仿宋" w:eastAsia="仿宋" w:cs="仿宋"/>
          <w:spacing w:val="-5"/>
          <w:sz w:val="32"/>
          <w:szCs w:val="32"/>
          <w:lang w:val="zh-CN" w:eastAsia="zh-CN" w:bidi="zh-CN"/>
        </w:rPr>
        <w:t>通报。普查工作中，对存在擅自修改普查资料、数据，伪造、篡改普查成果，编造虚假数据，提供虚假普查资料等行为的，将依据相关条例规定对责任单位有关人员或直接责任人依法依规给予处分。</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8" w:firstLineChars="200"/>
        <w:jc w:val="both"/>
        <w:textAlignment w:val="auto"/>
        <w:rPr>
          <w:rFonts w:hint="eastAsia" w:ascii="仿宋" w:hAnsi="仿宋" w:eastAsia="仿宋" w:cs="仿宋"/>
          <w:spacing w:val="-3"/>
          <w:sz w:val="32"/>
          <w:szCs w:val="32"/>
          <w:lang w:val="zh-CN" w:eastAsia="zh-CN" w:bidi="zh-CN"/>
        </w:rPr>
      </w:pPr>
    </w:p>
    <w:p>
      <w:pPr>
        <w:keepNext w:val="0"/>
        <w:keepLines w:val="0"/>
        <w:pageBreakBefore w:val="0"/>
        <w:kinsoku/>
        <w:wordWrap/>
        <w:overflowPunct/>
        <w:topLinePunct w:val="0"/>
        <w:bidi w:val="0"/>
        <w:adjustRightInd/>
        <w:snapToGrid/>
        <w:spacing w:line="540" w:lineRule="exact"/>
        <w:ind w:firstLine="723" w:firstLineChars="200"/>
        <w:textAlignment w:val="auto"/>
        <w:rPr>
          <w:rFonts w:hint="eastAsia" w:ascii="黑体" w:hAnsi="黑体" w:eastAsia="黑体" w:cs="黑体"/>
          <w:b/>
          <w:bCs/>
          <w:sz w:val="36"/>
          <w:szCs w:val="36"/>
          <w:lang w:eastAsia="zh-CN"/>
        </w:rPr>
      </w:pPr>
      <w:bookmarkStart w:id="312" w:name="_Toc1376"/>
      <w:bookmarkStart w:id="313" w:name="_Toc30094"/>
      <w:r>
        <w:rPr>
          <w:rFonts w:hint="eastAsia" w:ascii="黑体" w:hAnsi="黑体" w:eastAsia="黑体" w:cs="黑体"/>
          <w:b/>
          <w:bCs/>
          <w:sz w:val="36"/>
          <w:szCs w:val="36"/>
          <w:lang w:eastAsia="zh-CN"/>
        </w:rPr>
        <w:br w:type="page"/>
      </w:r>
    </w:p>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314" w:name="_Toc22161"/>
      <w:r>
        <w:rPr>
          <w:rFonts w:hint="eastAsia" w:ascii="黑体" w:hAnsi="黑体" w:eastAsia="黑体" w:cs="黑体"/>
          <w:b/>
          <w:bCs/>
          <w:sz w:val="36"/>
          <w:szCs w:val="36"/>
          <w:lang w:eastAsia="zh-CN"/>
        </w:rPr>
        <w:t>第</w:t>
      </w:r>
      <w:r>
        <w:rPr>
          <w:rFonts w:hint="eastAsia" w:ascii="黑体" w:hAnsi="黑体" w:eastAsia="黑体" w:cs="黑体"/>
          <w:b/>
          <w:bCs/>
          <w:sz w:val="36"/>
          <w:szCs w:val="36"/>
          <w:lang w:val="en-US" w:eastAsia="zh-CN"/>
        </w:rPr>
        <w:t>8</w:t>
      </w:r>
      <w:r>
        <w:rPr>
          <w:rFonts w:hint="eastAsia" w:ascii="黑体" w:hAnsi="黑体" w:eastAsia="黑体" w:cs="黑体"/>
          <w:b/>
          <w:bCs/>
          <w:sz w:val="36"/>
          <w:szCs w:val="36"/>
          <w:lang w:eastAsia="zh-CN"/>
        </w:rPr>
        <w:t>章</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宣传与培训</w:t>
      </w:r>
      <w:bookmarkEnd w:id="312"/>
      <w:bookmarkEnd w:id="313"/>
      <w:bookmarkEnd w:id="314"/>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15" w:name="_Toc15733"/>
      <w:bookmarkStart w:id="316" w:name="_Toc4436"/>
      <w:bookmarkStart w:id="317" w:name="_Toc7471"/>
      <w:r>
        <w:rPr>
          <w:rFonts w:hint="eastAsia" w:ascii="楷体" w:hAnsi="楷体" w:eastAsia="楷体" w:cs="楷体"/>
          <w:b/>
          <w:bCs/>
          <w:sz w:val="32"/>
          <w:szCs w:val="32"/>
          <w:lang w:val="en-US" w:eastAsia="zh-CN"/>
        </w:rPr>
        <w:t>8</w:t>
      </w:r>
      <w:r>
        <w:rPr>
          <w:rFonts w:hint="default" w:ascii="楷体" w:hAnsi="楷体" w:eastAsia="楷体" w:cs="楷体"/>
          <w:b/>
          <w:bCs/>
          <w:sz w:val="32"/>
          <w:szCs w:val="32"/>
          <w:lang w:val="en-US" w:eastAsia="zh-CN"/>
        </w:rPr>
        <w:t xml:space="preserve">.1 </w:t>
      </w:r>
      <w:r>
        <w:rPr>
          <w:rFonts w:hint="eastAsia" w:ascii="楷体" w:hAnsi="楷体" w:eastAsia="楷体" w:cs="楷体"/>
          <w:b/>
          <w:bCs/>
          <w:sz w:val="32"/>
          <w:szCs w:val="32"/>
          <w:lang w:val="en-US" w:eastAsia="zh-CN"/>
        </w:rPr>
        <w:t>宣传工作</w:t>
      </w:r>
      <w:bookmarkEnd w:id="315"/>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eastAsia" w:ascii="楷体" w:hAnsi="楷体" w:eastAsia="楷体" w:cs="楷体"/>
          <w:b/>
          <w:bCs/>
          <w:sz w:val="32"/>
          <w:szCs w:val="32"/>
          <w:lang w:val="en-US" w:eastAsia="zh-CN"/>
        </w:rPr>
      </w:pPr>
      <w:r>
        <w:rPr>
          <w:rFonts w:hint="eastAsia" w:cs="楷体"/>
          <w:b/>
          <w:bCs/>
          <w:sz w:val="32"/>
          <w:szCs w:val="32"/>
          <w:lang w:val="en-US" w:eastAsia="zh-CN"/>
        </w:rPr>
        <w:t>8</w:t>
      </w:r>
      <w:r>
        <w:rPr>
          <w:rFonts w:hint="default" w:ascii="楷体" w:hAnsi="楷体" w:eastAsia="楷体" w:cs="楷体"/>
          <w:b/>
          <w:bCs/>
          <w:sz w:val="32"/>
          <w:szCs w:val="32"/>
          <w:lang w:val="en-US" w:eastAsia="zh-CN"/>
        </w:rPr>
        <w:t>.1.</w:t>
      </w:r>
      <w:r>
        <w:rPr>
          <w:rFonts w:hint="eastAsia" w:ascii="楷体" w:hAnsi="楷体" w:eastAsia="楷体" w:cs="楷体"/>
          <w:b/>
          <w:bCs/>
          <w:sz w:val="32"/>
          <w:szCs w:val="32"/>
          <w:lang w:val="en-US" w:eastAsia="zh-CN"/>
        </w:rPr>
        <w:t>1</w:t>
      </w:r>
      <w:r>
        <w:rPr>
          <w:rFonts w:hint="default" w:ascii="楷体" w:hAnsi="楷体" w:eastAsia="楷体" w:cs="楷体"/>
          <w:b/>
          <w:bCs/>
          <w:sz w:val="32"/>
          <w:szCs w:val="32"/>
          <w:lang w:val="en-US" w:eastAsia="zh-CN"/>
        </w:rPr>
        <w:t xml:space="preserve"> </w:t>
      </w:r>
      <w:r>
        <w:rPr>
          <w:rFonts w:hint="eastAsia" w:ascii="楷体" w:hAnsi="楷体" w:eastAsia="楷体" w:cs="楷体"/>
          <w:b/>
          <w:bCs/>
          <w:sz w:val="32"/>
          <w:szCs w:val="32"/>
          <w:lang w:val="en-US" w:eastAsia="zh-CN"/>
        </w:rPr>
        <w:t>指导思想</w:t>
      </w:r>
      <w:bookmarkEnd w:id="316"/>
      <w:bookmarkEnd w:id="317"/>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18" w:name="_Toc4538"/>
      <w:r>
        <w:rPr>
          <w:rFonts w:hint="eastAsia" w:ascii="仿宋" w:hAnsi="仿宋" w:eastAsia="仿宋" w:cs="仿宋"/>
          <w:b/>
          <w:bCs/>
          <w:sz w:val="32"/>
          <w:szCs w:val="32"/>
          <w:lang w:val="en-US" w:eastAsia="zh-CN"/>
        </w:rPr>
        <w:t>（一）密切配合，保障普查全程</w:t>
      </w:r>
      <w:bookmarkEnd w:id="318"/>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紧贴普查各阶段内容，有目的、有计划、有针对性地开展，力求把普查宣传做深、做细。</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19" w:name="_Toc13962"/>
      <w:r>
        <w:rPr>
          <w:rFonts w:hint="eastAsia" w:ascii="仿宋" w:hAnsi="仿宋" w:eastAsia="仿宋" w:cs="仿宋"/>
          <w:b/>
          <w:bCs/>
          <w:sz w:val="32"/>
          <w:szCs w:val="32"/>
          <w:lang w:val="en-US" w:eastAsia="zh-CN"/>
        </w:rPr>
        <w:t>（二）多管齐下，创新宣传方式</w:t>
      </w:r>
      <w:bookmarkEnd w:id="319"/>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坚持政府宣传为主，传统宣传方式与微博、微信公众号等互联网新媒介宣传结合，多种形式、立体宣传、共同造势。</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20" w:name="_Toc30878"/>
      <w:r>
        <w:rPr>
          <w:rFonts w:hint="eastAsia" w:ascii="仿宋" w:hAnsi="仿宋" w:eastAsia="仿宋" w:cs="仿宋"/>
          <w:b/>
          <w:bCs/>
          <w:sz w:val="32"/>
          <w:szCs w:val="32"/>
          <w:lang w:val="en-US" w:eastAsia="zh-CN"/>
        </w:rPr>
        <w:t>（三）抓住时机，提高民众意识</w:t>
      </w:r>
      <w:bookmarkEnd w:id="320"/>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将普查宣传与提高民众思想意识结合，在保障自然灾害综合风险普查工作的同时，提高全民防灾减灾意识，弘扬社会主义核心价值观。</w:t>
      </w:r>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eastAsia" w:ascii="楷体" w:hAnsi="楷体" w:eastAsia="楷体" w:cs="楷体"/>
          <w:b/>
          <w:bCs/>
          <w:sz w:val="32"/>
          <w:szCs w:val="32"/>
          <w:lang w:val="en-US" w:eastAsia="zh-CN"/>
        </w:rPr>
      </w:pPr>
      <w:bookmarkStart w:id="321" w:name="_Toc31883"/>
      <w:bookmarkStart w:id="322" w:name="_Toc23970"/>
      <w:bookmarkStart w:id="323" w:name="_Toc612"/>
      <w:r>
        <w:rPr>
          <w:rFonts w:hint="eastAsia" w:cs="楷体"/>
          <w:b/>
          <w:bCs/>
          <w:sz w:val="32"/>
          <w:szCs w:val="32"/>
          <w:lang w:val="en-US" w:eastAsia="zh-CN"/>
        </w:rPr>
        <w:t>8</w:t>
      </w:r>
      <w:r>
        <w:rPr>
          <w:rFonts w:hint="eastAsia" w:ascii="楷体" w:hAnsi="楷体" w:eastAsia="楷体" w:cs="楷体"/>
          <w:b/>
          <w:bCs/>
          <w:sz w:val="32"/>
          <w:szCs w:val="32"/>
          <w:lang w:val="en-US" w:eastAsia="zh-CN"/>
        </w:rPr>
        <w:t>.1.2</w:t>
      </w:r>
      <w:r>
        <w:rPr>
          <w:rFonts w:hint="default" w:ascii="楷体" w:hAnsi="楷体" w:eastAsia="楷体" w:cs="楷体"/>
          <w:b/>
          <w:bCs/>
          <w:sz w:val="32"/>
          <w:szCs w:val="32"/>
          <w:lang w:val="en-US" w:eastAsia="zh-CN"/>
        </w:rPr>
        <w:t xml:space="preserve"> </w:t>
      </w:r>
      <w:r>
        <w:rPr>
          <w:rFonts w:hint="eastAsia" w:ascii="楷体" w:hAnsi="楷体" w:eastAsia="楷体" w:cs="楷体"/>
          <w:b/>
          <w:bCs/>
          <w:sz w:val="32"/>
          <w:szCs w:val="32"/>
          <w:lang w:val="en-US" w:eastAsia="zh-CN"/>
        </w:rPr>
        <w:t>宣传目标</w:t>
      </w:r>
      <w:bookmarkEnd w:id="321"/>
      <w:bookmarkEnd w:id="322"/>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实施第一次全国自然灾害综合风险普查是深入学习贯彻习近平总书记关于防灾减灾救灾和自然灾害防治工作重要论述的具体行动。通过在</w:t>
      </w:r>
      <w:r>
        <w:rPr>
          <w:rFonts w:hint="eastAsia" w:ascii="仿宋" w:hAnsi="仿宋" w:eastAsia="仿宋" w:cs="仿宋"/>
          <w:spacing w:val="-5"/>
          <w:sz w:val="32"/>
          <w:szCs w:val="32"/>
          <w:lang w:val="en-US" w:eastAsia="zh-CN" w:bidi="zh-CN"/>
        </w:rPr>
        <w:t>本区</w:t>
      </w:r>
      <w:r>
        <w:rPr>
          <w:rFonts w:hint="eastAsia" w:ascii="仿宋" w:hAnsi="仿宋" w:eastAsia="仿宋" w:cs="仿宋"/>
          <w:spacing w:val="-5"/>
          <w:sz w:val="32"/>
          <w:szCs w:val="32"/>
          <w:lang w:val="zh-CN" w:eastAsia="zh-CN" w:bidi="zh-CN"/>
        </w:rPr>
        <w:t>内对风险普查的重大意义、工作内容、先进人物和事迹、成果及其应用等深入开展宣传，引导全社会进一步增强自然灾害国情认识，进一步强化防灾减灾救灾意识。通过宣传，加强各部门对普查工作的重视，提高各部门参与普查工作的积极性；增强广大人民群众对普查工作的了解和支持，促进社会各界对风险普查工作的配合与参与，保证普查成果真实、全面、准确、可靠。</w:t>
      </w:r>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eastAsia" w:ascii="楷体" w:hAnsi="楷体" w:eastAsia="楷体" w:cs="楷体"/>
          <w:b/>
          <w:bCs/>
          <w:sz w:val="32"/>
          <w:szCs w:val="32"/>
          <w:lang w:val="en-US" w:eastAsia="zh-CN"/>
        </w:rPr>
      </w:pPr>
      <w:r>
        <w:rPr>
          <w:rFonts w:hint="eastAsia" w:cs="楷体"/>
          <w:b/>
          <w:bCs/>
          <w:sz w:val="32"/>
          <w:szCs w:val="32"/>
          <w:lang w:val="en-US" w:eastAsia="zh-CN"/>
        </w:rPr>
        <w:t>8</w:t>
      </w:r>
      <w:r>
        <w:rPr>
          <w:rFonts w:hint="default" w:ascii="楷体" w:hAnsi="楷体" w:eastAsia="楷体" w:cs="楷体"/>
          <w:b/>
          <w:bCs/>
          <w:sz w:val="32"/>
          <w:szCs w:val="32"/>
          <w:lang w:val="en-US" w:eastAsia="zh-CN"/>
        </w:rPr>
        <w:t>.</w:t>
      </w:r>
      <w:r>
        <w:rPr>
          <w:rFonts w:hint="eastAsia" w:cs="楷体"/>
          <w:b/>
          <w:bCs/>
          <w:sz w:val="32"/>
          <w:szCs w:val="32"/>
          <w:lang w:val="en-US" w:eastAsia="zh-CN"/>
        </w:rPr>
        <w:t>1.3</w:t>
      </w:r>
      <w:r>
        <w:rPr>
          <w:rFonts w:hint="eastAsia" w:ascii="楷体" w:hAnsi="楷体" w:eastAsia="楷体" w:cs="楷体"/>
          <w:b/>
          <w:bCs/>
          <w:sz w:val="32"/>
          <w:szCs w:val="32"/>
          <w:lang w:val="en-US" w:eastAsia="zh-CN"/>
        </w:rPr>
        <w:t xml:space="preserve"> </w:t>
      </w:r>
      <w:bookmarkStart w:id="324" w:name="_Toc3304"/>
      <w:r>
        <w:rPr>
          <w:rFonts w:hint="eastAsia" w:ascii="楷体" w:hAnsi="楷体" w:eastAsia="楷体" w:cs="楷体"/>
          <w:b/>
          <w:bCs/>
          <w:sz w:val="32"/>
          <w:szCs w:val="32"/>
          <w:lang w:val="en-US" w:eastAsia="zh-CN"/>
        </w:rPr>
        <w:t>工作要求</w:t>
      </w:r>
      <w:bookmarkEnd w:id="323"/>
      <w:bookmarkEnd w:id="324"/>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25" w:name="_Toc17132"/>
      <w:r>
        <w:rPr>
          <w:rFonts w:hint="eastAsia" w:ascii="仿宋" w:hAnsi="仿宋" w:eastAsia="仿宋" w:cs="仿宋"/>
          <w:b/>
          <w:bCs/>
          <w:sz w:val="32"/>
          <w:szCs w:val="32"/>
          <w:lang w:val="en-US" w:eastAsia="zh-CN"/>
        </w:rPr>
        <w:t>（一）加强领导，提高认识</w:t>
      </w:r>
      <w:bookmarkEnd w:id="325"/>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要将宣传工作列为本次普查工作的重要任务和组成部分，纳入总体方案和工作议程，并从机构、人员、经费上给予保障，区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和区宣传部门统一部署安排。</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26" w:name="_Toc20075"/>
      <w:r>
        <w:rPr>
          <w:rFonts w:hint="eastAsia" w:ascii="仿宋" w:hAnsi="仿宋" w:eastAsia="仿宋" w:cs="仿宋"/>
          <w:b/>
          <w:bCs/>
          <w:sz w:val="32"/>
          <w:szCs w:val="32"/>
          <w:lang w:val="en-US" w:eastAsia="zh-CN"/>
        </w:rPr>
        <w:t>（二）明确职责，逐级落实</w:t>
      </w:r>
      <w:bookmarkEnd w:id="326"/>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各部门按照宣传方案要求，明确分工，认真落实各项宣传活动，有计划有步骤地开展宣传工作，并积极配合新闻媒体的舆论监督和重点报道。自然灾害综合风险普查宣传工作情况将作为各部门、</w:t>
      </w:r>
      <w:r>
        <w:rPr>
          <w:rFonts w:hint="eastAsia" w:ascii="仿宋" w:hAnsi="仿宋" w:eastAsia="仿宋" w:cs="仿宋"/>
          <w:spacing w:val="-5"/>
          <w:sz w:val="32"/>
          <w:szCs w:val="32"/>
          <w:lang w:val="en-US" w:eastAsia="zh-CN" w:bidi="zh-CN"/>
        </w:rPr>
        <w:t>各乡镇</w:t>
      </w:r>
      <w:r>
        <w:rPr>
          <w:rFonts w:hint="eastAsia" w:ascii="仿宋" w:hAnsi="仿宋" w:eastAsia="仿宋" w:cs="仿宋"/>
          <w:spacing w:val="-5"/>
          <w:sz w:val="32"/>
          <w:szCs w:val="32"/>
          <w:lang w:val="zh-CN" w:eastAsia="zh-CN" w:bidi="zh-CN"/>
        </w:rPr>
        <w:t>普查工作的一项重要考核指标。</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27" w:name="_Toc345"/>
      <w:r>
        <w:rPr>
          <w:rFonts w:hint="eastAsia" w:ascii="仿宋" w:hAnsi="仿宋" w:eastAsia="仿宋" w:cs="仿宋"/>
          <w:b/>
          <w:bCs/>
          <w:sz w:val="32"/>
          <w:szCs w:val="32"/>
          <w:lang w:val="en-US" w:eastAsia="zh-CN"/>
        </w:rPr>
        <w:t>（三）突出重点，确保效果</w:t>
      </w:r>
      <w:bookmarkEnd w:id="327"/>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要紧紧围绕自然灾害综合风险普查这一主题，精心策划、合理安排，适时组织开展各种形式的宣传活动，并针对普查工作的不同阶段，确定阶段性的宣传重点。宣传工作要力求贴近百姓，为群众所喜闻乐见，以公众最喜欢和最容易接受的方式普及自然灾害综合风险普查知识，强化宣传效果。</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28" w:name="_Toc1532"/>
      <w:r>
        <w:rPr>
          <w:rFonts w:hint="eastAsia" w:ascii="仿宋" w:hAnsi="仿宋" w:eastAsia="仿宋" w:cs="仿宋"/>
          <w:b/>
          <w:bCs/>
          <w:sz w:val="32"/>
          <w:szCs w:val="32"/>
          <w:lang w:val="en-US" w:eastAsia="zh-CN"/>
        </w:rPr>
        <w:t>（四）落实保密工作责任制</w:t>
      </w:r>
      <w:bookmarkEnd w:id="328"/>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各部门在实施宣传活动时必须严格执行《保密法》有关规定，严格遵守国家的保密纪律和自然灾害综合风险普查工作保密制度，采取有效措施防止泄密事件的发生，同时注意保守普查对象的技术和商业秘密。</w:t>
      </w:r>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default" w:ascii="楷体" w:hAnsi="楷体" w:eastAsia="楷体" w:cs="楷体"/>
          <w:b/>
          <w:bCs/>
          <w:sz w:val="32"/>
          <w:szCs w:val="32"/>
          <w:lang w:val="en-US" w:eastAsia="zh-CN"/>
        </w:rPr>
      </w:pPr>
      <w:r>
        <w:rPr>
          <w:rFonts w:hint="eastAsia" w:cs="楷体"/>
          <w:b/>
          <w:bCs/>
          <w:sz w:val="32"/>
          <w:szCs w:val="32"/>
          <w:lang w:val="en-US" w:eastAsia="zh-CN"/>
        </w:rPr>
        <w:t>8</w:t>
      </w:r>
      <w:r>
        <w:rPr>
          <w:rFonts w:hint="eastAsia" w:ascii="楷体" w:hAnsi="楷体" w:eastAsia="楷体" w:cs="楷体"/>
          <w:b/>
          <w:bCs/>
          <w:sz w:val="32"/>
          <w:szCs w:val="32"/>
          <w:lang w:val="en-US" w:eastAsia="zh-CN"/>
        </w:rPr>
        <w:t>.1.</w:t>
      </w:r>
      <w:r>
        <w:rPr>
          <w:rFonts w:hint="eastAsia" w:cs="楷体"/>
          <w:b/>
          <w:bCs/>
          <w:sz w:val="32"/>
          <w:szCs w:val="32"/>
          <w:lang w:val="en-US" w:eastAsia="zh-CN"/>
        </w:rPr>
        <w:t>4</w:t>
      </w:r>
      <w:r>
        <w:rPr>
          <w:rFonts w:hint="eastAsia" w:ascii="楷体" w:hAnsi="楷体" w:eastAsia="楷体" w:cs="楷体"/>
          <w:b/>
          <w:bCs/>
          <w:sz w:val="32"/>
          <w:szCs w:val="32"/>
          <w:lang w:val="en-US" w:eastAsia="zh-CN"/>
        </w:rPr>
        <w:t xml:space="preserve"> 宣传阶段</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（一）前期准备阶段</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以制定宣传工作方案、准备宣传材料、制作宣传产品、部署和开展宣传动员工作为主线，努力营造家喻户晓、各方配合的良好社会氛围。及时解读《国务院办公厅关于开展第一次全国自然灾害综合风险普查的通知》（国办发〔2020〕12号）、风险普查总体方案和实施细则、以及相关政策等；宣传全区自然灾害基本情况，普及风险普查的目的和意义、对象和内容、工作安排等；报道风险普查工作的组织准备、阶段进展等情况；结合风险普查的特点，开发形式多样的系列化宣传产品，持续性组织开展各项活动。</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（二）全面调查、评估与区划阶段</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以全面调查、评估与区划为主线，全面介绍风险普查的创新思路、技术方法和阶段性成果，解读风险普查的实施方案及细则、技术方案以及系列政策，推广先进经验和好的做法，报道先进典型，重点宣传普查工作的科学严谨性和普查人员的敬业奉献精神风貌，发布风险普查工作动态。</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（三）成果发布及后期工作阶段</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以成果总结发布和应用为主线，制定风险普查成果图册，及时和持续向社会介绍风险普查工作取得的各类成果，介绍风险普查成果应用前景和成效。</w:t>
      </w:r>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default" w:ascii="楷体" w:hAnsi="楷体" w:eastAsia="楷体" w:cs="楷体"/>
          <w:b/>
          <w:bCs/>
          <w:sz w:val="32"/>
          <w:szCs w:val="32"/>
          <w:lang w:val="en-US" w:eastAsia="zh-CN"/>
        </w:rPr>
      </w:pPr>
      <w:bookmarkStart w:id="329" w:name="_Toc8646"/>
      <w:bookmarkStart w:id="330" w:name="_Toc24655"/>
      <w:r>
        <w:rPr>
          <w:rFonts w:hint="eastAsia" w:cs="楷体"/>
          <w:b/>
          <w:bCs/>
          <w:sz w:val="32"/>
          <w:szCs w:val="32"/>
          <w:lang w:val="en-US" w:eastAsia="zh-CN"/>
        </w:rPr>
        <w:t>8</w:t>
      </w:r>
      <w:r>
        <w:rPr>
          <w:rFonts w:hint="default" w:ascii="楷体" w:hAnsi="楷体" w:eastAsia="楷体" w:cs="楷体"/>
          <w:b/>
          <w:bCs/>
          <w:sz w:val="32"/>
          <w:szCs w:val="32"/>
          <w:lang w:val="en-US" w:eastAsia="zh-CN"/>
        </w:rPr>
        <w:t>.</w:t>
      </w:r>
      <w:r>
        <w:rPr>
          <w:rFonts w:hint="eastAsia" w:cs="楷体"/>
          <w:b/>
          <w:bCs/>
          <w:sz w:val="32"/>
          <w:szCs w:val="32"/>
          <w:lang w:val="en-US" w:eastAsia="zh-CN"/>
        </w:rPr>
        <w:t>1.5</w:t>
      </w:r>
      <w:r>
        <w:rPr>
          <w:rFonts w:hint="default" w:ascii="楷体" w:hAnsi="楷体" w:eastAsia="楷体" w:cs="楷体"/>
          <w:b/>
          <w:bCs/>
          <w:sz w:val="32"/>
          <w:szCs w:val="32"/>
          <w:lang w:val="en-US" w:eastAsia="zh-CN"/>
        </w:rPr>
        <w:t xml:space="preserve"> </w:t>
      </w:r>
      <w:r>
        <w:rPr>
          <w:rFonts w:hint="eastAsia" w:ascii="楷体" w:hAnsi="楷体" w:eastAsia="楷体" w:cs="楷体"/>
          <w:b/>
          <w:bCs/>
          <w:sz w:val="32"/>
          <w:szCs w:val="32"/>
          <w:lang w:val="en-US" w:eastAsia="zh-CN"/>
        </w:rPr>
        <w:t>宣传方式</w:t>
      </w:r>
      <w:bookmarkEnd w:id="329"/>
      <w:bookmarkEnd w:id="330"/>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充分利用广播、电视、报刊、网络、宣传栏、横幅、海报等各类媒体和手段，广泛开展自然灾害综合风险普查宣传；通过制播自然灾害综合风险普查电视公益广告、公益宣传片、滚动字幕、新闻报道等多种形式进行宣传，真正做到“广播有声、电视有影、报纸有字、网络有言、户外有势”，为自然灾害综合风险普查各阶段工作顺利展开营造良好的舆论环境。</w:t>
      </w:r>
      <w:bookmarkStart w:id="331" w:name="_Toc6909"/>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（一）社会宣传</w:t>
      </w:r>
      <w:bookmarkEnd w:id="331"/>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在人员活动密集场所悬挂和张贴自然灾害综合风险普查公告、宣传横幅、标语、宣传海报等；</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制作自然灾害综合风险普查宣传品，如宣传手册、宣传台历、宣传折页（扇）、环保宣传袋、宣传卡片等，向公众免费发放，贴近群众进行宣传；</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3）</w:t>
      </w:r>
      <w:r>
        <w:rPr>
          <w:rFonts w:hint="eastAsia" w:ascii="仿宋" w:hAnsi="仿宋" w:eastAsia="仿宋" w:cs="仿宋"/>
          <w:spacing w:val="-5"/>
          <w:sz w:val="32"/>
          <w:szCs w:val="32"/>
          <w:lang w:val="zh-CN" w:eastAsia="zh-CN" w:bidi="zh-CN"/>
        </w:rPr>
        <w:t>利用流动广播和宣传车等形式开展宣传，并发放自然灾害综合风险普查宣传卡片和宣传物品；</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4）</w:t>
      </w:r>
      <w:r>
        <w:rPr>
          <w:rFonts w:hint="eastAsia" w:ascii="仿宋" w:hAnsi="仿宋" w:eastAsia="仿宋" w:cs="仿宋"/>
          <w:spacing w:val="-5"/>
          <w:sz w:val="32"/>
          <w:szCs w:val="32"/>
          <w:lang w:val="zh-CN" w:eastAsia="zh-CN" w:bidi="zh-CN"/>
        </w:rPr>
        <w:t>在人流密集区域设立自然灾害综合风普查宣传台，开展现场咨询和宣传活动；</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5）</w:t>
      </w:r>
      <w:r>
        <w:rPr>
          <w:rFonts w:hint="eastAsia" w:ascii="仿宋" w:hAnsi="仿宋" w:eastAsia="仿宋" w:cs="仿宋"/>
          <w:spacing w:val="-5"/>
          <w:sz w:val="32"/>
          <w:szCs w:val="32"/>
          <w:lang w:val="zh-CN" w:eastAsia="zh-CN" w:bidi="zh-CN"/>
        </w:rPr>
        <w:t>在政府企事业单位、工业园区、企业、社区街道、公交、地铁、车站等公共场所，利用公示栏、宣传栏、LED电子屏幕等载体，播放、悬挂、发放普查相关工作的标语、横幅、宣传海报、宣传片等。</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32" w:name="_Toc32438"/>
      <w:r>
        <w:rPr>
          <w:rFonts w:hint="eastAsia" w:ascii="仿宋" w:hAnsi="仿宋" w:eastAsia="仿宋" w:cs="仿宋"/>
          <w:b/>
          <w:bCs/>
          <w:sz w:val="32"/>
          <w:szCs w:val="32"/>
          <w:lang w:val="en-US" w:eastAsia="zh-CN"/>
        </w:rPr>
        <w:t>（二）媒体宣传</w:t>
      </w:r>
      <w:bookmarkEnd w:id="332"/>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依托电台、电视台和报纸等新闻媒体，对本次普查全过程进行广播、电视和平面宣传。宣传的内容和形式包括：</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）对自然灾害综合合风普查工作的宗旨和口号，通过上级部门制作的广告宣传片进行循环播放；</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）对</w:t>
      </w:r>
      <w:r>
        <w:rPr>
          <w:rFonts w:hint="eastAsia" w:ascii="仿宋" w:hAnsi="仿宋" w:eastAsia="仿宋" w:cs="仿宋"/>
          <w:spacing w:val="-5"/>
          <w:sz w:val="32"/>
          <w:szCs w:val="32"/>
          <w:lang w:val="en-US" w:eastAsia="zh-CN" w:bidi="zh-CN"/>
        </w:rPr>
        <w:t>本区</w:t>
      </w:r>
      <w:r>
        <w:rPr>
          <w:rFonts w:hint="eastAsia" w:ascii="仿宋" w:hAnsi="仿宋" w:eastAsia="仿宋" w:cs="仿宋"/>
          <w:spacing w:val="-5"/>
          <w:sz w:val="32"/>
          <w:szCs w:val="32"/>
          <w:lang w:val="zh-CN" w:eastAsia="zh-CN" w:bidi="zh-CN"/>
        </w:rPr>
        <w:t>自然灾害综合合风普查会议、重要阶段工作，以新闻形式进行及时宣传报道；</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3</w:t>
      </w:r>
      <w:r>
        <w:rPr>
          <w:rFonts w:hint="eastAsia" w:ascii="仿宋" w:hAnsi="仿宋" w:eastAsia="仿宋" w:cs="仿宋"/>
          <w:spacing w:val="-5"/>
          <w:sz w:val="32"/>
          <w:szCs w:val="32"/>
          <w:lang w:val="zh-CN" w:eastAsia="zh-CN" w:bidi="zh-CN"/>
        </w:rPr>
        <w:t>）对各级、各部门领导深入普查现场指导、调研等工作情况，以新闻形式进行及时宣传报道；</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4</w:t>
      </w:r>
      <w:r>
        <w:rPr>
          <w:rFonts w:hint="eastAsia" w:ascii="仿宋" w:hAnsi="仿宋" w:eastAsia="仿宋" w:cs="仿宋"/>
          <w:spacing w:val="-5"/>
          <w:sz w:val="32"/>
          <w:szCs w:val="32"/>
          <w:lang w:val="zh-CN" w:eastAsia="zh-CN" w:bidi="zh-CN"/>
        </w:rPr>
        <w:t>）对典型的普查工作人员外业和内业调查工作情况，以新闻形式进行宣传报道；</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5</w:t>
      </w:r>
      <w:r>
        <w:rPr>
          <w:rFonts w:hint="eastAsia" w:ascii="仿宋" w:hAnsi="仿宋" w:eastAsia="仿宋" w:cs="仿宋"/>
          <w:spacing w:val="-5"/>
          <w:sz w:val="32"/>
          <w:szCs w:val="32"/>
          <w:lang w:val="zh-CN" w:eastAsia="zh-CN" w:bidi="zh-CN"/>
        </w:rPr>
        <w:t>）对普查的重要成果，以新闻形式进行及时宣传报道；</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6</w:t>
      </w:r>
      <w:r>
        <w:rPr>
          <w:rFonts w:hint="eastAsia" w:ascii="仿宋" w:hAnsi="仿宋" w:eastAsia="仿宋" w:cs="仿宋"/>
          <w:spacing w:val="-5"/>
          <w:sz w:val="32"/>
          <w:szCs w:val="32"/>
          <w:lang w:val="zh-CN" w:eastAsia="zh-CN" w:bidi="zh-CN"/>
        </w:rPr>
        <w:t>）对普查过程中的先进个人、先进单位和典型事迹，以新闻或专题片等形式进行宣传报道；</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default" w:ascii="仿宋" w:hAnsi="仿宋" w:eastAsia="仿宋" w:cs="仿宋"/>
          <w:spacing w:val="-5"/>
          <w:sz w:val="32"/>
          <w:szCs w:val="32"/>
          <w:lang w:val="en-US"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7</w:t>
      </w:r>
      <w:r>
        <w:rPr>
          <w:rFonts w:hint="eastAsia" w:ascii="仿宋" w:hAnsi="仿宋" w:eastAsia="仿宋" w:cs="仿宋"/>
          <w:spacing w:val="-5"/>
          <w:sz w:val="32"/>
          <w:szCs w:val="32"/>
          <w:lang w:val="zh-CN" w:eastAsia="zh-CN" w:bidi="zh-CN"/>
        </w:rPr>
        <w:t>）定期组织电视专家访谈，解读自然灾害综合合风普查相关概念、技术、方法、作用和意。</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33" w:name="_Toc26159"/>
      <w:bookmarkStart w:id="334" w:name="_Toc22730"/>
      <w:r>
        <w:rPr>
          <w:rFonts w:hint="eastAsia" w:ascii="仿宋" w:hAnsi="仿宋" w:eastAsia="仿宋" w:cs="仿宋"/>
          <w:b/>
          <w:bCs/>
          <w:sz w:val="32"/>
          <w:szCs w:val="32"/>
          <w:lang w:val="en-US" w:eastAsia="zh-CN"/>
        </w:rPr>
        <w:t>（三）网络宣传</w:t>
      </w:r>
      <w:bookmarkEnd w:id="333"/>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）在应急局网站开设自然灾害综合风险普查专栏、专题、专版，及时报道自然灾害综合合风普查工作动态，推送普查宣传短片等；</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）利用应急局微信公众号，定期推送自然灾害综合风险普查信息；</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3</w:t>
      </w:r>
      <w:r>
        <w:rPr>
          <w:rFonts w:hint="eastAsia" w:ascii="仿宋" w:hAnsi="仿宋" w:eastAsia="仿宋" w:cs="仿宋"/>
          <w:spacing w:val="-5"/>
          <w:sz w:val="32"/>
          <w:szCs w:val="32"/>
          <w:lang w:val="zh-CN" w:eastAsia="zh-CN" w:bidi="zh-CN"/>
        </w:rPr>
        <w:t>）利用应急局微博，适时报道自然灾害综合风险普查信息，及时发布相关动态新闻；</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w:t>
      </w:r>
      <w:r>
        <w:rPr>
          <w:rFonts w:hint="eastAsia" w:ascii="仿宋" w:hAnsi="仿宋" w:eastAsia="仿宋" w:cs="仿宋"/>
          <w:spacing w:val="-5"/>
          <w:sz w:val="32"/>
          <w:szCs w:val="32"/>
          <w:lang w:val="en-US" w:eastAsia="zh-CN" w:bidi="zh-CN"/>
        </w:rPr>
        <w:t>4</w:t>
      </w:r>
      <w:r>
        <w:rPr>
          <w:rFonts w:hint="eastAsia" w:ascii="仿宋" w:hAnsi="仿宋" w:eastAsia="仿宋" w:cs="仿宋"/>
          <w:spacing w:val="-5"/>
          <w:sz w:val="32"/>
          <w:szCs w:val="32"/>
          <w:lang w:val="zh-CN" w:eastAsia="zh-CN" w:bidi="zh-CN"/>
        </w:rPr>
        <w:t>）协调通讯运营商推送倡议公众参与支持普查的短信。</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8.3.6 舆情监测</w:t>
      </w:r>
      <w:bookmarkEnd w:id="334"/>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自然灾害综合风险普查期间，区</w:t>
      </w:r>
      <w:r>
        <w:rPr>
          <w:rFonts w:hint="eastAsia" w:ascii="仿宋" w:hAnsi="仿宋" w:eastAsia="仿宋" w:cs="仿宋"/>
          <w:spacing w:val="-5"/>
          <w:sz w:val="32"/>
          <w:szCs w:val="32"/>
          <w:lang w:val="en-US" w:eastAsia="zh-CN" w:bidi="zh-CN"/>
        </w:rPr>
        <w:t>灾险普查办</w:t>
      </w:r>
      <w:r>
        <w:rPr>
          <w:rFonts w:hint="eastAsia" w:ascii="仿宋" w:hAnsi="仿宋" w:eastAsia="仿宋" w:cs="仿宋"/>
          <w:spacing w:val="-5"/>
          <w:sz w:val="32"/>
          <w:szCs w:val="32"/>
          <w:lang w:val="zh-CN" w:eastAsia="zh-CN" w:bidi="zh-CN"/>
        </w:rPr>
        <w:t>、宣传部门要加强舆情监测、分析和研判；设置相应监测指标，建立舆情回应和处置机制，对媒体和网络上出现的政策误读、曲解，以及对普查工作的不实报道、网络谣言，第一时间发现并通过官方渠道及时澄清。</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35" w:name="_Toc11073"/>
      <w:bookmarkStart w:id="336" w:name="_Toc8407"/>
      <w:r>
        <w:rPr>
          <w:rFonts w:hint="eastAsia" w:ascii="楷体" w:hAnsi="楷体" w:eastAsia="楷体" w:cs="楷体"/>
          <w:b/>
          <w:bCs/>
          <w:sz w:val="32"/>
          <w:szCs w:val="32"/>
          <w:lang w:val="en-US" w:eastAsia="zh-CN"/>
        </w:rPr>
        <w:t>8.2 培训工作</w:t>
      </w:r>
      <w:bookmarkEnd w:id="335"/>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eastAsia" w:ascii="楷体" w:hAnsi="楷体" w:eastAsia="楷体" w:cs="楷体"/>
          <w:b/>
          <w:bCs/>
          <w:sz w:val="32"/>
          <w:szCs w:val="32"/>
          <w:lang w:val="en-US" w:eastAsia="zh-CN"/>
        </w:rPr>
      </w:pPr>
      <w:bookmarkStart w:id="337" w:name="_Toc22807"/>
      <w:bookmarkStart w:id="338" w:name="_Toc30395"/>
      <w:r>
        <w:rPr>
          <w:rFonts w:hint="eastAsia" w:cs="楷体"/>
          <w:b/>
          <w:bCs/>
          <w:sz w:val="32"/>
          <w:szCs w:val="32"/>
          <w:lang w:val="en-US" w:eastAsia="zh-CN"/>
        </w:rPr>
        <w:t>8</w:t>
      </w:r>
      <w:r>
        <w:rPr>
          <w:rFonts w:hint="default" w:ascii="楷体" w:hAnsi="楷体" w:eastAsia="楷体" w:cs="楷体"/>
          <w:b/>
          <w:bCs/>
          <w:sz w:val="32"/>
          <w:szCs w:val="32"/>
          <w:lang w:val="en-US" w:eastAsia="zh-CN"/>
        </w:rPr>
        <w:t>.</w:t>
      </w:r>
      <w:r>
        <w:rPr>
          <w:rFonts w:hint="eastAsia" w:cs="楷体"/>
          <w:b/>
          <w:bCs/>
          <w:sz w:val="32"/>
          <w:szCs w:val="32"/>
          <w:lang w:val="en-US" w:eastAsia="zh-CN"/>
        </w:rPr>
        <w:t>2.1</w:t>
      </w:r>
      <w:r>
        <w:rPr>
          <w:rFonts w:hint="eastAsia" w:ascii="楷体" w:hAnsi="楷体" w:eastAsia="楷体" w:cs="楷体"/>
          <w:b/>
          <w:bCs/>
          <w:sz w:val="32"/>
          <w:szCs w:val="32"/>
          <w:lang w:val="en-US" w:eastAsia="zh-CN"/>
        </w:rPr>
        <w:t xml:space="preserve"> </w:t>
      </w:r>
      <w:bookmarkStart w:id="339" w:name="_Toc10012"/>
      <w:r>
        <w:rPr>
          <w:rFonts w:hint="eastAsia" w:ascii="楷体" w:hAnsi="楷体" w:eastAsia="楷体" w:cs="楷体"/>
          <w:b/>
          <w:bCs/>
          <w:sz w:val="32"/>
          <w:szCs w:val="32"/>
          <w:lang w:val="en-US" w:eastAsia="zh-CN"/>
        </w:rPr>
        <w:t>培训目标</w:t>
      </w:r>
      <w:bookmarkEnd w:id="339"/>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风险普查培训工作是准备阶段和实施阶段的重要环节，通过对职能部门分工和调查标准及具体的操作方法的培训，达到以下目标：</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使相关参与人员深刻认识风险普查工作的重要性，增强参与人员的责任性和使命感。</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（2）使相关参与人员深入了解风险普查的目标、主要任务、普查的范围、内容以及主要的技术路线，掌握普查工作各项任务的工作流程、步骤、技术方法、质量控制方法以及成果汇交形式。</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使相关参与人员获得持续性的培训和反馈，建设一支专业、高效、文明的普查队伍，为风险普查项目顺利开展提供人员保障和技术支撑。加强区级防灾减灾救灾行业体系建设。通过培训，使各级工作人员能够充分认识到工作短板，更加科学地掌握致灾规律，全面提升综合防灾能力，为降低自然灾害风险、构建人类命运共同体作出积极贡献。</w:t>
      </w:r>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eastAsia" w:ascii="楷体" w:hAnsi="楷体" w:eastAsia="楷体" w:cs="楷体"/>
          <w:b/>
          <w:bCs/>
          <w:sz w:val="32"/>
          <w:szCs w:val="32"/>
          <w:lang w:val="en-US" w:eastAsia="zh-CN"/>
        </w:rPr>
      </w:pPr>
      <w:r>
        <w:rPr>
          <w:rFonts w:hint="eastAsia" w:cs="楷体"/>
          <w:b/>
          <w:bCs/>
          <w:sz w:val="32"/>
          <w:szCs w:val="32"/>
          <w:lang w:val="en-US" w:eastAsia="zh-CN"/>
        </w:rPr>
        <w:t>8</w:t>
      </w:r>
      <w:r>
        <w:rPr>
          <w:rFonts w:hint="eastAsia" w:ascii="楷体" w:hAnsi="楷体" w:eastAsia="楷体" w:cs="楷体"/>
          <w:b/>
          <w:bCs/>
          <w:sz w:val="32"/>
          <w:szCs w:val="32"/>
          <w:lang w:val="en-US" w:eastAsia="zh-CN"/>
        </w:rPr>
        <w:t>.2.</w:t>
      </w:r>
      <w:r>
        <w:rPr>
          <w:rFonts w:hint="eastAsia" w:cs="楷体"/>
          <w:b/>
          <w:bCs/>
          <w:sz w:val="32"/>
          <w:szCs w:val="32"/>
          <w:lang w:val="en-US" w:eastAsia="zh-CN"/>
        </w:rPr>
        <w:t>2</w:t>
      </w:r>
      <w:r>
        <w:rPr>
          <w:rFonts w:hint="eastAsia" w:ascii="楷体" w:hAnsi="楷体" w:eastAsia="楷体" w:cs="楷体"/>
          <w:b/>
          <w:bCs/>
          <w:sz w:val="32"/>
          <w:szCs w:val="32"/>
          <w:lang w:val="en-US" w:eastAsia="zh-CN"/>
        </w:rPr>
        <w:t xml:space="preserve"> 工作要求</w:t>
      </w:r>
      <w:bookmarkEnd w:id="337"/>
      <w:bookmarkEnd w:id="338"/>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（一）提高思想认识，落实责任单位</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开展全国灾害综合风险普查是深入学习贯彻习近平总书记关于防灾减灾救灾和自然灾害防治工作重要论述的具体行动，也是一项科学性、综合性、专业性很强的工作。普查培训是做好普查工作的关键性工作，直接影响到普查的工作质量和进度。区灾险普查办要提高思想认识，加强统筹协调，根据当地工作实际，进一步细化并编制本级的培训实施方案，建立健全普查培训机制，推动培训工作的有序开展。</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区灾险普查办组织领导灾害综合风险普查培训工作。区应急管理局负责各项培训的组织协调工作，组织培训实施单位和开展普查培训。</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培训实施单位为应急管理局，负责总体和各项业务培训工作。</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（二）配强师资力量，落实培训人员</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师资人员：具有一定工作经验的专业技术人员，经市灾险普查办培训后担任。</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灾险普查办要认真部署普查培训工作，选派责任心强、精通业务的人员参加培训。所有普查人员必须经过培训，通过考核，持有普查办公室统一颁发的上岗证才能上岗。区灾险普查办及各普查实施单位应保障工作人员的稳定性，确保普查工作有序开展、高质量完成。</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（三）保障资金投入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区灾险普查办要将工作经费纳入本级风险普查经费的年度财政预算安排。并对本级培训经费的安排、使用和管理进行监督。</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区灾险普查办根据中央灾险普查办的培训进度要求，结合当地工作实际，合理安排本级的培训时间，确保培训工作保质保量地按时间节点完成。</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（四）加强督导检查</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本级灾险普查办要结合当地实际，制定本级的普查培训方案，保证培训质量和培训效果。培训工作要严格遵守财务和审计相关工作要求。各级灾险普查办要对下级灾险普查办的培训工作进行督导和检查。</w:t>
      </w:r>
    </w:p>
    <w:bookmarkEnd w:id="336"/>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eastAsia" w:ascii="楷体" w:hAnsi="楷体" w:eastAsia="楷体" w:cs="楷体"/>
          <w:b/>
          <w:bCs/>
          <w:sz w:val="32"/>
          <w:szCs w:val="32"/>
          <w:lang w:val="en-US" w:eastAsia="zh-CN"/>
        </w:rPr>
      </w:pPr>
      <w:bookmarkStart w:id="340" w:name="_Toc3750"/>
      <w:r>
        <w:rPr>
          <w:rFonts w:hint="eastAsia" w:cs="楷体"/>
          <w:b/>
          <w:bCs/>
          <w:sz w:val="32"/>
          <w:szCs w:val="32"/>
          <w:lang w:val="en-US" w:eastAsia="zh-CN"/>
        </w:rPr>
        <w:t>8</w:t>
      </w:r>
      <w:r>
        <w:rPr>
          <w:rFonts w:hint="default" w:ascii="楷体" w:hAnsi="楷体" w:eastAsia="楷体" w:cs="楷体"/>
          <w:b/>
          <w:bCs/>
          <w:sz w:val="32"/>
          <w:szCs w:val="32"/>
          <w:lang w:val="en-US" w:eastAsia="zh-CN"/>
        </w:rPr>
        <w:t>.</w:t>
      </w:r>
      <w:r>
        <w:rPr>
          <w:rFonts w:hint="eastAsia" w:cs="楷体"/>
          <w:b/>
          <w:bCs/>
          <w:sz w:val="32"/>
          <w:szCs w:val="32"/>
          <w:lang w:val="en-US" w:eastAsia="zh-CN"/>
        </w:rPr>
        <w:t>2.3</w:t>
      </w:r>
      <w:r>
        <w:rPr>
          <w:rFonts w:hint="eastAsia" w:ascii="楷体" w:hAnsi="楷体" w:eastAsia="楷体" w:cs="楷体"/>
          <w:b/>
          <w:bCs/>
          <w:sz w:val="32"/>
          <w:szCs w:val="32"/>
          <w:lang w:val="en-US" w:eastAsia="zh-CN"/>
        </w:rPr>
        <w:t xml:space="preserve"> </w:t>
      </w:r>
      <w:bookmarkStart w:id="341" w:name="_Toc7341"/>
      <w:r>
        <w:rPr>
          <w:rFonts w:hint="eastAsia" w:ascii="楷体" w:hAnsi="楷体" w:eastAsia="楷体" w:cs="楷体"/>
          <w:b/>
          <w:bCs/>
          <w:sz w:val="32"/>
          <w:szCs w:val="32"/>
          <w:lang w:val="en-US" w:eastAsia="zh-CN"/>
        </w:rPr>
        <w:t>培训阶段</w:t>
      </w:r>
      <w:bookmarkEnd w:id="340"/>
      <w:bookmarkEnd w:id="341"/>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42" w:name="_Toc29167"/>
      <w:r>
        <w:rPr>
          <w:rFonts w:hint="eastAsia" w:ascii="仿宋" w:hAnsi="仿宋" w:eastAsia="仿宋" w:cs="仿宋"/>
          <w:b/>
          <w:bCs/>
          <w:sz w:val="32"/>
          <w:szCs w:val="32"/>
          <w:lang w:val="en-US" w:eastAsia="zh-CN"/>
        </w:rPr>
        <w:t>（一）前期准备阶段</w:t>
      </w:r>
      <w:bookmarkEnd w:id="342"/>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一是建立培训机制。以《上海市第一次全国自然灾害综合风险普查总体方案》和《上海市第一次全国自然灾害综合风险普查实施方案》内容为主线，明确区灾险普查办和各行业部门在培训工作中的职责与分工，制定培训活动安排计划，设计各阶段培训专题内容。</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二是编制培训教材。根据调查对象和内容，结合普查技术规范，梳理各行业部门发布的材料，作为开展培训课程设计的重要依据。</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三是利用专题培训网站。使用国家专题培训平台，积极发布相关培训信息，为线上培训提供工作平台。</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四是开展普查前期培训。开展普查的目的意义、主要内容及实施方式等专题培训，包括调查阶段主要内容、各行业部门分工与职责、成果汇交、软件系统操作等内容，以及普查人员在普查工作中的责任、普查对象应履行的义务等。本阶段培训内容主要包括：</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1</w:t>
      </w:r>
      <w:r>
        <w:rPr>
          <w:rFonts w:hint="eastAsia" w:ascii="仿宋" w:hAnsi="仿宋" w:eastAsia="仿宋" w:cs="仿宋"/>
          <w:spacing w:val="-5"/>
          <w:sz w:val="32"/>
          <w:szCs w:val="32"/>
          <w:lang w:val="zh-CN" w:eastAsia="zh-CN" w:bidi="zh-CN"/>
        </w:rPr>
        <w:t>）深入学习贯彻习近平总书记在中央财经委员会第三次会议上关于提高自然灾害防治能力的重要讲话精神，传达全国自然灾害综合风险普查工作会议要求。</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2</w:t>
      </w:r>
      <w:r>
        <w:rPr>
          <w:rFonts w:hint="eastAsia" w:ascii="仿宋" w:hAnsi="仿宋" w:eastAsia="仿宋" w:cs="仿宋"/>
          <w:spacing w:val="-5"/>
          <w:sz w:val="32"/>
          <w:szCs w:val="32"/>
          <w:lang w:val="zh-CN" w:eastAsia="zh-CN" w:bidi="zh-CN"/>
        </w:rPr>
        <w:t>）第一次全国自然灾害综合风险普查的总体安排。</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3</w:t>
      </w:r>
      <w:r>
        <w:rPr>
          <w:rFonts w:hint="eastAsia" w:ascii="仿宋" w:hAnsi="仿宋" w:eastAsia="仿宋" w:cs="仿宋"/>
          <w:spacing w:val="-5"/>
          <w:sz w:val="32"/>
          <w:szCs w:val="32"/>
          <w:lang w:val="zh-CN" w:eastAsia="zh-CN" w:bidi="zh-CN"/>
        </w:rPr>
        <w:t>）第一次全国自然灾害综合风险普查总体技术方案。</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4</w:t>
      </w:r>
      <w:r>
        <w:rPr>
          <w:rFonts w:hint="eastAsia" w:ascii="仿宋" w:hAnsi="仿宋" w:eastAsia="仿宋" w:cs="仿宋"/>
          <w:spacing w:val="-5"/>
          <w:sz w:val="32"/>
          <w:szCs w:val="32"/>
          <w:lang w:val="zh-CN" w:eastAsia="zh-CN" w:bidi="zh-CN"/>
        </w:rPr>
        <w:t>）第一次全国自然灾害综合风险普查本区任务。</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5</w:t>
      </w:r>
      <w:r>
        <w:rPr>
          <w:rFonts w:hint="eastAsia" w:ascii="仿宋" w:hAnsi="仿宋" w:eastAsia="仿宋" w:cs="仿宋"/>
          <w:spacing w:val="-5"/>
          <w:sz w:val="32"/>
          <w:szCs w:val="32"/>
          <w:lang w:val="zh-CN" w:eastAsia="zh-CN" w:bidi="zh-CN"/>
        </w:rPr>
        <w:t>）第一次全国自然灾害综合风险普查的主要目的、任务安排及成果要求。</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43" w:name="_Toc28770"/>
      <w:r>
        <w:rPr>
          <w:rFonts w:hint="eastAsia" w:ascii="仿宋" w:hAnsi="仿宋" w:eastAsia="仿宋" w:cs="仿宋"/>
          <w:b/>
          <w:bCs/>
          <w:sz w:val="32"/>
          <w:szCs w:val="32"/>
          <w:lang w:val="en-US" w:eastAsia="zh-CN"/>
        </w:rPr>
        <w:t>（二）</w:t>
      </w:r>
      <w:r>
        <w:rPr>
          <w:rFonts w:hint="default" w:ascii="仿宋" w:hAnsi="仿宋" w:eastAsia="仿宋" w:cs="仿宋"/>
          <w:b/>
          <w:bCs/>
          <w:sz w:val="32"/>
          <w:szCs w:val="32"/>
          <w:lang w:val="en-US" w:eastAsia="zh-CN"/>
        </w:rPr>
        <w:t xml:space="preserve"> </w:t>
      </w:r>
      <w:r>
        <w:rPr>
          <w:rFonts w:hint="eastAsia" w:ascii="仿宋" w:hAnsi="仿宋" w:eastAsia="仿宋" w:cs="仿宋"/>
          <w:b/>
          <w:bCs/>
          <w:sz w:val="32"/>
          <w:szCs w:val="32"/>
          <w:lang w:val="en-US" w:eastAsia="zh-CN"/>
        </w:rPr>
        <w:t>调查培训阶段</w:t>
      </w:r>
      <w:bookmarkEnd w:id="343"/>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zh-CN" w:eastAsia="zh-CN" w:bidi="zh-CN"/>
        </w:rPr>
        <w:t>一是围绕调查对象与内容，结合普查实施细则和总体进度安排，组织开展调查类技术规范专题培训，重点讲解普查实施过程中的组织方式方法等，明确调查流程、技术要求和成果形式。</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zh-CN" w:eastAsia="zh-CN" w:bidi="zh-CN"/>
        </w:rPr>
        <w:t>二是围绕调查数据质检与成果汇交，结合数据与成果汇交管理办法，重点解读地方和行业部</w:t>
      </w:r>
      <w:r>
        <w:rPr>
          <w:rFonts w:hint="eastAsia" w:ascii="仿宋" w:hAnsi="仿宋" w:eastAsia="仿宋" w:cs="仿宋"/>
          <w:spacing w:val="-5"/>
          <w:sz w:val="32"/>
          <w:szCs w:val="32"/>
          <w:lang w:val="en-US" w:eastAsia="zh-CN" w:bidi="zh-CN"/>
        </w:rPr>
        <w:t>门调查数据与成果汇交流程、质量审核职责与分工、数据清单与成果汇交等内容。</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zh-CN" w:eastAsia="zh-CN" w:bidi="zh-CN"/>
        </w:rPr>
      </w:pPr>
      <w:r>
        <w:rPr>
          <w:rFonts w:hint="eastAsia" w:ascii="仿宋" w:hAnsi="仿宋" w:eastAsia="仿宋" w:cs="仿宋"/>
          <w:spacing w:val="-5"/>
          <w:sz w:val="32"/>
          <w:szCs w:val="32"/>
          <w:lang w:val="en-US" w:eastAsia="zh-CN" w:bidi="zh-CN"/>
        </w:rPr>
        <w:t>三是针对调查工作涉及面</w:t>
      </w:r>
      <w:r>
        <w:rPr>
          <w:rFonts w:hint="eastAsia" w:ascii="仿宋" w:hAnsi="仿宋" w:eastAsia="仿宋" w:cs="仿宋"/>
          <w:spacing w:val="-5"/>
          <w:sz w:val="32"/>
          <w:szCs w:val="32"/>
          <w:lang w:val="zh-CN" w:eastAsia="zh-CN" w:bidi="zh-CN"/>
        </w:rPr>
        <w:t>广、参与人员队伍多的情况，统筹做好线上线下培训安排，特别是做好基层培训工作，确保培训质量和覆盖面。本阶段培训内容主要包括：</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1）普查2021年工作要点。</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2）调查类技术规范。</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3）实施</w:t>
      </w:r>
      <w:r>
        <w:rPr>
          <w:rFonts w:hint="eastAsia" w:ascii="仿宋" w:hAnsi="仿宋" w:eastAsia="仿宋" w:cs="仿宋"/>
          <w:spacing w:val="-5"/>
          <w:sz w:val="32"/>
          <w:szCs w:val="32"/>
          <w:lang w:val="zh-CN" w:eastAsia="zh-CN" w:bidi="zh-CN"/>
        </w:rPr>
        <w:t>细则</w:t>
      </w:r>
      <w:r>
        <w:rPr>
          <w:rFonts w:hint="eastAsia" w:ascii="仿宋" w:hAnsi="仿宋" w:eastAsia="仿宋" w:cs="仿宋"/>
          <w:spacing w:val="-5"/>
          <w:sz w:val="32"/>
          <w:szCs w:val="32"/>
          <w:lang w:val="en-US" w:eastAsia="zh-CN" w:bidi="zh-CN"/>
        </w:rPr>
        <w:t>及主要行业部门任务。</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4）上海市调查软件培训。</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5）区划数据清单汇交要求及成果形式。</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6）普查数据汇交与质量审核中各行业部门职责分工与主要任务。</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7）普查调度、数据采集、数据汇交与质检等分系统相关功能与操作。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8）地方普查年度绩效评价工作考核要点、报告提纲等。</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9）调查成果集成与应用。</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highlight w:val="none"/>
          <w:lang w:val="en-US" w:eastAsia="zh-CN"/>
        </w:rPr>
      </w:pPr>
      <w:bookmarkStart w:id="344" w:name="_Toc15746"/>
      <w:r>
        <w:rPr>
          <w:rFonts w:hint="eastAsia" w:ascii="仿宋" w:hAnsi="仿宋" w:eastAsia="仿宋" w:cs="仿宋"/>
          <w:b/>
          <w:bCs/>
          <w:sz w:val="32"/>
          <w:szCs w:val="32"/>
          <w:highlight w:val="none"/>
          <w:lang w:val="en-US" w:eastAsia="zh-CN"/>
        </w:rPr>
        <w:t>（三）</w:t>
      </w:r>
      <w:r>
        <w:rPr>
          <w:rFonts w:hint="default"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lang w:val="en-US" w:eastAsia="zh-CN"/>
        </w:rPr>
        <w:t>评估与区划阶段</w:t>
      </w:r>
      <w:bookmarkEnd w:id="344"/>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default" w:ascii="仿宋" w:hAnsi="仿宋" w:eastAsia="仿宋" w:cs="仿宋"/>
          <w:spacing w:val="-5"/>
          <w:sz w:val="32"/>
          <w:szCs w:val="32"/>
          <w:lang w:val="en-US" w:eastAsia="zh-CN" w:bidi="zh-CN"/>
        </w:rPr>
      </w:pPr>
      <w:bookmarkStart w:id="345" w:name="_Toc7329"/>
      <w:bookmarkStart w:id="346" w:name="_Toc19135"/>
      <w:r>
        <w:rPr>
          <w:rFonts w:hint="eastAsia" w:ascii="仿宋" w:hAnsi="仿宋" w:eastAsia="仿宋" w:cs="仿宋"/>
          <w:spacing w:val="-5"/>
          <w:sz w:val="32"/>
          <w:szCs w:val="32"/>
          <w:lang w:val="en-US" w:eastAsia="zh-CN" w:bidi="zh-CN"/>
        </w:rPr>
        <w:t>组织参加市灾险普查办和各行业部门开展的评估与区划培训工作，区级各行业部门有评估和区划任务的，自行组织相关培训工作。</w:t>
      </w:r>
    </w:p>
    <w:p>
      <w:pPr>
        <w:pStyle w:val="6"/>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left="0" w:leftChars="0" w:right="0" w:rightChars="0" w:firstLine="643" w:firstLineChars="200"/>
        <w:jc w:val="both"/>
        <w:textAlignment w:val="auto"/>
        <w:outlineLvl w:val="2"/>
        <w:rPr>
          <w:rFonts w:hint="eastAsia" w:ascii="楷体" w:hAnsi="楷体" w:eastAsia="楷体" w:cs="楷体"/>
          <w:b/>
          <w:bCs/>
          <w:sz w:val="32"/>
          <w:szCs w:val="32"/>
          <w:lang w:val="en-US" w:eastAsia="zh-CN"/>
        </w:rPr>
      </w:pPr>
      <w:r>
        <w:rPr>
          <w:rFonts w:hint="eastAsia" w:cs="楷体"/>
          <w:b/>
          <w:bCs/>
          <w:sz w:val="32"/>
          <w:szCs w:val="32"/>
          <w:lang w:val="en-US" w:eastAsia="zh-CN"/>
        </w:rPr>
        <w:t>8</w:t>
      </w:r>
      <w:r>
        <w:rPr>
          <w:rFonts w:hint="eastAsia" w:ascii="楷体" w:hAnsi="楷体" w:eastAsia="楷体" w:cs="楷体"/>
          <w:b/>
          <w:bCs/>
          <w:sz w:val="32"/>
          <w:szCs w:val="32"/>
          <w:lang w:val="en-US" w:eastAsia="zh-CN"/>
        </w:rPr>
        <w:t>.2.</w:t>
      </w:r>
      <w:r>
        <w:rPr>
          <w:rFonts w:hint="eastAsia" w:cs="楷体"/>
          <w:b/>
          <w:bCs/>
          <w:sz w:val="32"/>
          <w:szCs w:val="32"/>
          <w:lang w:val="en-US" w:eastAsia="zh-CN"/>
        </w:rPr>
        <w:t>4</w:t>
      </w:r>
      <w:r>
        <w:rPr>
          <w:rFonts w:hint="default" w:ascii="楷体" w:hAnsi="楷体" w:eastAsia="楷体" w:cs="楷体"/>
          <w:b/>
          <w:bCs/>
          <w:sz w:val="32"/>
          <w:szCs w:val="32"/>
          <w:lang w:val="en-US" w:eastAsia="zh-CN"/>
        </w:rPr>
        <w:t xml:space="preserve"> </w:t>
      </w:r>
      <w:r>
        <w:rPr>
          <w:rFonts w:hint="eastAsia" w:ascii="楷体" w:hAnsi="楷体" w:eastAsia="楷体" w:cs="楷体"/>
          <w:b/>
          <w:bCs/>
          <w:sz w:val="32"/>
          <w:szCs w:val="32"/>
          <w:lang w:val="en-US" w:eastAsia="zh-CN"/>
        </w:rPr>
        <w:t>培训方式</w:t>
      </w:r>
      <w:bookmarkEnd w:id="345"/>
      <w:bookmarkEnd w:id="346"/>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47" w:name="_Toc32738"/>
      <w:r>
        <w:rPr>
          <w:rFonts w:hint="eastAsia" w:ascii="仿宋" w:hAnsi="仿宋" w:eastAsia="仿宋" w:cs="仿宋"/>
          <w:b/>
          <w:bCs/>
          <w:sz w:val="32"/>
          <w:szCs w:val="32"/>
          <w:lang w:val="en-US" w:eastAsia="zh-CN"/>
        </w:rPr>
        <w:t>（一）现场集中授课</w:t>
      </w:r>
      <w:bookmarkEnd w:id="347"/>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培训采用现场培训的形式。现场培训期间以集中面授为主，辅以课件等多媒体手段，授课时要有实际案例模拟。通过培训保证所有参加培训的人员都能熟练掌握相关普查内容和技术方法。</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实行统筹培训，制定统一的培训标准。各部门遵循统一的标准规范、统一技术手段、保障获取统一协调的普查成果。培训对风险调查的总体目标与总体任务，总体技术方案和带有共性的技术方法与标准规范进行集中式培训；对承灾体调查与评估、历史灾害调查与评估、综合减灾能力调查与评估、重点隐患调查等单项具体工作任务进行专题培训。</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48" w:name="_Toc31913"/>
      <w:r>
        <w:rPr>
          <w:rFonts w:hint="eastAsia" w:ascii="仿宋" w:hAnsi="仿宋" w:eastAsia="仿宋" w:cs="仿宋"/>
          <w:b/>
          <w:bCs/>
          <w:sz w:val="32"/>
          <w:szCs w:val="32"/>
          <w:lang w:val="en-US" w:eastAsia="zh-CN"/>
        </w:rPr>
        <w:t>（二）网络手段辅助培训</w:t>
      </w:r>
      <w:bookmarkEnd w:id="348"/>
      <w:r>
        <w:rPr>
          <w:rFonts w:hint="eastAsia" w:ascii="仿宋" w:hAnsi="仿宋" w:eastAsia="仿宋" w:cs="仿宋"/>
          <w:b/>
          <w:bCs/>
          <w:sz w:val="32"/>
          <w:szCs w:val="32"/>
          <w:lang w:val="en-US" w:eastAsia="zh-CN"/>
        </w:rPr>
        <w:t>（可选）</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依托国家普查培训网站，包括课程学习，资料查询，常见问题解答等内容。开设学习论坛，提供问题咨询，线上答疑和课程讨论的功能。</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普查工作人员可注册并登录网站，在线上回看课程学习，查阅学习资料。如果在实际操作中遇到问题，可搜索相关资料，或者在论坛中发帖提问，培训老师及时答疑。同时普查员还可以在论坛中互相讨论，交流工作经验，提出工作意见和建议。培训老师可据此进行讲评、反思与总结，并改进培训工作。</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49" w:name="_Toc22925"/>
      <w:r>
        <w:rPr>
          <w:rFonts w:hint="eastAsia" w:ascii="仿宋" w:hAnsi="仿宋" w:eastAsia="仿宋" w:cs="仿宋"/>
          <w:b/>
          <w:bCs/>
          <w:sz w:val="32"/>
          <w:szCs w:val="32"/>
          <w:lang w:val="en-US" w:eastAsia="zh-CN"/>
        </w:rPr>
        <w:t>（三）培训考核</w:t>
      </w:r>
      <w:bookmarkEnd w:id="349"/>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所有培训要设置考核环节，确保培训取得实质性效果。采用现场考核的形式，对参培人员逐一考核，培训考核合格后颁发相关培训证明。</w:t>
      </w:r>
    </w:p>
    <w:p>
      <w:pPr>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after="0" w:line="540" w:lineRule="exact"/>
        <w:ind w:left="0" w:right="0" w:rightChars="0" w:firstLine="643" w:firstLineChars="200"/>
        <w:jc w:val="both"/>
        <w:textAlignment w:val="auto"/>
        <w:outlineLvl w:val="9"/>
        <w:rPr>
          <w:rFonts w:hint="eastAsia" w:ascii="仿宋" w:hAnsi="仿宋" w:eastAsia="仿宋" w:cs="仿宋"/>
          <w:b/>
          <w:bCs/>
          <w:sz w:val="32"/>
          <w:szCs w:val="32"/>
          <w:lang w:val="en-US" w:eastAsia="zh-CN"/>
        </w:rPr>
      </w:pPr>
      <w:bookmarkStart w:id="350" w:name="_Toc977"/>
      <w:r>
        <w:rPr>
          <w:rFonts w:hint="eastAsia" w:ascii="仿宋" w:hAnsi="仿宋" w:eastAsia="仿宋" w:cs="仿宋"/>
          <w:b/>
          <w:bCs/>
          <w:sz w:val="32"/>
          <w:szCs w:val="32"/>
          <w:lang w:val="en-US" w:eastAsia="zh-CN"/>
        </w:rPr>
        <w:t>（四）培训认证</w:t>
      </w:r>
      <w:bookmarkEnd w:id="350"/>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经过系统性培训、达到培养目标、通过考核的学员，由机构统一颁发认证证书和上岗证。认证证书是对开展普查工作人员的业务能力的正式认可，所有的普查工作人员须佩戴上岗证开展普查工作，这两个证书均在规定期限内有效。</w:t>
      </w:r>
    </w:p>
    <w:p>
      <w:pPr>
        <w:pStyle w:val="12"/>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b/>
          <w:bCs/>
          <w:spacing w:val="-5"/>
          <w:sz w:val="32"/>
          <w:szCs w:val="32"/>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bookmarkStart w:id="351" w:name="_Toc28286"/>
      <w:bookmarkStart w:id="352" w:name="_Toc22227"/>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723" w:firstLineChars="200"/>
        <w:textAlignment w:val="auto"/>
        <w:outlineLvl w:val="9"/>
        <w:rPr>
          <w:rFonts w:hint="eastAsia" w:ascii="黑体" w:hAnsi="黑体" w:eastAsia="黑体" w:cs="黑体"/>
          <w:b/>
          <w:bCs/>
          <w:sz w:val="36"/>
          <w:szCs w:val="36"/>
        </w:rPr>
      </w:pPr>
    </w:p>
    <w:p>
      <w:pPr>
        <w:pStyle w:val="2"/>
        <w:keepNext w:val="0"/>
        <w:keepLines w:val="0"/>
        <w:pageBreakBefore w:val="0"/>
        <w:kinsoku/>
        <w:wordWrap/>
        <w:overflowPunct/>
        <w:topLinePunct w:val="0"/>
        <w:bidi w:val="0"/>
        <w:adjustRightInd/>
        <w:snapToGrid/>
        <w:spacing w:line="540" w:lineRule="exact"/>
        <w:ind w:firstLine="723" w:firstLineChars="200"/>
        <w:textAlignment w:val="auto"/>
        <w:rPr>
          <w:rFonts w:hint="eastAsia" w:ascii="黑体" w:hAnsi="黑体" w:eastAsia="黑体" w:cs="黑体"/>
          <w:b/>
          <w:bCs/>
          <w:sz w:val="36"/>
          <w:szCs w:val="36"/>
        </w:rPr>
      </w:pPr>
    </w:p>
    <w:p>
      <w:pPr>
        <w:pStyle w:val="2"/>
        <w:keepNext w:val="0"/>
        <w:keepLines w:val="0"/>
        <w:pageBreakBefore w:val="0"/>
        <w:kinsoku/>
        <w:wordWrap/>
        <w:overflowPunct/>
        <w:topLinePunct w:val="0"/>
        <w:bidi w:val="0"/>
        <w:adjustRightInd/>
        <w:snapToGrid/>
        <w:spacing w:line="540" w:lineRule="exact"/>
        <w:ind w:firstLine="723" w:firstLineChars="200"/>
        <w:textAlignment w:val="auto"/>
        <w:rPr>
          <w:rFonts w:hint="eastAsia" w:ascii="黑体" w:hAnsi="黑体" w:eastAsia="黑体" w:cs="黑体"/>
          <w:b/>
          <w:bCs/>
          <w:sz w:val="36"/>
          <w:szCs w:val="36"/>
        </w:rPr>
      </w:pPr>
    </w:p>
    <w:p>
      <w:pPr>
        <w:keepNext w:val="0"/>
        <w:keepLines w:val="0"/>
        <w:pageBreakBefore w:val="0"/>
        <w:kinsoku/>
        <w:wordWrap/>
        <w:overflowPunct/>
        <w:topLinePunct w:val="0"/>
        <w:bidi w:val="0"/>
        <w:adjustRightInd/>
        <w:snapToGrid/>
        <w:spacing w:line="540" w:lineRule="exact"/>
        <w:ind w:firstLine="723" w:firstLineChars="200"/>
        <w:textAlignment w:val="auto"/>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br w:type="page"/>
      </w:r>
    </w:p>
    <w:p>
      <w:pPr>
        <w:pStyle w:val="4"/>
        <w:keepNext w:val="0"/>
        <w:keepLines w:val="0"/>
        <w:pageBreakBefore w:val="0"/>
        <w:widowControl w:val="0"/>
        <w:kinsoku/>
        <w:wordWrap/>
        <w:overflowPunct/>
        <w:topLinePunct w:val="0"/>
        <w:autoSpaceDE w:val="0"/>
        <w:autoSpaceDN/>
        <w:bidi w:val="0"/>
        <w:adjustRightInd/>
        <w:snapToGrid/>
        <w:spacing w:before="0" w:line="540" w:lineRule="exact"/>
        <w:ind w:left="0" w:leftChars="0" w:right="0" w:firstLine="0" w:firstLineChars="0"/>
        <w:textAlignment w:val="auto"/>
        <w:rPr>
          <w:rFonts w:hint="eastAsia" w:ascii="黑体" w:hAnsi="黑体" w:eastAsia="黑体" w:cs="黑体"/>
          <w:b/>
          <w:bCs/>
          <w:sz w:val="36"/>
          <w:szCs w:val="36"/>
          <w:lang w:eastAsia="zh-CN"/>
        </w:rPr>
      </w:pPr>
      <w:bookmarkStart w:id="353" w:name="_Toc1119"/>
      <w:r>
        <w:rPr>
          <w:rFonts w:hint="eastAsia" w:ascii="黑体" w:hAnsi="黑体" w:eastAsia="黑体" w:cs="黑体"/>
          <w:b/>
          <w:bCs/>
          <w:sz w:val="36"/>
          <w:szCs w:val="36"/>
          <w:lang w:eastAsia="zh-CN"/>
        </w:rPr>
        <w:t>第</w:t>
      </w:r>
      <w:r>
        <w:rPr>
          <w:rFonts w:hint="eastAsia" w:ascii="黑体" w:hAnsi="黑体" w:eastAsia="黑体" w:cs="黑体"/>
          <w:b/>
          <w:bCs/>
          <w:sz w:val="36"/>
          <w:szCs w:val="36"/>
          <w:lang w:val="en-US" w:eastAsia="zh-CN"/>
        </w:rPr>
        <w:t>9</w:t>
      </w:r>
      <w:r>
        <w:rPr>
          <w:rFonts w:hint="eastAsia" w:ascii="黑体" w:hAnsi="黑体" w:eastAsia="黑体" w:cs="黑体"/>
          <w:b/>
          <w:bCs/>
          <w:sz w:val="36"/>
          <w:szCs w:val="36"/>
          <w:lang w:eastAsia="zh-CN"/>
        </w:rPr>
        <w:t>章</w:t>
      </w:r>
      <w:r>
        <w:rPr>
          <w:rFonts w:hint="default"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组织实施</w:t>
      </w:r>
      <w:bookmarkEnd w:id="351"/>
      <w:bookmarkEnd w:id="352"/>
      <w:bookmarkEnd w:id="353"/>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54" w:name="_Toc13229"/>
      <w:bookmarkStart w:id="355" w:name="_Toc20806"/>
      <w:bookmarkStart w:id="356" w:name="_Toc31021"/>
      <w:r>
        <w:rPr>
          <w:rFonts w:hint="eastAsia" w:ascii="楷体" w:hAnsi="楷体" w:eastAsia="楷体" w:cs="楷体"/>
          <w:b/>
          <w:bCs/>
          <w:sz w:val="32"/>
          <w:szCs w:val="32"/>
          <w:lang w:val="en-US" w:eastAsia="zh-CN"/>
        </w:rPr>
        <w:t>9.1 实施原则</w:t>
      </w:r>
      <w:bookmarkEnd w:id="354"/>
      <w:bookmarkEnd w:id="355"/>
      <w:bookmarkEnd w:id="356"/>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2"/>
        <w:rPr>
          <w:rFonts w:hint="eastAsia" w:ascii="仿宋" w:hAnsi="仿宋" w:eastAsia="仿宋" w:cs="仿宋"/>
          <w:b/>
          <w:bCs/>
          <w:sz w:val="32"/>
          <w:szCs w:val="32"/>
          <w:lang w:val="en-US" w:eastAsia="zh-CN"/>
        </w:rPr>
      </w:pPr>
      <w:bookmarkStart w:id="357" w:name="_Toc5842"/>
      <w:r>
        <w:rPr>
          <w:rFonts w:hint="eastAsia" w:ascii="仿宋" w:hAnsi="仿宋" w:eastAsia="仿宋" w:cs="仿宋"/>
          <w:b/>
          <w:bCs/>
          <w:sz w:val="32"/>
          <w:szCs w:val="32"/>
          <w:lang w:val="en-US" w:eastAsia="zh-CN"/>
        </w:rPr>
        <w:t>9.1.1 统一组织，协调推进</w:t>
      </w:r>
      <w:bookmarkEnd w:id="357"/>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崇明区第一次全国自然灾害综合风险普查领导小组统筹协调推进本次普查工作。区普查领导小组办公室设在区应急局，承担区普查领导小组的日常工作，督促落实区普查领导小组的议定事项，组织、协调、推进本次普查工作。区人民政府设立相应的普查领导小组及其办公室，按照全市普查工作的部署安排，统筹、协调、推进本区灾害综合风险普查工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2"/>
        <w:rPr>
          <w:rFonts w:hint="eastAsia" w:ascii="仿宋" w:hAnsi="仿宋" w:eastAsia="仿宋" w:cs="仿宋"/>
          <w:b/>
          <w:bCs/>
          <w:sz w:val="32"/>
          <w:szCs w:val="32"/>
          <w:lang w:val="en-US" w:eastAsia="zh-CN"/>
        </w:rPr>
      </w:pPr>
      <w:bookmarkStart w:id="358" w:name="14.1.2_分级负责，多方参与"/>
      <w:bookmarkEnd w:id="358"/>
      <w:bookmarkStart w:id="359" w:name="_Toc59"/>
      <w:r>
        <w:rPr>
          <w:rFonts w:hint="eastAsia" w:ascii="仿宋" w:hAnsi="仿宋" w:eastAsia="仿宋" w:cs="仿宋"/>
          <w:b/>
          <w:bCs/>
          <w:sz w:val="32"/>
          <w:szCs w:val="32"/>
          <w:lang w:val="en-US" w:eastAsia="zh-CN"/>
        </w:rPr>
        <w:t>9.1.2 分级负责，多方参与</w:t>
      </w:r>
      <w:bookmarkEnd w:id="359"/>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区人民政府是开展本次灾害综合风险普查的责任主体，区普查领导小组是同级人民政府授权的普查组织领导机构；区有关部门和乡镇、城乡社区、企事业单位应各司其职、各负其责、通力协作、密切配合，共同做好普查工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2"/>
        <w:rPr>
          <w:rFonts w:hint="eastAsia" w:ascii="仿宋" w:hAnsi="仿宋" w:eastAsia="仿宋" w:cs="仿宋"/>
          <w:b/>
          <w:bCs/>
          <w:sz w:val="32"/>
          <w:szCs w:val="32"/>
          <w:lang w:val="en-US" w:eastAsia="zh-CN"/>
        </w:rPr>
      </w:pPr>
      <w:bookmarkStart w:id="360" w:name="14.1.3_全面系统，突出综合"/>
      <w:bookmarkEnd w:id="360"/>
      <w:bookmarkStart w:id="361" w:name="_Toc2098"/>
      <w:r>
        <w:rPr>
          <w:rFonts w:hint="eastAsia" w:ascii="仿宋" w:hAnsi="仿宋" w:eastAsia="仿宋" w:cs="仿宋"/>
          <w:b/>
          <w:bCs/>
          <w:sz w:val="32"/>
          <w:szCs w:val="32"/>
          <w:lang w:val="en-US" w:eastAsia="zh-CN"/>
        </w:rPr>
        <w:t>9.1.3 全面系统，突出综合</w:t>
      </w:r>
      <w:bookmarkEnd w:id="361"/>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本次普查具有很强的全面性、综合性、专业性、系统性，既要全面调查灾害风险系统各要素，又要突出多灾种综合、多要素综合、多方法综合，充分利用现有数据信息资源，合理划分普查对象，科学组织实施，共享利用和及时更新普查成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outlineLvl w:val="2"/>
        <w:rPr>
          <w:rFonts w:hint="eastAsia" w:ascii="仿宋" w:hAnsi="仿宋" w:eastAsia="仿宋" w:cs="仿宋"/>
          <w:b/>
          <w:bCs/>
          <w:sz w:val="32"/>
          <w:szCs w:val="32"/>
          <w:lang w:val="en-US" w:eastAsia="zh-CN"/>
        </w:rPr>
      </w:pPr>
      <w:bookmarkStart w:id="362" w:name="14.1.4_因地制宜，分步实施"/>
      <w:bookmarkEnd w:id="362"/>
      <w:bookmarkStart w:id="363" w:name="_Toc28204"/>
      <w:r>
        <w:rPr>
          <w:rFonts w:hint="eastAsia" w:ascii="仿宋" w:hAnsi="仿宋" w:eastAsia="仿宋" w:cs="仿宋"/>
          <w:b/>
          <w:bCs/>
          <w:sz w:val="32"/>
          <w:szCs w:val="32"/>
          <w:lang w:val="en-US" w:eastAsia="zh-CN"/>
        </w:rPr>
        <w:t>9.1.4 因地制宜，分步实施</w:t>
      </w:r>
      <w:bookmarkEnd w:id="363"/>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要根据全国灾害综合风险普查总体安排，结合本区灾害类型、灾害损失特征、孕灾环境的实际情况，因地制宜，分步骤、分阶段，切实有序推进全区灾害综合风险普查工作。</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64" w:name="_Toc20285"/>
      <w:bookmarkStart w:id="365" w:name="_Toc32038"/>
      <w:bookmarkStart w:id="366" w:name="_Toc13998"/>
      <w:r>
        <w:rPr>
          <w:rFonts w:hint="eastAsia" w:ascii="楷体" w:hAnsi="楷体" w:eastAsia="楷体" w:cs="楷体"/>
          <w:b/>
          <w:bCs/>
          <w:sz w:val="32"/>
          <w:szCs w:val="32"/>
          <w:lang w:val="en-US" w:eastAsia="zh-CN"/>
        </w:rPr>
        <w:t>9.2 组织领导</w:t>
      </w:r>
      <w:bookmarkEnd w:id="364"/>
      <w:bookmarkEnd w:id="365"/>
      <w:bookmarkEnd w:id="366"/>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0"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spacing w:val="-5"/>
          <w:sz w:val="32"/>
          <w:szCs w:val="32"/>
          <w:lang w:val="en-US" w:eastAsia="zh-CN" w:bidi="zh-CN"/>
        </w:rPr>
        <w:t>依据全市普查工作的总体方案、实施方案及其细则、规范要求，结合本区实际情况，编制本区普查工作方案和实施</w:t>
      </w:r>
      <w:r>
        <w:rPr>
          <w:rFonts w:hint="eastAsia" w:ascii="仿宋" w:hAnsi="仿宋" w:eastAsia="仿宋" w:cs="仿宋"/>
          <w:spacing w:val="-5"/>
          <w:sz w:val="32"/>
          <w:szCs w:val="32"/>
          <w:lang w:val="zh-CN" w:eastAsia="zh-CN" w:bidi="zh-CN"/>
        </w:rPr>
        <w:t>细则</w:t>
      </w:r>
      <w:r>
        <w:rPr>
          <w:rFonts w:hint="eastAsia" w:ascii="仿宋" w:hAnsi="仿宋" w:eastAsia="仿宋" w:cs="仿宋"/>
          <w:spacing w:val="-5"/>
          <w:sz w:val="32"/>
          <w:szCs w:val="32"/>
          <w:lang w:val="en-US" w:eastAsia="zh-CN" w:bidi="zh-CN"/>
        </w:rPr>
        <w:t>，报市灾险普查办审核后印发。参照市级普查协调工作机制，建立区级普查领导小组及办公室，由区政府分管领导任组长，把普查工作作为推进本地区安全发展的重要内容，狠抓工作落实。严格落实属地行业主管部门监督指导责任，建立相应的工作机制，负责具体组织实施，做好进度安排、任务落地、资源调配等工作。负责本级普查数据成果全面审核和汇集上报，形成区域灾害风险普查成果，做好普查工作的总结和成果运用；加强对各乡镇和普查任务落实情况的督查考核，督促引导各乡镇按要求落实相关普查工作。各乡镇及基层社区根据本区普查工作安排，负责开展相关调查工作。</w:t>
      </w:r>
    </w:p>
    <w:p>
      <w:pPr>
        <w:pStyle w:val="5"/>
        <w:keepNext w:val="0"/>
        <w:keepLines w:val="0"/>
        <w:pageBreakBefore w:val="0"/>
        <w:widowControl w:val="0"/>
        <w:numPr>
          <w:ilvl w:val="0"/>
          <w:numId w:val="0"/>
        </w:numPr>
        <w:tabs>
          <w:tab w:val="left" w:pos="880"/>
        </w:tabs>
        <w:kinsoku/>
        <w:wordWrap/>
        <w:overflowPunct/>
        <w:topLinePunct w:val="0"/>
        <w:autoSpaceDE w:val="0"/>
        <w:autoSpaceDN/>
        <w:bidi w:val="0"/>
        <w:adjustRightInd/>
        <w:snapToGrid/>
        <w:spacing w:before="0" w:beforeLines="30" w:after="0" w:afterLines="30" w:line="540" w:lineRule="exact"/>
        <w:ind w:right="0" w:rightChars="0"/>
        <w:jc w:val="both"/>
        <w:textAlignment w:val="auto"/>
        <w:rPr>
          <w:rFonts w:hint="eastAsia" w:ascii="楷体" w:hAnsi="楷体" w:eastAsia="楷体" w:cs="楷体"/>
          <w:b/>
          <w:bCs/>
          <w:sz w:val="32"/>
          <w:szCs w:val="32"/>
          <w:lang w:val="en-US" w:eastAsia="zh-CN"/>
        </w:rPr>
      </w:pPr>
      <w:bookmarkStart w:id="367" w:name="_Toc13266"/>
      <w:bookmarkStart w:id="368" w:name="_Toc1356"/>
      <w:bookmarkStart w:id="369" w:name="_Toc2865"/>
      <w:r>
        <w:rPr>
          <w:rFonts w:hint="eastAsia" w:ascii="楷体" w:hAnsi="楷体" w:eastAsia="楷体" w:cs="楷体"/>
          <w:b/>
          <w:bCs/>
          <w:sz w:val="32"/>
          <w:szCs w:val="32"/>
          <w:lang w:val="en-US" w:eastAsia="zh-CN"/>
        </w:rPr>
        <w:t>9.3 保障措施</w:t>
      </w:r>
      <w:bookmarkEnd w:id="367"/>
      <w:bookmarkEnd w:id="368"/>
      <w:bookmarkEnd w:id="369"/>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370" w:name="_Toc15458"/>
      <w:r>
        <w:rPr>
          <w:rFonts w:hint="eastAsia" w:ascii="仿宋" w:hAnsi="仿宋" w:eastAsia="仿宋" w:cs="仿宋"/>
          <w:b/>
          <w:bCs/>
          <w:sz w:val="32"/>
          <w:szCs w:val="32"/>
          <w:lang w:val="en-US" w:eastAsia="zh-CN"/>
        </w:rPr>
        <w:t>9.3.1 加强组织领导</w:t>
      </w:r>
      <w:bookmarkEnd w:id="370"/>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（1）健全工作机制。</w:t>
      </w:r>
      <w:r>
        <w:rPr>
          <w:rFonts w:hint="eastAsia" w:ascii="仿宋" w:hAnsi="仿宋" w:eastAsia="仿宋" w:cs="仿宋"/>
          <w:spacing w:val="-5"/>
          <w:sz w:val="32"/>
          <w:szCs w:val="32"/>
          <w:lang w:val="en-US" w:eastAsia="zh-CN" w:bidi="zh-CN"/>
        </w:rPr>
        <w:t>本次普查工作具有涉及范围广、参与部门多、协同任务重、工作难度大的主要特征，各单位要坚持以习近平新时代中国特色社会主义思想为指导，贯彻“人民城市人民建，人民城市为人民”的重要理念，把此项工作纳入重要议事日程，各司其职、各负其责、通力协作、密切配合，共同做好普查工作。各单位要建立健全普查工作机制，充分整合已有资源，配强人员队伍，认真组织做好普查实施工作，及时采取措施，解决普查工作中遇到的困难和问题。要充分发挥乡镇政府和居（村）民委员会的作用，广泛动员和组织社会力量，积极参与并配合做好普查工作，完成区普查数据成果审核汇集，形成区级灾害风险普查成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（2）压实普查责任。</w:t>
      </w:r>
      <w:r>
        <w:rPr>
          <w:rFonts w:hint="eastAsia" w:ascii="仿宋" w:hAnsi="仿宋" w:eastAsia="仿宋" w:cs="仿宋"/>
          <w:spacing w:val="-5"/>
          <w:sz w:val="32"/>
          <w:szCs w:val="32"/>
          <w:lang w:val="en-US" w:eastAsia="zh-CN" w:bidi="zh-CN"/>
        </w:rPr>
        <w:t>本次普查按照“在地统计”原则，以区级行政区划为基本工作单元，区政府、有关部门及乡镇既是普查实施主体，也是普查对象，既要依据自身行政职能和本次普查方案中规定的职责，认真做好自身信息的填报，也要高效协调推动其他普查对象完成普查任务。各单位要建立普查工作考核评价机制，将普查工作情况纳入本地区和部门的目标责任制考核，压紧压实同级部门的普查主体责任，强化监督检查，定时跟踪进展，推动任务落实。</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371" w:name="_Toc22294"/>
      <w:r>
        <w:rPr>
          <w:rFonts w:hint="eastAsia" w:ascii="仿宋" w:hAnsi="仿宋" w:eastAsia="仿宋" w:cs="仿宋"/>
          <w:b/>
          <w:bCs/>
          <w:sz w:val="32"/>
          <w:szCs w:val="32"/>
          <w:lang w:val="en-US" w:eastAsia="zh-CN"/>
        </w:rPr>
        <w:t>9.3.2 落实保障支持</w:t>
      </w:r>
      <w:bookmarkEnd w:id="371"/>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（1）强化技术支撑。</w:t>
      </w:r>
      <w:r>
        <w:rPr>
          <w:rFonts w:hint="eastAsia" w:ascii="仿宋" w:hAnsi="仿宋" w:eastAsia="仿宋" w:cs="仿宋"/>
          <w:spacing w:val="-5"/>
          <w:sz w:val="32"/>
          <w:szCs w:val="32"/>
          <w:lang w:val="en-US" w:eastAsia="zh-CN" w:bidi="zh-CN"/>
        </w:rPr>
        <w:t>本次普查专业性强、技术要求高，各级、各单位要充分发挥相关行业领域技术单位、专业队伍和有关科研机构与高等院校等专业力量的作用，通过政府购买服务等方式，选择具有地理测绘、环境科学、水利、气象、海洋、地质勘查等领域专业且信誉良好的技术支撑单位参与普查工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（2）落实经费保障。</w:t>
      </w:r>
      <w:r>
        <w:rPr>
          <w:rFonts w:hint="eastAsia" w:ascii="仿宋" w:hAnsi="仿宋" w:eastAsia="仿宋" w:cs="仿宋"/>
          <w:spacing w:val="-5"/>
          <w:sz w:val="32"/>
          <w:szCs w:val="32"/>
          <w:lang w:val="en-US" w:eastAsia="zh-CN" w:bidi="zh-CN"/>
        </w:rPr>
        <w:t>本次普查是全国首次开展的国情国力调查，是必须保质保量完成的政治任务、国家统一行动，是一个新增的、非常规的、阶段性的专项工作。本次普查所需专项经费由市、区两级财政共同承担；市财政负责市级相关支出和市级部门承担的普查工作相关支出，区财政保障本区灾害风险普查所需经费。按照普查的任务分工及“费随事走”“事权财权一致”的财政保障原则，市、区两级分部门、分年度编制财政预算，由各级财政部门在普查规定期限内，分年度保障普查所需经费，切实保障本次灾害风险普查各项工作顺利开展。要加强资金使用的监督、审计和绩效管理，确保专款专用，提升资金使用绩效。目前已安排各领域的常态化风险调查工作经费，要优先用于本次普查工作。</w:t>
      </w:r>
    </w:p>
    <w:p>
      <w:pPr>
        <w:pStyle w:val="6"/>
        <w:keepNext w:val="0"/>
        <w:keepLines w:val="0"/>
        <w:pageBreakBefore w:val="0"/>
        <w:widowControl w:val="0"/>
        <w:numPr>
          <w:ilvl w:val="0"/>
          <w:numId w:val="0"/>
        </w:numPr>
        <w:tabs>
          <w:tab w:val="left" w:pos="1069"/>
        </w:tabs>
        <w:kinsoku/>
        <w:wordWrap/>
        <w:overflowPunct/>
        <w:topLinePunct w:val="0"/>
        <w:autoSpaceDE w:val="0"/>
        <w:autoSpaceDN/>
        <w:bidi w:val="0"/>
        <w:adjustRightInd/>
        <w:snapToGrid/>
        <w:spacing w:before="0" w:beforeLines="30" w:after="0" w:afterLines="30" w:line="540" w:lineRule="exact"/>
        <w:ind w:left="0" w:right="0" w:rightChars="0" w:firstLine="643" w:firstLineChars="200"/>
        <w:jc w:val="both"/>
        <w:textAlignment w:val="auto"/>
        <w:rPr>
          <w:rFonts w:hint="eastAsia" w:ascii="仿宋" w:hAnsi="仿宋" w:eastAsia="仿宋" w:cs="仿宋"/>
          <w:b/>
          <w:bCs/>
          <w:sz w:val="32"/>
          <w:szCs w:val="32"/>
          <w:lang w:val="en-US" w:eastAsia="zh-CN"/>
        </w:rPr>
      </w:pPr>
      <w:bookmarkStart w:id="372" w:name="_Toc355"/>
      <w:r>
        <w:rPr>
          <w:rFonts w:hint="eastAsia" w:ascii="仿宋" w:hAnsi="仿宋" w:eastAsia="仿宋" w:cs="仿宋"/>
          <w:b/>
          <w:bCs/>
          <w:sz w:val="32"/>
          <w:szCs w:val="32"/>
          <w:lang w:val="en-US" w:eastAsia="zh-CN"/>
        </w:rPr>
        <w:t>9.3.3 强化成果管理</w:t>
      </w:r>
      <w:bookmarkEnd w:id="372"/>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（1）加强共享应用。</w:t>
      </w:r>
      <w:r>
        <w:rPr>
          <w:rFonts w:hint="eastAsia" w:ascii="仿宋" w:hAnsi="仿宋" w:eastAsia="仿宋" w:cs="仿宋"/>
          <w:spacing w:val="-5"/>
          <w:sz w:val="32"/>
          <w:szCs w:val="32"/>
          <w:lang w:val="en-US" w:eastAsia="zh-CN" w:bidi="zh-CN"/>
        </w:rPr>
        <w:t>充分利用第一次全国地理国情普查、第一次全国水利普查、第三次全国国土调查、第三次全国农业普查、第四次全国经济普查和地震区划与安全性调查、重点防洪地区洪水风险图编制、地质灾害调查、第九次森林资源清查、全国气象灾害普查试点等专项调查和评估成果，系统梳理本次普查产生的新数据资料，建立共享目录，建设集成系统，推进共建共享，支撑开展灾害综合风险普查与常态化灾害风险调查和隐患调查业务工作。</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23" w:firstLineChars="200"/>
        <w:jc w:val="both"/>
        <w:textAlignment w:val="auto"/>
        <w:rPr>
          <w:rFonts w:hint="eastAsia" w:ascii="仿宋" w:hAnsi="仿宋" w:eastAsia="仿宋" w:cs="仿宋"/>
          <w:spacing w:val="-5"/>
          <w:sz w:val="32"/>
          <w:szCs w:val="32"/>
          <w:lang w:val="en-US" w:eastAsia="zh-CN" w:bidi="zh-CN"/>
        </w:rPr>
      </w:pPr>
      <w:r>
        <w:rPr>
          <w:rFonts w:hint="eastAsia" w:ascii="仿宋" w:hAnsi="仿宋" w:eastAsia="仿宋" w:cs="仿宋"/>
          <w:b/>
          <w:bCs/>
          <w:spacing w:val="-5"/>
          <w:sz w:val="32"/>
          <w:szCs w:val="32"/>
          <w:lang w:val="en-US" w:eastAsia="zh-CN" w:bidi="zh-CN"/>
        </w:rPr>
        <w:t>（2）严格作风纪律。</w:t>
      </w:r>
      <w:r>
        <w:rPr>
          <w:rFonts w:hint="eastAsia" w:ascii="仿宋" w:hAnsi="仿宋" w:eastAsia="仿宋" w:cs="仿宋"/>
          <w:spacing w:val="-5"/>
          <w:sz w:val="32"/>
          <w:szCs w:val="32"/>
          <w:lang w:val="en-US" w:eastAsia="zh-CN" w:bidi="zh-CN"/>
        </w:rPr>
        <w:t>参与自然灾害综合风险普查的工作人员和普查对象必须严格按照《中华人民共和国统计法》的有关规定和本次普查的具体要求，如实反映情况，提供有关数据，按时完成普查工作，确保数据完整、真实、可靠。区有关部门（单位）和个人不得虚报、瞒报、拒报、迟报，不得伪造、篡改普查数据。普查结果要逐级审核上报，按规定程序报批后对外发布。</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3" w:firstLineChars="200"/>
        <w:jc w:val="both"/>
        <w:textAlignment w:val="auto"/>
        <w:rPr>
          <w:rFonts w:hint="eastAsia" w:ascii="仿宋" w:hAnsi="仿宋" w:eastAsia="仿宋" w:cs="仿宋"/>
          <w:spacing w:val="-9"/>
          <w:sz w:val="32"/>
          <w:szCs w:val="32"/>
        </w:rPr>
      </w:pPr>
      <w:r>
        <w:rPr>
          <w:rFonts w:hint="eastAsia" w:ascii="仿宋" w:hAnsi="仿宋" w:eastAsia="仿宋" w:cs="仿宋"/>
          <w:b/>
          <w:bCs/>
          <w:sz w:val="32"/>
          <w:szCs w:val="32"/>
          <w:lang w:val="en-US" w:eastAsia="zh-CN"/>
        </w:rPr>
        <w:t>（3）强化保密意识。</w:t>
      </w:r>
      <w:r>
        <w:rPr>
          <w:rFonts w:hint="eastAsia" w:ascii="仿宋" w:hAnsi="仿宋" w:eastAsia="仿宋" w:cs="仿宋"/>
          <w:b w:val="0"/>
          <w:bCs w:val="0"/>
          <w:sz w:val="32"/>
          <w:szCs w:val="32"/>
          <w:lang w:val="en-US" w:eastAsia="zh-CN"/>
        </w:rPr>
        <w:t>自然灾害综合</w:t>
      </w:r>
      <w:r>
        <w:rPr>
          <w:rFonts w:hint="eastAsia" w:ascii="仿宋" w:hAnsi="仿宋" w:eastAsia="仿宋" w:cs="仿宋"/>
          <w:sz w:val="32"/>
          <w:szCs w:val="32"/>
        </w:rPr>
        <w:t>风险普查专业性强、信息敏感度高，</w:t>
      </w:r>
      <w:r>
        <w:rPr>
          <w:rFonts w:hint="eastAsia" w:ascii="仿宋" w:hAnsi="仿宋" w:eastAsia="仿宋" w:cs="仿宋"/>
          <w:spacing w:val="-12"/>
          <w:sz w:val="32"/>
          <w:szCs w:val="32"/>
        </w:rPr>
        <w:t>各单位要提高保密意识，与相关人员签订保密协议，对在普查中所</w:t>
      </w:r>
      <w:r>
        <w:rPr>
          <w:rFonts w:hint="eastAsia" w:ascii="仿宋" w:hAnsi="仿宋" w:eastAsia="仿宋" w:cs="仿宋"/>
          <w:spacing w:val="-9"/>
          <w:sz w:val="32"/>
          <w:szCs w:val="32"/>
        </w:rPr>
        <w:t>获悉的涉密资料和内部数据信息，严格落实有关保密规定，督促相关人</w:t>
      </w:r>
      <w:r>
        <w:rPr>
          <w:rFonts w:hint="eastAsia" w:ascii="仿宋" w:hAnsi="仿宋" w:eastAsia="仿宋" w:cs="仿宋"/>
          <w:spacing w:val="-3"/>
          <w:sz w:val="32"/>
          <w:szCs w:val="32"/>
        </w:rPr>
        <w:t>员严格履行保密义</w:t>
      </w:r>
      <w:r>
        <w:rPr>
          <w:rFonts w:hint="eastAsia" w:ascii="仿宋" w:hAnsi="仿宋" w:eastAsia="仿宋" w:cs="仿宋"/>
          <w:spacing w:val="-9"/>
          <w:sz w:val="32"/>
          <w:szCs w:val="32"/>
        </w:rPr>
        <w:t>务，防止泄密事件发生。</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07" w:firstLineChars="200"/>
        <w:jc w:val="both"/>
        <w:textAlignment w:val="auto"/>
        <w:rPr>
          <w:rFonts w:hint="eastAsia" w:ascii="仿宋" w:hAnsi="仿宋" w:eastAsia="仿宋" w:cs="仿宋"/>
          <w:spacing w:val="-9"/>
          <w:sz w:val="32"/>
          <w:szCs w:val="32"/>
          <w:lang w:val="en-US"/>
        </w:rPr>
      </w:pPr>
      <w:r>
        <w:rPr>
          <w:rFonts w:hint="eastAsia" w:ascii="仿宋" w:hAnsi="仿宋" w:eastAsia="仿宋" w:cs="仿宋"/>
          <w:b/>
          <w:bCs/>
          <w:spacing w:val="-9"/>
          <w:sz w:val="32"/>
          <w:szCs w:val="32"/>
          <w:lang w:val="en-US" w:eastAsia="zh-CN"/>
        </w:rPr>
        <w:t>（4）广泛深入宣传。</w:t>
      </w:r>
      <w:r>
        <w:rPr>
          <w:rFonts w:hint="eastAsia" w:ascii="仿宋" w:hAnsi="仿宋" w:eastAsia="仿宋" w:cs="仿宋"/>
          <w:spacing w:val="-9"/>
          <w:sz w:val="32"/>
          <w:szCs w:val="32"/>
        </w:rPr>
        <w:t>各单位要充分认识开展自然灾害综合风险普查的目的和意义，深入学习领会精神，准确把握普查的目标和任务。</w:t>
      </w:r>
    </w:p>
    <w:p>
      <w:pPr>
        <w:keepNext w:val="0"/>
        <w:keepLines w:val="0"/>
        <w:pageBreakBefore w:val="0"/>
        <w:widowControl w:val="0"/>
        <w:kinsoku/>
        <w:wordWrap/>
        <w:overflowPunct/>
        <w:topLinePunct w:val="0"/>
        <w:autoSpaceDE w:val="0"/>
        <w:autoSpaceDN/>
        <w:bidi w:val="0"/>
        <w:adjustRightInd/>
        <w:snapToGrid/>
        <w:spacing w:line="540" w:lineRule="exact"/>
        <w:ind w:left="0" w:leftChars="0" w:right="0" w:firstLine="640" w:firstLineChars="200"/>
        <w:jc w:val="center"/>
        <w:textAlignment w:val="auto"/>
        <w:outlineLvl w:val="9"/>
        <w:rPr>
          <w:rFonts w:hint="eastAsia" w:ascii="仿宋" w:hAnsi="仿宋" w:eastAsia="仿宋" w:cs="仿宋"/>
          <w:sz w:val="32"/>
          <w:szCs w:val="32"/>
        </w:rPr>
      </w:pPr>
      <w:bookmarkStart w:id="373" w:name="附件一：进度安排"/>
      <w:bookmarkEnd w:id="373"/>
      <w:bookmarkStart w:id="374" w:name="_Toc28983"/>
      <w:bookmarkStart w:id="375" w:name="_Toc3120"/>
      <w:bookmarkStart w:id="376" w:name="_Toc13698"/>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before="0" w:line="560" w:lineRule="exact"/>
        <w:ind w:left="0" w:leftChars="0" w:right="0" w:firstLine="640" w:firstLineChars="200"/>
        <w:jc w:val="center"/>
        <w:outlineLvl w:val="9"/>
        <w:rPr>
          <w:rFonts w:hint="eastAsia" w:ascii="仿宋" w:hAnsi="仿宋" w:eastAsia="仿宋" w:cs="仿宋"/>
          <w:sz w:val="32"/>
          <w:szCs w:val="32"/>
        </w:rPr>
      </w:pPr>
    </w:p>
    <w:p>
      <w:pPr>
        <w:pStyle w:val="2"/>
        <w:rPr>
          <w:rFonts w:hint="eastAsia"/>
        </w:rPr>
      </w:pPr>
    </w:p>
    <w:p>
      <w:pPr>
        <w:rPr>
          <w:rFonts w:hint="eastAsia" w:ascii="黑体" w:hAnsi="黑体" w:eastAsia="黑体" w:cs="黑体"/>
          <w:b/>
          <w:bCs/>
          <w:sz w:val="36"/>
          <w:szCs w:val="36"/>
        </w:rPr>
      </w:pPr>
      <w:r>
        <w:rPr>
          <w:rFonts w:hint="eastAsia" w:ascii="黑体" w:hAnsi="黑体" w:eastAsia="黑体" w:cs="黑体"/>
          <w:b/>
          <w:bCs/>
          <w:sz w:val="36"/>
          <w:szCs w:val="36"/>
        </w:rPr>
        <w:br w:type="page"/>
      </w:r>
    </w:p>
    <w:p>
      <w:pPr>
        <w:pStyle w:val="4"/>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both"/>
        <w:textAlignment w:val="auto"/>
        <w:rPr>
          <w:rFonts w:hint="eastAsia" w:ascii="仿宋" w:hAnsi="仿宋" w:eastAsia="仿宋" w:cs="仿宋"/>
          <w:sz w:val="36"/>
          <w:szCs w:val="36"/>
        </w:rPr>
      </w:pPr>
      <w:bookmarkStart w:id="377" w:name="_Toc1333"/>
      <w:r>
        <w:rPr>
          <w:rFonts w:hint="eastAsia" w:ascii="黑体" w:hAnsi="黑体" w:eastAsia="黑体" w:cs="黑体"/>
          <w:b/>
          <w:bCs/>
          <w:sz w:val="36"/>
          <w:szCs w:val="36"/>
        </w:rPr>
        <w:t>附件一：进度安排</w:t>
      </w:r>
      <w:bookmarkEnd w:id="374"/>
      <w:bookmarkEnd w:id="375"/>
      <w:bookmarkEnd w:id="376"/>
      <w:bookmarkEnd w:id="377"/>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0" w:firstLineChars="0"/>
        <w:jc w:val="center"/>
        <w:textAlignment w:val="auto"/>
        <w:rPr>
          <w:rFonts w:hint="eastAsia" w:ascii="仿宋" w:hAnsi="仿宋" w:eastAsia="仿宋" w:cs="仿宋"/>
          <w:b/>
          <w:sz w:val="32"/>
          <w:szCs w:val="32"/>
        </w:rPr>
      </w:pPr>
      <w:r>
        <w:rPr>
          <w:rFonts w:hint="eastAsia" w:ascii="仿宋" w:hAnsi="仿宋" w:eastAsia="仿宋" w:cs="仿宋"/>
          <w:b/>
          <w:sz w:val="32"/>
          <w:szCs w:val="32"/>
          <w:lang w:eastAsia="zh-CN"/>
        </w:rPr>
        <w:t>崇明区</w:t>
      </w:r>
      <w:r>
        <w:rPr>
          <w:rFonts w:hint="eastAsia" w:ascii="仿宋" w:hAnsi="仿宋" w:eastAsia="仿宋" w:cs="仿宋"/>
          <w:b/>
          <w:sz w:val="32"/>
          <w:szCs w:val="32"/>
        </w:rPr>
        <w:t>第一次</w:t>
      </w:r>
      <w:r>
        <w:rPr>
          <w:rFonts w:hint="eastAsia" w:ascii="仿宋" w:hAnsi="仿宋" w:eastAsia="仿宋" w:cs="仿宋"/>
          <w:b/>
          <w:sz w:val="32"/>
          <w:szCs w:val="32"/>
          <w:lang w:val="en-US" w:eastAsia="zh-CN"/>
        </w:rPr>
        <w:t>全国</w:t>
      </w:r>
      <w:r>
        <w:rPr>
          <w:rFonts w:hint="eastAsia" w:ascii="仿宋" w:hAnsi="仿宋" w:eastAsia="仿宋" w:cs="仿宋"/>
          <w:b/>
          <w:sz w:val="32"/>
          <w:szCs w:val="32"/>
        </w:rPr>
        <w:t>自然灾害综合风险普查工作进度安排</w:t>
      </w:r>
    </w:p>
    <w:tbl>
      <w:tblPr>
        <w:tblStyle w:val="24"/>
        <w:tblW w:w="8311" w:type="dxa"/>
        <w:tblInd w:w="96" w:type="dxa"/>
        <w:shd w:val="clear" w:color="auto" w:fill="auto"/>
        <w:tblLayout w:type="fixed"/>
        <w:tblCellMar>
          <w:top w:w="0" w:type="dxa"/>
          <w:left w:w="108" w:type="dxa"/>
          <w:bottom w:w="0" w:type="dxa"/>
          <w:right w:w="108" w:type="dxa"/>
        </w:tblCellMar>
      </w:tblPr>
      <w:tblGrid>
        <w:gridCol w:w="1627"/>
        <w:gridCol w:w="852"/>
        <w:gridCol w:w="4020"/>
        <w:gridCol w:w="1812"/>
      </w:tblGrid>
      <w:tr>
        <w:tblPrEx>
          <w:shd w:val="clear" w:color="auto" w:fill="auto"/>
          <w:tblLayout w:type="fixed"/>
          <w:tblCellMar>
            <w:top w:w="0" w:type="dxa"/>
            <w:left w:w="108" w:type="dxa"/>
            <w:bottom w:w="0" w:type="dxa"/>
            <w:right w:w="108" w:type="dxa"/>
          </w:tblCellMar>
        </w:tblPrEx>
        <w:trPr>
          <w:trHeight w:val="363" w:hRule="atLeast"/>
        </w:trPr>
        <w:tc>
          <w:tcPr>
            <w:tcW w:w="162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工作项目</w:t>
            </w:r>
          </w:p>
        </w:tc>
        <w:tc>
          <w:tcPr>
            <w:tcW w:w="85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402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工作内容</w:t>
            </w:r>
          </w:p>
        </w:tc>
        <w:tc>
          <w:tcPr>
            <w:tcW w:w="181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时间安排</w:t>
            </w:r>
          </w:p>
        </w:tc>
      </w:tr>
      <w:tr>
        <w:tblPrEx>
          <w:shd w:val="clear" w:color="auto" w:fill="auto"/>
          <w:tblLayout w:type="fixed"/>
          <w:tblCellMar>
            <w:top w:w="0" w:type="dxa"/>
            <w:left w:w="108" w:type="dxa"/>
            <w:bottom w:w="0" w:type="dxa"/>
            <w:right w:w="108" w:type="dxa"/>
          </w:tblCellMar>
        </w:tblPrEx>
        <w:trPr>
          <w:trHeight w:val="363" w:hRule="atLeast"/>
        </w:trPr>
        <w:tc>
          <w:tcPr>
            <w:tcW w:w="162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一、编制印发实施方案</w:t>
            </w: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编制印发《崇明区第一次全国自然灾害综合风险普查实施细则》。</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2021年7-8月</w:t>
            </w:r>
          </w:p>
        </w:tc>
      </w:tr>
      <w:tr>
        <w:tblPrEx>
          <w:shd w:val="clear" w:color="auto" w:fill="auto"/>
          <w:tblLayout w:type="fixed"/>
          <w:tblCellMar>
            <w:top w:w="0" w:type="dxa"/>
            <w:left w:w="108" w:type="dxa"/>
            <w:bottom w:w="0" w:type="dxa"/>
            <w:right w:w="108" w:type="dxa"/>
          </w:tblCellMar>
        </w:tblPrEx>
        <w:trPr>
          <w:trHeight w:val="363" w:hRule="atLeast"/>
        </w:trPr>
        <w:tc>
          <w:tcPr>
            <w:tcW w:w="162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二、普查宣传及准备工作</w:t>
            </w: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编制印发《崇明区第一次全国自然灾害综合风险普查宣传工作方案》。</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2021年7-8月</w:t>
            </w:r>
          </w:p>
        </w:tc>
      </w:tr>
      <w:tr>
        <w:tblPrEx>
          <w:shd w:val="clear" w:color="auto" w:fill="auto"/>
          <w:tblLayout w:type="fixed"/>
          <w:tblCellMar>
            <w:top w:w="0" w:type="dxa"/>
            <w:left w:w="108" w:type="dxa"/>
            <w:bottom w:w="0" w:type="dxa"/>
            <w:right w:w="108" w:type="dxa"/>
          </w:tblCellMar>
        </w:tblPrEx>
        <w:trPr>
          <w:trHeight w:val="363"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各单位通过网络、报刊等媒体开展普查动员及宣传活动。</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2021年7月起</w:t>
            </w:r>
          </w:p>
        </w:tc>
      </w:tr>
      <w:tr>
        <w:tblPrEx>
          <w:shd w:val="clear" w:color="auto" w:fill="auto"/>
          <w:tblLayout w:type="fixed"/>
          <w:tblCellMar>
            <w:top w:w="0" w:type="dxa"/>
            <w:left w:w="108" w:type="dxa"/>
            <w:bottom w:w="0" w:type="dxa"/>
            <w:right w:w="108" w:type="dxa"/>
          </w:tblCellMar>
        </w:tblPrEx>
        <w:trPr>
          <w:trHeight w:val="363" w:hRule="atLeast"/>
        </w:trPr>
        <w:tc>
          <w:tcPr>
            <w:tcW w:w="162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三、调查与评估</w:t>
            </w: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总结清查成果， 调查异常数据情况。</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2021年6月</w:t>
            </w:r>
          </w:p>
        </w:tc>
      </w:tr>
      <w:tr>
        <w:tblPrEx>
          <w:shd w:val="clear" w:color="auto" w:fill="auto"/>
          <w:tblLayout w:type="fixed"/>
          <w:tblCellMar>
            <w:top w:w="0" w:type="dxa"/>
            <w:left w:w="108" w:type="dxa"/>
            <w:bottom w:w="0" w:type="dxa"/>
            <w:right w:w="108" w:type="dxa"/>
          </w:tblCellMar>
        </w:tblPrEx>
        <w:trPr>
          <w:trHeight w:val="363"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组织开展实施细则与技术规范、软件培训。</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2021年7月</w:t>
            </w:r>
          </w:p>
        </w:tc>
      </w:tr>
      <w:tr>
        <w:tblPrEx>
          <w:shd w:val="clear" w:color="auto" w:fill="auto"/>
          <w:tblLayout w:type="fixed"/>
          <w:tblCellMar>
            <w:top w:w="0" w:type="dxa"/>
            <w:left w:w="108" w:type="dxa"/>
            <w:bottom w:w="0" w:type="dxa"/>
            <w:right w:w="108" w:type="dxa"/>
          </w:tblCellMar>
        </w:tblPrEx>
        <w:trPr>
          <w:trHeight w:val="711"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完成调查主体工作，对各部门提交的调查成果进行质检、核查， 汇交并形成区级综合性调查成果。</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2021年6-11月</w:t>
            </w:r>
          </w:p>
        </w:tc>
      </w:tr>
      <w:tr>
        <w:tblPrEx>
          <w:shd w:val="clear" w:color="auto" w:fill="auto"/>
          <w:tblLayout w:type="fixed"/>
          <w:tblCellMar>
            <w:top w:w="0" w:type="dxa"/>
            <w:left w:w="108" w:type="dxa"/>
            <w:bottom w:w="0" w:type="dxa"/>
            <w:right w:w="108" w:type="dxa"/>
          </w:tblCellMar>
        </w:tblPrEx>
        <w:trPr>
          <w:trHeight w:val="363"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配合市级完成各行业调查数据和成果质检、核查与汇交。</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2021年6-12月</w:t>
            </w:r>
          </w:p>
        </w:tc>
      </w:tr>
      <w:tr>
        <w:tblPrEx>
          <w:shd w:val="clear" w:color="auto" w:fill="auto"/>
          <w:tblLayout w:type="fixed"/>
          <w:tblCellMar>
            <w:top w:w="0" w:type="dxa"/>
            <w:left w:w="108" w:type="dxa"/>
            <w:bottom w:w="0" w:type="dxa"/>
            <w:right w:w="108" w:type="dxa"/>
          </w:tblCellMar>
        </w:tblPrEx>
        <w:trPr>
          <w:trHeight w:val="711"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配合市级各行业部门完成市、区两级单灾种、单要素评估与区划工作，形成市级综合评估与区划成果。</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2021年9月－ 2022年2月</w:t>
            </w:r>
          </w:p>
        </w:tc>
      </w:tr>
      <w:tr>
        <w:tblPrEx>
          <w:shd w:val="clear" w:color="auto" w:fill="auto"/>
          <w:tblLayout w:type="fixed"/>
          <w:tblCellMar>
            <w:top w:w="0" w:type="dxa"/>
            <w:left w:w="108" w:type="dxa"/>
            <w:bottom w:w="0" w:type="dxa"/>
            <w:right w:w="108" w:type="dxa"/>
          </w:tblCellMar>
        </w:tblPrEx>
        <w:trPr>
          <w:trHeight w:val="711"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配合市级完成市、区两级综合隐患评估、综合风险评估与区划工作，形成市级综合评估与区划成果。</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2022年2-6月</w:t>
            </w:r>
          </w:p>
        </w:tc>
      </w:tr>
      <w:tr>
        <w:tblPrEx>
          <w:tblLayout w:type="fixed"/>
          <w:tblCellMar>
            <w:top w:w="0" w:type="dxa"/>
            <w:left w:w="108" w:type="dxa"/>
            <w:bottom w:w="0" w:type="dxa"/>
            <w:right w:w="108" w:type="dxa"/>
          </w:tblCellMar>
        </w:tblPrEx>
        <w:trPr>
          <w:trHeight w:val="363" w:hRule="atLeast"/>
        </w:trPr>
        <w:tc>
          <w:tcPr>
            <w:tcW w:w="162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四、工作总结和成果应用</w:t>
            </w: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10</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完成普查工作总结与表彰。</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2022年5-8月</w:t>
            </w:r>
          </w:p>
        </w:tc>
      </w:tr>
      <w:tr>
        <w:tblPrEx>
          <w:shd w:val="clear" w:color="auto" w:fill="auto"/>
          <w:tblLayout w:type="fixed"/>
          <w:tblCellMar>
            <w:top w:w="0" w:type="dxa"/>
            <w:left w:w="108" w:type="dxa"/>
            <w:bottom w:w="0" w:type="dxa"/>
            <w:right w:w="108" w:type="dxa"/>
          </w:tblCellMar>
        </w:tblPrEx>
        <w:trPr>
          <w:trHeight w:val="363"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11</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发布普查相关成果。</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2022年12月－2023年6月</w:t>
            </w:r>
          </w:p>
        </w:tc>
      </w:tr>
      <w:tr>
        <w:tblPrEx>
          <w:shd w:val="clear" w:color="auto" w:fill="auto"/>
          <w:tblLayout w:type="fixed"/>
          <w:tblCellMar>
            <w:top w:w="0" w:type="dxa"/>
            <w:left w:w="108" w:type="dxa"/>
            <w:bottom w:w="0" w:type="dxa"/>
            <w:right w:w="108" w:type="dxa"/>
          </w:tblCellMar>
        </w:tblPrEx>
        <w:trPr>
          <w:trHeight w:val="363" w:hRule="atLeast"/>
        </w:trPr>
        <w:tc>
          <w:tcPr>
            <w:tcW w:w="1627"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5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w:t>
            </w:r>
          </w:p>
        </w:tc>
        <w:tc>
          <w:tcPr>
            <w:tcW w:w="402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普查成果深化应用。</w:t>
            </w:r>
          </w:p>
        </w:tc>
        <w:tc>
          <w:tcPr>
            <w:tcW w:w="181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2021年7月起</w:t>
            </w:r>
          </w:p>
        </w:tc>
      </w:tr>
    </w:tbl>
    <w:p>
      <w:pPr>
        <w:keepNext w:val="0"/>
        <w:keepLines w:val="0"/>
        <w:pageBreakBefore w:val="0"/>
        <w:widowControl w:val="0"/>
        <w:kinsoku/>
        <w:wordWrap/>
        <w:overflowPunct/>
        <w:topLinePunct w:val="0"/>
        <w:autoSpaceDE w:val="0"/>
        <w:autoSpaceDN/>
        <w:bidi w:val="0"/>
        <w:adjustRightInd/>
        <w:snapToGrid/>
        <w:spacing w:after="0" w:line="560" w:lineRule="exact"/>
        <w:ind w:left="0" w:leftChars="0" w:right="0" w:firstLine="640" w:firstLineChars="200"/>
        <w:jc w:val="center"/>
        <w:rPr>
          <w:rFonts w:hint="eastAsia" w:ascii="仿宋" w:hAnsi="仿宋" w:eastAsia="仿宋" w:cs="仿宋"/>
          <w:sz w:val="32"/>
          <w:szCs w:val="32"/>
        </w:rPr>
        <w:sectPr>
          <w:footerReference r:id="rId9" w:type="default"/>
          <w:pgSz w:w="11910" w:h="16840"/>
          <w:pgMar w:top="1440" w:right="1803" w:bottom="1440" w:left="1803" w:header="0" w:footer="1521" w:gutter="0"/>
          <w:pgNumType w:fmt="decimal"/>
          <w:cols w:space="720" w:num="1"/>
          <w:rtlGutter w:val="0"/>
          <w:docGrid w:linePitch="0" w:charSpace="0"/>
        </w:sectPr>
      </w:pPr>
    </w:p>
    <w:p>
      <w:pPr>
        <w:pStyle w:val="4"/>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both"/>
        <w:textAlignment w:val="auto"/>
        <w:rPr>
          <w:rFonts w:hint="eastAsia" w:ascii="黑体" w:hAnsi="黑体" w:eastAsia="黑体" w:cs="黑体"/>
          <w:b/>
          <w:bCs/>
          <w:sz w:val="36"/>
          <w:szCs w:val="36"/>
        </w:rPr>
      </w:pPr>
      <w:bookmarkStart w:id="378" w:name="附件二：行业领域任务分工"/>
      <w:bookmarkEnd w:id="378"/>
      <w:bookmarkStart w:id="379" w:name="_Toc4654"/>
      <w:bookmarkStart w:id="380" w:name="_Toc26958"/>
      <w:bookmarkStart w:id="381" w:name="_Toc25814"/>
      <w:bookmarkStart w:id="382" w:name="_Toc9182"/>
      <w:r>
        <w:rPr>
          <w:rFonts w:hint="eastAsia" w:ascii="黑体" w:hAnsi="黑体" w:eastAsia="黑体" w:cs="黑体"/>
          <w:b/>
          <w:bCs/>
          <w:sz w:val="36"/>
          <w:szCs w:val="36"/>
        </w:rPr>
        <w:t>附件二：行业领域任务分工</w:t>
      </w:r>
      <w:bookmarkEnd w:id="379"/>
      <w:bookmarkEnd w:id="380"/>
      <w:bookmarkEnd w:id="381"/>
      <w:bookmarkEnd w:id="382"/>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1.</w:t>
      </w:r>
      <w:r>
        <w:rPr>
          <w:rFonts w:hint="eastAsia" w:ascii="仿宋" w:hAnsi="仿宋" w:eastAsia="仿宋" w:cs="仿宋"/>
          <w:spacing w:val="-12"/>
          <w:sz w:val="32"/>
          <w:szCs w:val="32"/>
          <w:lang w:val="zh-CN" w:eastAsia="zh-CN" w:bidi="zh-CN"/>
        </w:rPr>
        <w:t>地震灾害风险调查与评估任务分工</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2.</w:t>
      </w:r>
      <w:r>
        <w:rPr>
          <w:rFonts w:hint="eastAsia" w:ascii="仿宋" w:hAnsi="仿宋" w:eastAsia="仿宋" w:cs="仿宋"/>
          <w:spacing w:val="-12"/>
          <w:sz w:val="32"/>
          <w:szCs w:val="32"/>
          <w:lang w:val="zh-CN" w:eastAsia="zh-CN" w:bidi="zh-CN"/>
        </w:rPr>
        <w:t>气象灾害风险调查与评估任务分工</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3.</w:t>
      </w:r>
      <w:r>
        <w:rPr>
          <w:rFonts w:hint="eastAsia" w:ascii="仿宋" w:hAnsi="仿宋" w:eastAsia="仿宋" w:cs="仿宋"/>
          <w:spacing w:val="-12"/>
          <w:sz w:val="32"/>
          <w:szCs w:val="32"/>
          <w:lang w:val="zh-CN" w:eastAsia="zh-CN" w:bidi="zh-CN"/>
        </w:rPr>
        <w:t>水旱灾害风险调查与评估任务分工</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4.</w:t>
      </w:r>
      <w:r>
        <w:rPr>
          <w:rFonts w:hint="eastAsia" w:ascii="仿宋" w:hAnsi="仿宋" w:eastAsia="仿宋" w:cs="仿宋"/>
          <w:spacing w:val="-12"/>
          <w:sz w:val="32"/>
          <w:szCs w:val="32"/>
          <w:lang w:val="zh-CN" w:eastAsia="zh-CN" w:bidi="zh-CN"/>
        </w:rPr>
        <w:t>海洋灾害风险调查与评估任务分工</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5.</w:t>
      </w:r>
      <w:r>
        <w:rPr>
          <w:rFonts w:hint="eastAsia" w:ascii="仿宋" w:hAnsi="仿宋" w:eastAsia="仿宋" w:cs="仿宋"/>
          <w:spacing w:val="-12"/>
          <w:sz w:val="32"/>
          <w:szCs w:val="32"/>
          <w:lang w:val="zh-CN" w:eastAsia="zh-CN" w:bidi="zh-CN"/>
        </w:rPr>
        <w:t>森林火灾风险调查与评估</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6.</w:t>
      </w:r>
      <w:r>
        <w:rPr>
          <w:rFonts w:hint="eastAsia" w:ascii="仿宋" w:hAnsi="仿宋" w:eastAsia="仿宋" w:cs="仿宋"/>
          <w:spacing w:val="-12"/>
          <w:sz w:val="32"/>
          <w:szCs w:val="32"/>
          <w:lang w:val="zh-CN" w:eastAsia="zh-CN" w:bidi="zh-CN"/>
        </w:rPr>
        <w:t>承灾体调查与评估</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7.</w:t>
      </w:r>
      <w:r>
        <w:rPr>
          <w:rFonts w:hint="eastAsia" w:ascii="仿宋" w:hAnsi="仿宋" w:eastAsia="仿宋" w:cs="仿宋"/>
          <w:spacing w:val="-12"/>
          <w:sz w:val="32"/>
          <w:szCs w:val="32"/>
          <w:lang w:val="zh-CN" w:eastAsia="zh-CN" w:bidi="zh-CN"/>
        </w:rPr>
        <w:t>历史灾害灾情调查与评估</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8.</w:t>
      </w:r>
      <w:r>
        <w:rPr>
          <w:rFonts w:hint="eastAsia" w:ascii="仿宋" w:hAnsi="仿宋" w:eastAsia="仿宋" w:cs="仿宋"/>
          <w:spacing w:val="-12"/>
          <w:sz w:val="32"/>
          <w:szCs w:val="32"/>
          <w:lang w:val="zh-CN" w:eastAsia="zh-CN" w:bidi="zh-CN"/>
        </w:rPr>
        <w:t>综合减灾能力调查与评估</w:t>
      </w:r>
    </w:p>
    <w:p>
      <w:pPr>
        <w:pStyle w:val="27"/>
        <w:keepNext w:val="0"/>
        <w:keepLines w:val="0"/>
        <w:pageBreakBefore w:val="0"/>
        <w:widowControl w:val="0"/>
        <w:numPr>
          <w:ilvl w:val="0"/>
          <w:numId w:val="0"/>
        </w:numPr>
        <w:tabs>
          <w:tab w:val="left" w:pos="1369"/>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default" w:ascii="仿宋" w:hAnsi="仿宋" w:eastAsia="仿宋" w:cs="仿宋"/>
          <w:spacing w:val="-12"/>
          <w:sz w:val="32"/>
          <w:szCs w:val="32"/>
          <w:lang w:val="en-US" w:eastAsia="zh-CN" w:bidi="zh-CN"/>
        </w:rPr>
        <w:t>9.</w:t>
      </w:r>
      <w:r>
        <w:rPr>
          <w:rFonts w:hint="eastAsia" w:ascii="仿宋" w:hAnsi="仿宋" w:eastAsia="仿宋" w:cs="仿宋"/>
          <w:spacing w:val="-12"/>
          <w:sz w:val="32"/>
          <w:szCs w:val="32"/>
          <w:lang w:val="zh-CN" w:eastAsia="zh-CN" w:bidi="zh-CN"/>
        </w:rPr>
        <w:t>重点隐患分区分类分级综合评估</w:t>
      </w: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1360"/>
        </w:tabs>
        <w:kinsoku/>
        <w:wordWrap/>
        <w:overflowPunct/>
        <w:topLinePunct w:val="0"/>
        <w:autoSpaceDE w:val="0"/>
        <w:autoSpaceDN/>
        <w:bidi w:val="0"/>
        <w:adjustRightInd/>
        <w:snapToGrid/>
        <w:spacing w:after="0" w:line="560" w:lineRule="exact"/>
        <w:ind w:left="0" w:leftChars="0" w:right="0" w:rightChars="0" w:firstLine="628" w:firstLineChars="200"/>
        <w:jc w:val="left"/>
        <w:rPr>
          <w:rFonts w:hint="eastAsia" w:ascii="仿宋" w:hAnsi="仿宋" w:eastAsia="仿宋" w:cs="仿宋"/>
          <w:spacing w:val="-3"/>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1-1</w:t>
      </w:r>
      <w:r>
        <w:rPr>
          <w:rFonts w:hint="eastAsia" w:ascii="仿宋" w:hAnsi="仿宋" w:eastAsia="仿宋" w:cs="仿宋"/>
          <w:b/>
          <w:sz w:val="32"/>
          <w:szCs w:val="32"/>
        </w:rPr>
        <w:t>地震灾害风险调查与评估任务分工</w:t>
      </w:r>
    </w:p>
    <w:tbl>
      <w:tblPr>
        <w:tblStyle w:val="24"/>
        <w:tblW w:w="8299" w:type="dxa"/>
        <w:jc w:val="center"/>
        <w:tblInd w:w="0" w:type="dxa"/>
        <w:shd w:val="clear" w:color="auto" w:fill="auto"/>
        <w:tblLayout w:type="fixed"/>
        <w:tblCellMar>
          <w:top w:w="0" w:type="dxa"/>
          <w:left w:w="108" w:type="dxa"/>
          <w:bottom w:w="0" w:type="dxa"/>
          <w:right w:w="108" w:type="dxa"/>
        </w:tblCellMar>
      </w:tblPr>
      <w:tblGrid>
        <w:gridCol w:w="942"/>
        <w:gridCol w:w="865"/>
        <w:gridCol w:w="3588"/>
        <w:gridCol w:w="972"/>
        <w:gridCol w:w="1932"/>
      </w:tblGrid>
      <w:tr>
        <w:tblPrEx>
          <w:shd w:val="clear" w:color="auto" w:fill="auto"/>
          <w:tblLayout w:type="fixed"/>
          <w:tblCellMar>
            <w:top w:w="0" w:type="dxa"/>
            <w:left w:w="108" w:type="dxa"/>
            <w:bottom w:w="0" w:type="dxa"/>
            <w:right w:w="108" w:type="dxa"/>
          </w:tblCellMar>
        </w:tblPrEx>
        <w:trPr>
          <w:trHeight w:val="318" w:hRule="atLeast"/>
          <w:jc w:val="center"/>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任务</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任务分级</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具体任务</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责任主体</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8"/>
                <w:szCs w:val="28"/>
                <w:u w:val="none"/>
                <w:lang w:val="en-US" w:eastAsia="zh-CN" w:bidi="ar"/>
              </w:rPr>
              <w:t>参与部门（协同填报单位）</w:t>
            </w:r>
          </w:p>
        </w:tc>
      </w:tr>
      <w:tr>
        <w:tblPrEx>
          <w:shd w:val="clear" w:color="auto" w:fill="auto"/>
          <w:tblLayout w:type="fixed"/>
          <w:tblCellMar>
            <w:top w:w="0" w:type="dxa"/>
            <w:left w:w="108" w:type="dxa"/>
            <w:bottom w:w="0" w:type="dxa"/>
            <w:right w:w="108" w:type="dxa"/>
          </w:tblCellMar>
        </w:tblPrEx>
        <w:trPr>
          <w:trHeight w:val="318" w:hRule="atLeast"/>
          <w:jc w:val="center"/>
        </w:trPr>
        <w:tc>
          <w:tcPr>
            <w:tcW w:w="9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地震灾害致灾调查与评估</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区级</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地震构造资料收集</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区灾险普查办</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w:t>
            </w:r>
          </w:p>
        </w:tc>
      </w:tr>
      <w:tr>
        <w:tblPrEx>
          <w:shd w:val="clear" w:color="auto" w:fill="auto"/>
          <w:tblLayout w:type="fixed"/>
          <w:tblCellMar>
            <w:top w:w="0" w:type="dxa"/>
            <w:left w:w="108" w:type="dxa"/>
            <w:bottom w:w="0" w:type="dxa"/>
            <w:right w:w="108" w:type="dxa"/>
          </w:tblCellMar>
        </w:tblPrEx>
        <w:trPr>
          <w:trHeight w:val="879" w:hRule="atLeast"/>
          <w:jc w:val="center"/>
        </w:trPr>
        <w:tc>
          <w:tcPr>
            <w:tcW w:w="9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场地地震工程地质条件调查及补充钻孔探测</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w:t>
            </w:r>
          </w:p>
        </w:tc>
      </w:tr>
      <w:tr>
        <w:tblPrEx>
          <w:tblLayout w:type="fixed"/>
          <w:tblCellMar>
            <w:top w:w="0" w:type="dxa"/>
            <w:left w:w="108" w:type="dxa"/>
            <w:bottom w:w="0" w:type="dxa"/>
            <w:right w:w="108" w:type="dxa"/>
          </w:tblCellMar>
        </w:tblPrEx>
        <w:trPr>
          <w:trHeight w:val="591" w:hRule="atLeast"/>
          <w:jc w:val="center"/>
        </w:trPr>
        <w:tc>
          <w:tcPr>
            <w:tcW w:w="9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区级</w:t>
            </w:r>
            <w:r>
              <w:rPr>
                <w:rFonts w:hint="default" w:ascii="仿宋" w:hAnsi="仿宋" w:eastAsia="仿宋" w:cs="仿宋"/>
                <w:i w:val="0"/>
                <w:iCs w:val="0"/>
                <w:color w:val="000000"/>
                <w:kern w:val="0"/>
                <w:sz w:val="28"/>
                <w:szCs w:val="28"/>
                <w:u w:val="none"/>
                <w:lang w:val="en-US" w:eastAsia="zh-CN" w:bidi="ar"/>
              </w:rPr>
              <w:t>1:25</w:t>
            </w:r>
            <w:r>
              <w:rPr>
                <w:rFonts w:hint="eastAsia" w:ascii="仿宋" w:hAnsi="仿宋" w:eastAsia="仿宋" w:cs="仿宋"/>
                <w:i w:val="0"/>
                <w:iCs w:val="0"/>
                <w:color w:val="000000"/>
                <w:kern w:val="0"/>
                <w:sz w:val="28"/>
                <w:szCs w:val="28"/>
                <w:u w:val="none"/>
                <w:lang w:val="en-US" w:eastAsia="zh-CN" w:bidi="ar"/>
              </w:rPr>
              <w:t>万场地类别分区图编制</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w:t>
            </w:r>
          </w:p>
        </w:tc>
      </w:tr>
      <w:tr>
        <w:tblPrEx>
          <w:shd w:val="clear" w:color="auto" w:fill="auto"/>
          <w:tblLayout w:type="fixed"/>
          <w:tblCellMar>
            <w:top w:w="0" w:type="dxa"/>
            <w:left w:w="108" w:type="dxa"/>
            <w:bottom w:w="0" w:type="dxa"/>
            <w:right w:w="108" w:type="dxa"/>
          </w:tblCellMar>
        </w:tblPrEx>
        <w:trPr>
          <w:trHeight w:val="864" w:hRule="atLeast"/>
          <w:jc w:val="center"/>
        </w:trPr>
        <w:tc>
          <w:tcPr>
            <w:tcW w:w="9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概率地震危险性评价（</w:t>
            </w:r>
            <w:r>
              <w:rPr>
                <w:rFonts w:hint="default" w:ascii="仿宋" w:hAnsi="仿宋" w:eastAsia="仿宋" w:cs="仿宋"/>
                <w:i w:val="0"/>
                <w:iCs w:val="0"/>
                <w:color w:val="000000"/>
                <w:kern w:val="0"/>
                <w:sz w:val="28"/>
                <w:szCs w:val="28"/>
                <w:u w:val="none"/>
                <w:lang w:val="en-US" w:eastAsia="zh-CN" w:bidi="ar"/>
              </w:rPr>
              <w:t>5</w:t>
            </w:r>
            <w:r>
              <w:rPr>
                <w:rFonts w:hint="eastAsia" w:ascii="仿宋" w:hAnsi="仿宋" w:eastAsia="仿宋" w:cs="仿宋"/>
                <w:i w:val="0"/>
                <w:iCs w:val="0"/>
                <w:color w:val="000000"/>
                <w:kern w:val="0"/>
                <w:sz w:val="28"/>
                <w:szCs w:val="28"/>
                <w:u w:val="none"/>
                <w:lang w:val="en-US" w:eastAsia="zh-CN" w:bidi="ar"/>
              </w:rPr>
              <w:t>个参数</w:t>
            </w:r>
            <w:r>
              <w:rPr>
                <w:rFonts w:hint="default" w:ascii="仿宋" w:hAnsi="仿宋" w:eastAsia="仿宋" w:cs="仿宋"/>
                <w:i w:val="0"/>
                <w:iCs w:val="0"/>
                <w:color w:val="000000"/>
                <w:kern w:val="0"/>
                <w:sz w:val="28"/>
                <w:szCs w:val="28"/>
                <w:u w:val="none"/>
                <w:lang w:val="en-US" w:eastAsia="zh-CN" w:bidi="ar"/>
              </w:rPr>
              <w:t>4</w:t>
            </w:r>
            <w:r>
              <w:rPr>
                <w:rFonts w:hint="eastAsia" w:ascii="仿宋" w:hAnsi="仿宋" w:eastAsia="仿宋" w:cs="仿宋"/>
                <w:i w:val="0"/>
                <w:iCs w:val="0"/>
                <w:color w:val="000000"/>
                <w:kern w:val="0"/>
                <w:sz w:val="28"/>
                <w:szCs w:val="28"/>
                <w:u w:val="none"/>
                <w:lang w:val="en-US" w:eastAsia="zh-CN" w:bidi="ar"/>
              </w:rPr>
              <w:t>个概率）</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r>
      <w:tr>
        <w:tblPrEx>
          <w:shd w:val="clear" w:color="auto" w:fill="auto"/>
          <w:tblLayout w:type="fixed"/>
          <w:tblCellMar>
            <w:top w:w="0" w:type="dxa"/>
            <w:left w:w="108" w:type="dxa"/>
            <w:bottom w:w="0" w:type="dxa"/>
            <w:right w:w="108" w:type="dxa"/>
          </w:tblCellMar>
        </w:tblPrEx>
        <w:trPr>
          <w:trHeight w:val="591" w:hRule="atLeast"/>
          <w:jc w:val="center"/>
        </w:trPr>
        <w:tc>
          <w:tcPr>
            <w:tcW w:w="9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 xml:space="preserve">区级 </w:t>
            </w:r>
            <w:r>
              <w:rPr>
                <w:rFonts w:hint="default" w:ascii="仿宋" w:hAnsi="仿宋" w:eastAsia="仿宋" w:cs="仿宋"/>
                <w:i w:val="0"/>
                <w:iCs w:val="0"/>
                <w:color w:val="000000"/>
                <w:kern w:val="0"/>
                <w:sz w:val="28"/>
                <w:szCs w:val="28"/>
                <w:u w:val="none"/>
                <w:lang w:val="en-US" w:eastAsia="zh-CN" w:bidi="ar"/>
              </w:rPr>
              <w:t xml:space="preserve">1:25 </w:t>
            </w:r>
            <w:r>
              <w:rPr>
                <w:rFonts w:hint="eastAsia" w:ascii="仿宋" w:hAnsi="仿宋" w:eastAsia="仿宋" w:cs="仿宋"/>
                <w:i w:val="0"/>
                <w:iCs w:val="0"/>
                <w:color w:val="000000"/>
                <w:kern w:val="0"/>
                <w:sz w:val="28"/>
                <w:szCs w:val="28"/>
                <w:u w:val="none"/>
                <w:lang w:val="en-US" w:eastAsia="zh-CN" w:bidi="ar"/>
              </w:rPr>
              <w:t>万地震危险性分布图编制</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w:t>
            </w:r>
          </w:p>
        </w:tc>
      </w:tr>
      <w:tr>
        <w:tblPrEx>
          <w:shd w:val="clear" w:color="auto" w:fill="auto"/>
          <w:tblLayout w:type="fixed"/>
          <w:tblCellMar>
            <w:top w:w="0" w:type="dxa"/>
            <w:left w:w="108" w:type="dxa"/>
            <w:bottom w:w="0" w:type="dxa"/>
            <w:right w:w="108" w:type="dxa"/>
          </w:tblCellMar>
        </w:tblPrEx>
        <w:trPr>
          <w:trHeight w:val="864" w:hRule="atLeast"/>
          <w:jc w:val="center"/>
        </w:trPr>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历史地震灾害调查</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区级</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 xml:space="preserve">1978 </w:t>
            </w:r>
            <w:r>
              <w:rPr>
                <w:rFonts w:hint="eastAsia" w:ascii="仿宋" w:hAnsi="仿宋" w:eastAsia="仿宋" w:cs="仿宋"/>
                <w:i w:val="0"/>
                <w:iCs w:val="0"/>
                <w:color w:val="000000"/>
                <w:kern w:val="0"/>
                <w:sz w:val="28"/>
                <w:szCs w:val="28"/>
                <w:u w:val="none"/>
                <w:lang w:val="en-US" w:eastAsia="zh-CN" w:bidi="ar"/>
              </w:rPr>
              <w:t xml:space="preserve">年至 </w:t>
            </w:r>
            <w:r>
              <w:rPr>
                <w:rFonts w:hint="default" w:ascii="仿宋" w:hAnsi="仿宋" w:eastAsia="仿宋" w:cs="仿宋"/>
                <w:i w:val="0"/>
                <w:iCs w:val="0"/>
                <w:color w:val="000000"/>
                <w:kern w:val="0"/>
                <w:sz w:val="28"/>
                <w:szCs w:val="28"/>
                <w:u w:val="none"/>
                <w:lang w:val="en-US" w:eastAsia="zh-CN" w:bidi="ar"/>
              </w:rPr>
              <w:t xml:space="preserve">2020 </w:t>
            </w:r>
            <w:r>
              <w:rPr>
                <w:rFonts w:hint="eastAsia" w:ascii="仿宋" w:hAnsi="仿宋" w:eastAsia="仿宋" w:cs="仿宋"/>
                <w:i w:val="0"/>
                <w:iCs w:val="0"/>
                <w:color w:val="000000"/>
                <w:kern w:val="0"/>
                <w:sz w:val="28"/>
                <w:szCs w:val="28"/>
                <w:u w:val="none"/>
                <w:lang w:val="en-US" w:eastAsia="zh-CN" w:bidi="ar"/>
              </w:rPr>
              <w:t>年发生的年度地震自然灾害情况</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区灾险普查办</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市地震局</w:t>
            </w:r>
          </w:p>
        </w:tc>
      </w:tr>
      <w:tr>
        <w:tblPrEx>
          <w:shd w:val="clear" w:color="auto" w:fill="auto"/>
          <w:tblLayout w:type="fixed"/>
          <w:tblCellMar>
            <w:top w:w="0" w:type="dxa"/>
            <w:left w:w="108" w:type="dxa"/>
            <w:bottom w:w="0" w:type="dxa"/>
            <w:right w:w="108" w:type="dxa"/>
          </w:tblCellMar>
        </w:tblPrEx>
        <w:trPr>
          <w:trHeight w:val="591" w:hRule="atLeast"/>
          <w:jc w:val="center"/>
        </w:trPr>
        <w:tc>
          <w:tcPr>
            <w:tcW w:w="9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仿宋" w:hAnsi="仿宋" w:eastAsia="仿宋" w:cs="仿宋"/>
                <w:i w:val="0"/>
                <w:iCs w:val="0"/>
                <w:color w:val="000000"/>
                <w:kern w:val="0"/>
                <w:sz w:val="28"/>
                <w:szCs w:val="28"/>
                <w:u w:val="none"/>
                <w:lang w:val="en-US" w:eastAsia="zh-CN" w:bidi="ar"/>
              </w:rPr>
              <w:t>地震灾害重点隐患调查与评估</w:t>
            </w:r>
          </w:p>
        </w:tc>
        <w:tc>
          <w:tcPr>
            <w:tcW w:w="8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区级</w:t>
            </w: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区级地震灾害重点隐患数据库建设</w:t>
            </w:r>
          </w:p>
        </w:tc>
        <w:tc>
          <w:tcPr>
            <w:tcW w:w="9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区灾险普查办</w:t>
            </w: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w:t>
            </w:r>
          </w:p>
        </w:tc>
      </w:tr>
      <w:tr>
        <w:tblPrEx>
          <w:shd w:val="clear" w:color="auto" w:fill="auto"/>
          <w:tblLayout w:type="fixed"/>
          <w:tblCellMar>
            <w:top w:w="0" w:type="dxa"/>
            <w:left w:w="108" w:type="dxa"/>
            <w:bottom w:w="0" w:type="dxa"/>
            <w:right w:w="108" w:type="dxa"/>
          </w:tblCellMar>
        </w:tblPrEx>
        <w:trPr>
          <w:trHeight w:val="591" w:hRule="atLeast"/>
          <w:jc w:val="center"/>
        </w:trPr>
        <w:tc>
          <w:tcPr>
            <w:tcW w:w="9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地震灾害重点隐患等级评定</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w:t>
            </w:r>
          </w:p>
        </w:tc>
      </w:tr>
      <w:tr>
        <w:tblPrEx>
          <w:tblLayout w:type="fixed"/>
          <w:tblCellMar>
            <w:top w:w="0" w:type="dxa"/>
            <w:left w:w="108" w:type="dxa"/>
            <w:bottom w:w="0" w:type="dxa"/>
            <w:right w:w="108" w:type="dxa"/>
          </w:tblCellMar>
        </w:tblPrEx>
        <w:trPr>
          <w:trHeight w:val="591" w:hRule="atLeast"/>
          <w:jc w:val="center"/>
        </w:trPr>
        <w:tc>
          <w:tcPr>
            <w:tcW w:w="9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3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区级地震灾害重点隐患分布图编制</w:t>
            </w:r>
          </w:p>
        </w:tc>
        <w:tc>
          <w:tcPr>
            <w:tcW w:w="9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u w:val="none"/>
                <w:lang w:val="en-US" w:eastAsia="zh-CN" w:bidi="ar"/>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u w:val="none"/>
                <w:lang w:val="en-US" w:eastAsia="zh-CN" w:bidi="ar"/>
              </w:rPr>
            </w:pPr>
            <w:r>
              <w:rPr>
                <w:rFonts w:hint="default" w:ascii="仿宋" w:hAnsi="仿宋" w:eastAsia="仿宋" w:cs="仿宋"/>
                <w:i w:val="0"/>
                <w:iCs w:val="0"/>
                <w:color w:val="000000"/>
                <w:kern w:val="0"/>
                <w:sz w:val="28"/>
                <w:szCs w:val="28"/>
                <w:u w:val="none"/>
                <w:lang w:val="en-US" w:eastAsia="zh-CN" w:bidi="ar"/>
              </w:rPr>
              <w:t>-</w:t>
            </w:r>
          </w:p>
        </w:tc>
      </w:tr>
    </w:tbl>
    <w:p>
      <w:pPr>
        <w:keepNext w:val="0"/>
        <w:keepLines w:val="0"/>
        <w:pageBreakBefore w:val="0"/>
        <w:widowControl w:val="0"/>
        <w:kinsoku/>
        <w:wordWrap/>
        <w:overflowPunct/>
        <w:topLinePunct w:val="0"/>
        <w:autoSpaceDE w:val="0"/>
        <w:autoSpaceDN/>
        <w:bidi w:val="0"/>
        <w:adjustRightInd/>
        <w:snapToGrid/>
        <w:spacing w:after="0" w:line="560" w:lineRule="exact"/>
        <w:ind w:left="0" w:leftChars="0" w:right="0" w:firstLine="640" w:firstLineChars="200"/>
        <w:jc w:val="center"/>
        <w:rPr>
          <w:rFonts w:hint="eastAsia" w:ascii="仿宋" w:hAnsi="仿宋" w:eastAsia="仿宋" w:cs="仿宋"/>
          <w:sz w:val="32"/>
          <w:szCs w:val="32"/>
        </w:rPr>
        <w:sectPr>
          <w:footerReference r:id="rId10" w:type="default"/>
          <w:pgSz w:w="11910" w:h="16840"/>
          <w:pgMar w:top="1440" w:right="1803" w:bottom="1440" w:left="1803" w:header="0" w:footer="1521" w:gutter="0"/>
          <w:pgNumType w:fmt="decimal"/>
          <w:cols w:space="720" w:num="1"/>
          <w:rtlGutter w:val="0"/>
          <w:docGrid w:linePitch="0" w:charSpace="0"/>
        </w:sect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1-2气</w:t>
      </w:r>
      <w:r>
        <w:rPr>
          <w:rFonts w:hint="eastAsia" w:ascii="仿宋" w:hAnsi="仿宋" w:eastAsia="仿宋" w:cs="仿宋"/>
          <w:b/>
          <w:sz w:val="32"/>
          <w:szCs w:val="32"/>
          <w:lang w:eastAsia="zh-CN"/>
        </w:rPr>
        <w:t>象灾害风险调查与评估任务分工</w:t>
      </w:r>
    </w:p>
    <w:tbl>
      <w:tblPr>
        <w:tblStyle w:val="24"/>
        <w:tblW w:w="8323" w:type="dxa"/>
        <w:tblInd w:w="96" w:type="dxa"/>
        <w:shd w:val="clear" w:color="auto" w:fill="auto"/>
        <w:tblLayout w:type="fixed"/>
        <w:tblCellMar>
          <w:top w:w="0" w:type="dxa"/>
          <w:left w:w="108" w:type="dxa"/>
          <w:bottom w:w="0" w:type="dxa"/>
          <w:right w:w="108" w:type="dxa"/>
        </w:tblCellMar>
      </w:tblPr>
      <w:tblGrid>
        <w:gridCol w:w="1537"/>
        <w:gridCol w:w="6786"/>
      </w:tblGrid>
      <w:tr>
        <w:tblPrEx>
          <w:tblLayout w:type="fixed"/>
          <w:tblCellMar>
            <w:top w:w="0" w:type="dxa"/>
            <w:left w:w="108" w:type="dxa"/>
            <w:bottom w:w="0" w:type="dxa"/>
            <w:right w:w="108" w:type="dxa"/>
          </w:tblCellMar>
        </w:tblPrEx>
        <w:trPr>
          <w:trHeight w:val="363" w:hRule="atLeast"/>
        </w:trPr>
        <w:tc>
          <w:tcPr>
            <w:tcW w:w="1537" w:type="dxa"/>
            <w:tcBorders>
              <w:top w:val="single" w:color="000000" w:sz="8" w:space="0"/>
              <w:left w:val="single" w:color="000000" w:sz="8" w:space="0"/>
              <w:bottom w:val="single" w:color="000000" w:sz="8" w:space="0"/>
              <w:right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具体任务</w:t>
            </w:r>
          </w:p>
        </w:tc>
      </w:tr>
      <w:tr>
        <w:tblPrEx>
          <w:shd w:val="clear" w:color="auto" w:fill="auto"/>
          <w:tblLayout w:type="fixed"/>
          <w:tblCellMar>
            <w:top w:w="0" w:type="dxa"/>
            <w:left w:w="108" w:type="dxa"/>
            <w:bottom w:w="0" w:type="dxa"/>
            <w:right w:w="108" w:type="dxa"/>
          </w:tblCellMar>
        </w:tblPrEx>
        <w:trPr>
          <w:trHeight w:val="348" w:hRule="atLeast"/>
        </w:trPr>
        <w:tc>
          <w:tcPr>
            <w:tcW w:w="1537" w:type="dxa"/>
            <w:vMerge w:val="restart"/>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1区级普查实施细则和地方技术方案编制</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1.1</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区级普查实施细则编制</w:t>
            </w:r>
          </w:p>
        </w:tc>
      </w:tr>
      <w:tr>
        <w:tblPrEx>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区级普查技术规范实施细则（可选）</w:t>
            </w:r>
          </w:p>
        </w:tc>
      </w:tr>
      <w:tr>
        <w:tblPrEx>
          <w:tblLayout w:type="fixed"/>
          <w:tblCellMar>
            <w:top w:w="0" w:type="dxa"/>
            <w:left w:w="108" w:type="dxa"/>
            <w:bottom w:w="0" w:type="dxa"/>
            <w:right w:w="108" w:type="dxa"/>
          </w:tblCellMar>
        </w:tblPrEx>
        <w:trPr>
          <w:trHeight w:val="348"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2现有成果转化</w:t>
            </w:r>
          </w:p>
        </w:tc>
      </w:tr>
      <w:tr>
        <w:tblPrEx>
          <w:shd w:val="clear" w:color="auto" w:fill="auto"/>
          <w:tblLayout w:type="fixed"/>
          <w:tblCellMar>
            <w:top w:w="0" w:type="dxa"/>
            <w:left w:w="108" w:type="dxa"/>
            <w:bottom w:w="0" w:type="dxa"/>
            <w:right w:w="108" w:type="dxa"/>
          </w:tblCellMar>
        </w:tblPrEx>
        <w:trPr>
          <w:trHeight w:val="708"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2.1</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区级已有成果信息化（包括本区致灾因子、精细化台站、普查数据为主）</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2.2</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数据质控</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2.3</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数据加工处理</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2.4</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现有数据统计整编及产品入库与上报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3.</w:t>
            </w:r>
            <w:r>
              <w:rPr>
                <w:rFonts w:hint="default" w:ascii="Times New Roman" w:hAnsi="Times New Roman" w:eastAsia="仿宋" w:cs="Times New Roman"/>
                <w:b/>
                <w:bCs/>
                <w:i w:val="0"/>
                <w:iCs w:val="0"/>
                <w:color w:val="000000"/>
                <w:kern w:val="0"/>
                <w:sz w:val="28"/>
                <w:szCs w:val="28"/>
                <w:u w:val="none"/>
                <w:lang w:val="en-US" w:eastAsia="zh-CN" w:bidi="ar"/>
              </w:rPr>
              <w:t xml:space="preserve"> </w:t>
            </w:r>
            <w:r>
              <w:rPr>
                <w:rFonts w:hint="eastAsia" w:ascii="仿宋" w:hAnsi="仿宋" w:eastAsia="仿宋" w:cs="仿宋"/>
                <w:b/>
                <w:bCs/>
                <w:i w:val="0"/>
                <w:iCs w:val="0"/>
                <w:color w:val="000000"/>
                <w:kern w:val="0"/>
                <w:sz w:val="28"/>
                <w:szCs w:val="28"/>
                <w:u w:val="none"/>
                <w:lang w:val="en-US" w:eastAsia="zh-CN" w:bidi="ar"/>
              </w:rPr>
              <w:t>灾害危险性信息普查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3.1</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普查要素名录及表格编制</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3.2</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普查数据台账建设</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3.3</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灾害事件及影响普查</w:t>
            </w:r>
          </w:p>
        </w:tc>
      </w:tr>
      <w:tr>
        <w:tblPrEx>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3.4</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共享数据处理与整编</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3.6</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普查数据汇总和检查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3.7</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普查数据的质控和抽查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3.8</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普查数据上报与传输</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3.9</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普查工作评估报告</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4.</w:t>
            </w:r>
            <w:r>
              <w:rPr>
                <w:rFonts w:hint="default" w:ascii="Times New Roman" w:hAnsi="Times New Roman" w:eastAsia="仿宋" w:cs="Times New Roman"/>
                <w:b/>
                <w:bCs/>
                <w:i w:val="0"/>
                <w:iCs w:val="0"/>
                <w:color w:val="000000"/>
                <w:kern w:val="0"/>
                <w:sz w:val="28"/>
                <w:szCs w:val="28"/>
                <w:u w:val="none"/>
                <w:lang w:val="en-US" w:eastAsia="zh-CN" w:bidi="ar"/>
              </w:rPr>
              <w:t xml:space="preserve"> </w:t>
            </w:r>
            <w:r>
              <w:rPr>
                <w:rFonts w:hint="eastAsia" w:ascii="仿宋" w:hAnsi="仿宋" w:eastAsia="仿宋" w:cs="仿宋"/>
                <w:b/>
                <w:bCs/>
                <w:i w:val="0"/>
                <w:iCs w:val="0"/>
                <w:color w:val="000000"/>
                <w:kern w:val="0"/>
                <w:sz w:val="28"/>
                <w:szCs w:val="28"/>
                <w:u w:val="none"/>
                <w:lang w:val="en-US" w:eastAsia="zh-CN" w:bidi="ar"/>
              </w:rPr>
              <w:t>区级灾害危险性评估</w:t>
            </w:r>
          </w:p>
        </w:tc>
      </w:tr>
      <w:tr>
        <w:tblPrEx>
          <w:shd w:val="clear" w:color="auto" w:fill="auto"/>
          <w:tblLayout w:type="fixed"/>
          <w:tblCellMar>
            <w:top w:w="0" w:type="dxa"/>
            <w:left w:w="108" w:type="dxa"/>
            <w:bottom w:w="0" w:type="dxa"/>
            <w:right w:w="108" w:type="dxa"/>
          </w:tblCellMar>
        </w:tblPrEx>
        <w:trPr>
          <w:trHeight w:val="708"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4.1</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区级各单灾种致灾因子遴选、整编、致灾危险性评估、 区级等级划分及产品制作</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4.2</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区级各级致灾危险性因子汇总和检查</w:t>
            </w:r>
          </w:p>
        </w:tc>
      </w:tr>
      <w:tr>
        <w:tblPrEx>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4.3</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区级危险性评估数据产品的质控和抽查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4.4</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区级危险性评估数据的上报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4.5</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危险性评估工作总结报告、技术报告和评估报告</w:t>
            </w:r>
          </w:p>
        </w:tc>
      </w:tr>
      <w:tr>
        <w:tblPrEx>
          <w:tblLayout w:type="fixed"/>
          <w:tblCellMar>
            <w:top w:w="0" w:type="dxa"/>
            <w:left w:w="108" w:type="dxa"/>
            <w:bottom w:w="0" w:type="dxa"/>
            <w:right w:w="108" w:type="dxa"/>
          </w:tblCellMar>
        </w:tblPrEx>
        <w:trPr>
          <w:trHeight w:val="348"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5.气象灾害对人口、GDP、农作物（水稻） 等主要承灾体脆弱性评估</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5.1</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气象灾害 GDP</w:t>
            </w:r>
            <w:r>
              <w:rPr>
                <w:rFonts w:ascii="Arial" w:hAnsi="Arial" w:eastAsia="仿宋" w:cs="Arial"/>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风险等级评估</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5.2</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气象灾害人口风险等级评估</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5.3</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台风灾害房屋建筑风险等级评估</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5.4</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气象灾害危险性区划</w:t>
            </w:r>
          </w:p>
        </w:tc>
      </w:tr>
      <w:tr>
        <w:tblPrEx>
          <w:tblLayout w:type="fixed"/>
          <w:tblCellMar>
            <w:top w:w="0" w:type="dxa"/>
            <w:left w:w="108" w:type="dxa"/>
            <w:bottom w:w="0" w:type="dxa"/>
            <w:right w:w="108" w:type="dxa"/>
          </w:tblCellMar>
        </w:tblPrEx>
        <w:trPr>
          <w:trHeight w:val="696"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 6种气象灾害（台风、暴雨、大风、高温、低温）农作物（水稻）风险区划</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5.6</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气象灾害 GDP</w:t>
            </w:r>
            <w:r>
              <w:rPr>
                <w:rFonts w:ascii="Arial" w:hAnsi="Arial" w:eastAsia="仿宋" w:cs="Arial"/>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风险区划</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5.7</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气象灾害人口风险区划</w:t>
            </w:r>
          </w:p>
        </w:tc>
      </w:tr>
      <w:tr>
        <w:tblPrEx>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5.8</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台风灾害房屋建筑风险区划</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5.9</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综合风险区划</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5.10</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评估数据产品汇总检查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5.11</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评估数据产品质控抽查</w:t>
            </w:r>
          </w:p>
        </w:tc>
      </w:tr>
      <w:tr>
        <w:tblPrEx>
          <w:shd w:val="clear" w:color="auto" w:fill="auto"/>
          <w:tblLayout w:type="fixed"/>
          <w:tblCellMar>
            <w:top w:w="0" w:type="dxa"/>
            <w:left w:w="108" w:type="dxa"/>
            <w:bottom w:w="0" w:type="dxa"/>
            <w:right w:w="108" w:type="dxa"/>
          </w:tblCellMar>
        </w:tblPrEx>
        <w:trPr>
          <w:trHeight w:val="360"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5.12</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评估数据产品整编入库</w:t>
            </w:r>
          </w:p>
        </w:tc>
      </w:tr>
      <w:tr>
        <w:tblPrEx>
          <w:shd w:val="clear" w:color="auto" w:fill="auto"/>
          <w:tblLayout w:type="fixed"/>
          <w:tblCellMar>
            <w:top w:w="0" w:type="dxa"/>
            <w:left w:w="108" w:type="dxa"/>
            <w:bottom w:w="0" w:type="dxa"/>
            <w:right w:w="108" w:type="dxa"/>
          </w:tblCellMar>
        </w:tblPrEx>
        <w:trPr>
          <w:trHeight w:val="363" w:hRule="atLeast"/>
        </w:trPr>
        <w:tc>
          <w:tcPr>
            <w:tcW w:w="1537" w:type="dxa"/>
            <w:vMerge w:val="continue"/>
            <w:tcBorders>
              <w:top w:val="nil"/>
              <w:left w:val="single" w:color="000000" w:sz="8" w:space="0"/>
              <w:bottom w:val="single" w:color="000000" w:sz="8" w:space="0"/>
              <w:right w:val="nil"/>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5.13</w:t>
            </w:r>
            <w:r>
              <w:rPr>
                <w:rFonts w:hint="default" w:ascii="Times New Roman" w:hAnsi="Times New Roman" w:eastAsia="仿宋" w:cs="Times New Roman"/>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风险评估级区划工作总结报告、技术报告和评估报告</w:t>
            </w:r>
          </w:p>
        </w:tc>
      </w:tr>
    </w:tbl>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after="0" w:line="560" w:lineRule="exact"/>
        <w:ind w:right="0" w:rightChars="0"/>
        <w:jc w:val="center"/>
        <w:rPr>
          <w:rFonts w:hint="eastAsia" w:ascii="仿宋" w:hAnsi="仿宋" w:eastAsia="仿宋" w:cs="仿宋"/>
          <w:b/>
          <w:sz w:val="32"/>
          <w:szCs w:val="32"/>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1-</w:t>
      </w:r>
      <w:r>
        <w:rPr>
          <w:rFonts w:hint="default" w:ascii="仿宋" w:hAnsi="仿宋" w:eastAsia="仿宋" w:cs="仿宋"/>
          <w:b/>
          <w:sz w:val="32"/>
          <w:szCs w:val="32"/>
          <w:lang w:val="en-US" w:eastAsia="zh-CN"/>
        </w:rPr>
        <w:t>3</w:t>
      </w:r>
      <w:r>
        <w:rPr>
          <w:rFonts w:hint="eastAsia" w:ascii="仿宋" w:hAnsi="仿宋" w:eastAsia="仿宋" w:cs="仿宋"/>
          <w:b/>
          <w:sz w:val="32"/>
          <w:szCs w:val="32"/>
          <w:lang w:eastAsia="zh-CN"/>
        </w:rPr>
        <w:t>水旱灾害风险调查与评估任务分工</w:t>
      </w:r>
    </w:p>
    <w:tbl>
      <w:tblPr>
        <w:tblStyle w:val="24"/>
        <w:tblW w:w="8311" w:type="dxa"/>
        <w:tblInd w:w="96" w:type="dxa"/>
        <w:shd w:val="clear" w:color="auto" w:fill="auto"/>
        <w:tblLayout w:type="fixed"/>
        <w:tblCellMar>
          <w:top w:w="0" w:type="dxa"/>
          <w:left w:w="108" w:type="dxa"/>
          <w:bottom w:w="0" w:type="dxa"/>
          <w:right w:w="108" w:type="dxa"/>
        </w:tblCellMar>
      </w:tblPr>
      <w:tblGrid>
        <w:gridCol w:w="883"/>
        <w:gridCol w:w="1644"/>
        <w:gridCol w:w="852"/>
        <w:gridCol w:w="1968"/>
        <w:gridCol w:w="1116"/>
        <w:gridCol w:w="1848"/>
      </w:tblGrid>
      <w:tr>
        <w:tblPrEx>
          <w:shd w:val="clear" w:color="auto" w:fill="auto"/>
          <w:tblLayout w:type="fixed"/>
          <w:tblCellMar>
            <w:top w:w="0" w:type="dxa"/>
            <w:left w:w="108" w:type="dxa"/>
            <w:bottom w:w="0" w:type="dxa"/>
            <w:right w:w="108" w:type="dxa"/>
          </w:tblCellMar>
        </w:tblPrEx>
        <w:trPr>
          <w:trHeight w:val="696"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任务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子任务</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任务分级</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具体任务</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责任主体</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参与部门（协同填报单位）</w:t>
            </w:r>
          </w:p>
        </w:tc>
      </w:tr>
      <w:tr>
        <w:tblPrEx>
          <w:shd w:val="clear" w:color="auto" w:fill="auto"/>
          <w:tblLayout w:type="fixed"/>
          <w:tblCellMar>
            <w:top w:w="0" w:type="dxa"/>
            <w:left w:w="108" w:type="dxa"/>
            <w:bottom w:w="0" w:type="dxa"/>
            <w:right w:w="108" w:type="dxa"/>
          </w:tblCellMar>
        </w:tblPrEx>
        <w:trPr>
          <w:trHeight w:val="1392"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水旱灾害致灾孕灾要素调查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郊区内涝致灾调查与干旱灾害致灾调查</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区级</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内涝基本信息、灾损、监控设施调查；干旱灾害基本信息调查</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区水务局</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市水务局</w:t>
            </w:r>
          </w:p>
        </w:tc>
      </w:tr>
      <w:tr>
        <w:tblPrEx>
          <w:shd w:val="clear" w:color="auto" w:fill="auto"/>
          <w:tblLayout w:type="fixed"/>
          <w:tblCellMar>
            <w:top w:w="0" w:type="dxa"/>
            <w:left w:w="108" w:type="dxa"/>
            <w:bottom w:w="0" w:type="dxa"/>
            <w:right w:w="108" w:type="dxa"/>
          </w:tblCellMar>
        </w:tblPrEx>
        <w:trPr>
          <w:trHeight w:val="1392"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水旱灾害隐患调查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洪（ 潮） 水灾害重点隐患调查、内涝灾害隐患调查</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区级</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水利片内主要海塘、水闸隐患调查、城镇雨水排水能力调查、除涝能力调查</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区水务局</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市水务局</w:t>
            </w:r>
          </w:p>
        </w:tc>
      </w:tr>
      <w:tr>
        <w:tblPrEx>
          <w:shd w:val="clear" w:color="auto" w:fill="auto"/>
          <w:tblLayout w:type="fixed"/>
          <w:tblCellMar>
            <w:top w:w="0" w:type="dxa"/>
            <w:left w:w="108" w:type="dxa"/>
            <w:bottom w:w="0" w:type="dxa"/>
            <w:right w:w="108" w:type="dxa"/>
          </w:tblCellMar>
        </w:tblPrEx>
        <w:trPr>
          <w:trHeight w:val="1392"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市政设施调查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供水设施调查</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区级</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水库、供水管线、厂站设施调查</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区水务局</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市水务局</w:t>
            </w:r>
          </w:p>
        </w:tc>
      </w:tr>
      <w:tr>
        <w:tblPrEx>
          <w:shd w:val="clear" w:color="auto" w:fill="auto"/>
          <w:tblLayout w:type="fixed"/>
          <w:tblCellMar>
            <w:top w:w="0" w:type="dxa"/>
            <w:left w:w="108" w:type="dxa"/>
            <w:bottom w:w="0" w:type="dxa"/>
            <w:right w:w="108" w:type="dxa"/>
          </w:tblCellMar>
        </w:tblPrEx>
        <w:trPr>
          <w:trHeight w:val="1392"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历史灾害灾情调查与评估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sz w:val="28"/>
                <w:szCs w:val="28"/>
                <w:highlight w:val="none"/>
                <w:u w:val="none"/>
                <w:lang w:val="en-US"/>
              </w:rPr>
            </w:pPr>
            <w:r>
              <w:rPr>
                <w:rFonts w:hint="eastAsia" w:ascii="仿宋" w:hAnsi="仿宋" w:eastAsia="仿宋" w:cs="仿宋"/>
                <w:i w:val="0"/>
                <w:iCs w:val="0"/>
                <w:color w:val="000000"/>
                <w:kern w:val="0"/>
                <w:sz w:val="28"/>
                <w:szCs w:val="28"/>
                <w:highlight w:val="none"/>
                <w:u w:val="none"/>
                <w:lang w:val="en-US" w:eastAsia="zh-CN" w:bidi="ar"/>
              </w:rPr>
              <w:t>历史年度自然灾害灾情调查</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区级</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1978 年至 2020 年发生的年度水旱自然灾害情况</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区应急局</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lang w:val="en-US" w:eastAsia="zh-CN"/>
              </w:rPr>
            </w:pPr>
            <w:r>
              <w:rPr>
                <w:rFonts w:hint="eastAsia" w:ascii="仿宋" w:hAnsi="仿宋" w:eastAsia="仿宋" w:cs="仿宋"/>
                <w:i w:val="0"/>
                <w:iCs w:val="0"/>
                <w:color w:val="000000"/>
                <w:sz w:val="28"/>
                <w:szCs w:val="28"/>
                <w:highlight w:val="none"/>
                <w:u w:val="none"/>
                <w:lang w:val="en-US" w:eastAsia="zh-CN"/>
              </w:rPr>
              <w:t>区水务局</w:t>
            </w:r>
          </w:p>
        </w:tc>
      </w:tr>
      <w:tr>
        <w:tblPrEx>
          <w:shd w:val="clear" w:color="auto" w:fill="auto"/>
          <w:tblLayout w:type="fixed"/>
          <w:tblCellMar>
            <w:top w:w="0" w:type="dxa"/>
            <w:left w:w="108" w:type="dxa"/>
            <w:bottom w:w="0" w:type="dxa"/>
            <w:right w:w="108" w:type="dxa"/>
          </w:tblCellMar>
        </w:tblPrEx>
        <w:trPr>
          <w:trHeight w:val="1392"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实施细则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实施细则</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区级</w:t>
            </w:r>
          </w:p>
        </w:tc>
        <w:tc>
          <w:tcPr>
            <w:tcW w:w="1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实施细则</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区水务局</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lang w:val="en-US" w:eastAsia="zh-CN"/>
              </w:rPr>
            </w:pPr>
            <w:r>
              <w:rPr>
                <w:rFonts w:hint="eastAsia" w:ascii="仿宋" w:hAnsi="仿宋" w:eastAsia="仿宋" w:cs="仿宋"/>
                <w:i w:val="0"/>
                <w:iCs w:val="0"/>
                <w:color w:val="000000"/>
                <w:sz w:val="28"/>
                <w:szCs w:val="28"/>
                <w:highlight w:val="none"/>
                <w:u w:val="none"/>
                <w:lang w:val="en-US" w:eastAsia="zh-CN"/>
              </w:rPr>
              <w:t>市水务局</w:t>
            </w:r>
          </w:p>
        </w:tc>
      </w:tr>
    </w:tbl>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after="0" w:afterLines="30" w:line="560" w:lineRule="exact"/>
        <w:ind w:right="0" w:rightChars="0"/>
        <w:jc w:val="both"/>
        <w:textAlignment w:val="auto"/>
        <w:rPr>
          <w:rFonts w:hint="eastAsia" w:ascii="仿宋" w:hAnsi="仿宋" w:eastAsia="仿宋" w:cs="仿宋"/>
          <w:b/>
          <w:sz w:val="32"/>
          <w:szCs w:val="32"/>
          <w:lang w:eastAsia="zh-CN"/>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after="0" w:afterLines="30" w:line="560" w:lineRule="exact"/>
        <w:ind w:right="0" w:rightChars="0"/>
        <w:jc w:val="both"/>
        <w:textAlignment w:val="auto"/>
        <w:rPr>
          <w:rFonts w:hint="eastAsia" w:ascii="仿宋" w:hAnsi="仿宋" w:eastAsia="仿宋" w:cs="仿宋"/>
          <w:b/>
          <w:sz w:val="32"/>
          <w:szCs w:val="32"/>
          <w:lang w:eastAsia="zh-CN"/>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after="0" w:afterLines="30" w:line="560" w:lineRule="exact"/>
        <w:ind w:right="0" w:rightChars="0"/>
        <w:jc w:val="both"/>
        <w:textAlignment w:val="auto"/>
        <w:rPr>
          <w:rFonts w:hint="eastAsia" w:ascii="仿宋" w:hAnsi="仿宋" w:eastAsia="仿宋" w:cs="仿宋"/>
          <w:b/>
          <w:sz w:val="32"/>
          <w:szCs w:val="32"/>
          <w:lang w:eastAsia="zh-CN"/>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after="0" w:afterLines="30" w:line="560" w:lineRule="exact"/>
        <w:ind w:right="0" w:rightChars="0"/>
        <w:jc w:val="both"/>
        <w:textAlignment w:val="auto"/>
        <w:rPr>
          <w:rFonts w:hint="eastAsia" w:ascii="仿宋" w:hAnsi="仿宋" w:eastAsia="仿宋" w:cs="仿宋"/>
          <w:b/>
          <w:sz w:val="32"/>
          <w:szCs w:val="32"/>
          <w:lang w:eastAsia="zh-CN"/>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1-</w:t>
      </w:r>
      <w:r>
        <w:rPr>
          <w:rFonts w:hint="default" w:ascii="仿宋" w:hAnsi="仿宋" w:eastAsia="仿宋" w:cs="仿宋"/>
          <w:b/>
          <w:sz w:val="32"/>
          <w:szCs w:val="32"/>
          <w:lang w:val="en-US" w:eastAsia="zh-CN"/>
        </w:rPr>
        <w:t>4</w:t>
      </w:r>
      <w:r>
        <w:rPr>
          <w:rFonts w:hint="eastAsia" w:ascii="仿宋" w:hAnsi="仿宋" w:eastAsia="仿宋" w:cs="仿宋"/>
          <w:b/>
          <w:sz w:val="32"/>
          <w:szCs w:val="32"/>
          <w:lang w:eastAsia="zh-CN"/>
        </w:rPr>
        <w:t>海洋灾害风险调查与评估任务分工</w:t>
      </w:r>
    </w:p>
    <w:tbl>
      <w:tblPr>
        <w:tblStyle w:val="24"/>
        <w:tblW w:w="8311" w:type="dxa"/>
        <w:tblInd w:w="96" w:type="dxa"/>
        <w:shd w:val="clear" w:color="auto" w:fill="auto"/>
        <w:tblLayout w:type="fixed"/>
        <w:tblCellMar>
          <w:top w:w="0" w:type="dxa"/>
          <w:left w:w="108" w:type="dxa"/>
          <w:bottom w:w="0" w:type="dxa"/>
          <w:right w:w="108" w:type="dxa"/>
        </w:tblCellMar>
      </w:tblPr>
      <w:tblGrid>
        <w:gridCol w:w="1951"/>
        <w:gridCol w:w="1428"/>
        <w:gridCol w:w="4932"/>
      </w:tblGrid>
      <w:tr>
        <w:tblPrEx>
          <w:shd w:val="clear" w:color="auto" w:fill="auto"/>
          <w:tblLayout w:type="fixed"/>
          <w:tblCellMar>
            <w:top w:w="0" w:type="dxa"/>
            <w:left w:w="108" w:type="dxa"/>
            <w:bottom w:w="0" w:type="dxa"/>
            <w:right w:w="108" w:type="dxa"/>
          </w:tblCellMar>
        </w:tblPrEx>
        <w:trPr>
          <w:trHeight w:val="400" w:hRule="atLeast"/>
        </w:trPr>
        <w:tc>
          <w:tcPr>
            <w:tcW w:w="19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任务</w:t>
            </w:r>
          </w:p>
        </w:tc>
        <w:tc>
          <w:tcPr>
            <w:tcW w:w="142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任务分级</w:t>
            </w:r>
          </w:p>
        </w:tc>
        <w:tc>
          <w:tcPr>
            <w:tcW w:w="493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具体任务</w:t>
            </w:r>
          </w:p>
        </w:tc>
      </w:tr>
      <w:tr>
        <w:tblPrEx>
          <w:shd w:val="clear" w:color="auto" w:fill="auto"/>
          <w:tblLayout w:type="fixed"/>
          <w:tblCellMar>
            <w:top w:w="0" w:type="dxa"/>
            <w:left w:w="108" w:type="dxa"/>
            <w:bottom w:w="0" w:type="dxa"/>
            <w:right w:w="108" w:type="dxa"/>
          </w:tblCellMar>
        </w:tblPrEx>
        <w:trPr>
          <w:trHeight w:val="711" w:hRule="atLeast"/>
        </w:trPr>
        <w:tc>
          <w:tcPr>
            <w:tcW w:w="195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海洋灾害致灾孕灾要素调查</w:t>
            </w:r>
          </w:p>
        </w:tc>
        <w:tc>
          <w:tcPr>
            <w:tcW w:w="142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区级</w:t>
            </w: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1）风暴潮、海啸和海岸侵蚀3个灾种，海洋灾害致灾孕灾要素调查</w:t>
            </w:r>
          </w:p>
        </w:tc>
      </w:tr>
      <w:tr>
        <w:tblPrEx>
          <w:shd w:val="clear" w:color="auto" w:fill="auto"/>
          <w:tblLayout w:type="fixed"/>
          <w:tblCellMar>
            <w:top w:w="0" w:type="dxa"/>
            <w:left w:w="108" w:type="dxa"/>
            <w:bottom w:w="0" w:type="dxa"/>
            <w:right w:w="108" w:type="dxa"/>
          </w:tblCellMar>
        </w:tblPrEx>
        <w:trPr>
          <w:trHeight w:val="711" w:hRule="atLeast"/>
        </w:trPr>
        <w:tc>
          <w:tcPr>
            <w:tcW w:w="195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海洋灾害历史灾害调查</w:t>
            </w:r>
          </w:p>
        </w:tc>
        <w:tc>
          <w:tcPr>
            <w:tcW w:w="142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区级</w:t>
            </w: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2）风暴潮、海浪、海啸年度自然灾害调查</w:t>
            </w:r>
          </w:p>
        </w:tc>
      </w:tr>
      <w:tr>
        <w:tblPrEx>
          <w:shd w:val="clear" w:color="auto" w:fill="auto"/>
          <w:tblLayout w:type="fixed"/>
          <w:tblCellMar>
            <w:top w:w="0" w:type="dxa"/>
            <w:left w:w="108" w:type="dxa"/>
            <w:bottom w:w="0" w:type="dxa"/>
            <w:right w:w="108" w:type="dxa"/>
          </w:tblCellMar>
        </w:tblPrEx>
        <w:trPr>
          <w:trHeight w:val="363" w:hRule="atLeast"/>
        </w:trPr>
        <w:tc>
          <w:tcPr>
            <w:tcW w:w="19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海洋灾害重点隐患排查</w:t>
            </w:r>
          </w:p>
        </w:tc>
        <w:tc>
          <w:tcPr>
            <w:tcW w:w="142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区级</w:t>
            </w: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default" w:ascii="仿宋" w:hAnsi="仿宋" w:eastAsia="仿宋" w:cs="仿宋"/>
                <w:i w:val="0"/>
                <w:iCs w:val="0"/>
                <w:color w:val="000000"/>
                <w:sz w:val="28"/>
                <w:szCs w:val="28"/>
                <w:highlight w:val="none"/>
                <w:u w:val="none"/>
                <w:lang w:val="en-US"/>
              </w:rPr>
            </w:pPr>
            <w:r>
              <w:rPr>
                <w:rFonts w:hint="eastAsia" w:ascii="仿宋" w:hAnsi="仿宋" w:eastAsia="仿宋" w:cs="仿宋"/>
                <w:i w:val="0"/>
                <w:iCs w:val="0"/>
                <w:color w:val="000000"/>
                <w:kern w:val="0"/>
                <w:sz w:val="28"/>
                <w:szCs w:val="28"/>
                <w:highlight w:val="none"/>
                <w:u w:val="none"/>
                <w:lang w:val="en-US" w:eastAsia="zh-CN" w:bidi="ar"/>
              </w:rPr>
              <w:t>3）沿海区海岸防护工程隐患调查</w:t>
            </w:r>
          </w:p>
        </w:tc>
      </w:tr>
      <w:tr>
        <w:tblPrEx>
          <w:shd w:val="clear" w:color="auto" w:fill="auto"/>
          <w:tblLayout w:type="fixed"/>
          <w:tblCellMar>
            <w:top w:w="0" w:type="dxa"/>
            <w:left w:w="108" w:type="dxa"/>
            <w:bottom w:w="0" w:type="dxa"/>
            <w:right w:w="108" w:type="dxa"/>
          </w:tblCellMar>
        </w:tblPrEx>
        <w:trPr>
          <w:trHeight w:val="363" w:hRule="atLeast"/>
        </w:trPr>
        <w:tc>
          <w:tcPr>
            <w:tcW w:w="195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42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4）沿海区海水养殖区隐患调查</w:t>
            </w:r>
          </w:p>
        </w:tc>
      </w:tr>
      <w:tr>
        <w:tblPrEx>
          <w:shd w:val="clear" w:color="auto" w:fill="auto"/>
          <w:tblLayout w:type="fixed"/>
          <w:tblCellMar>
            <w:top w:w="0" w:type="dxa"/>
            <w:left w:w="108" w:type="dxa"/>
            <w:bottom w:w="0" w:type="dxa"/>
            <w:right w:w="108" w:type="dxa"/>
          </w:tblCellMar>
        </w:tblPrEx>
        <w:trPr>
          <w:trHeight w:val="363" w:hRule="atLeast"/>
        </w:trPr>
        <w:tc>
          <w:tcPr>
            <w:tcW w:w="1951"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42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5）沿海区渔港隐患调查</w:t>
            </w:r>
          </w:p>
        </w:tc>
      </w:tr>
    </w:tbl>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after="0" w:afterLines="30" w:line="560" w:lineRule="exact"/>
        <w:ind w:right="0" w:rightChars="0"/>
        <w:jc w:val="center"/>
        <w:textAlignment w:val="auto"/>
        <w:rPr>
          <w:rFonts w:hint="eastAsia" w:ascii="仿宋" w:hAnsi="仿宋" w:eastAsia="仿宋" w:cs="仿宋"/>
          <w:b/>
          <w:sz w:val="32"/>
          <w:szCs w:val="32"/>
          <w:lang w:eastAsia="zh-CN"/>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1-</w:t>
      </w:r>
      <w:r>
        <w:rPr>
          <w:rFonts w:hint="default" w:ascii="仿宋" w:hAnsi="仿宋" w:eastAsia="仿宋" w:cs="仿宋"/>
          <w:b/>
          <w:sz w:val="32"/>
          <w:szCs w:val="32"/>
          <w:lang w:val="en-US" w:eastAsia="zh-CN"/>
        </w:rPr>
        <w:t>5</w:t>
      </w:r>
      <w:r>
        <w:rPr>
          <w:rFonts w:hint="eastAsia" w:ascii="仿宋" w:hAnsi="仿宋" w:eastAsia="仿宋" w:cs="仿宋"/>
          <w:b/>
          <w:sz w:val="32"/>
          <w:szCs w:val="32"/>
          <w:lang w:eastAsia="zh-CN"/>
        </w:rPr>
        <w:t>森林火灾风险调查与评估任务分工表</w:t>
      </w:r>
    </w:p>
    <w:tbl>
      <w:tblPr>
        <w:tblStyle w:val="24"/>
        <w:tblW w:w="8299" w:type="dxa"/>
        <w:tblInd w:w="96" w:type="dxa"/>
        <w:shd w:val="clear" w:color="auto" w:fill="auto"/>
        <w:tblLayout w:type="fixed"/>
        <w:tblCellMar>
          <w:top w:w="0" w:type="dxa"/>
          <w:left w:w="108" w:type="dxa"/>
          <w:bottom w:w="0" w:type="dxa"/>
          <w:right w:w="108" w:type="dxa"/>
        </w:tblCellMar>
      </w:tblPr>
      <w:tblGrid>
        <w:gridCol w:w="1243"/>
        <w:gridCol w:w="1668"/>
        <w:gridCol w:w="1344"/>
        <w:gridCol w:w="4044"/>
      </w:tblGrid>
      <w:tr>
        <w:tblPrEx>
          <w:tblLayout w:type="fixed"/>
          <w:tblCellMar>
            <w:top w:w="0" w:type="dxa"/>
            <w:left w:w="108" w:type="dxa"/>
            <w:bottom w:w="0" w:type="dxa"/>
            <w:right w:w="108" w:type="dxa"/>
          </w:tblCellMar>
        </w:tblPrEx>
        <w:trPr>
          <w:trHeight w:val="339"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子任务</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任务分级</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具体任务</w:t>
            </w:r>
          </w:p>
        </w:tc>
      </w:tr>
      <w:tr>
        <w:tblPrEx>
          <w:shd w:val="clear" w:color="auto" w:fill="auto"/>
          <w:tblLayout w:type="fixed"/>
          <w:tblCellMar>
            <w:top w:w="0" w:type="dxa"/>
            <w:left w:w="108" w:type="dxa"/>
            <w:bottom w:w="0" w:type="dxa"/>
            <w:right w:w="108" w:type="dxa"/>
          </w:tblCellMar>
        </w:tblPrEx>
        <w:trPr>
          <w:trHeight w:val="696"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基础数据整合</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森林资源数据整合</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区级森林资源基础数据等收集处理</w:t>
            </w:r>
          </w:p>
        </w:tc>
      </w:tr>
      <w:tr>
        <w:tblPrEx>
          <w:tblLayout w:type="fixed"/>
          <w:tblCellMar>
            <w:top w:w="0" w:type="dxa"/>
            <w:left w:w="108" w:type="dxa"/>
            <w:bottom w:w="0" w:type="dxa"/>
            <w:right w:w="108" w:type="dxa"/>
          </w:tblCellMar>
        </w:tblPrEx>
        <w:trPr>
          <w:trHeight w:val="348" w:hRule="atLeast"/>
        </w:trPr>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风险普查</w:t>
            </w:r>
          </w:p>
        </w:tc>
        <w:tc>
          <w:tcPr>
            <w:tcW w:w="1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森林可燃物调查</w:t>
            </w:r>
          </w:p>
        </w:tc>
        <w:tc>
          <w:tcPr>
            <w:tcW w:w="1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区森林可燃物标准地外业调查</w:t>
            </w:r>
          </w:p>
        </w:tc>
      </w:tr>
      <w:tr>
        <w:tblPrEx>
          <w:shd w:val="clear" w:color="auto" w:fill="auto"/>
          <w:tblLayout w:type="fixed"/>
          <w:tblCellMar>
            <w:top w:w="0" w:type="dxa"/>
            <w:left w:w="108" w:type="dxa"/>
            <w:bottom w:w="0" w:type="dxa"/>
            <w:right w:w="108" w:type="dxa"/>
          </w:tblCellMar>
        </w:tblPrEx>
        <w:trPr>
          <w:trHeight w:val="348" w:hRule="atLeast"/>
        </w:trPr>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区森林可燃物大样地外业调查</w:t>
            </w:r>
          </w:p>
        </w:tc>
      </w:tr>
      <w:tr>
        <w:tblPrEx>
          <w:shd w:val="clear" w:color="auto" w:fill="auto"/>
          <w:tblLayout w:type="fixed"/>
          <w:tblCellMar>
            <w:top w:w="0" w:type="dxa"/>
            <w:left w:w="108" w:type="dxa"/>
            <w:bottom w:w="0" w:type="dxa"/>
            <w:right w:w="108" w:type="dxa"/>
          </w:tblCellMar>
        </w:tblPrEx>
        <w:trPr>
          <w:trHeight w:val="348" w:hRule="atLeast"/>
        </w:trPr>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野外火源调查</w:t>
            </w: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森林野外火源调查</w:t>
            </w:r>
          </w:p>
        </w:tc>
      </w:tr>
      <w:tr>
        <w:tblPrEx>
          <w:shd w:val="clear" w:color="auto" w:fill="auto"/>
          <w:tblLayout w:type="fixed"/>
          <w:tblCellMar>
            <w:top w:w="0" w:type="dxa"/>
            <w:left w:w="108" w:type="dxa"/>
            <w:bottom w:w="0" w:type="dxa"/>
            <w:right w:w="108" w:type="dxa"/>
          </w:tblCellMar>
        </w:tblPrEx>
        <w:trPr>
          <w:trHeight w:val="696" w:hRule="atLeast"/>
        </w:trPr>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历史森林火灾调查</w:t>
            </w: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森林火灾统计数据、档案数据采集</w:t>
            </w:r>
          </w:p>
        </w:tc>
      </w:tr>
      <w:tr>
        <w:tblPrEx>
          <w:shd w:val="clear" w:color="auto" w:fill="auto"/>
          <w:tblLayout w:type="fixed"/>
          <w:tblCellMar>
            <w:top w:w="0" w:type="dxa"/>
            <w:left w:w="108" w:type="dxa"/>
            <w:bottom w:w="0" w:type="dxa"/>
            <w:right w:w="108" w:type="dxa"/>
          </w:tblCellMar>
        </w:tblPrEx>
        <w:trPr>
          <w:trHeight w:val="348" w:hRule="atLeast"/>
        </w:trPr>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减灾能力调查</w:t>
            </w: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减灾能力调查、数据采集</w:t>
            </w:r>
          </w:p>
        </w:tc>
      </w:tr>
      <w:tr>
        <w:tblPrEx>
          <w:shd w:val="clear" w:color="auto" w:fill="auto"/>
          <w:tblLayout w:type="fixed"/>
          <w:tblCellMar>
            <w:top w:w="0" w:type="dxa"/>
            <w:left w:w="108" w:type="dxa"/>
            <w:bottom w:w="0" w:type="dxa"/>
            <w:right w:w="108" w:type="dxa"/>
          </w:tblCellMar>
        </w:tblPrEx>
        <w:trPr>
          <w:trHeight w:val="696" w:hRule="atLeast"/>
        </w:trPr>
        <w:tc>
          <w:tcPr>
            <w:tcW w:w="12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风险评估与区划</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危险性评估</w:t>
            </w:r>
          </w:p>
        </w:tc>
        <w:tc>
          <w:tcPr>
            <w:tcW w:w="1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森林可燃物载量测算、危险性评估分析、制图、报告编制</w:t>
            </w:r>
          </w:p>
        </w:tc>
      </w:tr>
      <w:tr>
        <w:tblPrEx>
          <w:shd w:val="clear" w:color="auto" w:fill="auto"/>
          <w:tblLayout w:type="fixed"/>
          <w:tblCellMar>
            <w:top w:w="0" w:type="dxa"/>
            <w:left w:w="108" w:type="dxa"/>
            <w:bottom w:w="0" w:type="dxa"/>
            <w:right w:w="108" w:type="dxa"/>
          </w:tblCellMar>
        </w:tblPrEx>
        <w:trPr>
          <w:trHeight w:val="696" w:hRule="atLeast"/>
        </w:trPr>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重点隐患评估</w:t>
            </w: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森林火灾重点隐患评估分析、制图、报告编制</w:t>
            </w:r>
          </w:p>
        </w:tc>
      </w:tr>
      <w:tr>
        <w:tblPrEx>
          <w:tblLayout w:type="fixed"/>
          <w:tblCellMar>
            <w:top w:w="0" w:type="dxa"/>
            <w:left w:w="108" w:type="dxa"/>
            <w:bottom w:w="0" w:type="dxa"/>
            <w:right w:w="108" w:type="dxa"/>
          </w:tblCellMar>
        </w:tblPrEx>
        <w:trPr>
          <w:trHeight w:val="696" w:hRule="atLeast"/>
        </w:trPr>
        <w:tc>
          <w:tcPr>
            <w:tcW w:w="12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风险评估、风险区划、防治区划</w:t>
            </w:r>
          </w:p>
        </w:tc>
        <w:tc>
          <w:tcPr>
            <w:tcW w:w="1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森林火灾风险评估、 风险区划、防治区划、制图、报告编制</w:t>
            </w:r>
          </w:p>
        </w:tc>
      </w:tr>
      <w:tr>
        <w:tblPrEx>
          <w:tblLayout w:type="fixed"/>
          <w:tblCellMar>
            <w:top w:w="0" w:type="dxa"/>
            <w:left w:w="108" w:type="dxa"/>
            <w:bottom w:w="0" w:type="dxa"/>
            <w:right w:w="108" w:type="dxa"/>
          </w:tblCellMar>
        </w:tblPrEx>
        <w:trPr>
          <w:trHeight w:val="1044" w:hRule="atLeast"/>
        </w:trPr>
        <w:tc>
          <w:tcPr>
            <w:tcW w:w="1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数据质检、入库汇总</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森林火灾风险普查数据质检及入库汇总</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区级森林火灾风险普查数据质检、入库、汇总</w:t>
            </w:r>
          </w:p>
        </w:tc>
      </w:tr>
    </w:tbl>
    <w:p>
      <w:pPr>
        <w:keepNext w:val="0"/>
        <w:keepLines w:val="0"/>
        <w:pageBreakBefore w:val="0"/>
        <w:widowControl w:val="0"/>
        <w:kinsoku/>
        <w:wordWrap/>
        <w:overflowPunct/>
        <w:topLinePunct w:val="0"/>
        <w:autoSpaceDE w:val="0"/>
        <w:autoSpaceDN/>
        <w:bidi w:val="0"/>
        <w:adjustRightInd/>
        <w:snapToGrid/>
        <w:spacing w:after="0" w:line="560" w:lineRule="exact"/>
        <w:ind w:left="0" w:leftChars="0" w:right="0" w:firstLine="640" w:firstLineChars="200"/>
        <w:jc w:val="center"/>
        <w:rPr>
          <w:rFonts w:hint="eastAsia" w:ascii="仿宋" w:hAnsi="仿宋" w:eastAsia="仿宋" w:cs="仿宋"/>
          <w:sz w:val="32"/>
          <w:szCs w:val="32"/>
        </w:rPr>
        <w:sectPr>
          <w:footerReference r:id="rId11" w:type="default"/>
          <w:pgSz w:w="11910" w:h="16840"/>
          <w:pgMar w:top="1440" w:right="1803" w:bottom="1440" w:left="1803" w:header="0" w:footer="1521" w:gutter="0"/>
          <w:pgNumType w:fmt="decimal"/>
          <w:cols w:space="720" w:num="1"/>
          <w:rtlGutter w:val="0"/>
          <w:docGrid w:linePitch="0" w:charSpace="0"/>
        </w:sect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2-1</w:t>
      </w:r>
      <w:r>
        <w:rPr>
          <w:rFonts w:hint="eastAsia" w:ascii="仿宋" w:hAnsi="仿宋" w:eastAsia="仿宋" w:cs="仿宋"/>
          <w:b/>
          <w:sz w:val="32"/>
          <w:szCs w:val="32"/>
          <w:lang w:eastAsia="zh-CN"/>
        </w:rPr>
        <w:t>交通运输基础设施调查任务分工</w:t>
      </w:r>
    </w:p>
    <w:tbl>
      <w:tblPr>
        <w:tblStyle w:val="24"/>
        <w:tblW w:w="8304" w:type="dxa"/>
        <w:tblInd w:w="91" w:type="dxa"/>
        <w:shd w:val="clear" w:color="auto" w:fill="auto"/>
        <w:tblLayout w:type="fixed"/>
        <w:tblCellMar>
          <w:top w:w="0" w:type="dxa"/>
          <w:left w:w="108" w:type="dxa"/>
          <w:bottom w:w="0" w:type="dxa"/>
          <w:right w:w="108" w:type="dxa"/>
        </w:tblCellMar>
      </w:tblPr>
      <w:tblGrid>
        <w:gridCol w:w="869"/>
        <w:gridCol w:w="1327"/>
        <w:gridCol w:w="1416"/>
        <w:gridCol w:w="4692"/>
      </w:tblGrid>
      <w:tr>
        <w:tblPrEx>
          <w:tblLayout w:type="fixed"/>
          <w:tblCellMar>
            <w:top w:w="0" w:type="dxa"/>
            <w:left w:w="108" w:type="dxa"/>
            <w:bottom w:w="0" w:type="dxa"/>
            <w:right w:w="108" w:type="dxa"/>
          </w:tblCellMar>
        </w:tblPrEx>
        <w:trPr>
          <w:trHeight w:val="348" w:hRule="atLeast"/>
        </w:trPr>
        <w:tc>
          <w:tcPr>
            <w:tcW w:w="8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子任务</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任务分</w:t>
            </w:r>
            <w:r>
              <w:rPr>
                <w:rStyle w:val="56"/>
                <w:b/>
                <w:bCs/>
                <w:lang w:val="en-US" w:eastAsia="zh-CN" w:bidi="ar"/>
              </w:rPr>
              <w:t>级</w:t>
            </w: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具体任务</w:t>
            </w:r>
          </w:p>
        </w:tc>
      </w:tr>
      <w:tr>
        <w:tblPrEx>
          <w:tblLayout w:type="fixed"/>
          <w:tblCellMar>
            <w:top w:w="0" w:type="dxa"/>
            <w:left w:w="108" w:type="dxa"/>
            <w:bottom w:w="0" w:type="dxa"/>
            <w:right w:w="108" w:type="dxa"/>
          </w:tblCellMar>
        </w:tblPrEx>
        <w:trPr>
          <w:trHeight w:val="696" w:hRule="atLeast"/>
        </w:trPr>
        <w:tc>
          <w:tcPr>
            <w:tcW w:w="869" w:type="dxa"/>
            <w:vMerge w:val="restart"/>
            <w:tcBorders>
              <w:top w:val="nil"/>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交通设施承灾体调查</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公路承灾体普查</w:t>
            </w:r>
          </w:p>
        </w:tc>
        <w:tc>
          <w:tcPr>
            <w:tcW w:w="141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1）完成区管公路设施属性信息和自然灾害风险点信息采集填报</w:t>
            </w:r>
          </w:p>
        </w:tc>
      </w:tr>
      <w:tr>
        <w:tblPrEx>
          <w:shd w:val="clear" w:color="auto" w:fill="auto"/>
          <w:tblLayout w:type="fixed"/>
          <w:tblCellMar>
            <w:top w:w="0" w:type="dxa"/>
            <w:left w:w="108" w:type="dxa"/>
            <w:bottom w:w="0" w:type="dxa"/>
            <w:right w:w="108" w:type="dxa"/>
          </w:tblCellMar>
        </w:tblPrEx>
        <w:trPr>
          <w:trHeight w:val="696" w:hRule="atLeast"/>
        </w:trPr>
        <w:tc>
          <w:tcPr>
            <w:tcW w:w="869"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1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2）完成区管公路设施数据质量检查、数据核查</w:t>
            </w:r>
          </w:p>
        </w:tc>
      </w:tr>
      <w:tr>
        <w:tblPrEx>
          <w:shd w:val="clear" w:color="auto" w:fill="auto"/>
          <w:tblLayout w:type="fixed"/>
          <w:tblCellMar>
            <w:top w:w="0" w:type="dxa"/>
            <w:left w:w="108" w:type="dxa"/>
            <w:bottom w:w="0" w:type="dxa"/>
            <w:right w:w="108" w:type="dxa"/>
          </w:tblCellMar>
        </w:tblPrEx>
        <w:trPr>
          <w:trHeight w:val="696" w:hRule="atLeast"/>
        </w:trPr>
        <w:tc>
          <w:tcPr>
            <w:tcW w:w="869"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城市道路承灾体普查</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1）完成区管城市道路设施属性信息和自然灾害风险点信息采集填报</w:t>
            </w:r>
          </w:p>
        </w:tc>
      </w:tr>
      <w:tr>
        <w:tblPrEx>
          <w:tblLayout w:type="fixed"/>
          <w:tblCellMar>
            <w:top w:w="0" w:type="dxa"/>
            <w:left w:w="108" w:type="dxa"/>
            <w:bottom w:w="0" w:type="dxa"/>
            <w:right w:w="108" w:type="dxa"/>
          </w:tblCellMar>
        </w:tblPrEx>
        <w:trPr>
          <w:trHeight w:val="696" w:hRule="atLeast"/>
        </w:trPr>
        <w:tc>
          <w:tcPr>
            <w:tcW w:w="869"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2）完成区管城市道路设施数据质量检查、数据核查</w:t>
            </w:r>
          </w:p>
        </w:tc>
      </w:tr>
      <w:tr>
        <w:tblPrEx>
          <w:shd w:val="clear" w:color="auto" w:fill="auto"/>
          <w:tblLayout w:type="fixed"/>
          <w:tblCellMar>
            <w:top w:w="0" w:type="dxa"/>
            <w:left w:w="108" w:type="dxa"/>
            <w:bottom w:w="0" w:type="dxa"/>
            <w:right w:w="108" w:type="dxa"/>
          </w:tblCellMar>
        </w:tblPrEx>
        <w:trPr>
          <w:trHeight w:val="348" w:hRule="atLeast"/>
        </w:trPr>
        <w:tc>
          <w:tcPr>
            <w:tcW w:w="869"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水路承灾体普查</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1）完成区管水路承灾体普查数据采集</w:t>
            </w:r>
          </w:p>
        </w:tc>
      </w:tr>
      <w:tr>
        <w:tblPrEx>
          <w:tblLayout w:type="fixed"/>
          <w:tblCellMar>
            <w:top w:w="0" w:type="dxa"/>
            <w:left w:w="108" w:type="dxa"/>
            <w:bottom w:w="0" w:type="dxa"/>
            <w:right w:w="108" w:type="dxa"/>
          </w:tblCellMar>
        </w:tblPrEx>
        <w:trPr>
          <w:trHeight w:val="696" w:hRule="atLeast"/>
        </w:trPr>
        <w:tc>
          <w:tcPr>
            <w:tcW w:w="869" w:type="dxa"/>
            <w:vMerge w:val="continue"/>
            <w:tcBorders>
              <w:top w:val="nil"/>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2）完成区管水路承灾体普查数据核查、整理</w:t>
            </w:r>
          </w:p>
        </w:tc>
      </w:tr>
      <w:tr>
        <w:tblPrEx>
          <w:shd w:val="clear" w:color="auto" w:fill="auto"/>
          <w:tblLayout w:type="fixed"/>
          <w:tblCellMar>
            <w:top w:w="0" w:type="dxa"/>
            <w:left w:w="108" w:type="dxa"/>
            <w:bottom w:w="0" w:type="dxa"/>
            <w:right w:w="108" w:type="dxa"/>
          </w:tblCellMar>
        </w:tblPrEx>
        <w:trPr>
          <w:trHeight w:val="348" w:hRule="atLeast"/>
        </w:trPr>
        <w:tc>
          <w:tcPr>
            <w:tcW w:w="86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方案设计</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方案设计</w:t>
            </w:r>
          </w:p>
        </w:tc>
        <w:tc>
          <w:tcPr>
            <w:tcW w:w="1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1）制定区级承灾体普查实施细则</w:t>
            </w:r>
          </w:p>
        </w:tc>
      </w:tr>
      <w:tr>
        <w:tblPrEx>
          <w:tblLayout w:type="fixed"/>
          <w:tblCellMar>
            <w:top w:w="0" w:type="dxa"/>
            <w:left w:w="108" w:type="dxa"/>
            <w:bottom w:w="0" w:type="dxa"/>
            <w:right w:w="108" w:type="dxa"/>
          </w:tblCellMar>
        </w:tblPrEx>
        <w:trPr>
          <w:trHeight w:val="696" w:hRule="atLeast"/>
        </w:trPr>
        <w:tc>
          <w:tcPr>
            <w:tcW w:w="86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 制定自然灾害综合风险公路、城市道路、水路承灾体普查技术指南</w:t>
            </w:r>
          </w:p>
        </w:tc>
      </w:tr>
      <w:tr>
        <w:tblPrEx>
          <w:tblLayout w:type="fixed"/>
          <w:tblCellMar>
            <w:top w:w="0" w:type="dxa"/>
            <w:left w:w="108" w:type="dxa"/>
            <w:bottom w:w="0" w:type="dxa"/>
            <w:right w:w="108" w:type="dxa"/>
          </w:tblCellMar>
        </w:tblPrEx>
        <w:trPr>
          <w:trHeight w:val="1044" w:hRule="atLeast"/>
        </w:trPr>
        <w:tc>
          <w:tcPr>
            <w:tcW w:w="869"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6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 制定自然灾害综合风险公路、城市道路、水路承灾体普查培训教材， 开展区级技术培训</w:t>
            </w:r>
          </w:p>
        </w:tc>
      </w:tr>
    </w:tbl>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2-2</w:t>
      </w:r>
      <w:r>
        <w:rPr>
          <w:rFonts w:hint="eastAsia" w:ascii="仿宋" w:hAnsi="仿宋" w:eastAsia="仿宋" w:cs="仿宋"/>
          <w:b/>
          <w:sz w:val="32"/>
          <w:szCs w:val="32"/>
          <w:lang w:eastAsia="zh-CN"/>
        </w:rPr>
        <w:t>危险化学品调查</w:t>
      </w:r>
    </w:p>
    <w:tbl>
      <w:tblPr>
        <w:tblStyle w:val="24"/>
        <w:tblW w:w="8301" w:type="dxa"/>
        <w:tblInd w:w="96" w:type="dxa"/>
        <w:shd w:val="clear" w:color="auto" w:fill="auto"/>
        <w:tblLayout w:type="fixed"/>
        <w:tblCellMar>
          <w:top w:w="0" w:type="dxa"/>
          <w:left w:w="108" w:type="dxa"/>
          <w:bottom w:w="0" w:type="dxa"/>
          <w:right w:w="108" w:type="dxa"/>
        </w:tblCellMar>
      </w:tblPr>
      <w:tblGrid>
        <w:gridCol w:w="948"/>
        <w:gridCol w:w="1227"/>
        <w:gridCol w:w="3517"/>
        <w:gridCol w:w="948"/>
        <w:gridCol w:w="1661"/>
      </w:tblGrid>
      <w:tr>
        <w:tblPrEx>
          <w:shd w:val="clear" w:color="auto" w:fill="auto"/>
          <w:tblLayout w:type="fixed"/>
          <w:tblCellMar>
            <w:top w:w="0" w:type="dxa"/>
            <w:left w:w="108" w:type="dxa"/>
            <w:bottom w:w="0" w:type="dxa"/>
            <w:right w:w="108" w:type="dxa"/>
          </w:tblCellMar>
        </w:tblPrEx>
        <w:trPr>
          <w:trHeight w:val="711" w:hRule="atLeast"/>
        </w:trPr>
        <w:tc>
          <w:tcPr>
            <w:tcW w:w="94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调查任务</w:t>
            </w:r>
          </w:p>
        </w:tc>
        <w:tc>
          <w:tcPr>
            <w:tcW w:w="122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调查子任务</w:t>
            </w:r>
          </w:p>
        </w:tc>
        <w:tc>
          <w:tcPr>
            <w:tcW w:w="35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具体任务</w:t>
            </w:r>
          </w:p>
        </w:tc>
        <w:tc>
          <w:tcPr>
            <w:tcW w:w="94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责任主体</w:t>
            </w:r>
          </w:p>
        </w:tc>
        <w:tc>
          <w:tcPr>
            <w:tcW w:w="166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参与部门</w:t>
            </w:r>
            <w:r>
              <w:rPr>
                <w:rFonts w:hint="eastAsia" w:ascii="仿宋" w:hAnsi="仿宋" w:eastAsia="仿宋" w:cs="仿宋"/>
                <w:b/>
                <w:bCs/>
                <w:i w:val="0"/>
                <w:iCs w:val="0"/>
                <w:color w:val="000000"/>
                <w:kern w:val="0"/>
                <w:sz w:val="28"/>
                <w:szCs w:val="28"/>
                <w:u w:val="none"/>
                <w:lang w:val="en-US" w:eastAsia="zh-CN" w:bidi="ar"/>
              </w:rPr>
              <w:br w:type="textWrapping"/>
            </w:r>
            <w:r>
              <w:rPr>
                <w:rFonts w:hint="eastAsia" w:ascii="仿宋" w:hAnsi="仿宋" w:eastAsia="仿宋" w:cs="仿宋"/>
                <w:b/>
                <w:bCs/>
                <w:i w:val="0"/>
                <w:iCs w:val="0"/>
                <w:color w:val="000000"/>
                <w:kern w:val="0"/>
                <w:sz w:val="28"/>
                <w:szCs w:val="28"/>
                <w:u w:val="none"/>
                <w:lang w:val="en-US" w:eastAsia="zh-CN" w:bidi="ar"/>
              </w:rPr>
              <w:t>（协同填报单位）</w:t>
            </w:r>
          </w:p>
        </w:tc>
      </w:tr>
      <w:tr>
        <w:tblPrEx>
          <w:shd w:val="clear" w:color="auto" w:fill="auto"/>
          <w:tblLayout w:type="fixed"/>
          <w:tblCellMar>
            <w:top w:w="0" w:type="dxa"/>
            <w:left w:w="108" w:type="dxa"/>
            <w:bottom w:w="0" w:type="dxa"/>
            <w:right w:w="108" w:type="dxa"/>
          </w:tblCellMar>
        </w:tblPrEx>
        <w:trPr>
          <w:trHeight w:val="1059" w:hRule="atLeast"/>
        </w:trPr>
        <w:tc>
          <w:tcPr>
            <w:tcW w:w="94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危化品企业调查</w:t>
            </w:r>
          </w:p>
        </w:tc>
        <w:tc>
          <w:tcPr>
            <w:tcW w:w="122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危化品企业调查</w:t>
            </w:r>
          </w:p>
        </w:tc>
        <w:tc>
          <w:tcPr>
            <w:tcW w:w="35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危险化学品企业以及重大危险源调查</w:t>
            </w:r>
          </w:p>
        </w:tc>
        <w:tc>
          <w:tcPr>
            <w:tcW w:w="94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166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r>
        <w:tblPrEx>
          <w:shd w:val="clear" w:color="auto" w:fill="auto"/>
          <w:tblLayout w:type="fixed"/>
          <w:tblCellMar>
            <w:top w:w="0" w:type="dxa"/>
            <w:left w:w="108" w:type="dxa"/>
            <w:bottom w:w="0" w:type="dxa"/>
            <w:right w:w="108" w:type="dxa"/>
          </w:tblCellMar>
        </w:tblPrEx>
        <w:trPr>
          <w:trHeight w:val="1059" w:hRule="atLeast"/>
        </w:trPr>
        <w:tc>
          <w:tcPr>
            <w:tcW w:w="94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22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加油加气加氢站调查</w:t>
            </w:r>
          </w:p>
        </w:tc>
        <w:tc>
          <w:tcPr>
            <w:tcW w:w="35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加油加气加氢站危险化学品承灾体调查数据采集与审核</w:t>
            </w:r>
          </w:p>
        </w:tc>
        <w:tc>
          <w:tcPr>
            <w:tcW w:w="94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66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r>
    </w:tbl>
    <w:p>
      <w:pPr>
        <w:keepNext w:val="0"/>
        <w:keepLines w:val="0"/>
        <w:pageBreakBefore w:val="0"/>
        <w:widowControl w:val="0"/>
        <w:kinsoku/>
        <w:wordWrap/>
        <w:overflowPunct/>
        <w:topLinePunct w:val="0"/>
        <w:autoSpaceDE w:val="0"/>
        <w:autoSpaceDN/>
        <w:bidi w:val="0"/>
        <w:adjustRightInd/>
        <w:snapToGrid/>
        <w:spacing w:after="0" w:line="560" w:lineRule="exact"/>
        <w:ind w:left="0" w:leftChars="0" w:right="0" w:firstLine="640" w:firstLineChars="200"/>
        <w:rPr>
          <w:rFonts w:hint="eastAsia" w:ascii="仿宋" w:hAnsi="仿宋" w:eastAsia="仿宋" w:cs="仿宋"/>
          <w:sz w:val="32"/>
          <w:szCs w:val="32"/>
        </w:rPr>
        <w:sectPr>
          <w:pgSz w:w="11910" w:h="16840"/>
          <w:pgMar w:top="1440" w:right="1803" w:bottom="1440" w:left="1803" w:header="0" w:footer="1521" w:gutter="0"/>
          <w:pgNumType w:fmt="decimal"/>
          <w:cols w:space="720" w:num="1"/>
          <w:rtlGutter w:val="0"/>
          <w:docGrid w:linePitch="0" w:charSpace="0"/>
        </w:sectPr>
      </w:pPr>
    </w:p>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3-1</w:t>
      </w:r>
      <w:r>
        <w:rPr>
          <w:rFonts w:hint="eastAsia" w:ascii="仿宋" w:hAnsi="仿宋" w:eastAsia="仿宋" w:cs="仿宋"/>
          <w:b/>
          <w:sz w:val="32"/>
          <w:szCs w:val="32"/>
          <w:lang w:eastAsia="zh-CN"/>
        </w:rPr>
        <w:t>历史灾害灾情调查与评估</w:t>
      </w:r>
    </w:p>
    <w:tbl>
      <w:tblPr>
        <w:tblStyle w:val="24"/>
        <w:tblW w:w="8395" w:type="dxa"/>
        <w:tblInd w:w="0" w:type="dxa"/>
        <w:shd w:val="clear" w:color="auto" w:fill="auto"/>
        <w:tblLayout w:type="fixed"/>
        <w:tblCellMar>
          <w:top w:w="0" w:type="dxa"/>
          <w:left w:w="108" w:type="dxa"/>
          <w:bottom w:w="0" w:type="dxa"/>
          <w:right w:w="108" w:type="dxa"/>
        </w:tblCellMar>
      </w:tblPr>
      <w:tblGrid>
        <w:gridCol w:w="847"/>
        <w:gridCol w:w="1128"/>
        <w:gridCol w:w="936"/>
        <w:gridCol w:w="2904"/>
        <w:gridCol w:w="840"/>
        <w:gridCol w:w="1740"/>
      </w:tblGrid>
      <w:tr>
        <w:tblPrEx>
          <w:shd w:val="clear" w:color="auto" w:fill="auto"/>
          <w:tblLayout w:type="fixed"/>
          <w:tblCellMar>
            <w:top w:w="0" w:type="dxa"/>
            <w:left w:w="108" w:type="dxa"/>
            <w:bottom w:w="0" w:type="dxa"/>
            <w:right w:w="108" w:type="dxa"/>
          </w:tblCellMar>
        </w:tblPrEx>
        <w:trPr>
          <w:trHeight w:val="696" w:hRule="atLeast"/>
        </w:trPr>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调查任务</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调查子任务</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任务分级</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具体任务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责任主体</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参与部门（协同填报单位）</w:t>
            </w:r>
          </w:p>
        </w:tc>
      </w:tr>
      <w:tr>
        <w:tblPrEx>
          <w:shd w:val="clear" w:color="auto" w:fill="auto"/>
          <w:tblLayout w:type="fixed"/>
          <w:tblCellMar>
            <w:top w:w="0" w:type="dxa"/>
            <w:left w:w="108" w:type="dxa"/>
            <w:bottom w:w="0" w:type="dxa"/>
            <w:right w:w="108" w:type="dxa"/>
          </w:tblCellMar>
        </w:tblPrEx>
        <w:trPr>
          <w:trHeight w:val="1392" w:hRule="atLeast"/>
        </w:trPr>
        <w:tc>
          <w:tcPr>
            <w:tcW w:w="8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历史灾害调查与评估</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历史年度自然灾害灾情调查</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完成 1978-2020 年逐年分灾种主要灾情指标数据集以及自然灾害汇总情况主要指标数据集， 并上报市应急管理部门。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区级地震、气象、水务、自然资源、林业部门</w:t>
            </w:r>
          </w:p>
        </w:tc>
      </w:tr>
      <w:tr>
        <w:tblPrEx>
          <w:shd w:val="clear" w:color="auto" w:fill="auto"/>
          <w:tblLayout w:type="fixed"/>
          <w:tblCellMar>
            <w:top w:w="0" w:type="dxa"/>
            <w:left w:w="108" w:type="dxa"/>
            <w:bottom w:w="0" w:type="dxa"/>
            <w:right w:w="108" w:type="dxa"/>
          </w:tblCellMar>
        </w:tblPrEx>
        <w:trPr>
          <w:trHeight w:val="1740" w:hRule="atLeast"/>
        </w:trPr>
        <w:tc>
          <w:tcPr>
            <w:tcW w:w="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历史一般自然灾害情调查</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以单一历史灾害事件为统计基准、以区为基本统计单元， 全面普查 1978 年以来崇明区发生的自然灾害事件， 并上报市应急管理部门。</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区级地震、气象、水务、自然资源、林业部门</w:t>
            </w:r>
          </w:p>
        </w:tc>
      </w:tr>
      <w:tr>
        <w:tblPrEx>
          <w:shd w:val="clear" w:color="auto" w:fill="auto"/>
          <w:tblLayout w:type="fixed"/>
          <w:tblCellMar>
            <w:top w:w="0" w:type="dxa"/>
            <w:left w:w="108" w:type="dxa"/>
            <w:bottom w:w="0" w:type="dxa"/>
            <w:right w:w="108" w:type="dxa"/>
          </w:tblCellMar>
        </w:tblPrEx>
        <w:trPr>
          <w:trHeight w:val="2784" w:hRule="atLeast"/>
        </w:trPr>
        <w:tc>
          <w:tcPr>
            <w:tcW w:w="8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重大历史自然灾害情调查</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以国务院灾险普查办会同相关行业部门确 定1949-2020</w:t>
            </w:r>
            <w:r>
              <w:rPr>
                <w:rFonts w:ascii="Arial" w:hAnsi="Arial" w:eastAsia="仿宋" w:cs="Arial"/>
                <w:i w:val="0"/>
                <w:iCs w:val="0"/>
                <w:color w:val="000000"/>
                <w:kern w:val="0"/>
                <w:sz w:val="28"/>
                <w:szCs w:val="28"/>
                <w:u w:val="non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年达到重大自然灾害阈值标准的事件清单以及事件涉及县级行政区范围为基准。在涉及的区级范围内协助市级开展。</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fldChar w:fldCharType="begin"/>
            </w:r>
            <w:r>
              <w:rPr>
                <w:rFonts w:hint="eastAsia" w:ascii="仿宋" w:hAnsi="仿宋" w:eastAsia="仿宋" w:cs="仿宋"/>
                <w:i w:val="0"/>
                <w:iCs w:val="0"/>
                <w:color w:val="000000"/>
                <w:kern w:val="0"/>
                <w:sz w:val="28"/>
                <w:szCs w:val="28"/>
                <w:u w:val="none"/>
                <w:lang w:val="en-US" w:eastAsia="zh-CN" w:bidi="ar"/>
              </w:rPr>
              <w:instrText xml:space="preserve"> HYPERLINK "http://jxj.beijing.gov.cn/" \o "http://jxj.beijing.gov.cn/" </w:instrText>
            </w:r>
            <w:r>
              <w:rPr>
                <w:rFonts w:hint="eastAsia" w:ascii="仿宋" w:hAnsi="仿宋" w:eastAsia="仿宋" w:cs="仿宋"/>
                <w:i w:val="0"/>
                <w:iCs w:val="0"/>
                <w:color w:val="000000"/>
                <w:kern w:val="0"/>
                <w:sz w:val="28"/>
                <w:szCs w:val="28"/>
                <w:u w:val="none"/>
                <w:lang w:val="en-US" w:eastAsia="zh-CN" w:bidi="ar"/>
              </w:rPr>
              <w:fldChar w:fldCharType="separate"/>
            </w:r>
            <w:r>
              <w:rPr>
                <w:rFonts w:hint="eastAsia" w:ascii="仿宋" w:hAnsi="仿宋" w:eastAsia="仿宋" w:cs="仿宋"/>
                <w:i w:val="0"/>
                <w:iCs w:val="0"/>
                <w:color w:val="000000"/>
                <w:kern w:val="0"/>
                <w:sz w:val="28"/>
                <w:szCs w:val="28"/>
                <w:u w:val="none"/>
                <w:lang w:val="en-US" w:eastAsia="zh-CN" w:bidi="ar"/>
              </w:rPr>
              <w:t>水利部、 中国气象局、中国地震局、林业部门负责提供致灾因子数据；区科技和信息化局、规划自然资源委各区分局区民政局、区城市管理委、区交通委、区水务局等部门及地方史志办公室提供相关数据。</w:t>
            </w:r>
            <w:r>
              <w:rPr>
                <w:rFonts w:hint="eastAsia" w:ascii="仿宋" w:hAnsi="仿宋" w:eastAsia="仿宋" w:cs="仿宋"/>
                <w:i w:val="0"/>
                <w:iCs w:val="0"/>
                <w:color w:val="000000"/>
                <w:kern w:val="0"/>
                <w:sz w:val="28"/>
                <w:szCs w:val="28"/>
                <w:u w:val="none"/>
                <w:lang w:val="en-US" w:eastAsia="zh-CN" w:bidi="ar"/>
              </w:rPr>
              <w:fldChar w:fldCharType="end"/>
            </w:r>
          </w:p>
        </w:tc>
      </w:tr>
    </w:tbl>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4-1</w:t>
      </w:r>
      <w:r>
        <w:rPr>
          <w:rFonts w:hint="eastAsia" w:ascii="仿宋" w:hAnsi="仿宋" w:eastAsia="仿宋" w:cs="仿宋"/>
          <w:b/>
          <w:sz w:val="32"/>
          <w:szCs w:val="32"/>
          <w:lang w:eastAsia="zh-CN"/>
        </w:rPr>
        <w:t>综合减灾能力调查与评估</w:t>
      </w:r>
    </w:p>
    <w:tbl>
      <w:tblPr>
        <w:tblStyle w:val="24"/>
        <w:tblW w:w="8311" w:type="dxa"/>
        <w:tblInd w:w="96" w:type="dxa"/>
        <w:shd w:val="clear" w:color="auto" w:fill="auto"/>
        <w:tblLayout w:type="fixed"/>
        <w:tblCellMar>
          <w:top w:w="0" w:type="dxa"/>
          <w:left w:w="108" w:type="dxa"/>
          <w:bottom w:w="0" w:type="dxa"/>
          <w:right w:w="108" w:type="dxa"/>
        </w:tblCellMar>
      </w:tblPr>
      <w:tblGrid>
        <w:gridCol w:w="922"/>
        <w:gridCol w:w="1309"/>
        <w:gridCol w:w="796"/>
        <w:gridCol w:w="2232"/>
        <w:gridCol w:w="856"/>
        <w:gridCol w:w="2196"/>
      </w:tblGrid>
      <w:tr>
        <w:tblPrEx>
          <w:shd w:val="clear" w:color="auto" w:fill="auto"/>
          <w:tblLayout w:type="fixed"/>
          <w:tblCellMar>
            <w:top w:w="0" w:type="dxa"/>
            <w:left w:w="108" w:type="dxa"/>
            <w:bottom w:w="0" w:type="dxa"/>
            <w:right w:w="108" w:type="dxa"/>
          </w:tblCellMar>
        </w:tblPrEx>
        <w:trPr>
          <w:trHeight w:val="696" w:hRule="atLeast"/>
        </w:trPr>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调查任务</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调查子任务</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任务分级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具体任务</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责任主体</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参与部门（协同填报单位）</w:t>
            </w:r>
          </w:p>
        </w:tc>
      </w:tr>
      <w:tr>
        <w:tblPrEx>
          <w:shd w:val="clear" w:color="auto" w:fill="auto"/>
          <w:tblLayout w:type="fixed"/>
          <w:tblCellMar>
            <w:top w:w="0" w:type="dxa"/>
            <w:left w:w="108" w:type="dxa"/>
            <w:bottom w:w="0" w:type="dxa"/>
            <w:right w:w="108" w:type="dxa"/>
          </w:tblCellMar>
        </w:tblPrEx>
        <w:trPr>
          <w:trHeight w:val="2088" w:hRule="atLeast"/>
        </w:trPr>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综合减灾能力调查与评估</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政府减灾能力调查</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政府灾害管理能力调查</w:t>
            </w:r>
          </w:p>
        </w:tc>
        <w:tc>
          <w:tcPr>
            <w:tcW w:w="85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区级应急管理、地震、气象、水务、自然资源、绿化市容农业、交通运输、住房和城乡建设部门</w:t>
            </w:r>
          </w:p>
        </w:tc>
      </w:tr>
      <w:tr>
        <w:tblPrEx>
          <w:shd w:val="clear" w:color="auto" w:fill="auto"/>
          <w:tblLayout w:type="fixed"/>
          <w:tblCellMar>
            <w:top w:w="0" w:type="dxa"/>
            <w:left w:w="108" w:type="dxa"/>
            <w:bottom w:w="0" w:type="dxa"/>
            <w:right w:w="108" w:type="dxa"/>
          </w:tblCellMar>
        </w:tblPrEx>
        <w:trPr>
          <w:trHeight w:val="1392"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政府和企业专职消防救援队伍装备调查</w:t>
            </w:r>
          </w:p>
        </w:tc>
        <w:tc>
          <w:tcPr>
            <w:tcW w:w="8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区级消防救援部门</w:t>
            </w:r>
          </w:p>
        </w:tc>
      </w:tr>
      <w:tr>
        <w:tblPrEx>
          <w:shd w:val="clear" w:color="auto" w:fill="auto"/>
          <w:tblLayout w:type="fixed"/>
          <w:tblCellMar>
            <w:top w:w="0" w:type="dxa"/>
            <w:left w:w="108" w:type="dxa"/>
            <w:bottom w:w="0" w:type="dxa"/>
            <w:right w:w="108" w:type="dxa"/>
          </w:tblCellMar>
        </w:tblPrEx>
        <w:trPr>
          <w:trHeight w:val="696"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救灾物资储备（点）调查</w:t>
            </w:r>
          </w:p>
        </w:tc>
        <w:tc>
          <w:tcPr>
            <w:tcW w:w="8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区级粮食和物资储备部门等</w:t>
            </w:r>
          </w:p>
        </w:tc>
      </w:tr>
      <w:tr>
        <w:tblPrEx>
          <w:shd w:val="clear" w:color="auto" w:fill="auto"/>
          <w:tblLayout w:type="fixed"/>
          <w:tblCellMar>
            <w:top w:w="0" w:type="dxa"/>
            <w:left w:w="108" w:type="dxa"/>
            <w:bottom w:w="0" w:type="dxa"/>
            <w:right w:w="108" w:type="dxa"/>
          </w:tblCellMar>
        </w:tblPrEx>
        <w:trPr>
          <w:trHeight w:val="708"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应急避难场所调查</w:t>
            </w:r>
          </w:p>
        </w:tc>
        <w:tc>
          <w:tcPr>
            <w:tcW w:w="856"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区级人防部门、地震部门等</w:t>
            </w:r>
          </w:p>
        </w:tc>
      </w:tr>
      <w:tr>
        <w:tblPrEx>
          <w:shd w:val="clear" w:color="auto" w:fill="auto"/>
          <w:tblLayout w:type="fixed"/>
          <w:tblCellMar>
            <w:top w:w="0" w:type="dxa"/>
            <w:left w:w="108" w:type="dxa"/>
            <w:bottom w:w="0" w:type="dxa"/>
            <w:right w:w="108" w:type="dxa"/>
          </w:tblCellMar>
        </w:tblPrEx>
        <w:trPr>
          <w:trHeight w:val="696"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区级政府减灾能力调查成果质检</w:t>
            </w:r>
          </w:p>
        </w:tc>
        <w:tc>
          <w:tcPr>
            <w:tcW w:w="85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r>
      <w:tr>
        <w:tblPrEx>
          <w:tblLayout w:type="fixed"/>
          <w:tblCellMar>
            <w:top w:w="0" w:type="dxa"/>
            <w:left w:w="108" w:type="dxa"/>
            <w:bottom w:w="0" w:type="dxa"/>
            <w:right w:w="108" w:type="dxa"/>
          </w:tblCellMar>
        </w:tblPrEx>
        <w:trPr>
          <w:trHeight w:val="1708"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企业与社会组织减灾能力调查</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社会应急力量减灾能力调查</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区级民政部门、红十字会</w:t>
            </w:r>
          </w:p>
        </w:tc>
      </w:tr>
      <w:tr>
        <w:tblPrEx>
          <w:shd w:val="clear" w:color="auto" w:fill="auto"/>
          <w:tblLayout w:type="fixed"/>
          <w:tblCellMar>
            <w:top w:w="0" w:type="dxa"/>
            <w:left w:w="108" w:type="dxa"/>
            <w:bottom w:w="0" w:type="dxa"/>
            <w:right w:w="108" w:type="dxa"/>
          </w:tblCellMar>
        </w:tblPrEx>
        <w:trPr>
          <w:trHeight w:val="696"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乡镇、社区（行政村）减灾能力调查</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乡镇减灾能力调查</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乡镇</w:t>
            </w:r>
          </w:p>
        </w:tc>
      </w:tr>
      <w:tr>
        <w:tblPrEx>
          <w:tblLayout w:type="fixed"/>
          <w:tblCellMar>
            <w:top w:w="0" w:type="dxa"/>
            <w:left w:w="108" w:type="dxa"/>
            <w:bottom w:w="0" w:type="dxa"/>
            <w:right w:w="108" w:type="dxa"/>
          </w:tblCellMar>
        </w:tblPrEx>
        <w:trPr>
          <w:trHeight w:val="1044"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社区（行政村）减灾能力调查</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乡镇、社区（行政村）</w:t>
            </w:r>
          </w:p>
        </w:tc>
      </w:tr>
      <w:tr>
        <w:tblPrEx>
          <w:shd w:val="clear" w:color="auto" w:fill="auto"/>
          <w:tblLayout w:type="fixed"/>
          <w:tblCellMar>
            <w:top w:w="0" w:type="dxa"/>
            <w:left w:w="108" w:type="dxa"/>
            <w:bottom w:w="0" w:type="dxa"/>
            <w:right w:w="108" w:type="dxa"/>
          </w:tblCellMar>
        </w:tblPrEx>
        <w:trPr>
          <w:trHeight w:val="394"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乡镇、社区（行政村） 减灾能力调查成果质检核查</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r>
      <w:tr>
        <w:tblPrEx>
          <w:tblLayout w:type="fixed"/>
          <w:tblCellMar>
            <w:top w:w="0" w:type="dxa"/>
            <w:left w:w="108" w:type="dxa"/>
            <w:bottom w:w="0" w:type="dxa"/>
            <w:right w:w="108" w:type="dxa"/>
          </w:tblCellMar>
        </w:tblPrEx>
        <w:trPr>
          <w:trHeight w:val="696"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家庭减灾能力调查</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家庭减灾能力调查</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乡镇、社区（行政村）</w:t>
            </w:r>
          </w:p>
        </w:tc>
      </w:tr>
      <w:tr>
        <w:tblPrEx>
          <w:tblLayout w:type="fixed"/>
          <w:tblCellMar>
            <w:top w:w="0" w:type="dxa"/>
            <w:left w:w="108" w:type="dxa"/>
            <w:bottom w:w="0" w:type="dxa"/>
            <w:right w:w="108" w:type="dxa"/>
          </w:tblCellMar>
        </w:tblPrEx>
        <w:trPr>
          <w:trHeight w:val="696" w:hRule="atLeast"/>
        </w:trPr>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家庭减灾能力调查成果质检核查</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区应急局</w:t>
            </w: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r>
    </w:tbl>
    <w:p>
      <w:pPr>
        <w:pStyle w:val="27"/>
        <w:keepNext w:val="0"/>
        <w:keepLines w:val="0"/>
        <w:pageBreakBefore w:val="0"/>
        <w:widowControl w:val="0"/>
        <w:numPr>
          <w:ilvl w:val="0"/>
          <w:numId w:val="0"/>
        </w:numPr>
        <w:tabs>
          <w:tab w:val="left" w:pos="2775"/>
        </w:tabs>
        <w:kinsoku/>
        <w:wordWrap/>
        <w:overflowPunct/>
        <w:topLinePunct w:val="0"/>
        <w:autoSpaceDE w:val="0"/>
        <w:autoSpaceDN/>
        <w:bidi w:val="0"/>
        <w:adjustRightInd/>
        <w:snapToGrid/>
        <w:spacing w:before="0" w:beforeLines="30" w:after="0" w:afterLines="30" w:line="560" w:lineRule="exact"/>
        <w:ind w:right="0" w:rightChars="0"/>
        <w:jc w:val="center"/>
        <w:textAlignment w:val="auto"/>
        <w:rPr>
          <w:rFonts w:hint="eastAsia" w:ascii="仿宋" w:hAnsi="仿宋" w:eastAsia="仿宋" w:cs="仿宋"/>
          <w:b/>
          <w:sz w:val="32"/>
          <w:szCs w:val="32"/>
          <w:lang w:eastAsia="zh-CN"/>
        </w:rPr>
      </w:pPr>
      <w:r>
        <w:rPr>
          <w:rFonts w:hint="eastAsia" w:ascii="仿宋" w:hAnsi="仿宋" w:eastAsia="仿宋" w:cs="仿宋"/>
          <w:b/>
          <w:sz w:val="32"/>
          <w:szCs w:val="32"/>
          <w:lang w:val="en-US" w:eastAsia="zh-CN"/>
        </w:rPr>
        <w:t>5-1</w:t>
      </w:r>
      <w:r>
        <w:rPr>
          <w:rFonts w:hint="eastAsia" w:ascii="仿宋" w:hAnsi="仿宋" w:eastAsia="仿宋" w:cs="仿宋"/>
          <w:b/>
          <w:sz w:val="32"/>
          <w:szCs w:val="32"/>
          <w:lang w:eastAsia="zh-CN"/>
        </w:rPr>
        <w:t>重点隐患分区分类分级综合评估任务分工</w:t>
      </w:r>
    </w:p>
    <w:tbl>
      <w:tblPr>
        <w:tblStyle w:val="24"/>
        <w:tblW w:w="8335" w:type="dxa"/>
        <w:tblInd w:w="96" w:type="dxa"/>
        <w:shd w:val="clear" w:color="auto" w:fill="auto"/>
        <w:tblLayout w:type="fixed"/>
        <w:tblCellMar>
          <w:top w:w="0" w:type="dxa"/>
          <w:left w:w="108" w:type="dxa"/>
          <w:bottom w:w="0" w:type="dxa"/>
          <w:right w:w="108" w:type="dxa"/>
        </w:tblCellMar>
      </w:tblPr>
      <w:tblGrid>
        <w:gridCol w:w="2076"/>
        <w:gridCol w:w="2076"/>
        <w:gridCol w:w="4183"/>
      </w:tblGrid>
      <w:tr>
        <w:tblPrEx>
          <w:shd w:val="clear" w:color="auto" w:fill="auto"/>
          <w:tblLayout w:type="fixed"/>
          <w:tblCellMar>
            <w:top w:w="0" w:type="dxa"/>
            <w:left w:w="108" w:type="dxa"/>
            <w:bottom w:w="0" w:type="dxa"/>
            <w:right w:w="108" w:type="dxa"/>
          </w:tblCellMar>
        </w:tblPrEx>
        <w:trPr>
          <w:trHeight w:val="360" w:hRule="atLeast"/>
        </w:trPr>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任务分级</w:t>
            </w:r>
          </w:p>
        </w:tc>
        <w:tc>
          <w:tcPr>
            <w:tcW w:w="4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具体任务</w:t>
            </w:r>
          </w:p>
        </w:tc>
      </w:tr>
      <w:tr>
        <w:tblPrEx>
          <w:shd w:val="clear" w:color="auto" w:fill="auto"/>
          <w:tblLayout w:type="fixed"/>
          <w:tblCellMar>
            <w:top w:w="0" w:type="dxa"/>
            <w:left w:w="108" w:type="dxa"/>
            <w:bottom w:w="0" w:type="dxa"/>
            <w:right w:w="108" w:type="dxa"/>
          </w:tblCellMar>
        </w:tblPrEx>
        <w:trPr>
          <w:trHeight w:val="1040" w:hRule="atLeast"/>
        </w:trPr>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自然灾害综合隐患评估</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41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区级各部门重点隐患成果汇交</w:t>
            </w:r>
          </w:p>
        </w:tc>
      </w:tr>
    </w:tbl>
    <w:p>
      <w:pPr>
        <w:keepNext w:val="0"/>
        <w:keepLines w:val="0"/>
        <w:pageBreakBefore w:val="0"/>
        <w:widowControl w:val="0"/>
        <w:kinsoku/>
        <w:wordWrap/>
        <w:overflowPunct/>
        <w:topLinePunct w:val="0"/>
        <w:autoSpaceDE w:val="0"/>
        <w:autoSpaceDN/>
        <w:bidi w:val="0"/>
        <w:adjustRightInd/>
        <w:snapToGrid/>
        <w:spacing w:after="0" w:line="560" w:lineRule="exact"/>
        <w:ind w:left="0" w:leftChars="0" w:right="0" w:firstLine="640" w:firstLineChars="200"/>
        <w:jc w:val="both"/>
        <w:rPr>
          <w:rFonts w:hint="eastAsia" w:ascii="仿宋" w:hAnsi="仿宋" w:eastAsia="仿宋" w:cs="仿宋"/>
          <w:sz w:val="32"/>
          <w:szCs w:val="32"/>
        </w:rPr>
        <w:sectPr>
          <w:footerReference r:id="rId12" w:type="default"/>
          <w:pgSz w:w="11910" w:h="16840"/>
          <w:pgMar w:top="1440" w:right="1803" w:bottom="1440" w:left="1803" w:header="0" w:footer="1521" w:gutter="0"/>
          <w:pgNumType w:fmt="decimal"/>
          <w:cols w:space="720" w:num="1"/>
          <w:rtlGutter w:val="0"/>
          <w:docGrid w:linePitch="0" w:charSpace="0"/>
        </w:sectPr>
      </w:pPr>
    </w:p>
    <w:p>
      <w:pPr>
        <w:pStyle w:val="4"/>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both"/>
        <w:textAlignment w:val="auto"/>
        <w:rPr>
          <w:rFonts w:hint="eastAsia" w:ascii="黑体" w:hAnsi="黑体" w:eastAsia="黑体" w:cs="黑体"/>
          <w:b/>
          <w:bCs/>
          <w:sz w:val="36"/>
          <w:szCs w:val="36"/>
        </w:rPr>
      </w:pPr>
      <w:bookmarkStart w:id="383" w:name="附件三：分区任务量测算"/>
      <w:bookmarkEnd w:id="383"/>
      <w:bookmarkStart w:id="384" w:name="_Toc5896"/>
      <w:bookmarkStart w:id="385" w:name="_Toc29955"/>
      <w:bookmarkStart w:id="386" w:name="_Toc12224"/>
      <w:r>
        <w:rPr>
          <w:rFonts w:hint="eastAsia" w:ascii="黑体" w:hAnsi="黑体" w:eastAsia="黑体" w:cs="黑体"/>
          <w:b/>
          <w:bCs/>
          <w:sz w:val="36"/>
          <w:szCs w:val="36"/>
        </w:rPr>
        <w:t>附件三：任务量测算</w:t>
      </w:r>
      <w:bookmarkEnd w:id="384"/>
      <w:bookmarkEnd w:id="385"/>
      <w:bookmarkEnd w:id="386"/>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387" w:name="_Toc10495"/>
      <w:bookmarkStart w:id="388" w:name="_Toc14262"/>
      <w:r>
        <w:rPr>
          <w:rFonts w:hint="default" w:ascii="仿宋" w:hAnsi="仿宋" w:eastAsia="仿宋" w:cs="仿宋"/>
          <w:spacing w:val="-12"/>
          <w:sz w:val="32"/>
          <w:szCs w:val="32"/>
          <w:lang w:val="en-US" w:eastAsia="zh-CN" w:bidi="zh-CN"/>
        </w:rPr>
        <w:t>1.</w:t>
      </w:r>
      <w:r>
        <w:rPr>
          <w:rFonts w:hint="eastAsia" w:ascii="仿宋" w:hAnsi="仿宋" w:eastAsia="仿宋" w:cs="仿宋"/>
          <w:spacing w:val="-12"/>
          <w:sz w:val="32"/>
          <w:szCs w:val="32"/>
          <w:lang w:val="en-US" w:eastAsia="zh-CN" w:bidi="zh-CN"/>
        </w:rPr>
        <w:t>地震灾害风险调查与评估</w:t>
      </w:r>
      <w:bookmarkEnd w:id="387"/>
      <w:bookmarkEnd w:id="388"/>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389" w:name="_Toc5200"/>
      <w:bookmarkStart w:id="390" w:name="_Toc15968"/>
      <w:r>
        <w:rPr>
          <w:rFonts w:hint="default" w:ascii="仿宋" w:hAnsi="仿宋" w:eastAsia="仿宋" w:cs="仿宋"/>
          <w:spacing w:val="-12"/>
          <w:sz w:val="32"/>
          <w:szCs w:val="32"/>
          <w:lang w:val="en-US" w:eastAsia="zh-CN" w:bidi="zh-CN"/>
        </w:rPr>
        <w:t>2.</w:t>
      </w:r>
      <w:r>
        <w:rPr>
          <w:rFonts w:hint="eastAsia" w:ascii="仿宋" w:hAnsi="仿宋" w:eastAsia="仿宋" w:cs="仿宋"/>
          <w:spacing w:val="-12"/>
          <w:sz w:val="32"/>
          <w:szCs w:val="32"/>
          <w:lang w:val="en-US" w:eastAsia="zh-CN" w:bidi="zh-CN"/>
        </w:rPr>
        <w:t>气象灾害风险调查与评估</w:t>
      </w:r>
      <w:bookmarkEnd w:id="389"/>
      <w:bookmarkEnd w:id="390"/>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391" w:name="_Toc16330"/>
      <w:bookmarkStart w:id="392" w:name="_Toc16020"/>
      <w:r>
        <w:rPr>
          <w:rFonts w:hint="default" w:ascii="仿宋" w:hAnsi="仿宋" w:eastAsia="仿宋" w:cs="仿宋"/>
          <w:spacing w:val="-12"/>
          <w:sz w:val="32"/>
          <w:szCs w:val="32"/>
          <w:lang w:val="en-US" w:eastAsia="zh-CN" w:bidi="zh-CN"/>
        </w:rPr>
        <w:t>3.</w:t>
      </w:r>
      <w:r>
        <w:rPr>
          <w:rFonts w:hint="eastAsia" w:ascii="仿宋" w:hAnsi="仿宋" w:eastAsia="仿宋" w:cs="仿宋"/>
          <w:spacing w:val="-12"/>
          <w:sz w:val="32"/>
          <w:szCs w:val="32"/>
          <w:lang w:val="en-US" w:eastAsia="zh-CN" w:bidi="zh-CN"/>
        </w:rPr>
        <w:t>水旱灾害风险调查与评估</w:t>
      </w:r>
      <w:bookmarkEnd w:id="391"/>
      <w:bookmarkEnd w:id="392"/>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393" w:name="_Toc15225"/>
      <w:bookmarkStart w:id="394" w:name="_Toc13389"/>
      <w:r>
        <w:rPr>
          <w:rFonts w:hint="default" w:ascii="仿宋" w:hAnsi="仿宋" w:eastAsia="仿宋" w:cs="仿宋"/>
          <w:spacing w:val="-12"/>
          <w:sz w:val="32"/>
          <w:szCs w:val="32"/>
          <w:lang w:val="en-US" w:eastAsia="zh-CN" w:bidi="zh-CN"/>
        </w:rPr>
        <w:t>4.</w:t>
      </w:r>
      <w:r>
        <w:rPr>
          <w:rFonts w:hint="eastAsia" w:ascii="仿宋" w:hAnsi="仿宋" w:eastAsia="仿宋" w:cs="仿宋"/>
          <w:spacing w:val="-12"/>
          <w:sz w:val="32"/>
          <w:szCs w:val="32"/>
          <w:lang w:val="en-US" w:eastAsia="zh-CN" w:bidi="zh-CN"/>
        </w:rPr>
        <w:t>海洋灾害风险调查与评估</w:t>
      </w:r>
      <w:bookmarkEnd w:id="393"/>
      <w:bookmarkEnd w:id="394"/>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395" w:name="_Toc28892"/>
      <w:bookmarkStart w:id="396" w:name="_Toc24890"/>
      <w:r>
        <w:rPr>
          <w:rFonts w:hint="default" w:ascii="仿宋" w:hAnsi="仿宋" w:eastAsia="仿宋" w:cs="仿宋"/>
          <w:spacing w:val="-12"/>
          <w:sz w:val="32"/>
          <w:szCs w:val="32"/>
          <w:lang w:val="en-US" w:eastAsia="zh-CN" w:bidi="zh-CN"/>
        </w:rPr>
        <w:t>5.</w:t>
      </w:r>
      <w:r>
        <w:rPr>
          <w:rFonts w:hint="eastAsia" w:ascii="仿宋" w:hAnsi="仿宋" w:eastAsia="仿宋" w:cs="仿宋"/>
          <w:spacing w:val="-12"/>
          <w:sz w:val="32"/>
          <w:szCs w:val="32"/>
          <w:lang w:val="en-US" w:eastAsia="zh-CN" w:bidi="zh-CN"/>
        </w:rPr>
        <w:t>森林火灾风险调查与评估</w:t>
      </w:r>
      <w:bookmarkEnd w:id="395"/>
      <w:bookmarkEnd w:id="396"/>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397" w:name="_Toc7130"/>
      <w:bookmarkStart w:id="398" w:name="_Toc12314"/>
      <w:r>
        <w:rPr>
          <w:rFonts w:hint="default" w:ascii="仿宋" w:hAnsi="仿宋" w:eastAsia="仿宋" w:cs="仿宋"/>
          <w:spacing w:val="-12"/>
          <w:sz w:val="32"/>
          <w:szCs w:val="32"/>
          <w:lang w:val="en-US" w:eastAsia="zh-CN" w:bidi="zh-CN"/>
        </w:rPr>
        <w:t>6.</w:t>
      </w:r>
      <w:r>
        <w:rPr>
          <w:rFonts w:hint="eastAsia" w:ascii="仿宋" w:hAnsi="仿宋" w:eastAsia="仿宋" w:cs="仿宋"/>
          <w:spacing w:val="-12"/>
          <w:sz w:val="32"/>
          <w:szCs w:val="32"/>
          <w:lang w:val="en-US" w:eastAsia="zh-CN" w:bidi="zh-CN"/>
        </w:rPr>
        <w:t>承灾体调查与评估</w:t>
      </w:r>
      <w:bookmarkEnd w:id="397"/>
      <w:bookmarkEnd w:id="398"/>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399" w:name="_Toc2577"/>
      <w:bookmarkStart w:id="400" w:name="_Toc9406"/>
      <w:r>
        <w:rPr>
          <w:rFonts w:hint="default" w:ascii="仿宋" w:hAnsi="仿宋" w:eastAsia="仿宋" w:cs="仿宋"/>
          <w:spacing w:val="-12"/>
          <w:sz w:val="32"/>
          <w:szCs w:val="32"/>
          <w:lang w:val="en-US" w:eastAsia="zh-CN" w:bidi="zh-CN"/>
        </w:rPr>
        <w:t>7.</w:t>
      </w:r>
      <w:r>
        <w:rPr>
          <w:rFonts w:hint="eastAsia" w:ascii="仿宋" w:hAnsi="仿宋" w:eastAsia="仿宋" w:cs="仿宋"/>
          <w:spacing w:val="-12"/>
          <w:sz w:val="32"/>
          <w:szCs w:val="32"/>
          <w:lang w:val="en-US" w:eastAsia="zh-CN" w:bidi="zh-CN"/>
        </w:rPr>
        <w:t>综合减灾能力调查与评估</w:t>
      </w:r>
      <w:bookmarkEnd w:id="399"/>
      <w:bookmarkEnd w:id="400"/>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en-US" w:eastAsia="zh-CN" w:bidi="zh-CN"/>
        </w:rPr>
      </w:pPr>
      <w:bookmarkStart w:id="401" w:name="_Toc4557"/>
      <w:bookmarkStart w:id="402" w:name="_Toc27257"/>
      <w:r>
        <w:rPr>
          <w:rFonts w:hint="default" w:ascii="仿宋" w:hAnsi="仿宋" w:eastAsia="仿宋" w:cs="仿宋"/>
          <w:spacing w:val="-12"/>
          <w:sz w:val="32"/>
          <w:szCs w:val="32"/>
          <w:lang w:val="en-US" w:eastAsia="zh-CN" w:bidi="zh-CN"/>
        </w:rPr>
        <w:t>8.</w:t>
      </w:r>
      <w:r>
        <w:rPr>
          <w:rFonts w:hint="eastAsia" w:ascii="仿宋" w:hAnsi="仿宋" w:eastAsia="仿宋" w:cs="仿宋"/>
          <w:spacing w:val="-12"/>
          <w:sz w:val="32"/>
          <w:szCs w:val="32"/>
          <w:lang w:val="en-US" w:eastAsia="zh-CN" w:bidi="zh-CN"/>
        </w:rPr>
        <w:t>重点隐患分区分类分级综合评估</w:t>
      </w:r>
      <w:bookmarkEnd w:id="401"/>
      <w:bookmarkEnd w:id="402"/>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outlineLvl w:val="9"/>
        <w:rPr>
          <w:rFonts w:hint="eastAsia" w:ascii="仿宋" w:hAnsi="仿宋" w:eastAsia="仿宋" w:cs="仿宋"/>
          <w:sz w:val="32"/>
          <w:szCs w:val="32"/>
        </w:rPr>
      </w:pPr>
      <w:r>
        <w:rPr>
          <w:rFonts w:hint="eastAsia" w:ascii="仿宋" w:hAnsi="仿宋" w:eastAsia="仿宋" w:cs="仿宋"/>
          <w:sz w:val="32"/>
          <w:szCs w:val="32"/>
        </w:rPr>
        <w:br w:type="page"/>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3" w:firstLineChars="200"/>
        <w:jc w:val="both"/>
        <w:rPr>
          <w:rFonts w:hint="eastAsia" w:ascii="仿宋" w:hAnsi="仿宋" w:eastAsia="仿宋" w:cs="仿宋"/>
          <w:b/>
          <w:sz w:val="32"/>
          <w:szCs w:val="32"/>
        </w:rPr>
        <w:sectPr>
          <w:footerReference r:id="rId13" w:type="default"/>
          <w:pgSz w:w="11910" w:h="16840"/>
          <w:pgMar w:top="1440" w:right="1803" w:bottom="1440" w:left="1803" w:header="0" w:footer="1519" w:gutter="0"/>
          <w:pgNumType w:fmt="decimal"/>
          <w:cols w:space="0" w:num="1"/>
          <w:rtlGutter w:val="0"/>
          <w:docGrid w:linePitch="0" w:charSpace="0"/>
        </w:sect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rPr>
      </w:pPr>
      <w:r>
        <w:rPr>
          <w:rFonts w:hint="eastAsia" w:ascii="仿宋" w:hAnsi="仿宋" w:eastAsia="仿宋" w:cs="仿宋"/>
          <w:b/>
          <w:sz w:val="32"/>
          <w:szCs w:val="32"/>
        </w:rPr>
        <w:t>1-</w:t>
      </w:r>
      <w:r>
        <w:rPr>
          <w:rFonts w:hint="eastAsia" w:ascii="仿宋" w:hAnsi="仿宋" w:eastAsia="仿宋" w:cs="仿宋"/>
          <w:b/>
          <w:sz w:val="32"/>
          <w:szCs w:val="32"/>
          <w:lang w:val="en-US" w:eastAsia="zh-CN"/>
        </w:rPr>
        <w:t>1</w:t>
      </w:r>
      <w:r>
        <w:rPr>
          <w:rFonts w:hint="eastAsia" w:ascii="仿宋" w:hAnsi="仿宋" w:eastAsia="仿宋" w:cs="仿宋"/>
          <w:b/>
          <w:sz w:val="32"/>
          <w:szCs w:val="32"/>
        </w:rPr>
        <w:t>地震灾害风险调查与评估分区任务量测算表</w:t>
      </w:r>
    </w:p>
    <w:tbl>
      <w:tblPr>
        <w:tblStyle w:val="24"/>
        <w:tblW w:w="13284" w:type="dxa"/>
        <w:tblInd w:w="96" w:type="dxa"/>
        <w:shd w:val="clear" w:color="auto" w:fill="auto"/>
        <w:tblLayout w:type="fixed"/>
        <w:tblCellMar>
          <w:top w:w="0" w:type="dxa"/>
          <w:left w:w="108" w:type="dxa"/>
          <w:bottom w:w="0" w:type="dxa"/>
          <w:right w:w="108" w:type="dxa"/>
        </w:tblCellMar>
      </w:tblPr>
      <w:tblGrid>
        <w:gridCol w:w="936"/>
        <w:gridCol w:w="804"/>
        <w:gridCol w:w="1484"/>
        <w:gridCol w:w="796"/>
        <w:gridCol w:w="1140"/>
        <w:gridCol w:w="1301"/>
        <w:gridCol w:w="979"/>
        <w:gridCol w:w="1140"/>
        <w:gridCol w:w="1342"/>
        <w:gridCol w:w="1953"/>
        <w:gridCol w:w="1409"/>
      </w:tblGrid>
      <w:tr>
        <w:tblPrEx>
          <w:shd w:val="clear" w:color="auto" w:fill="auto"/>
          <w:tblLayout w:type="fixed"/>
          <w:tblCellMar>
            <w:top w:w="0" w:type="dxa"/>
            <w:left w:w="108" w:type="dxa"/>
            <w:bottom w:w="0" w:type="dxa"/>
            <w:right w:w="108" w:type="dxa"/>
          </w:tblCellMar>
        </w:tblPrEx>
        <w:trPr>
          <w:trHeight w:val="3501"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单位</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现有地震活动断层与地震工程地质条件钻孔基础数据库</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地震构造资料收集（区）</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1:25万地震构造图编制（幅）</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场地地震工程地质条件调查及补充钻孔探测（区）</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1:25万场地类别分区图编制（幅）</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1:25万概率地震危险性评价图（套）</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地震灾害重点隐患分布图编制（幅）</w:t>
            </w:r>
          </w:p>
        </w:tc>
        <w:tc>
          <w:tcPr>
            <w:tcW w:w="1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区级概率地震灾害风险评估区划图件（直接经济损失、人口及综合）（套）</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省级1:25万概率地震灾害风险评估区划图件（直接经济损失、人口及综合）（套）</w:t>
            </w:r>
          </w:p>
        </w:tc>
      </w:tr>
      <w:tr>
        <w:tblPrEx>
          <w:shd w:val="clear" w:color="auto" w:fill="auto"/>
          <w:tblLayout w:type="fixed"/>
          <w:tblCellMar>
            <w:top w:w="0" w:type="dxa"/>
            <w:left w:w="108" w:type="dxa"/>
            <w:bottom w:w="0" w:type="dxa"/>
            <w:right w:w="108" w:type="dxa"/>
          </w:tblCellMar>
        </w:tblPrEx>
        <w:trPr>
          <w:trHeight w:val="90" w:hRule="atLeast"/>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c>
          <w:tcPr>
            <w:tcW w:w="1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w:t>
            </w: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pStyle w:val="2"/>
        <w:rPr>
          <w:rFonts w:hint="eastAsia"/>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rPr>
      </w:pPr>
      <w:r>
        <w:rPr>
          <w:rFonts w:hint="eastAsia" w:ascii="仿宋" w:hAnsi="仿宋" w:eastAsia="仿宋" w:cs="仿宋"/>
          <w:b/>
          <w:sz w:val="32"/>
          <w:szCs w:val="32"/>
          <w:lang w:val="en-US" w:eastAsia="zh-CN"/>
        </w:rPr>
        <w:t>表</w:t>
      </w:r>
      <w:r>
        <w:rPr>
          <w:rFonts w:hint="eastAsia" w:ascii="仿宋" w:hAnsi="仿宋" w:eastAsia="仿宋" w:cs="仿宋"/>
          <w:b/>
          <w:sz w:val="32"/>
          <w:szCs w:val="32"/>
        </w:rPr>
        <w:t>1-</w:t>
      </w:r>
      <w:r>
        <w:rPr>
          <w:rFonts w:hint="default" w:ascii="仿宋" w:hAnsi="仿宋" w:eastAsia="仿宋" w:cs="仿宋"/>
          <w:b/>
          <w:sz w:val="32"/>
          <w:szCs w:val="32"/>
          <w:lang w:val="en-US" w:eastAsia="zh-CN"/>
        </w:rPr>
        <w:t>2</w:t>
      </w:r>
      <w:r>
        <w:rPr>
          <w:rFonts w:hint="eastAsia" w:ascii="仿宋" w:hAnsi="仿宋" w:eastAsia="仿宋" w:cs="仿宋"/>
          <w:b/>
          <w:sz w:val="32"/>
          <w:szCs w:val="32"/>
          <w:lang w:val="en-US" w:eastAsia="zh-CN"/>
        </w:rPr>
        <w:t xml:space="preserve"> </w:t>
      </w:r>
      <w:r>
        <w:rPr>
          <w:rFonts w:hint="eastAsia" w:ascii="仿宋" w:hAnsi="仿宋" w:eastAsia="仿宋" w:cs="仿宋"/>
          <w:b/>
          <w:sz w:val="32"/>
          <w:szCs w:val="32"/>
        </w:rPr>
        <w:t>气象灾害风险调查与评估分区任务量</w:t>
      </w:r>
    </w:p>
    <w:tbl>
      <w:tblPr>
        <w:tblStyle w:val="24"/>
        <w:tblW w:w="13284" w:type="dxa"/>
        <w:tblInd w:w="96" w:type="dxa"/>
        <w:shd w:val="clear" w:color="auto" w:fill="auto"/>
        <w:tblLayout w:type="fixed"/>
        <w:tblCellMar>
          <w:top w:w="0" w:type="dxa"/>
          <w:left w:w="108" w:type="dxa"/>
          <w:bottom w:w="0" w:type="dxa"/>
          <w:right w:w="108" w:type="dxa"/>
        </w:tblCellMar>
      </w:tblPr>
      <w:tblGrid>
        <w:gridCol w:w="960"/>
        <w:gridCol w:w="960"/>
        <w:gridCol w:w="8072"/>
        <w:gridCol w:w="3292"/>
      </w:tblGrid>
      <w:tr>
        <w:tblPrEx>
          <w:shd w:val="clear" w:color="auto" w:fill="auto"/>
          <w:tblLayout w:type="fixed"/>
          <w:tblCellMar>
            <w:top w:w="0" w:type="dxa"/>
            <w:left w:w="108" w:type="dxa"/>
            <w:bottom w:w="0" w:type="dxa"/>
            <w:right w:w="108" w:type="dxa"/>
          </w:tblCellMar>
        </w:tblPrEx>
        <w:trPr>
          <w:trHeight w:val="363" w:hRule="atLeast"/>
        </w:trPr>
        <w:tc>
          <w:tcPr>
            <w:tcW w:w="960" w:type="dxa"/>
            <w:tcBorders>
              <w:top w:val="single" w:color="000000" w:sz="8" w:space="0"/>
              <w:left w:val="single" w:color="000000" w:sz="8" w:space="0"/>
              <w:bottom w:val="single" w:color="000000" w:sz="8"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960" w:type="dxa"/>
            <w:tcBorders>
              <w:top w:val="single" w:color="auto" w:sz="4" w:space="0"/>
              <w:left w:val="single" w:color="auto" w:sz="4" w:space="0"/>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行政单位</w:t>
            </w:r>
          </w:p>
        </w:tc>
        <w:tc>
          <w:tcPr>
            <w:tcW w:w="8072" w:type="dxa"/>
            <w:tcBorders>
              <w:top w:val="single" w:color="auto" w:sz="4" w:space="0"/>
              <w:left w:val="nil"/>
              <w:bottom w:val="single" w:color="auto" w:sz="4"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气象灾害种类</w:t>
            </w:r>
          </w:p>
        </w:tc>
        <w:tc>
          <w:tcPr>
            <w:tcW w:w="329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普查工作量</w:t>
            </w:r>
          </w:p>
        </w:tc>
      </w:tr>
      <w:tr>
        <w:tblPrEx>
          <w:shd w:val="clear" w:color="auto" w:fill="auto"/>
          <w:tblLayout w:type="fixed"/>
          <w:tblCellMar>
            <w:top w:w="0" w:type="dxa"/>
            <w:left w:w="108" w:type="dxa"/>
            <w:bottom w:w="0" w:type="dxa"/>
            <w:right w:w="108" w:type="dxa"/>
          </w:tblCellMar>
        </w:tblPrEx>
        <w:trPr>
          <w:trHeight w:val="747" w:hRule="atLeast"/>
        </w:trPr>
        <w:tc>
          <w:tcPr>
            <w:tcW w:w="9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960" w:type="dxa"/>
            <w:tcBorders>
              <w:top w:val="single" w:color="auto" w:sz="4"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w:t>
            </w:r>
          </w:p>
        </w:tc>
        <w:tc>
          <w:tcPr>
            <w:tcW w:w="8072" w:type="dxa"/>
            <w:tcBorders>
              <w:top w:val="single" w:color="auto" w:sz="4"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9类气象灾害（台风、暴雨、大风、雷电、高温、低温、雪灾、大雾、冰雹）</w:t>
            </w:r>
          </w:p>
        </w:tc>
        <w:tc>
          <w:tcPr>
            <w:tcW w:w="3292" w:type="dxa"/>
            <w:tcBorders>
              <w:top w:val="single" w:color="auto" w:sz="4"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191</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sectPr>
          <w:footerReference r:id="rId14" w:type="default"/>
          <w:pgSz w:w="16840" w:h="11910" w:orient="landscape"/>
          <w:pgMar w:top="1440" w:right="1803" w:bottom="1440" w:left="1803" w:header="0" w:footer="1601"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表1-</w:t>
      </w:r>
      <w:r>
        <w:rPr>
          <w:rFonts w:hint="default" w:ascii="仿宋" w:hAnsi="仿宋" w:eastAsia="仿宋" w:cs="仿宋"/>
          <w:b/>
          <w:sz w:val="32"/>
          <w:szCs w:val="32"/>
          <w:lang w:val="en-US" w:eastAsia="zh-CN"/>
        </w:rPr>
        <w:t>3</w:t>
      </w:r>
      <w:r>
        <w:rPr>
          <w:rFonts w:hint="eastAsia" w:ascii="仿宋" w:hAnsi="仿宋" w:eastAsia="仿宋" w:cs="仿宋"/>
          <w:b/>
          <w:sz w:val="32"/>
          <w:szCs w:val="32"/>
          <w:lang w:val="en-US" w:eastAsia="zh-CN"/>
        </w:rPr>
        <w:t>-1 水旱灾害风险调查与评估</w:t>
      </w:r>
    </w:p>
    <w:tbl>
      <w:tblPr>
        <w:tblStyle w:val="24"/>
        <w:tblW w:w="13248" w:type="dxa"/>
        <w:tblInd w:w="96" w:type="dxa"/>
        <w:shd w:val="clear" w:color="auto" w:fill="auto"/>
        <w:tblLayout w:type="fixed"/>
        <w:tblCellMar>
          <w:top w:w="0" w:type="dxa"/>
          <w:left w:w="108" w:type="dxa"/>
          <w:bottom w:w="0" w:type="dxa"/>
          <w:right w:w="108" w:type="dxa"/>
        </w:tblCellMar>
      </w:tblPr>
      <w:tblGrid>
        <w:gridCol w:w="586"/>
        <w:gridCol w:w="858"/>
        <w:gridCol w:w="1056"/>
        <w:gridCol w:w="632"/>
        <w:gridCol w:w="636"/>
        <w:gridCol w:w="1068"/>
        <w:gridCol w:w="792"/>
        <w:gridCol w:w="1001"/>
        <w:gridCol w:w="782"/>
        <w:gridCol w:w="823"/>
        <w:gridCol w:w="935"/>
        <w:gridCol w:w="947"/>
        <w:gridCol w:w="780"/>
        <w:gridCol w:w="768"/>
        <w:gridCol w:w="720"/>
        <w:gridCol w:w="864"/>
      </w:tblGrid>
      <w:tr>
        <w:tblPrEx>
          <w:shd w:val="clear" w:color="auto" w:fill="auto"/>
          <w:tblLayout w:type="fixed"/>
          <w:tblCellMar>
            <w:top w:w="0" w:type="dxa"/>
            <w:left w:w="108" w:type="dxa"/>
            <w:bottom w:w="0" w:type="dxa"/>
            <w:right w:w="108" w:type="dxa"/>
          </w:tblCellMar>
        </w:tblPrEx>
        <w:trPr>
          <w:trHeight w:val="1044"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编号</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行政单位</w:t>
            </w:r>
          </w:p>
        </w:tc>
        <w:tc>
          <w:tcPr>
            <w:tcW w:w="23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洪（潮）水致灾调查</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历史灾害灾情调查</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行业减灾能力调查</w:t>
            </w:r>
          </w:p>
        </w:tc>
        <w:tc>
          <w:tcPr>
            <w:tcW w:w="17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洪（潮）水隐患调查</w:t>
            </w:r>
          </w:p>
        </w:tc>
        <w:tc>
          <w:tcPr>
            <w:tcW w:w="42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风险评估与区划</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信息系统</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实施细则</w:t>
            </w:r>
          </w:p>
        </w:tc>
      </w:tr>
      <w:tr>
        <w:tblPrEx>
          <w:shd w:val="clear" w:color="auto" w:fill="auto"/>
          <w:tblLayout w:type="fixed"/>
          <w:tblCellMar>
            <w:top w:w="0" w:type="dxa"/>
            <w:left w:w="108" w:type="dxa"/>
            <w:bottom w:w="0" w:type="dxa"/>
            <w:right w:w="108" w:type="dxa"/>
          </w:tblCellMar>
        </w:tblPrEx>
        <w:trPr>
          <w:trHeight w:val="1740"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洪（潮）水灾害危险性调查</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内涝灾害危险性调查</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干旱灾害致灾调查</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洪（潮）水隐患</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内涝隐患调查</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洪水风险图编制</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洪（潮）水风险区划</w:t>
            </w: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洪（潮）水风险防治区划</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内涝风险区划</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内涝防治区划</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r>
      <w:tr>
        <w:tblPrEx>
          <w:shd w:val="clear" w:color="auto" w:fill="auto"/>
          <w:tblLayout w:type="fixed"/>
          <w:tblCellMar>
            <w:top w:w="0" w:type="dxa"/>
            <w:left w:w="108" w:type="dxa"/>
            <w:bottom w:w="0" w:type="dxa"/>
            <w:right w:w="108" w:type="dxa"/>
          </w:tblCellMar>
        </w:tblPrEx>
        <w:trPr>
          <w:trHeight w:val="348"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8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9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lang w:val="en-US" w:eastAsia="zh-CN"/>
              </w:rPr>
            </w:pPr>
            <w:r>
              <w:rPr>
                <w:rFonts w:hint="eastAsia" w:cs="宋体"/>
                <w:i w:val="0"/>
                <w:iCs w:val="0"/>
                <w:color w:val="000000"/>
                <w:sz w:val="28"/>
                <w:szCs w:val="28"/>
                <w:u w:val="none"/>
                <w:lang w:val="en-US" w:eastAsia="zh-CN"/>
              </w:rPr>
              <w:t>1</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sectPr>
          <w:footerReference r:id="rId15" w:type="default"/>
          <w:pgSz w:w="16840" w:h="11910" w:orient="landscape"/>
          <w:pgMar w:top="1440" w:right="1803" w:bottom="1440" w:left="1803" w:header="0" w:footer="1601"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表1-</w:t>
      </w:r>
      <w:r>
        <w:rPr>
          <w:rFonts w:hint="default" w:ascii="仿宋" w:hAnsi="仿宋" w:eastAsia="仿宋" w:cs="仿宋"/>
          <w:b/>
          <w:sz w:val="32"/>
          <w:szCs w:val="32"/>
          <w:lang w:val="en-US" w:eastAsia="zh-CN"/>
        </w:rPr>
        <w:t>3</w:t>
      </w:r>
      <w:r>
        <w:rPr>
          <w:rFonts w:hint="eastAsia" w:ascii="仿宋" w:hAnsi="仿宋" w:eastAsia="仿宋" w:cs="仿宋"/>
          <w:b/>
          <w:sz w:val="32"/>
          <w:szCs w:val="32"/>
          <w:lang w:val="en-US" w:eastAsia="zh-CN"/>
        </w:rPr>
        <w:t>-2  承灾体任务量测算表</w:t>
      </w:r>
    </w:p>
    <w:tbl>
      <w:tblPr>
        <w:tblStyle w:val="24"/>
        <w:tblW w:w="13236" w:type="dxa"/>
        <w:tblInd w:w="96" w:type="dxa"/>
        <w:shd w:val="clear" w:color="auto" w:fill="auto"/>
        <w:tblLayout w:type="fixed"/>
        <w:tblCellMar>
          <w:top w:w="0" w:type="dxa"/>
          <w:left w:w="108" w:type="dxa"/>
          <w:bottom w:w="0" w:type="dxa"/>
          <w:right w:w="108" w:type="dxa"/>
        </w:tblCellMar>
      </w:tblPr>
      <w:tblGrid>
        <w:gridCol w:w="708"/>
        <w:gridCol w:w="763"/>
        <w:gridCol w:w="1056"/>
        <w:gridCol w:w="1056"/>
        <w:gridCol w:w="1056"/>
        <w:gridCol w:w="1056"/>
        <w:gridCol w:w="1056"/>
        <w:gridCol w:w="1056"/>
        <w:gridCol w:w="827"/>
        <w:gridCol w:w="827"/>
        <w:gridCol w:w="827"/>
        <w:gridCol w:w="827"/>
        <w:gridCol w:w="1065"/>
        <w:gridCol w:w="1056"/>
      </w:tblGrid>
      <w:tr>
        <w:tblPrEx>
          <w:shd w:val="clear" w:color="auto" w:fill="auto"/>
          <w:tblLayout w:type="fixed"/>
          <w:tblCellMar>
            <w:top w:w="0" w:type="dxa"/>
            <w:left w:w="108" w:type="dxa"/>
            <w:bottom w:w="0" w:type="dxa"/>
            <w:right w:w="108" w:type="dxa"/>
          </w:tblCellMar>
        </w:tblPrEx>
        <w:trPr>
          <w:trHeight w:val="1422" w:hRule="atLeast"/>
        </w:trPr>
        <w:tc>
          <w:tcPr>
            <w:tcW w:w="70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编号</w:t>
            </w:r>
          </w:p>
        </w:tc>
        <w:tc>
          <w:tcPr>
            <w:tcW w:w="763"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行政单位</w:t>
            </w:r>
          </w:p>
        </w:tc>
        <w:tc>
          <w:tcPr>
            <w:tcW w:w="2112" w:type="dxa"/>
            <w:gridSpan w:val="2"/>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堤防</w:t>
            </w:r>
          </w:p>
        </w:tc>
        <w:tc>
          <w:tcPr>
            <w:tcW w:w="105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水闸</w:t>
            </w:r>
          </w:p>
        </w:tc>
        <w:tc>
          <w:tcPr>
            <w:tcW w:w="105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雨水泵站</w:t>
            </w:r>
          </w:p>
        </w:tc>
        <w:tc>
          <w:tcPr>
            <w:tcW w:w="2112" w:type="dxa"/>
            <w:gridSpan w:val="2"/>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雨水管网</w:t>
            </w:r>
          </w:p>
        </w:tc>
        <w:tc>
          <w:tcPr>
            <w:tcW w:w="82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雨水调蓄设施</w:t>
            </w:r>
          </w:p>
        </w:tc>
        <w:tc>
          <w:tcPr>
            <w:tcW w:w="82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城市供水水源地</w:t>
            </w:r>
          </w:p>
        </w:tc>
        <w:tc>
          <w:tcPr>
            <w:tcW w:w="82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原水系统</w:t>
            </w:r>
          </w:p>
        </w:tc>
        <w:tc>
          <w:tcPr>
            <w:tcW w:w="82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水厂</w:t>
            </w:r>
          </w:p>
        </w:tc>
        <w:tc>
          <w:tcPr>
            <w:tcW w:w="2121" w:type="dxa"/>
            <w:gridSpan w:val="2"/>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供水管网</w:t>
            </w:r>
          </w:p>
        </w:tc>
      </w:tr>
      <w:tr>
        <w:tblPrEx>
          <w:shd w:val="clear" w:color="auto" w:fill="auto"/>
          <w:tblLayout w:type="fixed"/>
          <w:tblCellMar>
            <w:top w:w="0" w:type="dxa"/>
            <w:left w:w="108" w:type="dxa"/>
            <w:bottom w:w="0" w:type="dxa"/>
            <w:right w:w="108" w:type="dxa"/>
          </w:tblCellMar>
        </w:tblPrEx>
        <w:trPr>
          <w:trHeight w:val="711" w:hRule="atLeast"/>
        </w:trPr>
        <w:tc>
          <w:tcPr>
            <w:tcW w:w="70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763"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条段（个）</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长度（km）</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（座）</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（座）</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条段（个）</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长度（km）</w:t>
            </w:r>
          </w:p>
        </w:tc>
        <w:tc>
          <w:tcPr>
            <w:tcW w:w="82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（个）</w:t>
            </w:r>
          </w:p>
        </w:tc>
        <w:tc>
          <w:tcPr>
            <w:tcW w:w="82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（个）</w:t>
            </w:r>
          </w:p>
        </w:tc>
        <w:tc>
          <w:tcPr>
            <w:tcW w:w="82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（个）</w:t>
            </w:r>
          </w:p>
        </w:tc>
        <w:tc>
          <w:tcPr>
            <w:tcW w:w="82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（个）</w:t>
            </w:r>
          </w:p>
        </w:tc>
        <w:tc>
          <w:tcPr>
            <w:tcW w:w="106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条段（个）</w:t>
            </w:r>
          </w:p>
        </w:tc>
        <w:tc>
          <w:tcPr>
            <w:tcW w:w="105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长度（km）</w:t>
            </w:r>
          </w:p>
        </w:tc>
      </w:tr>
      <w:tr>
        <w:tblPrEx>
          <w:shd w:val="clear" w:color="auto" w:fill="auto"/>
          <w:tblLayout w:type="fixed"/>
          <w:tblCellMar>
            <w:top w:w="0" w:type="dxa"/>
            <w:left w:w="108" w:type="dxa"/>
            <w:bottom w:w="0" w:type="dxa"/>
            <w:right w:w="108" w:type="dxa"/>
          </w:tblCellMar>
        </w:tblPrEx>
        <w:trPr>
          <w:trHeight w:val="363" w:hRule="atLeast"/>
        </w:trPr>
        <w:tc>
          <w:tcPr>
            <w:tcW w:w="70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11</w:t>
            </w:r>
          </w:p>
        </w:tc>
        <w:tc>
          <w:tcPr>
            <w:tcW w:w="76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288.1</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179</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37505</w:t>
            </w:r>
          </w:p>
        </w:tc>
        <w:tc>
          <w:tcPr>
            <w:tcW w:w="1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554.37</w:t>
            </w:r>
          </w:p>
        </w:tc>
        <w:tc>
          <w:tcPr>
            <w:tcW w:w="82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827"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sz w:val="28"/>
                <w:szCs w:val="28"/>
                <w:u w:val="none"/>
                <w:lang w:val="en-US" w:eastAsia="zh-CN"/>
              </w:rPr>
              <w:t>2</w:t>
            </w:r>
          </w:p>
        </w:tc>
        <w:tc>
          <w:tcPr>
            <w:tcW w:w="827"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827"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sz w:val="28"/>
                <w:szCs w:val="28"/>
                <w:u w:val="none"/>
                <w:lang w:val="en-US" w:eastAsia="zh-CN"/>
              </w:rPr>
              <w:t>5</w:t>
            </w:r>
          </w:p>
        </w:tc>
        <w:tc>
          <w:tcPr>
            <w:tcW w:w="1065"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056" w:type="dxa"/>
            <w:tcBorders>
              <w:top w:val="nil"/>
              <w:left w:val="nil"/>
              <w:bottom w:val="single" w:color="000000" w:sz="8" w:space="0"/>
              <w:right w:val="single" w:color="000000" w:sz="8" w:space="0"/>
            </w:tcBorders>
            <w:shd w:val="clear" w:color="auto" w:fill="auto"/>
            <w:vAlign w:val="center"/>
          </w:tcPr>
          <w:p>
            <w:pPr>
              <w:rPr>
                <w:rFonts w:hint="eastAsia" w:ascii="宋体" w:hAnsi="宋体" w:eastAsia="宋体" w:cs="宋体"/>
                <w:i w:val="0"/>
                <w:iCs w:val="0"/>
                <w:color w:val="000000"/>
                <w:sz w:val="22"/>
                <w:szCs w:val="22"/>
                <w:u w:val="none"/>
              </w:rPr>
            </w:pP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highlight w:val="yellow"/>
        </w:rPr>
        <w:sectPr>
          <w:pgSz w:w="16840" w:h="11910" w:orient="landscape"/>
          <w:pgMar w:top="1440" w:right="1803" w:bottom="1440" w:left="1803" w:header="0" w:footer="1601" w:gutter="0"/>
          <w:pgNumType w:fmt="decimal"/>
          <w:cols w:space="720" w:num="1"/>
          <w:rtlGutter w:val="0"/>
          <w:docGrid w:linePitch="0" w:charSpace="0"/>
        </w:sect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表1-</w:t>
      </w:r>
      <w:r>
        <w:rPr>
          <w:rFonts w:hint="default" w:ascii="仿宋" w:hAnsi="仿宋" w:eastAsia="仿宋" w:cs="仿宋"/>
          <w:b/>
          <w:sz w:val="32"/>
          <w:szCs w:val="32"/>
          <w:lang w:val="en-US" w:eastAsia="zh-CN"/>
        </w:rPr>
        <w:t>4</w:t>
      </w:r>
      <w:r>
        <w:rPr>
          <w:rFonts w:hint="eastAsia" w:ascii="仿宋" w:hAnsi="仿宋" w:eastAsia="仿宋" w:cs="仿宋"/>
          <w:b/>
          <w:sz w:val="32"/>
          <w:szCs w:val="32"/>
          <w:lang w:val="en-US" w:eastAsia="zh-CN"/>
        </w:rPr>
        <w:t xml:space="preserve"> 海洋灾害风险调查与评估</w:t>
      </w:r>
    </w:p>
    <w:tbl>
      <w:tblPr>
        <w:tblStyle w:val="24"/>
        <w:tblW w:w="14863" w:type="dxa"/>
        <w:jc w:val="center"/>
        <w:tblInd w:w="0" w:type="dxa"/>
        <w:shd w:val="clear" w:color="auto" w:fill="auto"/>
        <w:tblLayout w:type="fixed"/>
        <w:tblCellMar>
          <w:top w:w="0" w:type="dxa"/>
          <w:left w:w="108" w:type="dxa"/>
          <w:bottom w:w="0" w:type="dxa"/>
          <w:right w:w="108" w:type="dxa"/>
        </w:tblCellMar>
      </w:tblPr>
      <w:tblGrid>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919"/>
        <w:gridCol w:w="498"/>
        <w:gridCol w:w="498"/>
        <w:gridCol w:w="498"/>
        <w:gridCol w:w="498"/>
      </w:tblGrid>
      <w:tr>
        <w:tblPrEx>
          <w:shd w:val="clear" w:color="auto" w:fill="auto"/>
          <w:tblLayout w:type="fixed"/>
          <w:tblCellMar>
            <w:top w:w="0" w:type="dxa"/>
            <w:left w:w="108" w:type="dxa"/>
            <w:bottom w:w="0" w:type="dxa"/>
            <w:right w:w="108" w:type="dxa"/>
          </w:tblCellMar>
        </w:tblPrEx>
        <w:trPr>
          <w:trHeight w:val="711" w:hRule="atLeast"/>
          <w:jc w:val="center"/>
        </w:trPr>
        <w:tc>
          <w:tcPr>
            <w:tcW w:w="49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编号</w:t>
            </w:r>
          </w:p>
        </w:tc>
        <w:tc>
          <w:tcPr>
            <w:tcW w:w="498"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行政单位</w:t>
            </w:r>
          </w:p>
        </w:tc>
        <w:tc>
          <w:tcPr>
            <w:tcW w:w="3984" w:type="dxa"/>
            <w:gridSpan w:val="8"/>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致灾孕灾调查</w:t>
            </w:r>
          </w:p>
        </w:tc>
        <w:tc>
          <w:tcPr>
            <w:tcW w:w="2988" w:type="dxa"/>
            <w:gridSpan w:val="6"/>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承灾体调查</w:t>
            </w:r>
          </w:p>
        </w:tc>
        <w:tc>
          <w:tcPr>
            <w:tcW w:w="996" w:type="dxa"/>
            <w:gridSpan w:val="2"/>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历史灾害灾情调查</w:t>
            </w:r>
          </w:p>
        </w:tc>
        <w:tc>
          <w:tcPr>
            <w:tcW w:w="2490" w:type="dxa"/>
            <w:gridSpan w:val="5"/>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重点隐患调查</w:t>
            </w:r>
          </w:p>
        </w:tc>
        <w:tc>
          <w:tcPr>
            <w:tcW w:w="2911" w:type="dxa"/>
            <w:gridSpan w:val="5"/>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海洋灾害风险区划与评估</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r>
      <w:tr>
        <w:tblPrEx>
          <w:shd w:val="clear" w:color="auto" w:fill="auto"/>
          <w:tblLayout w:type="fixed"/>
          <w:tblCellMar>
            <w:top w:w="0" w:type="dxa"/>
            <w:left w:w="108" w:type="dxa"/>
            <w:bottom w:w="0" w:type="dxa"/>
            <w:right w:w="108" w:type="dxa"/>
          </w:tblCellMar>
        </w:tblPrEx>
        <w:trPr>
          <w:trHeight w:val="4380" w:hRule="atLeast"/>
          <w:jc w:val="center"/>
        </w:trPr>
        <w:tc>
          <w:tcPr>
            <w:tcW w:w="49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498"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风暴潮致灾孕灾要素调查</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海浪致灾孕灾要素调查</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海浪致灾孕灾要素调查</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海平面上升要素调查</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海岸侵蚀致灾孕灾要素调查</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咸潮入侵致灾孕灾要素调查</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海啸致灾孕灾要素调查</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赤潮致灾孕灾要素调查</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海岸防护工程</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海水养殖区</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商港</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渔港</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滨海旅游区</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海上风电工程</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历史年度自然灾害灾情调查</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重大历史自然灾害调查</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海岸防护工程</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海水养殖区</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渔港</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滨海旅游区</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商港</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风暴潮风险评估与区划</w:t>
            </w:r>
          </w:p>
        </w:tc>
        <w:tc>
          <w:tcPr>
            <w:tcW w:w="91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风暴潮海洋灾害防治区（ 重 点防 御区） 方案</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海啸风险评估与区划</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海浪风险评估与区划</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海平面上升风险评估与区划</w:t>
            </w:r>
          </w:p>
        </w:tc>
        <w:tc>
          <w:tcPr>
            <w:tcW w:w="49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实施细则</w:t>
            </w:r>
          </w:p>
        </w:tc>
      </w:tr>
      <w:tr>
        <w:tblPrEx>
          <w:shd w:val="clear" w:color="auto" w:fill="auto"/>
          <w:tblLayout w:type="fixed"/>
          <w:tblCellMar>
            <w:top w:w="0" w:type="dxa"/>
            <w:left w:w="108" w:type="dxa"/>
            <w:bottom w:w="0" w:type="dxa"/>
            <w:right w:w="108" w:type="dxa"/>
          </w:tblCellMar>
        </w:tblPrEx>
        <w:trPr>
          <w:trHeight w:val="363" w:hRule="atLeast"/>
          <w:jc w:val="center"/>
        </w:trPr>
        <w:tc>
          <w:tcPr>
            <w:tcW w:w="4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919"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r>
    </w:tbl>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r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sectPr>
          <w:footerReference r:id="rId16" w:type="default"/>
          <w:pgSz w:w="16840" w:h="11910" w:orient="landscape"/>
          <w:pgMar w:top="1440" w:right="1803" w:bottom="1440" w:left="1803" w:header="0" w:footer="1521" w:gutter="0"/>
          <w:pgNumType w:fmt="decimal"/>
          <w:cols w:space="720" w:num="1"/>
          <w:rtlGutter w:val="0"/>
          <w:docGrid w:linePitch="0" w:charSpace="0"/>
        </w:sectPr>
      </w:pPr>
      <w:r>
        <w:rPr>
          <w:rFonts w:hint="eastAsia" w:ascii="仿宋" w:hAnsi="仿宋" w:eastAsia="仿宋" w:cs="仿宋"/>
          <w:sz w:val="32"/>
          <w:szCs w:val="32"/>
        </w:rPr>
        <w:t>重大历史自然灾害调查指“重大台风灾害过程中海洋致灾因子（风暴潮、灾害性</w:t>
      </w:r>
      <w:r>
        <w:rPr>
          <w:rFonts w:hint="eastAsia" w:ascii="仿宋" w:hAnsi="仿宋" w:eastAsia="仿宋" w:cs="仿宋"/>
          <w:sz w:val="32"/>
          <w:szCs w:val="32"/>
          <w:lang w:val="en-US" w:eastAsia="zh-CN"/>
        </w:rPr>
        <w:t>11</w:t>
      </w:r>
      <w:r>
        <w:rPr>
          <w:rFonts w:hint="eastAsia" w:ascii="仿宋" w:hAnsi="仿宋" w:eastAsia="仿宋" w:cs="仿宋"/>
          <w:sz w:val="32"/>
          <w:szCs w:val="32"/>
        </w:rPr>
        <w:t>海浪）的灾情收集、筛选、处理”</w:t>
      </w: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表1-</w:t>
      </w:r>
      <w:r>
        <w:rPr>
          <w:rFonts w:hint="default" w:ascii="仿宋" w:hAnsi="仿宋" w:eastAsia="仿宋" w:cs="仿宋"/>
          <w:b/>
          <w:sz w:val="32"/>
          <w:szCs w:val="32"/>
          <w:lang w:val="en-US" w:eastAsia="zh-CN"/>
        </w:rPr>
        <w:t>4</w:t>
      </w:r>
      <w:r>
        <w:rPr>
          <w:rFonts w:hint="eastAsia" w:ascii="仿宋" w:hAnsi="仿宋" w:eastAsia="仿宋" w:cs="仿宋"/>
          <w:b/>
          <w:sz w:val="32"/>
          <w:szCs w:val="32"/>
          <w:lang w:val="en-US" w:eastAsia="zh-CN"/>
        </w:rPr>
        <w:t xml:space="preserve"> 森林火灾风险调查与评估分区任务量测算表</w:t>
      </w:r>
    </w:p>
    <w:tbl>
      <w:tblPr>
        <w:tblStyle w:val="24"/>
        <w:tblW w:w="14396" w:type="dxa"/>
        <w:jc w:val="center"/>
        <w:tblInd w:w="0" w:type="dxa"/>
        <w:shd w:val="clear" w:color="auto" w:fill="auto"/>
        <w:tblLayout w:type="fixed"/>
        <w:tblCellMar>
          <w:top w:w="0" w:type="dxa"/>
          <w:left w:w="108" w:type="dxa"/>
          <w:bottom w:w="0" w:type="dxa"/>
          <w:right w:w="108" w:type="dxa"/>
        </w:tblCellMar>
      </w:tblPr>
      <w:tblGrid>
        <w:gridCol w:w="548"/>
        <w:gridCol w:w="628"/>
        <w:gridCol w:w="628"/>
        <w:gridCol w:w="868"/>
        <w:gridCol w:w="696"/>
        <w:gridCol w:w="696"/>
        <w:gridCol w:w="696"/>
        <w:gridCol w:w="696"/>
        <w:gridCol w:w="696"/>
        <w:gridCol w:w="696"/>
        <w:gridCol w:w="699"/>
        <w:gridCol w:w="699"/>
        <w:gridCol w:w="699"/>
        <w:gridCol w:w="699"/>
        <w:gridCol w:w="696"/>
        <w:gridCol w:w="696"/>
        <w:gridCol w:w="696"/>
        <w:gridCol w:w="696"/>
        <w:gridCol w:w="696"/>
        <w:gridCol w:w="696"/>
        <w:gridCol w:w="576"/>
      </w:tblGrid>
      <w:tr>
        <w:tblPrEx>
          <w:shd w:val="clear" w:color="auto" w:fill="auto"/>
          <w:tblLayout w:type="fixed"/>
          <w:tblCellMar>
            <w:top w:w="0" w:type="dxa"/>
            <w:left w:w="108" w:type="dxa"/>
            <w:bottom w:w="0" w:type="dxa"/>
            <w:right w:w="108" w:type="dxa"/>
          </w:tblCellMar>
        </w:tblPrEx>
        <w:trPr>
          <w:trHeight w:val="348" w:hRule="atLeast"/>
          <w:jc w:val="center"/>
        </w:trPr>
        <w:tc>
          <w:tcPr>
            <w:tcW w:w="54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62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628"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方案设计</w:t>
            </w:r>
          </w:p>
        </w:tc>
        <w:tc>
          <w:tcPr>
            <w:tcW w:w="15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基础数据整合</w:t>
            </w:r>
          </w:p>
        </w:tc>
        <w:tc>
          <w:tcPr>
            <w:tcW w:w="348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可燃物调查</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野外火源调查及现场核查（区）</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气象数据获取处理（区）</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历史火灾调查（区）</w:t>
            </w:r>
          </w:p>
        </w:tc>
        <w:tc>
          <w:tcPr>
            <w:tcW w:w="699"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减灾能力调查及现场核查（区）</w:t>
            </w:r>
          </w:p>
        </w:tc>
        <w:tc>
          <w:tcPr>
            <w:tcW w:w="13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危险性评估</w:t>
            </w:r>
          </w:p>
        </w:tc>
        <w:tc>
          <w:tcPr>
            <w:tcW w:w="13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重点隐患评估</w:t>
            </w:r>
          </w:p>
        </w:tc>
        <w:tc>
          <w:tcPr>
            <w:tcW w:w="13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ind w:firstLineChars="200"/>
              <w:jc w:val="both"/>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风险评估、风险区划、防治区划</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数据质 检、汇总分 析、（区）</w:t>
            </w:r>
          </w:p>
        </w:tc>
      </w:tr>
      <w:tr>
        <w:tblPrEx>
          <w:shd w:val="clear" w:color="auto" w:fill="auto"/>
          <w:tblLayout w:type="fixed"/>
          <w:tblCellMar>
            <w:top w:w="0" w:type="dxa"/>
            <w:left w:w="108" w:type="dxa"/>
            <w:bottom w:w="0" w:type="dxa"/>
            <w:right w:w="108" w:type="dxa"/>
          </w:tblCellMar>
        </w:tblPrEx>
        <w:trPr>
          <w:trHeight w:val="348" w:hRule="atLeast"/>
          <w:jc w:val="center"/>
        </w:trPr>
        <w:tc>
          <w:tcPr>
            <w:tcW w:w="54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28"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15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348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13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13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13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both"/>
              <w:rPr>
                <w:rFonts w:hint="eastAsia" w:ascii="仿宋" w:hAnsi="仿宋" w:eastAsia="仿宋" w:cs="仿宋"/>
                <w:b/>
                <w:bCs/>
                <w:i w:val="0"/>
                <w:iCs w:val="0"/>
                <w:color w:val="000000"/>
                <w:sz w:val="24"/>
                <w:szCs w:val="24"/>
                <w:u w:val="none"/>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r>
      <w:tr>
        <w:tblPrEx>
          <w:shd w:val="clear" w:color="auto" w:fill="auto"/>
          <w:tblLayout w:type="fixed"/>
          <w:tblCellMar>
            <w:top w:w="0" w:type="dxa"/>
            <w:left w:w="108" w:type="dxa"/>
            <w:bottom w:w="0" w:type="dxa"/>
            <w:right w:w="108" w:type="dxa"/>
          </w:tblCellMar>
        </w:tblPrEx>
        <w:trPr>
          <w:trHeight w:val="348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rPr>
                <w:rFonts w:hint="eastAsia" w:ascii="宋体" w:hAnsi="宋体" w:eastAsia="宋体" w:cs="宋体"/>
                <w:i w:val="0"/>
                <w:iCs w:val="0"/>
                <w:color w:val="000000"/>
                <w:sz w:val="24"/>
                <w:szCs w:val="24"/>
                <w:u w:val="none"/>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方案及细则编制</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森林资源数据整合处理</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森林资源数据整合处理（ 林地面积/ 公 顷）</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草原基础数据整合（区）</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标准地数量（个）</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大样地数量（个）</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核查标准地（个）</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核查大样地（个）</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草原可燃物样地调查、核查（区）</w:t>
            </w: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9"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森林可燃物载量测算、危险性评估、制 图、报告编制（区）</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草原可燃物载量测算、危险性评估、制 图、报告编制（省）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森林火灾重点隐患评估分 析、制 图、报告编制（区）</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草原火灾重点隐患评估分 析、制 图、报告编制（省）</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森林火灾风险评估区 划、防 治区划、制 图、报 告编制（区）</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省级草原火灾风险评估区 划、防治区 划、制 图、报告编制（省）</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b/>
                <w:bCs/>
                <w:i w:val="0"/>
                <w:iCs w:val="0"/>
                <w:color w:val="000000"/>
                <w:sz w:val="24"/>
                <w:szCs w:val="24"/>
                <w:u w:val="none"/>
              </w:rPr>
            </w:pPr>
          </w:p>
        </w:tc>
      </w:tr>
      <w:tr>
        <w:tblPrEx>
          <w:shd w:val="clear" w:color="auto" w:fill="auto"/>
          <w:tblLayout w:type="fixed"/>
          <w:tblCellMar>
            <w:top w:w="0" w:type="dxa"/>
            <w:left w:w="108" w:type="dxa"/>
            <w:bottom w:w="0" w:type="dxa"/>
            <w:right w:w="108" w:type="dxa"/>
          </w:tblCellMar>
        </w:tblPrEx>
        <w:trPr>
          <w:trHeight w:val="1044"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ind w:firstLineChars="20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崇明区</w:t>
            </w: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left"/>
              <w:rPr>
                <w:rFonts w:hint="eastAsia" w:ascii="仿宋" w:hAnsi="仿宋" w:eastAsia="仿宋" w:cs="仿宋"/>
                <w:i w:val="0"/>
                <w:iCs w:val="0"/>
                <w:color w:val="000000"/>
                <w:sz w:val="24"/>
                <w:szCs w:val="24"/>
                <w:u w:val="none"/>
              </w:rPr>
            </w:pP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37761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left"/>
              <w:rPr>
                <w:rFonts w:hint="eastAsia" w:ascii="仿宋" w:hAnsi="仿宋" w:eastAsia="仿宋" w:cs="仿宋"/>
                <w:i w:val="0"/>
                <w:iCs w:val="0"/>
                <w:color w:val="000000"/>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both"/>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left"/>
              <w:rPr>
                <w:rFonts w:hint="eastAsia" w:ascii="仿宋" w:hAnsi="仿宋" w:eastAsia="仿宋" w:cs="仿宋"/>
                <w:i w:val="0"/>
                <w:iCs w:val="0"/>
                <w:color w:val="000000"/>
                <w:sz w:val="24"/>
                <w:szCs w:val="24"/>
                <w:u w:val="none"/>
              </w:rPr>
            </w:pP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tabs>
                <w:tab w:val="center" w:pos="242"/>
              </w:tabs>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tabs>
                <w:tab w:val="center" w:pos="242"/>
              </w:tabs>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left"/>
              <w:rPr>
                <w:rFonts w:hint="eastAsia" w:ascii="仿宋" w:hAnsi="仿宋" w:eastAsia="仿宋" w:cs="仿宋"/>
                <w:i w:val="0"/>
                <w:iCs w:val="0"/>
                <w:color w:val="000000"/>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left"/>
              <w:rPr>
                <w:rFonts w:hint="eastAsia" w:ascii="仿宋" w:hAnsi="仿宋" w:eastAsia="仿宋" w:cs="仿宋"/>
                <w:i w:val="0"/>
                <w:iCs w:val="0"/>
                <w:color w:val="000000"/>
                <w:sz w:val="24"/>
                <w:szCs w:val="24"/>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jc w:val="left"/>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val="0"/>
              <w:autoSpaceDN/>
              <w:bidi w:val="0"/>
              <w:adjustRightInd/>
              <w:jc w:val="left"/>
              <w:rPr>
                <w:rFonts w:hint="eastAsia" w:ascii="仿宋" w:hAnsi="仿宋" w:eastAsia="仿宋" w:cs="仿宋"/>
                <w:i w:val="0"/>
                <w:iCs w:val="0"/>
                <w:color w:val="000000"/>
                <w:sz w:val="24"/>
                <w:szCs w:val="24"/>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suppressLineNumbers w:val="0"/>
              <w:kinsoku/>
              <w:wordWrap/>
              <w:overflowPunct/>
              <w:topLinePunct w:val="0"/>
              <w:autoSpaceDE w:val="0"/>
              <w:autoSpaceDN/>
              <w:bidi w:val="0"/>
              <w:adjustRightInd/>
              <w:ind w:firstLineChars="200"/>
              <w:jc w:val="center"/>
              <w:textAlignment w:val="top"/>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sectPr>
          <w:pgSz w:w="16840" w:h="11910" w:orient="landscape"/>
          <w:pgMar w:top="1440" w:right="1803" w:bottom="1440" w:left="1803" w:header="0" w:footer="1521"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表2-1 交通运输基础设施调查</w:t>
      </w:r>
      <w:r>
        <w:rPr>
          <w:rFonts w:hint="eastAsia" w:ascii="仿宋" w:hAnsi="仿宋" w:eastAsia="仿宋" w:cs="仿宋"/>
          <w:b/>
          <w:sz w:val="32"/>
          <w:szCs w:val="32"/>
          <w:lang w:val="zh-CN" w:eastAsia="zh-CN"/>
        </w:rPr>
        <w:t>分区</w:t>
      </w:r>
      <w:r>
        <w:rPr>
          <w:rFonts w:hint="eastAsia" w:ascii="仿宋" w:hAnsi="仿宋" w:eastAsia="仿宋" w:cs="仿宋"/>
          <w:b/>
          <w:sz w:val="32"/>
          <w:szCs w:val="32"/>
          <w:lang w:val="en-US" w:eastAsia="zh-CN"/>
        </w:rPr>
        <w:t>任务量</w:t>
      </w:r>
    </w:p>
    <w:tbl>
      <w:tblPr>
        <w:tblStyle w:val="24"/>
        <w:tblW w:w="13354" w:type="dxa"/>
        <w:tblInd w:w="96" w:type="dxa"/>
        <w:shd w:val="clear" w:color="auto" w:fill="auto"/>
        <w:tblLayout w:type="fixed"/>
        <w:tblCellMar>
          <w:top w:w="0" w:type="dxa"/>
          <w:left w:w="108" w:type="dxa"/>
          <w:bottom w:w="0" w:type="dxa"/>
          <w:right w:w="108" w:type="dxa"/>
        </w:tblCellMar>
      </w:tblPr>
      <w:tblGrid>
        <w:gridCol w:w="492"/>
        <w:gridCol w:w="490"/>
        <w:gridCol w:w="490"/>
        <w:gridCol w:w="770"/>
        <w:gridCol w:w="770"/>
        <w:gridCol w:w="770"/>
        <w:gridCol w:w="1046"/>
        <w:gridCol w:w="1046"/>
        <w:gridCol w:w="770"/>
        <w:gridCol w:w="1046"/>
        <w:gridCol w:w="493"/>
        <w:gridCol w:w="493"/>
        <w:gridCol w:w="770"/>
        <w:gridCol w:w="1046"/>
        <w:gridCol w:w="1046"/>
        <w:gridCol w:w="1046"/>
        <w:gridCol w:w="770"/>
      </w:tblGrid>
      <w:tr>
        <w:tblPrEx>
          <w:shd w:val="clear" w:color="auto" w:fill="auto"/>
          <w:tblLayout w:type="fixed"/>
          <w:tblCellMar>
            <w:top w:w="0" w:type="dxa"/>
            <w:left w:w="108" w:type="dxa"/>
            <w:bottom w:w="0" w:type="dxa"/>
            <w:right w:w="108" w:type="dxa"/>
          </w:tblCellMar>
        </w:tblPrEx>
        <w:trPr>
          <w:trHeight w:val="4640" w:hRule="atLeast"/>
        </w:trPr>
        <w:tc>
          <w:tcPr>
            <w:tcW w:w="49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980" w:type="dxa"/>
            <w:gridSpan w:val="2"/>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市/区</w:t>
            </w:r>
          </w:p>
        </w:tc>
        <w:tc>
          <w:tcPr>
            <w:tcW w:w="7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高速数量 （公里）</w:t>
            </w:r>
          </w:p>
        </w:tc>
        <w:tc>
          <w:tcPr>
            <w:tcW w:w="7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国省道数量（公里）</w:t>
            </w:r>
          </w:p>
        </w:tc>
        <w:tc>
          <w:tcPr>
            <w:tcW w:w="7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农村公路数量（公里）</w:t>
            </w:r>
          </w:p>
        </w:tc>
        <w:tc>
          <w:tcPr>
            <w:tcW w:w="10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桥梁数量（座）</w:t>
            </w:r>
          </w:p>
        </w:tc>
        <w:tc>
          <w:tcPr>
            <w:tcW w:w="10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隧道数量 （处）</w:t>
            </w:r>
          </w:p>
        </w:tc>
        <w:tc>
          <w:tcPr>
            <w:tcW w:w="7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市政道路数量（公里）</w:t>
            </w:r>
          </w:p>
        </w:tc>
        <w:tc>
          <w:tcPr>
            <w:tcW w:w="10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市政桥梁数量（座）</w:t>
            </w:r>
          </w:p>
        </w:tc>
        <w:tc>
          <w:tcPr>
            <w:tcW w:w="49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主要港口和地区性重要港口中沿海万吨级及以上</w:t>
            </w:r>
          </w:p>
        </w:tc>
        <w:tc>
          <w:tcPr>
            <w:tcW w:w="493"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主要港口和地区性重要港口中内河千吨级及以上</w:t>
            </w:r>
          </w:p>
        </w:tc>
        <w:tc>
          <w:tcPr>
            <w:tcW w:w="7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三级及以上内河航道数量（公里）</w:t>
            </w:r>
          </w:p>
        </w:tc>
        <w:tc>
          <w:tcPr>
            <w:tcW w:w="10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三级及以上内河航道上通航建筑物（船闸、升船机） 数量（座）</w:t>
            </w:r>
          </w:p>
        </w:tc>
        <w:tc>
          <w:tcPr>
            <w:tcW w:w="10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三级及以上内河航道上交通行业管辖的航运枢纽数量（座）</w:t>
            </w:r>
          </w:p>
        </w:tc>
        <w:tc>
          <w:tcPr>
            <w:tcW w:w="104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轨道交通站点数量（座）</w:t>
            </w:r>
          </w:p>
        </w:tc>
        <w:tc>
          <w:tcPr>
            <w:tcW w:w="7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轨道交通线路数量（公里）</w:t>
            </w:r>
          </w:p>
        </w:tc>
      </w:tr>
      <w:tr>
        <w:tblPrEx>
          <w:shd w:val="clear" w:color="auto" w:fill="auto"/>
          <w:tblLayout w:type="fixed"/>
          <w:tblCellMar>
            <w:top w:w="0" w:type="dxa"/>
            <w:left w:w="108" w:type="dxa"/>
            <w:bottom w:w="0" w:type="dxa"/>
            <w:right w:w="108" w:type="dxa"/>
          </w:tblCellMar>
        </w:tblPrEx>
        <w:trPr>
          <w:trHeight w:val="1320" w:hRule="atLeast"/>
        </w:trPr>
        <w:tc>
          <w:tcPr>
            <w:tcW w:w="49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区管设施</w:t>
            </w:r>
          </w:p>
        </w:tc>
        <w:tc>
          <w:tcPr>
            <w:tcW w:w="49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w:t>
            </w:r>
          </w:p>
        </w:tc>
        <w:tc>
          <w:tcPr>
            <w:tcW w:w="7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7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7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2869</w:t>
            </w:r>
          </w:p>
        </w:tc>
        <w:tc>
          <w:tcPr>
            <w:tcW w:w="10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1443</w:t>
            </w:r>
          </w:p>
        </w:tc>
        <w:tc>
          <w:tcPr>
            <w:tcW w:w="10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7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65</w:t>
            </w:r>
          </w:p>
        </w:tc>
        <w:tc>
          <w:tcPr>
            <w:tcW w:w="10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42</w:t>
            </w:r>
          </w:p>
        </w:tc>
        <w:tc>
          <w:tcPr>
            <w:tcW w:w="49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493"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77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10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10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104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c>
          <w:tcPr>
            <w:tcW w:w="77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0</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3" w:firstLineChars="200"/>
        <w:jc w:val="both"/>
        <w:rPr>
          <w:rFonts w:hint="eastAsia" w:ascii="仿宋" w:hAnsi="仿宋" w:eastAsia="仿宋" w:cs="仿宋"/>
          <w:b/>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3" w:firstLineChars="200"/>
        <w:jc w:val="both"/>
        <w:rPr>
          <w:rFonts w:hint="eastAsia" w:ascii="仿宋" w:hAnsi="仿宋" w:eastAsia="仿宋" w:cs="仿宋"/>
          <w:b/>
          <w:sz w:val="32"/>
          <w:szCs w:val="32"/>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表2-2 危险化学品重点企业调查</w:t>
      </w:r>
    </w:p>
    <w:tbl>
      <w:tblPr>
        <w:tblStyle w:val="24"/>
        <w:tblW w:w="13248" w:type="dxa"/>
        <w:tblInd w:w="96" w:type="dxa"/>
        <w:shd w:val="clear" w:color="auto" w:fill="auto"/>
        <w:tblLayout w:type="fixed"/>
        <w:tblCellMar>
          <w:top w:w="0" w:type="dxa"/>
          <w:left w:w="108" w:type="dxa"/>
          <w:bottom w:w="0" w:type="dxa"/>
          <w:right w:w="108" w:type="dxa"/>
        </w:tblCellMar>
      </w:tblPr>
      <w:tblGrid>
        <w:gridCol w:w="4260"/>
        <w:gridCol w:w="4716"/>
        <w:gridCol w:w="4272"/>
      </w:tblGrid>
      <w:tr>
        <w:tblPrEx>
          <w:shd w:val="clear" w:color="auto" w:fill="auto"/>
          <w:tblLayout w:type="fixed"/>
          <w:tblCellMar>
            <w:top w:w="0" w:type="dxa"/>
            <w:left w:w="108" w:type="dxa"/>
            <w:bottom w:w="0" w:type="dxa"/>
            <w:right w:w="108" w:type="dxa"/>
          </w:tblCellMar>
        </w:tblPrEx>
        <w:trPr>
          <w:trHeight w:val="475" w:hRule="atLeast"/>
        </w:trPr>
        <w:tc>
          <w:tcPr>
            <w:tcW w:w="42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调查范围</w:t>
            </w:r>
          </w:p>
        </w:tc>
        <w:tc>
          <w:tcPr>
            <w:tcW w:w="471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数量</w:t>
            </w:r>
          </w:p>
        </w:tc>
        <w:tc>
          <w:tcPr>
            <w:tcW w:w="427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备注</w:t>
            </w:r>
          </w:p>
        </w:tc>
      </w:tr>
      <w:tr>
        <w:tblPrEx>
          <w:shd w:val="clear" w:color="auto" w:fill="auto"/>
          <w:tblLayout w:type="fixed"/>
          <w:tblCellMar>
            <w:top w:w="0" w:type="dxa"/>
            <w:left w:w="108" w:type="dxa"/>
            <w:bottom w:w="0" w:type="dxa"/>
            <w:right w:w="108" w:type="dxa"/>
          </w:tblCellMar>
        </w:tblPrEx>
        <w:trPr>
          <w:trHeight w:val="656" w:hRule="atLeast"/>
        </w:trPr>
        <w:tc>
          <w:tcPr>
            <w:tcW w:w="4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危险化学品生产企业</w:t>
            </w:r>
          </w:p>
        </w:tc>
        <w:tc>
          <w:tcPr>
            <w:tcW w:w="471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6家</w:t>
            </w:r>
          </w:p>
        </w:tc>
        <w:tc>
          <w:tcPr>
            <w:tcW w:w="427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r>
      <w:tr>
        <w:tblPrEx>
          <w:tblLayout w:type="fixed"/>
          <w:tblCellMar>
            <w:top w:w="0" w:type="dxa"/>
            <w:left w:w="108" w:type="dxa"/>
            <w:bottom w:w="0" w:type="dxa"/>
            <w:right w:w="108" w:type="dxa"/>
          </w:tblCellMar>
        </w:tblPrEx>
        <w:trPr>
          <w:trHeight w:val="724" w:hRule="atLeast"/>
        </w:trPr>
        <w:tc>
          <w:tcPr>
            <w:tcW w:w="4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rPr>
              <w:t>加油加气加氢站</w:t>
            </w:r>
          </w:p>
        </w:tc>
        <w:tc>
          <w:tcPr>
            <w:tcW w:w="471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44家</w:t>
            </w:r>
          </w:p>
        </w:tc>
        <w:tc>
          <w:tcPr>
            <w:tcW w:w="4272"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宋体" w:hAnsi="宋体" w:eastAsia="宋体" w:cs="宋体"/>
                <w:i w:val="0"/>
                <w:iCs w:val="0"/>
                <w:color w:val="000000"/>
                <w:sz w:val="28"/>
                <w:szCs w:val="28"/>
                <w:u w:val="none"/>
              </w:rPr>
            </w:pP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注：此为预估数字，最终以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sectPr>
          <w:pgSz w:w="16840" w:h="11910" w:orient="landscape"/>
          <w:pgMar w:top="1440" w:right="1803" w:bottom="1440" w:left="1803" w:header="0" w:footer="1521"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表3-1 综合减灾能力调查与评估分区任务量</w:t>
      </w:r>
    </w:p>
    <w:tbl>
      <w:tblPr>
        <w:tblStyle w:val="24"/>
        <w:tblW w:w="8323" w:type="dxa"/>
        <w:tblInd w:w="96" w:type="dxa"/>
        <w:shd w:val="clear" w:color="auto" w:fill="auto"/>
        <w:tblLayout w:type="fixed"/>
        <w:tblCellMar>
          <w:top w:w="0" w:type="dxa"/>
          <w:left w:w="108" w:type="dxa"/>
          <w:bottom w:w="0" w:type="dxa"/>
          <w:right w:w="108" w:type="dxa"/>
        </w:tblCellMar>
      </w:tblPr>
      <w:tblGrid>
        <w:gridCol w:w="960"/>
        <w:gridCol w:w="3135"/>
        <w:gridCol w:w="4228"/>
      </w:tblGrid>
      <w:tr>
        <w:tblPrEx>
          <w:tblLayout w:type="fixed"/>
          <w:tblCellMar>
            <w:top w:w="0" w:type="dxa"/>
            <w:left w:w="108" w:type="dxa"/>
            <w:bottom w:w="0" w:type="dxa"/>
            <w:right w:w="108" w:type="dxa"/>
          </w:tblCellMar>
        </w:tblPrEx>
        <w:trPr>
          <w:trHeight w:val="348"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序号</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内容</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获取方式</w:t>
            </w:r>
          </w:p>
        </w:tc>
      </w:tr>
      <w:tr>
        <w:tblPrEx>
          <w:shd w:val="clear" w:color="auto" w:fill="auto"/>
          <w:tblLayout w:type="fixed"/>
          <w:tblCellMar>
            <w:top w:w="0" w:type="dxa"/>
            <w:left w:w="108" w:type="dxa"/>
            <w:bottom w:w="0" w:type="dxa"/>
            <w:right w:w="108" w:type="dxa"/>
          </w:tblCellMar>
        </w:tblPrEx>
        <w:trPr>
          <w:trHeight w:val="69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1</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森林消防救援队伍</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由市绿化市容局调查后共享</w:t>
            </w:r>
          </w:p>
        </w:tc>
      </w:tr>
      <w:tr>
        <w:tblPrEx>
          <w:shd w:val="clear" w:color="auto" w:fill="auto"/>
          <w:tblLayout w:type="fixed"/>
          <w:tblCellMar>
            <w:top w:w="0" w:type="dxa"/>
            <w:left w:w="108" w:type="dxa"/>
            <w:bottom w:w="0" w:type="dxa"/>
            <w:right w:w="108" w:type="dxa"/>
          </w:tblCellMar>
        </w:tblPrEx>
        <w:trPr>
          <w:trHeight w:val="1392"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2</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林草火灾监测预警能力（林区防火阻隔和道路网、林草区防火监测预警点）</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由市绿化市容局调查后共享</w:t>
            </w:r>
          </w:p>
        </w:tc>
      </w:tr>
      <w:tr>
        <w:tblPrEx>
          <w:shd w:val="clear" w:color="auto" w:fill="auto"/>
          <w:tblLayout w:type="fixed"/>
          <w:tblCellMar>
            <w:top w:w="0" w:type="dxa"/>
            <w:left w:w="108" w:type="dxa"/>
            <w:bottom w:w="0" w:type="dxa"/>
            <w:right w:w="108" w:type="dxa"/>
          </w:tblCellMar>
        </w:tblPrEx>
        <w:trPr>
          <w:trHeight w:val="69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已达标防洪堤长度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由市水务局调查完成后共享</w:t>
            </w:r>
          </w:p>
        </w:tc>
      </w:tr>
      <w:tr>
        <w:tblPrEx>
          <w:shd w:val="clear" w:color="auto" w:fill="auto"/>
          <w:tblLayout w:type="fixed"/>
          <w:tblCellMar>
            <w:top w:w="0" w:type="dxa"/>
            <w:left w:w="108" w:type="dxa"/>
            <w:bottom w:w="0" w:type="dxa"/>
            <w:right w:w="108" w:type="dxa"/>
          </w:tblCellMar>
        </w:tblPrEx>
        <w:trPr>
          <w:trHeight w:val="69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4</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气象站点</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中国气象局、上海市气象局共享提供</w:t>
            </w:r>
          </w:p>
        </w:tc>
      </w:tr>
      <w:tr>
        <w:tblPrEx>
          <w:tblLayout w:type="fixed"/>
          <w:tblCellMar>
            <w:top w:w="0" w:type="dxa"/>
            <w:left w:w="108" w:type="dxa"/>
            <w:bottom w:w="0" w:type="dxa"/>
            <w:right w:w="108" w:type="dxa"/>
          </w:tblCellMar>
        </w:tblPrEx>
        <w:trPr>
          <w:trHeight w:val="69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5</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地震台网监测站</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中国地震局、上海市地震局共享提供</w:t>
            </w:r>
          </w:p>
        </w:tc>
      </w:tr>
      <w:tr>
        <w:tblPrEx>
          <w:shd w:val="clear" w:color="auto" w:fill="auto"/>
          <w:tblLayout w:type="fixed"/>
          <w:tblCellMar>
            <w:top w:w="0" w:type="dxa"/>
            <w:left w:w="108" w:type="dxa"/>
            <w:bottom w:w="0" w:type="dxa"/>
            <w:right w:w="108" w:type="dxa"/>
          </w:tblCellMar>
        </w:tblPrEx>
        <w:trPr>
          <w:trHeight w:val="69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6</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水文站数量，已建成的防洪堤长度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水利部、市水务局共享提供</w:t>
            </w:r>
          </w:p>
        </w:tc>
      </w:tr>
      <w:tr>
        <w:tblPrEx>
          <w:shd w:val="clear" w:color="auto" w:fill="auto"/>
          <w:tblLayout w:type="fixed"/>
          <w:tblCellMar>
            <w:top w:w="0" w:type="dxa"/>
            <w:left w:w="108" w:type="dxa"/>
            <w:bottom w:w="0" w:type="dxa"/>
            <w:right w:w="108" w:type="dxa"/>
          </w:tblCellMar>
        </w:tblPrEx>
        <w:trPr>
          <w:trHeight w:val="9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7</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应急通信能力</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国家工业与信息化部、市通信管理局共享提供</w:t>
            </w:r>
          </w:p>
        </w:tc>
      </w:tr>
      <w:tr>
        <w:tblPrEx>
          <w:shd w:val="clear" w:color="auto" w:fill="auto"/>
          <w:tblLayout w:type="fixed"/>
          <w:tblCellMar>
            <w:top w:w="0" w:type="dxa"/>
            <w:left w:w="108" w:type="dxa"/>
            <w:bottom w:w="0" w:type="dxa"/>
            <w:right w:w="108" w:type="dxa"/>
          </w:tblCellMar>
        </w:tblPrEx>
        <w:trPr>
          <w:trHeight w:val="1044"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8</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旱灾防治工程（蓄、引、提、调抗旱工程情况）</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由市水利局、市水务局调查完成后共享</w:t>
            </w:r>
          </w:p>
        </w:tc>
      </w:tr>
      <w:tr>
        <w:tblPrEx>
          <w:tblLayout w:type="fixed"/>
          <w:tblCellMar>
            <w:top w:w="0" w:type="dxa"/>
            <w:left w:w="108" w:type="dxa"/>
            <w:bottom w:w="0" w:type="dxa"/>
            <w:right w:w="108" w:type="dxa"/>
          </w:tblCellMar>
        </w:tblPrEx>
        <w:trPr>
          <w:trHeight w:val="69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9</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路网密度</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由市交通委调查完成后共享</w:t>
            </w:r>
          </w:p>
        </w:tc>
      </w:tr>
      <w:tr>
        <w:tblPrEx>
          <w:shd w:val="clear" w:color="auto" w:fill="auto"/>
          <w:tblLayout w:type="fixed"/>
          <w:tblCellMar>
            <w:top w:w="0" w:type="dxa"/>
            <w:left w:w="108" w:type="dxa"/>
            <w:bottom w:w="0" w:type="dxa"/>
            <w:right w:w="108" w:type="dxa"/>
          </w:tblCellMar>
        </w:tblPrEx>
        <w:trPr>
          <w:trHeight w:val="696"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10</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房屋建筑总面积</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由市住建委调查完成后共享</w:t>
            </w:r>
          </w:p>
        </w:tc>
      </w:tr>
      <w:tr>
        <w:tblPrEx>
          <w:shd w:val="clear" w:color="auto" w:fill="auto"/>
          <w:tblLayout w:type="fixed"/>
          <w:tblCellMar>
            <w:top w:w="0" w:type="dxa"/>
            <w:left w:w="108" w:type="dxa"/>
            <w:bottom w:w="0" w:type="dxa"/>
            <w:right w:w="108" w:type="dxa"/>
          </w:tblCellMar>
        </w:tblPrEx>
        <w:trPr>
          <w:trHeight w:val="1044"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11</w:t>
            </w:r>
          </w:p>
        </w:tc>
        <w:tc>
          <w:tcPr>
            <w:tcW w:w="3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区域总人口、GDP数据、床位数量、卫生技术数量、救护车数量</w:t>
            </w:r>
          </w:p>
        </w:tc>
        <w:tc>
          <w:tcPr>
            <w:tcW w:w="4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由市应急管理局调查完成后共享</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sectPr>
          <w:footerReference r:id="rId17" w:type="default"/>
          <w:pgSz w:w="11910" w:h="16840"/>
          <w:pgMar w:top="1440" w:right="1803" w:bottom="1440" w:left="1803" w:header="0" w:footer="1601"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表4-1 重点隐患分区分类分级综合评估任务分工</w:t>
      </w:r>
    </w:p>
    <w:tbl>
      <w:tblPr>
        <w:tblStyle w:val="24"/>
        <w:tblW w:w="8299" w:type="dxa"/>
        <w:tblInd w:w="96" w:type="dxa"/>
        <w:shd w:val="clear" w:color="auto" w:fill="auto"/>
        <w:tblLayout w:type="fixed"/>
        <w:tblCellMar>
          <w:top w:w="0" w:type="dxa"/>
          <w:left w:w="108" w:type="dxa"/>
          <w:bottom w:w="0" w:type="dxa"/>
          <w:right w:w="108" w:type="dxa"/>
        </w:tblCellMar>
      </w:tblPr>
      <w:tblGrid>
        <w:gridCol w:w="3077"/>
        <w:gridCol w:w="2966"/>
        <w:gridCol w:w="2256"/>
      </w:tblGrid>
      <w:tr>
        <w:tblPrEx>
          <w:shd w:val="clear" w:color="auto" w:fill="auto"/>
          <w:tblLayout w:type="fixed"/>
          <w:tblCellMar>
            <w:top w:w="0" w:type="dxa"/>
            <w:left w:w="108" w:type="dxa"/>
            <w:bottom w:w="0" w:type="dxa"/>
            <w:right w:w="108" w:type="dxa"/>
          </w:tblCellMar>
        </w:tblPrEx>
        <w:trPr>
          <w:trHeight w:val="743" w:hRule="atLeast"/>
        </w:trPr>
        <w:tc>
          <w:tcPr>
            <w:tcW w:w="307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任务内容</w:t>
            </w:r>
          </w:p>
        </w:tc>
        <w:tc>
          <w:tcPr>
            <w:tcW w:w="296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调查评估级别</w:t>
            </w:r>
          </w:p>
        </w:tc>
        <w:tc>
          <w:tcPr>
            <w:tcW w:w="225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市级任务</w:t>
            </w:r>
          </w:p>
        </w:tc>
      </w:tr>
      <w:tr>
        <w:tblPrEx>
          <w:shd w:val="clear" w:color="auto" w:fill="auto"/>
          <w:tblLayout w:type="fixed"/>
          <w:tblCellMar>
            <w:top w:w="0" w:type="dxa"/>
            <w:left w:w="108" w:type="dxa"/>
            <w:bottom w:w="0" w:type="dxa"/>
            <w:right w:w="108" w:type="dxa"/>
          </w:tblCellMar>
        </w:tblPrEx>
        <w:trPr>
          <w:trHeight w:val="1239" w:hRule="atLeast"/>
        </w:trPr>
        <w:tc>
          <w:tcPr>
            <w:tcW w:w="30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区级各部门重点隐患基础数据集成</w:t>
            </w:r>
          </w:p>
        </w:tc>
        <w:tc>
          <w:tcPr>
            <w:tcW w:w="296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w:t>
            </w:r>
          </w:p>
        </w:tc>
        <w:tc>
          <w:tcPr>
            <w:tcW w:w="225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区级负责</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p>
    <w:p>
      <w:pPr>
        <w:pStyle w:val="2"/>
        <w:rPr>
          <w:rFonts w:hint="eastAsia"/>
        </w:rPr>
      </w:pPr>
    </w:p>
    <w:p>
      <w:pPr>
        <w:pStyle w:val="4"/>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both"/>
        <w:textAlignment w:val="auto"/>
        <w:rPr>
          <w:rFonts w:hint="eastAsia" w:ascii="黑体" w:hAnsi="黑体" w:eastAsia="黑体" w:cs="黑体"/>
          <w:b/>
          <w:bCs/>
          <w:sz w:val="36"/>
          <w:szCs w:val="36"/>
          <w:lang w:val="zh-CN" w:eastAsia="zh-CN"/>
        </w:rPr>
      </w:pPr>
      <w:bookmarkStart w:id="403" w:name="_Toc26589"/>
      <w:bookmarkStart w:id="404" w:name="_Toc6146"/>
      <w:r>
        <w:rPr>
          <w:rFonts w:hint="eastAsia" w:ascii="黑体" w:hAnsi="黑体" w:eastAsia="黑体" w:cs="黑体"/>
          <w:b/>
          <w:bCs/>
          <w:sz w:val="36"/>
          <w:szCs w:val="36"/>
          <w:lang w:val="zh-CN" w:eastAsia="zh-CN"/>
        </w:rPr>
        <w:t>附件</w:t>
      </w:r>
      <w:r>
        <w:rPr>
          <w:rFonts w:hint="eastAsia" w:ascii="黑体" w:hAnsi="黑体" w:eastAsia="黑体" w:cs="黑体"/>
          <w:b/>
          <w:bCs/>
          <w:sz w:val="36"/>
          <w:szCs w:val="36"/>
          <w:lang w:val="en-US" w:eastAsia="zh-CN"/>
        </w:rPr>
        <w:t>四：成果目录</w:t>
      </w:r>
      <w:bookmarkEnd w:id="403"/>
      <w:bookmarkEnd w:id="404"/>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1.地震灾害风险普查成果目录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2.气象灾害风险普查成果目录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3.水旱灾害风险普查成果目录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default" w:ascii="仿宋" w:hAnsi="仿宋" w:eastAsia="仿宋" w:cs="仿宋"/>
          <w:spacing w:val="-12"/>
          <w:sz w:val="32"/>
          <w:szCs w:val="32"/>
          <w:lang w:val="en-US" w:eastAsia="zh-CN" w:bidi="zh-CN"/>
        </w:rPr>
      </w:pPr>
      <w:r>
        <w:rPr>
          <w:rFonts w:hint="eastAsia" w:ascii="仿宋" w:hAnsi="仿宋" w:eastAsia="仿宋" w:cs="仿宋"/>
          <w:spacing w:val="-12"/>
          <w:sz w:val="32"/>
          <w:szCs w:val="32"/>
          <w:lang w:val="en-US" w:eastAsia="zh-CN" w:bidi="zh-CN"/>
        </w:rPr>
        <w:t xml:space="preserve">4.海洋灾害风险普查成果目录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5.森林火灾害风险调普查成果目录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6.承灾体调查与评估成果目录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7.历史灾害调查与评估成果目录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8.综合减灾能力调查与评估成果目录 </w:t>
      </w:r>
    </w:p>
    <w:p>
      <w:pPr>
        <w:pStyle w:val="27"/>
        <w:keepNext w:val="0"/>
        <w:keepLines w:val="0"/>
        <w:pageBreakBefore w:val="0"/>
        <w:widowControl w:val="0"/>
        <w:numPr>
          <w:ilvl w:val="0"/>
          <w:numId w:val="0"/>
        </w:numPr>
        <w:tabs>
          <w:tab w:val="left" w:pos="1230"/>
        </w:tabs>
        <w:kinsoku/>
        <w:wordWrap/>
        <w:overflowPunct/>
        <w:topLinePunct w:val="0"/>
        <w:autoSpaceDE w:val="0"/>
        <w:autoSpaceDN/>
        <w:bidi w:val="0"/>
        <w:adjustRightInd/>
        <w:snapToGrid/>
        <w:spacing w:after="0" w:line="540" w:lineRule="exact"/>
        <w:ind w:leftChars="0" w:right="0" w:rightChars="0" w:firstLine="592" w:firstLineChars="200"/>
        <w:jc w:val="left"/>
        <w:textAlignment w:val="auto"/>
        <w:rPr>
          <w:rFonts w:hint="eastAsia" w:ascii="仿宋" w:hAnsi="仿宋" w:eastAsia="仿宋" w:cs="仿宋"/>
          <w:spacing w:val="-12"/>
          <w:sz w:val="32"/>
          <w:szCs w:val="32"/>
          <w:lang w:val="zh-CN" w:eastAsia="zh-CN" w:bidi="zh-CN"/>
        </w:rPr>
      </w:pPr>
      <w:r>
        <w:rPr>
          <w:rFonts w:hint="eastAsia" w:ascii="仿宋" w:hAnsi="仿宋" w:eastAsia="仿宋" w:cs="仿宋"/>
          <w:spacing w:val="-12"/>
          <w:sz w:val="32"/>
          <w:szCs w:val="32"/>
          <w:lang w:val="en-US" w:eastAsia="zh-CN" w:bidi="zh-CN"/>
        </w:rPr>
        <w:t xml:space="preserve">9.重点隐患分区分类分级综合评估成果目录 </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rPr>
          <w:rFonts w:hint="eastAsia" w:ascii="仿宋" w:hAnsi="仿宋" w:eastAsia="仿宋" w:cs="仿宋"/>
          <w:sz w:val="32"/>
          <w:szCs w:val="32"/>
          <w:lang w:val="en-US" w:eastAsia="zh-CN" w:bidi="zh-CN"/>
        </w:rPr>
      </w:pPr>
    </w:p>
    <w:p>
      <w:pPr>
        <w:pStyle w:val="2"/>
        <w:rPr>
          <w:rFonts w:hint="eastAsia"/>
          <w:lang w:val="en-US" w:eastAsia="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 xml:space="preserve">1-1 </w:t>
      </w:r>
      <w:r>
        <w:rPr>
          <w:rFonts w:hint="eastAsia" w:ascii="仿宋" w:hAnsi="仿宋" w:eastAsia="仿宋" w:cs="仿宋"/>
          <w:b/>
          <w:bCs/>
          <w:sz w:val="32"/>
          <w:szCs w:val="32"/>
          <w:lang w:val="en-US" w:eastAsia="zh-CN" w:bidi="zh-CN"/>
        </w:rPr>
        <w:t>地震灾害风险普查成果目录</w:t>
      </w:r>
    </w:p>
    <w:tbl>
      <w:tblPr>
        <w:tblStyle w:val="24"/>
        <w:tblW w:w="8329" w:type="dxa"/>
        <w:tblInd w:w="96" w:type="dxa"/>
        <w:shd w:val="clear" w:color="auto" w:fill="auto"/>
        <w:tblLayout w:type="fixed"/>
        <w:tblCellMar>
          <w:top w:w="0" w:type="dxa"/>
          <w:left w:w="108" w:type="dxa"/>
          <w:bottom w:w="0" w:type="dxa"/>
          <w:right w:w="108" w:type="dxa"/>
        </w:tblCellMar>
      </w:tblPr>
      <w:tblGrid>
        <w:gridCol w:w="960"/>
        <w:gridCol w:w="1452"/>
        <w:gridCol w:w="1560"/>
        <w:gridCol w:w="4357"/>
      </w:tblGrid>
      <w:tr>
        <w:tblPrEx>
          <w:shd w:val="clear" w:color="auto" w:fill="auto"/>
          <w:tblLayout w:type="fixed"/>
          <w:tblCellMar>
            <w:top w:w="0" w:type="dxa"/>
            <w:left w:w="108" w:type="dxa"/>
            <w:bottom w:w="0" w:type="dxa"/>
            <w:right w:w="108" w:type="dxa"/>
          </w:tblCellMar>
        </w:tblPrEx>
        <w:trPr>
          <w:trHeight w:val="711"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来源部门</w:t>
            </w:r>
          </w:p>
        </w:tc>
        <w:tc>
          <w:tcPr>
            <w:tcW w:w="145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56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成果类型</w:t>
            </w:r>
          </w:p>
        </w:tc>
        <w:tc>
          <w:tcPr>
            <w:tcW w:w="435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成果名称</w:t>
            </w:r>
          </w:p>
        </w:tc>
      </w:tr>
      <w:tr>
        <w:tblPrEx>
          <w:tblLayout w:type="fixed"/>
          <w:tblCellMar>
            <w:top w:w="0" w:type="dxa"/>
            <w:left w:w="108" w:type="dxa"/>
            <w:bottom w:w="0" w:type="dxa"/>
            <w:right w:w="108" w:type="dxa"/>
          </w:tblCellMar>
        </w:tblPrEx>
        <w:trPr>
          <w:trHeight w:val="363" w:hRule="atLeast"/>
        </w:trPr>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地震</w:t>
            </w:r>
          </w:p>
        </w:tc>
        <w:tc>
          <w:tcPr>
            <w:tcW w:w="1452"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地震灾害致灾调查与评估</w:t>
            </w:r>
          </w:p>
        </w:tc>
        <w:tc>
          <w:tcPr>
            <w:tcW w:w="156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35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崇明区1:5万活动断层数据库</w:t>
            </w:r>
          </w:p>
        </w:tc>
      </w:tr>
      <w:tr>
        <w:tblPrEx>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5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35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场地地震工程地质条件数据库</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5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35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崇明区地震灾害风险隐患分布图</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5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35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崇明区场地地震工程地质条件调查及数据库建设报告</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5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35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崇明区多概率地震危险性分析报告</w:t>
            </w:r>
          </w:p>
        </w:tc>
      </w:tr>
      <w:tr>
        <w:tblPrEx>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52"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35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崇明区地震灾害重点隐患评估报告</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left"/>
        <w:rPr>
          <w:rFonts w:hint="eastAsia" w:ascii="仿宋" w:hAnsi="仿宋" w:eastAsia="仿宋" w:cs="仿宋"/>
          <w:sz w:val="32"/>
          <w:szCs w:val="32"/>
          <w:lang w:val="en-US" w:eastAsia="zh-CN" w:bidi="zh-CN"/>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pStyle w:val="2"/>
        <w:rPr>
          <w:rFonts w:hint="eastAsia" w:ascii="仿宋" w:hAnsi="仿宋" w:eastAsia="仿宋" w:cs="仿宋"/>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after="0" w:line="54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 xml:space="preserve">1-2 </w:t>
      </w:r>
      <w:r>
        <w:rPr>
          <w:rFonts w:hint="eastAsia" w:ascii="仿宋" w:hAnsi="仿宋" w:eastAsia="仿宋" w:cs="仿宋"/>
          <w:b/>
          <w:bCs/>
          <w:sz w:val="32"/>
          <w:szCs w:val="32"/>
          <w:lang w:val="en-US" w:eastAsia="zh-CN" w:bidi="zh-CN"/>
        </w:rPr>
        <w:t xml:space="preserve">气象灾害风险普查成果目录 </w:t>
      </w:r>
    </w:p>
    <w:tbl>
      <w:tblPr>
        <w:tblStyle w:val="24"/>
        <w:tblW w:w="8311" w:type="dxa"/>
        <w:tblInd w:w="96" w:type="dxa"/>
        <w:tblLayout w:type="fixed"/>
        <w:tblCellMar>
          <w:top w:w="0" w:type="dxa"/>
          <w:left w:w="108" w:type="dxa"/>
          <w:bottom w:w="0" w:type="dxa"/>
          <w:right w:w="108" w:type="dxa"/>
        </w:tblCellMar>
      </w:tblPr>
      <w:tblGrid>
        <w:gridCol w:w="919"/>
        <w:gridCol w:w="1152"/>
        <w:gridCol w:w="1020"/>
        <w:gridCol w:w="5220"/>
      </w:tblGrid>
      <w:tr>
        <w:tblPrEx>
          <w:tblLayout w:type="fixed"/>
          <w:tblCellMar>
            <w:top w:w="0" w:type="dxa"/>
            <w:left w:w="108" w:type="dxa"/>
            <w:bottom w:w="0" w:type="dxa"/>
            <w:right w:w="108" w:type="dxa"/>
          </w:tblCellMar>
        </w:tblPrEx>
        <w:trPr>
          <w:trHeight w:val="598" w:hRule="atLeast"/>
        </w:trPr>
        <w:tc>
          <w:tcPr>
            <w:tcW w:w="919" w:type="dxa"/>
            <w:tcBorders>
              <w:top w:val="single" w:color="000000" w:sz="8" w:space="0"/>
              <w:left w:val="single" w:color="000000" w:sz="8" w:space="0"/>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en-US"/>
              </w:rPr>
              <w:t>来源部门</w:t>
            </w:r>
          </w:p>
        </w:tc>
        <w:tc>
          <w:tcPr>
            <w:tcW w:w="1152" w:type="dxa"/>
            <w:tcBorders>
              <w:top w:val="single" w:color="000000" w:sz="8" w:space="0"/>
              <w:left w:val="nil"/>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en-US"/>
              </w:rPr>
              <w:t>任务</w:t>
            </w:r>
          </w:p>
        </w:tc>
        <w:tc>
          <w:tcPr>
            <w:tcW w:w="1020" w:type="dxa"/>
            <w:tcBorders>
              <w:top w:val="single" w:color="000000" w:sz="8" w:space="0"/>
              <w:left w:val="nil"/>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en-US"/>
              </w:rPr>
              <w:t>成果类型</w:t>
            </w:r>
          </w:p>
        </w:tc>
        <w:tc>
          <w:tcPr>
            <w:tcW w:w="5220" w:type="dxa"/>
            <w:tcBorders>
              <w:top w:val="single" w:color="000000" w:sz="8" w:space="0"/>
              <w:left w:val="nil"/>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sz w:val="28"/>
                <w:szCs w:val="28"/>
                <w:highlight w:val="none"/>
                <w:lang w:val="en-US"/>
              </w:rPr>
              <w:t>成果名称</w:t>
            </w:r>
          </w:p>
        </w:tc>
      </w:tr>
      <w:tr>
        <w:tblPrEx>
          <w:tblLayout w:type="fixed"/>
          <w:tblCellMar>
            <w:top w:w="0" w:type="dxa"/>
            <w:left w:w="108" w:type="dxa"/>
            <w:bottom w:w="0" w:type="dxa"/>
            <w:right w:w="108" w:type="dxa"/>
          </w:tblCellMar>
        </w:tblPrEx>
        <w:trPr>
          <w:trHeight w:val="1017" w:hRule="atLeast"/>
        </w:trPr>
        <w:tc>
          <w:tcPr>
            <w:tcW w:w="919" w:type="dxa"/>
            <w:vMerge w:val="restart"/>
            <w:tcBorders>
              <w:top w:val="nil"/>
              <w:left w:val="single" w:color="000000" w:sz="8" w:space="0"/>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气象</w:t>
            </w:r>
          </w:p>
        </w:tc>
        <w:tc>
          <w:tcPr>
            <w:tcW w:w="1152" w:type="dxa"/>
            <w:vMerge w:val="restart"/>
            <w:tcBorders>
              <w:top w:val="nil"/>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气象灾害致灾调查与评估</w:t>
            </w:r>
          </w:p>
        </w:tc>
        <w:tc>
          <w:tcPr>
            <w:tcW w:w="1020" w:type="dxa"/>
            <w:vMerge w:val="restart"/>
            <w:tcBorders>
              <w:top w:val="nil"/>
              <w:left w:val="nil"/>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数据成果</w:t>
            </w:r>
          </w:p>
        </w:tc>
        <w:tc>
          <w:tcPr>
            <w:tcW w:w="5220" w:type="dxa"/>
            <w:tcBorders>
              <w:top w:val="nil"/>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rPr>
            </w:pPr>
            <w:r>
              <w:rPr>
                <w:rFonts w:ascii="仿宋" w:hAnsi="仿宋" w:eastAsia="仿宋" w:cs="仿宋"/>
                <w:color w:val="000000"/>
                <w:sz w:val="28"/>
                <w:szCs w:val="28"/>
                <w:highlight w:val="none"/>
                <w:lang w:val="en-US"/>
              </w:rPr>
              <w:t>台风</w:t>
            </w:r>
            <w:r>
              <w:rPr>
                <w:rFonts w:hint="eastAsia" w:ascii="仿宋" w:hAnsi="仿宋" w:eastAsia="仿宋" w:cs="仿宋"/>
                <w:color w:val="000000"/>
                <w:sz w:val="28"/>
                <w:szCs w:val="28"/>
                <w:highlight w:val="none"/>
                <w:lang w:val="en-US"/>
              </w:rPr>
              <w:t>、暴雨、大风、高温、低温、雪灾、雷电、大雾、冰雹灾害致灾危险性等级数据</w:t>
            </w:r>
          </w:p>
        </w:tc>
      </w:tr>
      <w:tr>
        <w:tblPrEx>
          <w:tblLayout w:type="fixed"/>
          <w:tblCellMar>
            <w:top w:w="0" w:type="dxa"/>
            <w:left w:w="108" w:type="dxa"/>
            <w:bottom w:w="0" w:type="dxa"/>
            <w:right w:w="108" w:type="dxa"/>
          </w:tblCellMar>
        </w:tblPrEx>
        <w:trPr>
          <w:trHeight w:val="884"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5220" w:type="dxa"/>
            <w:tcBorders>
              <w:top w:val="nil"/>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rPr>
            </w:pPr>
            <w:r>
              <w:rPr>
                <w:rFonts w:ascii="仿宋" w:hAnsi="仿宋" w:eastAsia="仿宋" w:cs="仿宋"/>
                <w:color w:val="000000"/>
                <w:sz w:val="28"/>
                <w:szCs w:val="28"/>
                <w:highlight w:val="none"/>
                <w:lang w:val="en-US"/>
              </w:rPr>
              <w:t>台风</w:t>
            </w:r>
            <w:r>
              <w:rPr>
                <w:rFonts w:hint="eastAsia" w:ascii="仿宋" w:hAnsi="仿宋" w:eastAsia="仿宋" w:cs="仿宋"/>
                <w:color w:val="000000"/>
                <w:sz w:val="28"/>
                <w:szCs w:val="28"/>
                <w:highlight w:val="none"/>
                <w:lang w:val="en-US"/>
              </w:rPr>
              <w:t>、暴雨、大风、高温、低温、雪灾、雷电、大雾、冰雹的危险性区划（等级）数据</w:t>
            </w:r>
          </w:p>
        </w:tc>
      </w:tr>
      <w:tr>
        <w:tblPrEx>
          <w:tblLayout w:type="fixed"/>
          <w:tblCellMar>
            <w:top w:w="0" w:type="dxa"/>
            <w:left w:w="108" w:type="dxa"/>
            <w:bottom w:w="0" w:type="dxa"/>
            <w:right w:w="108" w:type="dxa"/>
          </w:tblCellMar>
        </w:tblPrEx>
        <w:trPr>
          <w:trHeight w:val="1184"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vMerge w:val="restart"/>
            <w:tcBorders>
              <w:top w:val="nil"/>
              <w:left w:val="nil"/>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图件成果</w:t>
            </w:r>
          </w:p>
        </w:tc>
        <w:tc>
          <w:tcPr>
            <w:tcW w:w="5220" w:type="dxa"/>
            <w:tcBorders>
              <w:top w:val="nil"/>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rPr>
            </w:pPr>
            <w:r>
              <w:rPr>
                <w:rFonts w:ascii="仿宋" w:hAnsi="仿宋" w:eastAsia="仿宋" w:cs="仿宋"/>
                <w:color w:val="000000"/>
                <w:sz w:val="28"/>
                <w:szCs w:val="28"/>
                <w:highlight w:val="none"/>
                <w:lang w:val="en-US"/>
              </w:rPr>
              <w:t>台风</w:t>
            </w:r>
            <w:r>
              <w:rPr>
                <w:rFonts w:hint="eastAsia" w:ascii="仿宋" w:hAnsi="仿宋" w:eastAsia="仿宋" w:cs="仿宋"/>
                <w:color w:val="000000"/>
                <w:sz w:val="28"/>
                <w:szCs w:val="28"/>
                <w:highlight w:val="none"/>
                <w:lang w:val="en-US"/>
              </w:rPr>
              <w:t>、暴雨、大风、高温、低温、雪灾、雷电、大雾、冰雹的致灾危险性分区图（4个等级，比例尺1：5万）</w:t>
            </w:r>
          </w:p>
        </w:tc>
      </w:tr>
      <w:tr>
        <w:tblPrEx>
          <w:tblLayout w:type="fixed"/>
          <w:tblCellMar>
            <w:top w:w="0" w:type="dxa"/>
            <w:left w:w="108" w:type="dxa"/>
            <w:bottom w:w="0" w:type="dxa"/>
            <w:right w:w="108" w:type="dxa"/>
          </w:tblCellMar>
        </w:tblPrEx>
        <w:trPr>
          <w:trHeight w:val="363"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5220" w:type="dxa"/>
            <w:tcBorders>
              <w:top w:val="nil"/>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lang w:val="en-US"/>
              </w:rPr>
            </w:pPr>
            <w:r>
              <w:rPr>
                <w:rFonts w:hint="eastAsia" w:ascii="仿宋" w:hAnsi="仿宋" w:eastAsia="仿宋" w:cs="仿宋"/>
                <w:color w:val="000000"/>
                <w:sz w:val="28"/>
                <w:szCs w:val="28"/>
                <w:highlight w:val="none"/>
                <w:lang w:val="en-US"/>
              </w:rPr>
              <w:t>气象灾害的综合危险性图</w:t>
            </w:r>
          </w:p>
        </w:tc>
      </w:tr>
      <w:tr>
        <w:tblPrEx>
          <w:tblLayout w:type="fixed"/>
          <w:tblCellMar>
            <w:top w:w="0" w:type="dxa"/>
            <w:left w:w="108" w:type="dxa"/>
            <w:bottom w:w="0" w:type="dxa"/>
            <w:right w:w="108" w:type="dxa"/>
          </w:tblCellMar>
        </w:tblPrEx>
        <w:trPr>
          <w:trHeight w:val="993"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tcBorders>
              <w:top w:val="nil"/>
              <w:left w:val="nil"/>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文字报告成果</w:t>
            </w:r>
          </w:p>
        </w:tc>
        <w:tc>
          <w:tcPr>
            <w:tcW w:w="5220" w:type="dxa"/>
            <w:tcBorders>
              <w:top w:val="nil"/>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lang w:val="en-US"/>
              </w:rPr>
            </w:pPr>
            <w:r>
              <w:rPr>
                <w:rFonts w:hint="eastAsia" w:ascii="仿宋" w:hAnsi="仿宋" w:eastAsia="仿宋" w:cs="仿宋"/>
                <w:color w:val="000000"/>
                <w:sz w:val="28"/>
                <w:szCs w:val="28"/>
                <w:highlight w:val="none"/>
                <w:lang w:val="en-US"/>
              </w:rPr>
              <w:t>台风、暴雨、大风、雷电、高温、低温、雪灾、大雾、冰雹致灾危险性评估报告</w:t>
            </w:r>
          </w:p>
        </w:tc>
      </w:tr>
      <w:tr>
        <w:tblPrEx>
          <w:tblLayout w:type="fixed"/>
          <w:tblCellMar>
            <w:top w:w="0" w:type="dxa"/>
            <w:left w:w="108" w:type="dxa"/>
            <w:bottom w:w="0" w:type="dxa"/>
            <w:right w:w="108" w:type="dxa"/>
          </w:tblCellMar>
        </w:tblPrEx>
        <w:trPr>
          <w:trHeight w:val="1165"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restart"/>
            <w:tcBorders>
              <w:top w:val="nil"/>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气象灾害风险评估区划与防治区划</w:t>
            </w:r>
          </w:p>
        </w:tc>
        <w:tc>
          <w:tcPr>
            <w:tcW w:w="1020" w:type="dxa"/>
            <w:vMerge w:val="restart"/>
            <w:tcBorders>
              <w:top w:val="nil"/>
              <w:left w:val="nil"/>
              <w:right w:val="single" w:color="000000" w:sz="8" w:space="0"/>
            </w:tcBorders>
            <w:shd w:val="clear" w:color="auto" w:fill="auto"/>
            <w:vAlign w:val="center"/>
          </w:tcPr>
          <w:p>
            <w:pPr>
              <w:autoSpaceDN/>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数据成果</w:t>
            </w:r>
          </w:p>
        </w:tc>
        <w:tc>
          <w:tcPr>
            <w:tcW w:w="5220" w:type="dxa"/>
            <w:tcBorders>
              <w:top w:val="nil"/>
              <w:left w:val="nil"/>
              <w:bottom w:val="single" w:color="auto" w:sz="4" w:space="0"/>
              <w:right w:val="single" w:color="000000" w:sz="8" w:space="0"/>
            </w:tcBorders>
            <w:shd w:val="clear" w:color="auto" w:fill="auto"/>
            <w:vAlign w:val="center"/>
          </w:tcPr>
          <w:p>
            <w:pPr>
              <w:jc w:val="both"/>
              <w:textAlignment w:val="center"/>
              <w:rPr>
                <w:rFonts w:ascii="仿宋" w:hAnsi="仿宋" w:eastAsia="仿宋" w:cs="仿宋"/>
                <w:color w:val="000000"/>
                <w:sz w:val="28"/>
                <w:szCs w:val="28"/>
                <w:highlight w:val="none"/>
                <w:lang w:val="en-US"/>
              </w:rPr>
            </w:pPr>
            <w:r>
              <w:rPr>
                <w:rFonts w:hint="eastAsia" w:ascii="仿宋" w:hAnsi="仿宋" w:eastAsia="仿宋" w:cs="仿宋"/>
                <w:color w:val="000000"/>
                <w:sz w:val="28"/>
                <w:szCs w:val="28"/>
                <w:highlight w:val="none"/>
                <w:lang w:val="en-US"/>
              </w:rPr>
              <w:t>台风、暴雨、大风、雷电、高温、低温、雪灾等气象灾害不同承灾体风险值；</w:t>
            </w:r>
          </w:p>
        </w:tc>
      </w:tr>
      <w:tr>
        <w:tblPrEx>
          <w:tblLayout w:type="fixed"/>
          <w:tblCellMar>
            <w:top w:w="0" w:type="dxa"/>
            <w:left w:w="108" w:type="dxa"/>
            <w:bottom w:w="0" w:type="dxa"/>
            <w:right w:w="108" w:type="dxa"/>
          </w:tblCellMar>
        </w:tblPrEx>
        <w:trPr>
          <w:trHeight w:val="1015"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vMerge w:val="continue"/>
            <w:tcBorders>
              <w:left w:val="nil"/>
              <w:bottom w:val="single" w:color="auto" w:sz="4"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5220" w:type="dxa"/>
            <w:tcBorders>
              <w:top w:val="single" w:color="auto" w:sz="4" w:space="0"/>
              <w:left w:val="nil"/>
              <w:bottom w:val="single" w:color="auto" w:sz="4"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lang w:val="en-US"/>
              </w:rPr>
            </w:pPr>
            <w:r>
              <w:rPr>
                <w:rFonts w:hint="eastAsia" w:ascii="仿宋" w:hAnsi="仿宋" w:eastAsia="仿宋" w:cs="仿宋"/>
                <w:color w:val="000000"/>
                <w:sz w:val="28"/>
                <w:szCs w:val="28"/>
                <w:highlight w:val="none"/>
                <w:lang w:val="en-US"/>
              </w:rPr>
              <w:t>台风</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lang w:val="en-US"/>
              </w:rPr>
              <w:t>暴雨、大风、雷电、高温、低温、雪灾等气象灾害不同承灾体风险等级</w:t>
            </w:r>
          </w:p>
        </w:tc>
      </w:tr>
      <w:tr>
        <w:tblPrEx>
          <w:tblLayout w:type="fixed"/>
          <w:tblCellMar>
            <w:top w:w="0" w:type="dxa"/>
            <w:left w:w="108" w:type="dxa"/>
            <w:bottom w:w="0" w:type="dxa"/>
            <w:right w:w="108" w:type="dxa"/>
          </w:tblCellMar>
        </w:tblPrEx>
        <w:trPr>
          <w:trHeight w:val="955"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vMerge w:val="restart"/>
            <w:tcBorders>
              <w:top w:val="single" w:color="auto" w:sz="4" w:space="0"/>
              <w:left w:val="nil"/>
              <w:bottom w:val="single" w:color="000000" w:sz="8" w:space="0"/>
              <w:right w:val="single" w:color="000000" w:sz="8" w:space="0"/>
            </w:tcBorders>
            <w:shd w:val="clear" w:color="auto" w:fill="auto"/>
            <w:vAlign w:val="center"/>
          </w:tcPr>
          <w:p>
            <w:pPr>
              <w:autoSpaceDN/>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图件成果</w:t>
            </w:r>
          </w:p>
        </w:tc>
        <w:tc>
          <w:tcPr>
            <w:tcW w:w="5220" w:type="dxa"/>
            <w:tcBorders>
              <w:top w:val="single" w:color="auto" w:sz="4" w:space="0"/>
              <w:left w:val="nil"/>
              <w:right w:val="single" w:color="000000" w:sz="8" w:space="0"/>
            </w:tcBorders>
            <w:shd w:val="clear" w:color="auto" w:fill="auto"/>
            <w:vAlign w:val="center"/>
          </w:tcPr>
          <w:p>
            <w:pPr>
              <w:jc w:val="both"/>
              <w:textAlignment w:val="center"/>
              <w:rPr>
                <w:rFonts w:ascii="仿宋" w:hAnsi="仿宋" w:eastAsia="仿宋" w:cs="仿宋"/>
                <w:color w:val="000000"/>
                <w:sz w:val="28"/>
                <w:szCs w:val="28"/>
                <w:highlight w:val="none"/>
                <w:lang w:val="en-US"/>
              </w:rPr>
            </w:pPr>
            <w:r>
              <w:rPr>
                <w:rFonts w:hint="eastAsia" w:ascii="仿宋" w:hAnsi="仿宋" w:eastAsia="仿宋" w:cs="仿宋"/>
                <w:color w:val="000000"/>
                <w:sz w:val="28"/>
                <w:szCs w:val="28"/>
                <w:highlight w:val="none"/>
                <w:lang w:val="en-US"/>
              </w:rPr>
              <w:t>台风、暴雨、大风、高温、低温、）掉农作物风险区划图（等级分区、5 个等级，比例尺： 1:5 万）</w:t>
            </w:r>
          </w:p>
        </w:tc>
      </w:tr>
      <w:tr>
        <w:tblPrEx>
          <w:tblLayout w:type="fixed"/>
          <w:tblCellMar>
            <w:top w:w="0" w:type="dxa"/>
            <w:left w:w="108" w:type="dxa"/>
            <w:bottom w:w="0" w:type="dxa"/>
            <w:right w:w="108" w:type="dxa"/>
          </w:tblCellMar>
        </w:tblPrEx>
        <w:trPr>
          <w:trHeight w:val="1260" w:hRule="atLeast"/>
        </w:trPr>
        <w:tc>
          <w:tcPr>
            <w:tcW w:w="919" w:type="dxa"/>
            <w:vMerge w:val="continue"/>
            <w:tcBorders>
              <w:top w:val="nil"/>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vMerge w:val="continue"/>
            <w:tcBorders>
              <w:top w:val="nil"/>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5220" w:type="dxa"/>
            <w:tcBorders>
              <w:top w:val="single" w:color="auto" w:sz="4" w:space="0"/>
              <w:left w:val="nil"/>
              <w:bottom w:val="single" w:color="000000" w:sz="8"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rPr>
            </w:pPr>
            <w:r>
              <w:rPr>
                <w:rFonts w:ascii="仿宋" w:hAnsi="仿宋" w:eastAsia="仿宋" w:cs="仿宋"/>
                <w:color w:val="000000"/>
                <w:sz w:val="28"/>
                <w:szCs w:val="28"/>
                <w:highlight w:val="none"/>
                <w:lang w:val="en-US"/>
              </w:rPr>
              <w:t>7</w:t>
            </w:r>
            <w:r>
              <w:rPr>
                <w:rFonts w:hint="eastAsia" w:ascii="仿宋" w:hAnsi="仿宋" w:eastAsia="仿宋" w:cs="仿宋"/>
                <w:color w:val="000000"/>
                <w:sz w:val="28"/>
                <w:szCs w:val="28"/>
                <w:highlight w:val="none"/>
                <w:lang w:val="en-US"/>
              </w:rPr>
              <w:t>种气象灾害（台风、暴雨、大风、高温、低温、雷电、雪灾）对 GDP、人口风险区划图（等级分区、5个等级，比例尺：1:5 万）</w:t>
            </w:r>
          </w:p>
        </w:tc>
      </w:tr>
      <w:tr>
        <w:tblPrEx>
          <w:tblLayout w:type="fixed"/>
          <w:tblCellMar>
            <w:top w:w="0" w:type="dxa"/>
            <w:left w:w="108" w:type="dxa"/>
            <w:bottom w:w="0" w:type="dxa"/>
            <w:right w:w="108" w:type="dxa"/>
          </w:tblCellMar>
        </w:tblPrEx>
        <w:trPr>
          <w:trHeight w:val="2118" w:hRule="atLeast"/>
        </w:trPr>
        <w:tc>
          <w:tcPr>
            <w:tcW w:w="919" w:type="dxa"/>
            <w:vMerge w:val="continue"/>
            <w:tcBorders>
              <w:top w:val="single" w:color="auto" w:sz="4" w:space="0"/>
              <w:left w:val="single" w:color="000000" w:sz="8" w:space="0"/>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152" w:type="dxa"/>
            <w:vMerge w:val="continue"/>
            <w:tcBorders>
              <w:top w:val="single" w:color="auto" w:sz="4" w:space="0"/>
              <w:left w:val="nil"/>
              <w:bottom w:val="single" w:color="000000" w:sz="8" w:space="0"/>
              <w:right w:val="single" w:color="000000" w:sz="8" w:space="0"/>
            </w:tcBorders>
            <w:shd w:val="clear" w:color="auto" w:fill="auto"/>
            <w:vAlign w:val="center"/>
          </w:tcPr>
          <w:p>
            <w:pPr>
              <w:autoSpaceDN/>
              <w:jc w:val="center"/>
              <w:rPr>
                <w:rFonts w:ascii="仿宋" w:hAnsi="仿宋" w:eastAsia="仿宋" w:cs="仿宋"/>
                <w:color w:val="000000"/>
                <w:sz w:val="28"/>
                <w:szCs w:val="28"/>
                <w:highlight w:val="none"/>
              </w:rPr>
            </w:pPr>
          </w:p>
        </w:tc>
        <w:tc>
          <w:tcPr>
            <w:tcW w:w="1020" w:type="dxa"/>
            <w:tcBorders>
              <w:top w:val="single" w:color="auto" w:sz="4" w:space="0"/>
              <w:left w:val="nil"/>
              <w:bottom w:val="single" w:color="auto" w:sz="4" w:space="0"/>
              <w:right w:val="single" w:color="000000" w:sz="8" w:space="0"/>
            </w:tcBorders>
            <w:shd w:val="clear" w:color="auto" w:fill="auto"/>
            <w:vAlign w:val="center"/>
          </w:tcPr>
          <w:p>
            <w:pPr>
              <w:autoSpaceDN/>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文字报告成果</w:t>
            </w:r>
          </w:p>
        </w:tc>
        <w:tc>
          <w:tcPr>
            <w:tcW w:w="5220" w:type="dxa"/>
            <w:tcBorders>
              <w:top w:val="single" w:color="auto" w:sz="4" w:space="0"/>
              <w:left w:val="nil"/>
              <w:bottom w:val="single" w:color="auto" w:sz="4" w:space="0"/>
              <w:right w:val="single" w:color="000000" w:sz="8" w:space="0"/>
            </w:tcBorders>
            <w:shd w:val="clear" w:color="auto" w:fill="auto"/>
            <w:vAlign w:val="center"/>
          </w:tcPr>
          <w:p>
            <w:pPr>
              <w:autoSpaceDN/>
              <w:jc w:val="both"/>
              <w:textAlignment w:val="center"/>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rPr>
              <w:t>根据不同种类承灾体，风险评估和区划的文字报告书，区级空间尺度，台风、暴雨、高温、低温、大风、雪灾、雪灾和雷电等气象灾害影响下对人口、GDP、农作物等的风险评估报告。台风灾害影响下对房屋建筑的风险评估报告。</w:t>
            </w:r>
          </w:p>
        </w:tc>
      </w:tr>
    </w:tbl>
    <w:p>
      <w:pPr>
        <w:keepNext w:val="0"/>
        <w:keepLines w:val="0"/>
        <w:pageBreakBefore w:val="0"/>
        <w:widowControl w:val="0"/>
        <w:kinsoku/>
        <w:wordWrap/>
        <w:overflowPunct/>
        <w:topLinePunct w:val="0"/>
        <w:autoSpaceDE w:val="0"/>
        <w:autoSpaceDN/>
        <w:bidi w:val="0"/>
        <w:adjustRightInd/>
        <w:snapToGrid/>
        <w:spacing w:line="240" w:lineRule="auto"/>
        <w:ind w:left="0" w:leftChars="0" w:right="0" w:firstLine="640" w:firstLineChars="200"/>
        <w:jc w:val="both"/>
        <w:textAlignment w:val="auto"/>
        <w:rPr>
          <w:rFonts w:hint="eastAsia" w:ascii="仿宋" w:hAnsi="仿宋" w:eastAsia="仿宋" w:cs="仿宋"/>
          <w:sz w:val="32"/>
          <w:szCs w:val="32"/>
          <w:lang w:val="en-US" w:eastAsia="zh-CN" w:bidi="zh-CN"/>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 xml:space="preserve">1-3 </w:t>
      </w:r>
      <w:r>
        <w:rPr>
          <w:rFonts w:hint="eastAsia" w:ascii="仿宋" w:hAnsi="仿宋" w:eastAsia="仿宋" w:cs="仿宋"/>
          <w:b/>
          <w:bCs/>
          <w:sz w:val="32"/>
          <w:szCs w:val="32"/>
          <w:lang w:val="en-US" w:eastAsia="zh-CN" w:bidi="zh-CN"/>
        </w:rPr>
        <w:t xml:space="preserve">水旱灾害风险普查成果目录 </w:t>
      </w:r>
    </w:p>
    <w:tbl>
      <w:tblPr>
        <w:tblStyle w:val="24"/>
        <w:tblW w:w="8335" w:type="dxa"/>
        <w:tblInd w:w="96" w:type="dxa"/>
        <w:shd w:val="clear" w:color="auto" w:fill="auto"/>
        <w:tblLayout w:type="fixed"/>
        <w:tblCellMar>
          <w:top w:w="0" w:type="dxa"/>
          <w:left w:w="108" w:type="dxa"/>
          <w:bottom w:w="0" w:type="dxa"/>
          <w:right w:w="108" w:type="dxa"/>
        </w:tblCellMar>
      </w:tblPr>
      <w:tblGrid>
        <w:gridCol w:w="960"/>
        <w:gridCol w:w="1284"/>
        <w:gridCol w:w="1867"/>
        <w:gridCol w:w="4224"/>
      </w:tblGrid>
      <w:tr>
        <w:tblPrEx>
          <w:shd w:val="clear" w:color="auto" w:fill="auto"/>
          <w:tblLayout w:type="fixed"/>
          <w:tblCellMar>
            <w:top w:w="0" w:type="dxa"/>
            <w:left w:w="108" w:type="dxa"/>
            <w:bottom w:w="0" w:type="dxa"/>
            <w:right w:w="108" w:type="dxa"/>
          </w:tblCellMar>
        </w:tblPrEx>
        <w:trPr>
          <w:trHeight w:val="711"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来源部门</w:t>
            </w:r>
          </w:p>
        </w:tc>
        <w:tc>
          <w:tcPr>
            <w:tcW w:w="128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任务</w:t>
            </w:r>
          </w:p>
        </w:tc>
        <w:tc>
          <w:tcPr>
            <w:tcW w:w="186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成果类型</w:t>
            </w:r>
          </w:p>
        </w:tc>
        <w:tc>
          <w:tcPr>
            <w:tcW w:w="422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ind w:firstLineChars="200"/>
              <w:jc w:val="center"/>
              <w:textAlignment w:val="center"/>
              <w:rPr>
                <w:rFonts w:hint="eastAsia" w:ascii="仿宋" w:hAnsi="仿宋" w:eastAsia="仿宋" w:cs="仿宋"/>
                <w:b/>
                <w:bCs/>
                <w:i w:val="0"/>
                <w:iCs w:val="0"/>
                <w:color w:val="000000"/>
                <w:sz w:val="28"/>
                <w:szCs w:val="28"/>
                <w:highlight w:val="none"/>
                <w:u w:val="none"/>
              </w:rPr>
            </w:pPr>
            <w:r>
              <w:rPr>
                <w:rFonts w:hint="eastAsia" w:ascii="仿宋" w:hAnsi="仿宋" w:eastAsia="仿宋" w:cs="仿宋"/>
                <w:b/>
                <w:bCs/>
                <w:i w:val="0"/>
                <w:iCs w:val="0"/>
                <w:color w:val="000000"/>
                <w:kern w:val="0"/>
                <w:sz w:val="28"/>
                <w:szCs w:val="28"/>
                <w:highlight w:val="none"/>
                <w:u w:val="none"/>
                <w:lang w:val="en-US" w:eastAsia="zh-CN" w:bidi="ar"/>
              </w:rPr>
              <w:t>成果名称</w:t>
            </w:r>
          </w:p>
        </w:tc>
      </w:tr>
      <w:tr>
        <w:tblPrEx>
          <w:tblLayout w:type="fixed"/>
          <w:tblCellMar>
            <w:top w:w="0" w:type="dxa"/>
            <w:left w:w="108" w:type="dxa"/>
            <w:bottom w:w="0" w:type="dxa"/>
            <w:right w:w="108" w:type="dxa"/>
          </w:tblCellMar>
        </w:tblPrEx>
        <w:trPr>
          <w:trHeight w:val="342" w:hRule="atLeast"/>
        </w:trPr>
        <w:tc>
          <w:tcPr>
            <w:tcW w:w="9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水务</w:t>
            </w:r>
          </w:p>
        </w:tc>
        <w:tc>
          <w:tcPr>
            <w:tcW w:w="128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水旱灾害致灾调查</w:t>
            </w:r>
          </w:p>
        </w:tc>
        <w:tc>
          <w:tcPr>
            <w:tcW w:w="186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数据成果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郊区内涝调查表</w:t>
            </w:r>
          </w:p>
        </w:tc>
      </w:tr>
      <w:tr>
        <w:tblPrEx>
          <w:tblLayout w:type="fixed"/>
          <w:tblCellMar>
            <w:top w:w="0" w:type="dxa"/>
            <w:left w:w="108" w:type="dxa"/>
            <w:bottom w:w="0" w:type="dxa"/>
            <w:right w:w="108" w:type="dxa"/>
          </w:tblCellMar>
        </w:tblPrEx>
        <w:trPr>
          <w:trHeight w:val="378"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p>
        </w:tc>
        <w:tc>
          <w:tcPr>
            <w:tcW w:w="18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干旱灾害致灾调查表</w:t>
            </w:r>
          </w:p>
        </w:tc>
      </w:tr>
      <w:tr>
        <w:tblPrEx>
          <w:shd w:val="clear" w:color="auto" w:fill="auto"/>
          <w:tblLayout w:type="fixed"/>
          <w:tblCellMar>
            <w:top w:w="0" w:type="dxa"/>
            <w:left w:w="108" w:type="dxa"/>
            <w:bottom w:w="0" w:type="dxa"/>
            <w:right w:w="108" w:type="dxa"/>
          </w:tblCellMar>
        </w:tblPrEx>
        <w:trPr>
          <w:trHeight w:val="407"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文字报告成果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郊区内涝调查工作总结报告</w:t>
            </w:r>
          </w:p>
        </w:tc>
      </w:tr>
      <w:tr>
        <w:tblPrEx>
          <w:shd w:val="clear" w:color="auto" w:fill="auto"/>
          <w:tblLayout w:type="fixed"/>
          <w:tblCellMar>
            <w:top w:w="0" w:type="dxa"/>
            <w:left w:w="108" w:type="dxa"/>
            <w:bottom w:w="0" w:type="dxa"/>
            <w:right w:w="108" w:type="dxa"/>
          </w:tblCellMar>
        </w:tblPrEx>
        <w:trPr>
          <w:trHeight w:val="407"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干旱致灾调查工作总结报告</w:t>
            </w:r>
          </w:p>
        </w:tc>
      </w:tr>
      <w:tr>
        <w:tblPrEx>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洪水灾害重点隐患调查</w:t>
            </w:r>
          </w:p>
        </w:tc>
        <w:tc>
          <w:tcPr>
            <w:tcW w:w="186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数据成果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洪水灾害隐患调查成果数据</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水库（水电站）安全隐患调查表</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水闸工程安全隐患调查表</w:t>
            </w:r>
          </w:p>
        </w:tc>
      </w:tr>
      <w:tr>
        <w:tblPrEx>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提防工程安全隐患调查表</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图件成果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洪水灾害隐患调查工作底图</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文字报告成果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洪水灾害隐患调查报告</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洪水灾害隐患基本情况</w:t>
            </w:r>
          </w:p>
        </w:tc>
      </w:tr>
      <w:tr>
        <w:tblPrEx>
          <w:tblLayout w:type="fixed"/>
          <w:tblCellMar>
            <w:top w:w="0" w:type="dxa"/>
            <w:left w:w="108" w:type="dxa"/>
            <w:bottom w:w="0" w:type="dxa"/>
            <w:right w:w="108" w:type="dxa"/>
          </w:tblCellMar>
        </w:tblPrEx>
        <w:trPr>
          <w:trHeight w:val="363"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工作开展及获得的成果总结</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8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其他成果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highlight w:val="none"/>
                <w:u w:val="none"/>
              </w:rPr>
            </w:pPr>
            <w:r>
              <w:rPr>
                <w:rFonts w:hint="eastAsia" w:ascii="仿宋" w:hAnsi="仿宋" w:eastAsia="仿宋" w:cs="仿宋"/>
                <w:i w:val="0"/>
                <w:iCs w:val="0"/>
                <w:color w:val="000000"/>
                <w:kern w:val="0"/>
                <w:sz w:val="28"/>
                <w:szCs w:val="28"/>
                <w:highlight w:val="none"/>
                <w:u w:val="none"/>
                <w:lang w:val="en-US" w:eastAsia="zh-CN" w:bidi="ar"/>
              </w:rPr>
              <w:t>在工作底图上标绘的信息，包括水库大坝、水闸位置坐标，提防位置范围</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default" w:ascii="仿宋" w:hAnsi="仿宋" w:eastAsia="仿宋" w:cs="仿宋"/>
                <w:i w:val="0"/>
                <w:iCs w:val="0"/>
                <w:color w:val="000000"/>
                <w:sz w:val="28"/>
                <w:szCs w:val="28"/>
                <w:highlight w:val="none"/>
                <w:u w:val="none"/>
                <w:lang w:val="en-US" w:eastAsia="zh-CN"/>
              </w:rPr>
            </w:pPr>
            <w:r>
              <w:rPr>
                <w:rFonts w:hint="eastAsia" w:ascii="仿宋" w:hAnsi="仿宋" w:eastAsia="仿宋" w:cs="仿宋"/>
                <w:i w:val="0"/>
                <w:iCs w:val="0"/>
                <w:color w:val="000000"/>
                <w:sz w:val="28"/>
                <w:szCs w:val="28"/>
                <w:highlight w:val="none"/>
                <w:u w:val="none"/>
                <w:lang w:val="en-US" w:eastAsia="zh-CN"/>
              </w:rPr>
              <w:t>内涝灾害隐患调查</w:t>
            </w:r>
          </w:p>
        </w:tc>
        <w:tc>
          <w:tcPr>
            <w:tcW w:w="18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数据成果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城镇雨水排水能力调查成果数据</w:t>
            </w:r>
          </w:p>
        </w:tc>
      </w:tr>
      <w:tr>
        <w:tblPrEx>
          <w:tblLayout w:type="fixed"/>
          <w:tblCellMar>
            <w:top w:w="0" w:type="dxa"/>
            <w:left w:w="108" w:type="dxa"/>
            <w:bottom w:w="0" w:type="dxa"/>
            <w:right w:w="108" w:type="dxa"/>
          </w:tblCellMar>
        </w:tblPrEx>
        <w:trPr>
          <w:trHeight w:val="711" w:hRule="atLeast"/>
        </w:trPr>
        <w:tc>
          <w:tcPr>
            <w:tcW w:w="9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highlight w:val="none"/>
                <w:u w:val="none"/>
              </w:rPr>
            </w:pPr>
          </w:p>
        </w:tc>
        <w:tc>
          <w:tcPr>
            <w:tcW w:w="128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default" w:ascii="仿宋" w:hAnsi="仿宋" w:eastAsia="仿宋" w:cs="仿宋"/>
                <w:i w:val="0"/>
                <w:iCs w:val="0"/>
                <w:color w:val="000000"/>
                <w:sz w:val="28"/>
                <w:szCs w:val="28"/>
                <w:highlight w:val="none"/>
                <w:u w:val="none"/>
                <w:lang w:val="en-US" w:eastAsia="zh-CN"/>
              </w:rPr>
            </w:pPr>
            <w:r>
              <w:rPr>
                <w:rFonts w:hint="eastAsia" w:ascii="仿宋" w:hAnsi="仿宋" w:eastAsia="仿宋" w:cs="仿宋"/>
                <w:i w:val="0"/>
                <w:iCs w:val="0"/>
                <w:color w:val="000000"/>
                <w:sz w:val="28"/>
                <w:szCs w:val="28"/>
                <w:highlight w:val="none"/>
                <w:u w:val="none"/>
                <w:lang w:val="en-US" w:eastAsia="zh-CN"/>
              </w:rPr>
              <w:t>市政设施调查</w:t>
            </w:r>
          </w:p>
        </w:tc>
        <w:tc>
          <w:tcPr>
            <w:tcW w:w="18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数据成果</w:t>
            </w:r>
          </w:p>
        </w:tc>
        <w:tc>
          <w:tcPr>
            <w:tcW w:w="422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default" w:ascii="仿宋" w:hAnsi="仿宋" w:eastAsia="仿宋" w:cs="仿宋"/>
                <w:i w:val="0"/>
                <w:iCs w:val="0"/>
                <w:color w:val="000000"/>
                <w:kern w:val="0"/>
                <w:sz w:val="28"/>
                <w:szCs w:val="28"/>
                <w:highlight w:val="none"/>
                <w:u w:val="none"/>
                <w:lang w:val="en-US" w:eastAsia="zh-CN" w:bidi="ar"/>
              </w:rPr>
            </w:pPr>
            <w:r>
              <w:rPr>
                <w:rFonts w:hint="eastAsia" w:ascii="仿宋" w:hAnsi="仿宋" w:eastAsia="仿宋" w:cs="仿宋"/>
                <w:i w:val="0"/>
                <w:iCs w:val="0"/>
                <w:color w:val="000000"/>
                <w:kern w:val="0"/>
                <w:sz w:val="28"/>
                <w:szCs w:val="28"/>
                <w:highlight w:val="none"/>
                <w:u w:val="none"/>
                <w:lang w:val="en-US" w:eastAsia="zh-CN" w:bidi="ar"/>
              </w:rPr>
              <w:t>供水设施调查成果数据</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pStyle w:val="2"/>
        <w:rPr>
          <w:rFonts w:hint="default"/>
          <w:lang w:val="en-US" w:eastAsia="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1-</w:t>
      </w:r>
      <w:r>
        <w:rPr>
          <w:rFonts w:hint="eastAsia" w:ascii="仿宋" w:hAnsi="仿宋" w:eastAsia="仿宋" w:cs="仿宋"/>
          <w:b/>
          <w:bCs/>
          <w:sz w:val="32"/>
          <w:szCs w:val="32"/>
          <w:lang w:val="en-US" w:eastAsia="zh-CN" w:bidi="zh-CN"/>
        </w:rPr>
        <w:t>4</w:t>
      </w:r>
      <w:r>
        <w:rPr>
          <w:rFonts w:hint="default" w:ascii="仿宋" w:hAnsi="仿宋" w:eastAsia="仿宋" w:cs="仿宋"/>
          <w:b/>
          <w:bCs/>
          <w:sz w:val="32"/>
          <w:szCs w:val="32"/>
          <w:lang w:val="en-US" w:eastAsia="zh-CN" w:bidi="zh-CN"/>
        </w:rPr>
        <w:t xml:space="preserve"> </w:t>
      </w:r>
      <w:r>
        <w:rPr>
          <w:rFonts w:hint="eastAsia" w:ascii="仿宋" w:hAnsi="仿宋" w:eastAsia="仿宋" w:cs="仿宋"/>
          <w:b/>
          <w:bCs/>
          <w:sz w:val="32"/>
          <w:szCs w:val="32"/>
          <w:lang w:val="en-US" w:eastAsia="zh-CN" w:bidi="zh-CN"/>
        </w:rPr>
        <w:t xml:space="preserve">海洋灾害风险普查成果目录 </w:t>
      </w:r>
    </w:p>
    <w:tbl>
      <w:tblPr>
        <w:tblStyle w:val="24"/>
        <w:tblW w:w="8347" w:type="dxa"/>
        <w:tblInd w:w="96" w:type="dxa"/>
        <w:shd w:val="clear" w:color="auto" w:fill="auto"/>
        <w:tblLayout w:type="fixed"/>
        <w:tblCellMar>
          <w:top w:w="0" w:type="dxa"/>
          <w:left w:w="108" w:type="dxa"/>
          <w:bottom w:w="0" w:type="dxa"/>
          <w:right w:w="108" w:type="dxa"/>
        </w:tblCellMar>
      </w:tblPr>
      <w:tblGrid>
        <w:gridCol w:w="823"/>
        <w:gridCol w:w="1121"/>
        <w:gridCol w:w="1471"/>
        <w:gridCol w:w="4932"/>
      </w:tblGrid>
      <w:tr>
        <w:tblPrEx>
          <w:shd w:val="clear" w:color="auto" w:fill="auto"/>
          <w:tblLayout w:type="fixed"/>
          <w:tblCellMar>
            <w:top w:w="0" w:type="dxa"/>
            <w:left w:w="108" w:type="dxa"/>
            <w:bottom w:w="0" w:type="dxa"/>
            <w:right w:w="108" w:type="dxa"/>
          </w:tblCellMar>
        </w:tblPrEx>
        <w:trPr>
          <w:trHeight w:val="711" w:hRule="atLeast"/>
        </w:trPr>
        <w:tc>
          <w:tcPr>
            <w:tcW w:w="82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来源部门</w:t>
            </w:r>
          </w:p>
        </w:tc>
        <w:tc>
          <w:tcPr>
            <w:tcW w:w="112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47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成果类型</w:t>
            </w:r>
          </w:p>
        </w:tc>
        <w:tc>
          <w:tcPr>
            <w:tcW w:w="493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ind w:firstLineChars="20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成果名称</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水务</w:t>
            </w:r>
          </w:p>
        </w:tc>
        <w:tc>
          <w:tcPr>
            <w:tcW w:w="1121"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海洋灾害致灾调查</w:t>
            </w:r>
          </w:p>
        </w:tc>
        <w:tc>
          <w:tcPr>
            <w:tcW w:w="147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致灾孕灾要素标准成果数据集</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沿海风暴潮灾害危险性调查技术报告</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沿海海啸灾害危险调查技术报告</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海岸侵蚀致灾孕灾要素调查技术报告</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海洋灾害重点隐患调查</w:t>
            </w:r>
          </w:p>
        </w:tc>
        <w:tc>
          <w:tcPr>
            <w:tcW w:w="1471"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海岸防护工程隐患调查数据集</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海水养殖区海洋灾害隐患调查数据集</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滨海旅游区海洋灾害隐患调查数据集</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渔港海洋灾害隐患调查数据集</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商港海洋灾害隐患调查数据集</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海洋灾害风险普查重点隐患调查工作报告</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海洋灾害风险普查重点隐患调查技术报告</w:t>
            </w:r>
          </w:p>
        </w:tc>
      </w:tr>
      <w:tr>
        <w:tblPrEx>
          <w:shd w:val="clear" w:color="auto" w:fill="auto"/>
          <w:tblLayout w:type="fixed"/>
          <w:tblCellMar>
            <w:top w:w="0" w:type="dxa"/>
            <w:left w:w="108" w:type="dxa"/>
            <w:bottom w:w="0" w:type="dxa"/>
            <w:right w:w="108" w:type="dxa"/>
          </w:tblCellMar>
        </w:tblPrEx>
        <w:trPr>
          <w:trHeight w:val="420" w:hRule="atLeast"/>
        </w:trPr>
        <w:tc>
          <w:tcPr>
            <w:tcW w:w="82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2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471"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93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工作开展及获得的成果总结</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pStyle w:val="2"/>
        <w:rPr>
          <w:rFonts w:hint="default" w:ascii="仿宋" w:hAnsi="仿宋" w:eastAsia="仿宋" w:cs="仿宋"/>
          <w:b/>
          <w:bCs/>
          <w:sz w:val="32"/>
          <w:szCs w:val="32"/>
          <w:lang w:val="en-US" w:eastAsia="zh-CN" w:bidi="zh-CN"/>
        </w:rPr>
      </w:pPr>
    </w:p>
    <w:p>
      <w:pPr>
        <w:pStyle w:val="2"/>
        <w:rPr>
          <w:rFonts w:hint="default" w:ascii="仿宋" w:hAnsi="仿宋" w:eastAsia="仿宋" w:cs="仿宋"/>
          <w:b/>
          <w:bCs/>
          <w:sz w:val="32"/>
          <w:szCs w:val="32"/>
          <w:lang w:val="en-US" w:eastAsia="zh-CN" w:bidi="zh-CN"/>
        </w:rPr>
      </w:pPr>
    </w:p>
    <w:p>
      <w:pPr>
        <w:pStyle w:val="2"/>
        <w:rPr>
          <w:rFonts w:hint="default" w:ascii="仿宋" w:hAnsi="仿宋" w:eastAsia="仿宋" w:cs="仿宋"/>
          <w:b/>
          <w:bCs/>
          <w:sz w:val="32"/>
          <w:szCs w:val="32"/>
          <w:lang w:val="en-US" w:eastAsia="zh-CN" w:bidi="zh-CN"/>
        </w:rPr>
      </w:pPr>
    </w:p>
    <w:p>
      <w:pPr>
        <w:pStyle w:val="2"/>
        <w:rPr>
          <w:rFonts w:hint="default" w:ascii="仿宋" w:hAnsi="仿宋" w:eastAsia="仿宋" w:cs="仿宋"/>
          <w:b/>
          <w:bCs/>
          <w:sz w:val="32"/>
          <w:szCs w:val="32"/>
          <w:lang w:val="en-US"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default" w:ascii="仿宋" w:hAnsi="仿宋" w:eastAsia="仿宋" w:cs="仿宋"/>
          <w:b/>
          <w:bCs/>
          <w:sz w:val="32"/>
          <w:szCs w:val="32"/>
          <w:lang w:val="en-US" w:eastAsia="zh-CN" w:bidi="zh-CN"/>
        </w:rPr>
      </w:pPr>
    </w:p>
    <w:p>
      <w:pPr>
        <w:pStyle w:val="2"/>
        <w:rPr>
          <w:rFonts w:hint="default"/>
          <w:lang w:val="en-US" w:eastAsia="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1-</w:t>
      </w:r>
      <w:r>
        <w:rPr>
          <w:rFonts w:hint="eastAsia" w:ascii="仿宋" w:hAnsi="仿宋" w:eastAsia="仿宋" w:cs="仿宋"/>
          <w:b/>
          <w:bCs/>
          <w:sz w:val="32"/>
          <w:szCs w:val="32"/>
          <w:lang w:val="en-US" w:eastAsia="zh-CN" w:bidi="zh-CN"/>
        </w:rPr>
        <w:t>5</w:t>
      </w:r>
      <w:r>
        <w:rPr>
          <w:rFonts w:hint="default" w:ascii="仿宋" w:hAnsi="仿宋" w:eastAsia="仿宋" w:cs="仿宋"/>
          <w:b/>
          <w:bCs/>
          <w:sz w:val="32"/>
          <w:szCs w:val="32"/>
          <w:lang w:val="en-US" w:eastAsia="zh-CN" w:bidi="zh-CN"/>
        </w:rPr>
        <w:t xml:space="preserve"> </w:t>
      </w:r>
      <w:r>
        <w:rPr>
          <w:rFonts w:hint="eastAsia" w:ascii="仿宋" w:hAnsi="仿宋" w:eastAsia="仿宋" w:cs="仿宋"/>
          <w:b/>
          <w:bCs/>
          <w:sz w:val="32"/>
          <w:szCs w:val="32"/>
          <w:lang w:val="en-US" w:eastAsia="zh-CN" w:bidi="zh-CN"/>
        </w:rPr>
        <w:t xml:space="preserve">森林火灾灾害风险调普查成果目录 </w:t>
      </w:r>
    </w:p>
    <w:tbl>
      <w:tblPr>
        <w:tblStyle w:val="24"/>
        <w:tblW w:w="8299" w:type="dxa"/>
        <w:tblInd w:w="96" w:type="dxa"/>
        <w:shd w:val="clear" w:color="auto" w:fill="auto"/>
        <w:tblLayout w:type="fixed"/>
        <w:tblCellMar>
          <w:top w:w="0" w:type="dxa"/>
          <w:left w:w="108" w:type="dxa"/>
          <w:bottom w:w="0" w:type="dxa"/>
          <w:right w:w="108" w:type="dxa"/>
        </w:tblCellMar>
      </w:tblPr>
      <w:tblGrid>
        <w:gridCol w:w="967"/>
        <w:gridCol w:w="1308"/>
        <w:gridCol w:w="1788"/>
        <w:gridCol w:w="4236"/>
      </w:tblGrid>
      <w:tr>
        <w:tblPrEx>
          <w:shd w:val="clear" w:color="auto" w:fill="auto"/>
          <w:tblLayout w:type="fixed"/>
          <w:tblCellMar>
            <w:top w:w="0" w:type="dxa"/>
            <w:left w:w="108" w:type="dxa"/>
            <w:bottom w:w="0" w:type="dxa"/>
            <w:right w:w="108" w:type="dxa"/>
          </w:tblCellMar>
        </w:tblPrEx>
        <w:trPr>
          <w:trHeight w:val="500" w:hRule="atLeast"/>
        </w:trPr>
        <w:tc>
          <w:tcPr>
            <w:tcW w:w="9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来源部门</w:t>
            </w:r>
          </w:p>
        </w:tc>
        <w:tc>
          <w:tcPr>
            <w:tcW w:w="130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7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成果类型</w:t>
            </w:r>
          </w:p>
        </w:tc>
        <w:tc>
          <w:tcPr>
            <w:tcW w:w="423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成果名称</w:t>
            </w:r>
          </w:p>
        </w:tc>
      </w:tr>
      <w:tr>
        <w:tblPrEx>
          <w:tblLayout w:type="fixed"/>
          <w:tblCellMar>
            <w:top w:w="0" w:type="dxa"/>
            <w:left w:w="108" w:type="dxa"/>
            <w:bottom w:w="0" w:type="dxa"/>
            <w:right w:w="108" w:type="dxa"/>
          </w:tblCellMar>
        </w:tblPrEx>
        <w:trPr>
          <w:trHeight w:val="363" w:hRule="atLeast"/>
        </w:trPr>
        <w:tc>
          <w:tcPr>
            <w:tcW w:w="96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绿容</w:t>
            </w:r>
          </w:p>
        </w:tc>
        <w:tc>
          <w:tcPr>
            <w:tcW w:w="130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森林火灾致灾调查与评估</w:t>
            </w:r>
          </w:p>
        </w:tc>
        <w:tc>
          <w:tcPr>
            <w:tcW w:w="178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森林火灾危险性数据</w:t>
            </w:r>
          </w:p>
        </w:tc>
      </w:tr>
      <w:tr>
        <w:tblPrEx>
          <w:shd w:val="clear" w:color="auto" w:fill="auto"/>
          <w:tblLayout w:type="fixed"/>
          <w:tblCellMar>
            <w:top w:w="0" w:type="dxa"/>
            <w:left w:w="108" w:type="dxa"/>
            <w:bottom w:w="0" w:type="dxa"/>
            <w:right w:w="108" w:type="dxa"/>
          </w:tblCellMar>
        </w:tblPrEx>
        <w:trPr>
          <w:trHeight w:val="363"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森林可燃物载量分布图</w:t>
            </w:r>
          </w:p>
        </w:tc>
      </w:tr>
      <w:tr>
        <w:tblPrEx>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各级森林火灾危险性等级分布图（1:5万）</w:t>
            </w:r>
          </w:p>
        </w:tc>
      </w:tr>
      <w:tr>
        <w:tblPrEx>
          <w:shd w:val="clear" w:color="auto" w:fill="auto"/>
          <w:tblLayout w:type="fixed"/>
          <w:tblCellMar>
            <w:top w:w="0" w:type="dxa"/>
            <w:left w:w="108" w:type="dxa"/>
            <w:bottom w:w="0" w:type="dxa"/>
            <w:right w:w="108" w:type="dxa"/>
          </w:tblCellMar>
        </w:tblPrEx>
        <w:trPr>
          <w:trHeight w:val="363"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森林火灾危险性调查与评估分析报告</w:t>
            </w:r>
          </w:p>
        </w:tc>
      </w:tr>
      <w:tr>
        <w:tblPrEx>
          <w:tblLayout w:type="fixed"/>
          <w:tblCellMar>
            <w:top w:w="0" w:type="dxa"/>
            <w:left w:w="108" w:type="dxa"/>
            <w:bottom w:w="0" w:type="dxa"/>
            <w:right w:w="108" w:type="dxa"/>
          </w:tblCellMar>
        </w:tblPrEx>
        <w:trPr>
          <w:trHeight w:val="363"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森林火灾重点隐患评估</w:t>
            </w:r>
          </w:p>
        </w:tc>
        <w:tc>
          <w:tcPr>
            <w:tcW w:w="178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森林火灾重点隐患等级分布数据</w:t>
            </w:r>
          </w:p>
        </w:tc>
      </w:tr>
      <w:tr>
        <w:tblPrEx>
          <w:shd w:val="clear" w:color="auto" w:fill="auto"/>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各级森林火灾承灾体隐患等级分布图（1:5万）</w:t>
            </w:r>
          </w:p>
        </w:tc>
      </w:tr>
      <w:tr>
        <w:tblPrEx>
          <w:shd w:val="clear" w:color="auto" w:fill="auto"/>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各级森林火灾减灾能力薄弱隐患等级分布图（1:5万）</w:t>
            </w:r>
          </w:p>
        </w:tc>
      </w:tr>
      <w:tr>
        <w:tblPrEx>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各级森林火灾综合隐患等级分布图（1:5万）</w:t>
            </w:r>
          </w:p>
        </w:tc>
      </w:tr>
      <w:tr>
        <w:tblPrEx>
          <w:shd w:val="clear" w:color="auto" w:fill="auto"/>
          <w:tblLayout w:type="fixed"/>
          <w:tblCellMar>
            <w:top w:w="0" w:type="dxa"/>
            <w:left w:w="108" w:type="dxa"/>
            <w:bottom w:w="0" w:type="dxa"/>
            <w:right w:w="108" w:type="dxa"/>
          </w:tblCellMar>
        </w:tblPrEx>
        <w:trPr>
          <w:trHeight w:val="363"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森林火灾重点隐患评估报告</w:t>
            </w:r>
          </w:p>
        </w:tc>
      </w:tr>
      <w:tr>
        <w:tblPrEx>
          <w:tblLayout w:type="fixed"/>
          <w:tblCellMar>
            <w:top w:w="0" w:type="dxa"/>
            <w:left w:w="108" w:type="dxa"/>
            <w:bottom w:w="0" w:type="dxa"/>
            <w:right w:w="108" w:type="dxa"/>
          </w:tblCellMar>
        </w:tblPrEx>
        <w:trPr>
          <w:trHeight w:val="363"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森林火灾风险评估区划与防治区划</w:t>
            </w:r>
          </w:p>
        </w:tc>
        <w:tc>
          <w:tcPr>
            <w:tcW w:w="178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各级森林火灾风险评估与区划数据库</w:t>
            </w:r>
          </w:p>
        </w:tc>
      </w:tr>
      <w:tr>
        <w:tblPrEx>
          <w:shd w:val="clear" w:color="auto" w:fill="auto"/>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各级森林火灾综合风险区划图（1:5万）</w:t>
            </w:r>
          </w:p>
        </w:tc>
      </w:tr>
      <w:tr>
        <w:tblPrEx>
          <w:shd w:val="clear" w:color="auto" w:fill="auto"/>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各级森林火灾森林资源风险区划图（1:5万）</w:t>
            </w:r>
          </w:p>
        </w:tc>
      </w:tr>
      <w:tr>
        <w:tblPrEx>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各级森林火灾建筑物风险区划图（1:5万）</w:t>
            </w:r>
          </w:p>
        </w:tc>
      </w:tr>
      <w:tr>
        <w:tblPrEx>
          <w:tblLayout w:type="fixed"/>
          <w:tblCellMar>
            <w:top w:w="0" w:type="dxa"/>
            <w:left w:w="108" w:type="dxa"/>
            <w:bottom w:w="0" w:type="dxa"/>
            <w:right w:w="108" w:type="dxa"/>
          </w:tblCellMar>
        </w:tblPrEx>
        <w:trPr>
          <w:trHeight w:val="711"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各级森林火灾受影响的人口风险区划图（1:5万）</w:t>
            </w:r>
          </w:p>
        </w:tc>
      </w:tr>
      <w:tr>
        <w:tblPrEx>
          <w:shd w:val="clear" w:color="auto" w:fill="auto"/>
          <w:tblLayout w:type="fixed"/>
          <w:tblCellMar>
            <w:top w:w="0" w:type="dxa"/>
            <w:left w:w="108" w:type="dxa"/>
            <w:bottom w:w="0" w:type="dxa"/>
            <w:right w:w="108" w:type="dxa"/>
          </w:tblCellMar>
        </w:tblPrEx>
        <w:trPr>
          <w:trHeight w:val="363" w:hRule="atLeast"/>
        </w:trPr>
        <w:tc>
          <w:tcPr>
            <w:tcW w:w="967"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30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78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236"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森林火灾风险评估与区划报告</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1-</w:t>
      </w:r>
      <w:r>
        <w:rPr>
          <w:rFonts w:hint="eastAsia" w:ascii="仿宋" w:hAnsi="仿宋" w:eastAsia="仿宋" w:cs="仿宋"/>
          <w:b/>
          <w:bCs/>
          <w:sz w:val="32"/>
          <w:szCs w:val="32"/>
          <w:lang w:val="en-US" w:eastAsia="zh-CN" w:bidi="zh-CN"/>
        </w:rPr>
        <w:t>6</w:t>
      </w:r>
      <w:r>
        <w:rPr>
          <w:rFonts w:hint="default" w:ascii="仿宋" w:hAnsi="仿宋" w:eastAsia="仿宋" w:cs="仿宋"/>
          <w:b/>
          <w:bCs/>
          <w:sz w:val="32"/>
          <w:szCs w:val="32"/>
          <w:lang w:val="en-US" w:eastAsia="zh-CN" w:bidi="zh-CN"/>
        </w:rPr>
        <w:t xml:space="preserve"> </w:t>
      </w:r>
      <w:r>
        <w:rPr>
          <w:rFonts w:hint="eastAsia" w:ascii="仿宋" w:hAnsi="仿宋" w:eastAsia="仿宋" w:cs="仿宋"/>
          <w:b/>
          <w:bCs/>
          <w:sz w:val="32"/>
          <w:szCs w:val="32"/>
          <w:lang w:val="en-US" w:eastAsia="zh-CN" w:bidi="zh-CN"/>
        </w:rPr>
        <w:t xml:space="preserve">承灾体调查与评估成果目录 </w:t>
      </w:r>
    </w:p>
    <w:tbl>
      <w:tblPr>
        <w:tblStyle w:val="24"/>
        <w:tblW w:w="8256" w:type="dxa"/>
        <w:tblInd w:w="96" w:type="dxa"/>
        <w:shd w:val="clear" w:color="auto" w:fill="auto"/>
        <w:tblLayout w:type="fixed"/>
        <w:tblCellMar>
          <w:top w:w="0" w:type="dxa"/>
          <w:left w:w="108" w:type="dxa"/>
          <w:bottom w:w="0" w:type="dxa"/>
          <w:right w:w="108" w:type="dxa"/>
        </w:tblCellMar>
      </w:tblPr>
      <w:tblGrid>
        <w:gridCol w:w="960"/>
        <w:gridCol w:w="1140"/>
        <w:gridCol w:w="1860"/>
        <w:gridCol w:w="4296"/>
      </w:tblGrid>
      <w:tr>
        <w:tblPrEx>
          <w:shd w:val="clear" w:color="auto" w:fill="auto"/>
          <w:tblLayout w:type="fixed"/>
          <w:tblCellMar>
            <w:top w:w="0" w:type="dxa"/>
            <w:left w:w="108" w:type="dxa"/>
            <w:bottom w:w="0" w:type="dxa"/>
            <w:right w:w="108" w:type="dxa"/>
          </w:tblCellMar>
        </w:tblPrEx>
        <w:trPr>
          <w:trHeight w:val="711"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来源部门</w:t>
            </w:r>
          </w:p>
        </w:tc>
        <w:tc>
          <w:tcPr>
            <w:tcW w:w="114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86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成果类型</w:t>
            </w:r>
          </w:p>
        </w:tc>
        <w:tc>
          <w:tcPr>
            <w:tcW w:w="4296"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成果名称</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房管</w:t>
            </w:r>
          </w:p>
        </w:tc>
        <w:tc>
          <w:tcPr>
            <w:tcW w:w="11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房屋建筑调查</w:t>
            </w: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房屋建筑调查数据集</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房屋承灾体地理位置分布图</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房屋建筑调查成果分析报告</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交通</w:t>
            </w:r>
          </w:p>
        </w:tc>
        <w:tc>
          <w:tcPr>
            <w:tcW w:w="11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交通运输设施调查</w:t>
            </w:r>
          </w:p>
        </w:tc>
        <w:tc>
          <w:tcPr>
            <w:tcW w:w="186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公路路线、桥梁、隧道调查成果数据集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公路崩塌、滑坡、沉陷与 塌陷、水毁灾害风险点调查成果数据集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港口、内河航道调查信息表格数据集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港口、内河航道评估信息表格数据集</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市政设施调查数据集</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公路承灾体普查工作报告</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水路承灾体普查工作报告</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市政设施调查成果分析报告</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应急</w:t>
            </w:r>
          </w:p>
        </w:tc>
        <w:tc>
          <w:tcPr>
            <w:tcW w:w="11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公共服务设施调查</w:t>
            </w: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公共服务设施调查数据集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区级公共服务系统调查工作报告和成果分析报告</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危险化学品企业调查</w:t>
            </w: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危险化学品承灾体数据集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全区危险化学品企业承灾体分布图</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140" w:type="dxa"/>
            <w:vMerge w:val="continue"/>
            <w:tcBorders>
              <w:top w:val="nil"/>
              <w:left w:val="nil"/>
              <w:bottom w:val="single" w:color="000000" w:sz="8" w:space="0"/>
              <w:right w:val="single" w:color="000000" w:sz="8" w:space="0"/>
            </w:tcBorders>
            <w:shd w:val="clear" w:color="auto" w:fill="auto"/>
            <w:vAlign w:val="center"/>
          </w:tcPr>
          <w:p>
            <w:pPr>
              <w:jc w:val="both"/>
              <w:rPr>
                <w:rFonts w:hint="eastAsia" w:ascii="仿宋" w:hAnsi="仿宋" w:eastAsia="仿宋" w:cs="仿宋"/>
                <w:i w:val="0"/>
                <w:iCs w:val="0"/>
                <w:color w:val="000000"/>
                <w:sz w:val="28"/>
                <w:szCs w:val="28"/>
                <w:u w:val="none"/>
              </w:rPr>
            </w:pPr>
          </w:p>
        </w:tc>
        <w:tc>
          <w:tcPr>
            <w:tcW w:w="186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2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危险化学品企业调查工作报告和成果分析报告</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1-</w:t>
      </w:r>
      <w:r>
        <w:rPr>
          <w:rFonts w:hint="eastAsia" w:ascii="仿宋" w:hAnsi="仿宋" w:eastAsia="仿宋" w:cs="仿宋"/>
          <w:b/>
          <w:bCs/>
          <w:sz w:val="32"/>
          <w:szCs w:val="32"/>
          <w:lang w:val="en-US" w:eastAsia="zh-CN" w:bidi="zh-CN"/>
        </w:rPr>
        <w:t>7</w:t>
      </w:r>
      <w:r>
        <w:rPr>
          <w:rFonts w:hint="default" w:ascii="仿宋" w:hAnsi="仿宋" w:eastAsia="仿宋" w:cs="仿宋"/>
          <w:b/>
          <w:bCs/>
          <w:sz w:val="32"/>
          <w:szCs w:val="32"/>
          <w:lang w:val="en-US" w:eastAsia="zh-CN" w:bidi="zh-CN"/>
        </w:rPr>
        <w:t xml:space="preserve"> </w:t>
      </w:r>
      <w:r>
        <w:rPr>
          <w:rFonts w:hint="eastAsia" w:ascii="仿宋" w:hAnsi="仿宋" w:eastAsia="仿宋" w:cs="仿宋"/>
          <w:b/>
          <w:bCs/>
          <w:sz w:val="32"/>
          <w:szCs w:val="32"/>
          <w:lang w:val="en-US" w:eastAsia="zh-CN" w:bidi="zh-CN"/>
        </w:rPr>
        <w:t xml:space="preserve">历史灾害调查与评估成果目录 </w:t>
      </w:r>
    </w:p>
    <w:tbl>
      <w:tblPr>
        <w:tblStyle w:val="24"/>
        <w:tblW w:w="8329" w:type="dxa"/>
        <w:tblInd w:w="96" w:type="dxa"/>
        <w:shd w:val="clear" w:color="auto" w:fill="auto"/>
        <w:tblLayout w:type="fixed"/>
        <w:tblCellMar>
          <w:top w:w="0" w:type="dxa"/>
          <w:left w:w="108" w:type="dxa"/>
          <w:bottom w:w="0" w:type="dxa"/>
          <w:right w:w="108" w:type="dxa"/>
        </w:tblCellMar>
      </w:tblPr>
      <w:tblGrid>
        <w:gridCol w:w="960"/>
        <w:gridCol w:w="1564"/>
        <w:gridCol w:w="1340"/>
        <w:gridCol w:w="4465"/>
      </w:tblGrid>
      <w:tr>
        <w:tblPrEx>
          <w:shd w:val="clear" w:color="auto" w:fill="auto"/>
          <w:tblLayout w:type="fixed"/>
          <w:tblCellMar>
            <w:top w:w="0" w:type="dxa"/>
            <w:left w:w="108" w:type="dxa"/>
            <w:bottom w:w="0" w:type="dxa"/>
            <w:right w:w="108" w:type="dxa"/>
          </w:tblCellMar>
        </w:tblPrEx>
        <w:trPr>
          <w:trHeight w:val="711" w:hRule="atLeast"/>
        </w:trPr>
        <w:tc>
          <w:tcPr>
            <w:tcW w:w="960" w:type="dxa"/>
            <w:tcBorders>
              <w:top w:val="single" w:color="auto" w:sz="4" w:space="0"/>
              <w:left w:val="single" w:color="auto" w:sz="4"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来源部门</w:t>
            </w:r>
          </w:p>
        </w:tc>
        <w:tc>
          <w:tcPr>
            <w:tcW w:w="1564" w:type="dxa"/>
            <w:tcBorders>
              <w:top w:val="single" w:color="000000" w:sz="8" w:space="0"/>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34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成果类型</w:t>
            </w:r>
          </w:p>
        </w:tc>
        <w:tc>
          <w:tcPr>
            <w:tcW w:w="446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成果名称</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应急</w:t>
            </w:r>
          </w:p>
        </w:tc>
        <w:tc>
          <w:tcPr>
            <w:tcW w:w="1564" w:type="dxa"/>
            <w:vMerge w:val="restart"/>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历史年度自然灾害调查</w:t>
            </w:r>
          </w:p>
        </w:tc>
        <w:tc>
          <w:tcPr>
            <w:tcW w:w="1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1978年以来区级年度自然灾害灾情调查数据集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4" w:type="dxa"/>
            <w:vMerge w:val="continue"/>
            <w:tcBorders>
              <w:top w:val="nil"/>
              <w:left w:val="single" w:color="auto"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区级1978年以来年度自然灾害调查专题图件和图集</w:t>
            </w:r>
          </w:p>
        </w:tc>
      </w:tr>
      <w:tr>
        <w:tblPrEx>
          <w:tblLayout w:type="fixed"/>
          <w:tblCellMar>
            <w:top w:w="0" w:type="dxa"/>
            <w:left w:w="108" w:type="dxa"/>
            <w:bottom w:w="0" w:type="dxa"/>
            <w:right w:w="108" w:type="dxa"/>
          </w:tblCellMar>
        </w:tblPrEx>
        <w:trPr>
          <w:trHeight w:val="1059" w:hRule="atLeast"/>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4" w:type="dxa"/>
            <w:vMerge w:val="restart"/>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历史重大自然灾害调查</w:t>
            </w:r>
          </w:p>
        </w:tc>
        <w:tc>
          <w:tcPr>
            <w:tcW w:w="1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1949-2020年重大台风灾害事件的灾害数据集（含致灾因子数据和区灾情数据）</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4" w:type="dxa"/>
            <w:vMerge w:val="continue"/>
            <w:tcBorders>
              <w:top w:val="nil"/>
              <w:left w:val="single" w:color="auto"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历史重大自然灾害事件的时空分布特征报告和图件专著</w:t>
            </w:r>
          </w:p>
        </w:tc>
      </w:tr>
      <w:tr>
        <w:tblPrEx>
          <w:shd w:val="clear" w:color="auto" w:fill="auto"/>
          <w:tblLayout w:type="fixed"/>
          <w:tblCellMar>
            <w:top w:w="0" w:type="dxa"/>
            <w:left w:w="108" w:type="dxa"/>
            <w:bottom w:w="0" w:type="dxa"/>
            <w:right w:w="108" w:type="dxa"/>
          </w:tblCellMar>
        </w:tblPrEx>
        <w:trPr>
          <w:trHeight w:val="1755" w:hRule="atLeast"/>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4" w:type="dxa"/>
            <w:vMerge w:val="restart"/>
            <w:tcBorders>
              <w:top w:val="nil"/>
              <w:left w:val="single" w:color="auto"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历史年度自然灾害灾情评估</w:t>
            </w:r>
          </w:p>
        </w:tc>
        <w:tc>
          <w:tcPr>
            <w:tcW w:w="13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1978-2020年区级行政区因灾年度每十万人受灾人口、每十万人死亡失踪人口、直接经济损失、直接经济损失占 GDP比重逐年变化统计图表及专题图。</w:t>
            </w:r>
          </w:p>
        </w:tc>
      </w:tr>
      <w:tr>
        <w:tblPrEx>
          <w:shd w:val="clear" w:color="auto" w:fill="auto"/>
          <w:tblLayout w:type="fixed"/>
          <w:tblCellMar>
            <w:top w:w="0" w:type="dxa"/>
            <w:left w:w="108" w:type="dxa"/>
            <w:bottom w:w="0" w:type="dxa"/>
            <w:right w:w="108" w:type="dxa"/>
          </w:tblCellMar>
        </w:tblPrEx>
        <w:trPr>
          <w:trHeight w:val="1755" w:hRule="atLeast"/>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4" w:type="dxa"/>
            <w:vMerge w:val="continue"/>
            <w:tcBorders>
              <w:top w:val="nil"/>
              <w:left w:val="single" w:color="auto"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34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1978-2020年区级行政区因灾年度每十万人受灾人口、每十万人死亡失踪人口、直接经济损失、直接经济损失占GDP比重逐年变化统计图表及专题图。</w:t>
            </w:r>
          </w:p>
        </w:tc>
      </w:tr>
      <w:tr>
        <w:tblPrEx>
          <w:shd w:val="clear" w:color="auto" w:fill="auto"/>
          <w:tblLayout w:type="fixed"/>
          <w:tblCellMar>
            <w:top w:w="0" w:type="dxa"/>
            <w:left w:w="108" w:type="dxa"/>
            <w:bottom w:w="0" w:type="dxa"/>
            <w:right w:w="108" w:type="dxa"/>
          </w:tblCellMar>
        </w:tblPrEx>
        <w:trPr>
          <w:trHeight w:val="1755" w:hRule="atLeast"/>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4" w:type="dxa"/>
            <w:vMerge w:val="continue"/>
            <w:tcBorders>
              <w:top w:val="nil"/>
              <w:left w:val="single" w:color="auto"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34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1978-2020年区级行政区因灾年度每十万人受灾人口、每十万人死亡失踪人口、直接经济损失、直接经济损失占GDP比重逐年变化统计图表及专题图。</w:t>
            </w:r>
          </w:p>
        </w:tc>
      </w:tr>
      <w:tr>
        <w:tblPrEx>
          <w:tblLayout w:type="fixed"/>
          <w:tblCellMar>
            <w:top w:w="0" w:type="dxa"/>
            <w:left w:w="108" w:type="dxa"/>
            <w:bottom w:w="0" w:type="dxa"/>
            <w:right w:w="108" w:type="dxa"/>
          </w:tblCellMar>
        </w:tblPrEx>
        <w:trPr>
          <w:trHeight w:val="711" w:hRule="atLeast"/>
        </w:trPr>
        <w:tc>
          <w:tcPr>
            <w:tcW w:w="9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564" w:type="dxa"/>
            <w:vMerge w:val="continue"/>
            <w:tcBorders>
              <w:top w:val="nil"/>
              <w:left w:val="single" w:color="auto"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8"/>
                <w:szCs w:val="28"/>
                <w:u w:val="none"/>
              </w:rPr>
            </w:pPr>
          </w:p>
        </w:tc>
        <w:tc>
          <w:tcPr>
            <w:tcW w:w="134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4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历史年度自然灾害灾情评估报告</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pStyle w:val="2"/>
        <w:rPr>
          <w:rFonts w:hint="eastAsia"/>
          <w:lang w:val="zh-CN" w:eastAsia="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1-</w:t>
      </w:r>
      <w:r>
        <w:rPr>
          <w:rFonts w:hint="eastAsia" w:ascii="仿宋" w:hAnsi="仿宋" w:eastAsia="仿宋" w:cs="仿宋"/>
          <w:b/>
          <w:bCs/>
          <w:sz w:val="32"/>
          <w:szCs w:val="32"/>
          <w:lang w:val="en-US" w:eastAsia="zh-CN" w:bidi="zh-CN"/>
        </w:rPr>
        <w:t>8</w:t>
      </w:r>
      <w:r>
        <w:rPr>
          <w:rFonts w:hint="default" w:ascii="仿宋" w:hAnsi="仿宋" w:eastAsia="仿宋" w:cs="仿宋"/>
          <w:b/>
          <w:bCs/>
          <w:sz w:val="32"/>
          <w:szCs w:val="32"/>
          <w:lang w:val="en-US" w:eastAsia="zh-CN" w:bidi="zh-CN"/>
        </w:rPr>
        <w:t xml:space="preserve"> </w:t>
      </w:r>
      <w:r>
        <w:rPr>
          <w:rFonts w:hint="eastAsia" w:ascii="仿宋" w:hAnsi="仿宋" w:eastAsia="仿宋" w:cs="仿宋"/>
          <w:b/>
          <w:bCs/>
          <w:sz w:val="32"/>
          <w:szCs w:val="32"/>
          <w:lang w:val="en-US" w:eastAsia="zh-CN" w:bidi="zh-CN"/>
        </w:rPr>
        <w:t xml:space="preserve">综合减灾能力调查与评估成果目录 </w:t>
      </w:r>
    </w:p>
    <w:tbl>
      <w:tblPr>
        <w:tblStyle w:val="24"/>
        <w:tblW w:w="8323" w:type="dxa"/>
        <w:tblInd w:w="96" w:type="dxa"/>
        <w:shd w:val="clear" w:color="auto" w:fill="auto"/>
        <w:tblLayout w:type="fixed"/>
        <w:tblCellMar>
          <w:top w:w="0" w:type="dxa"/>
          <w:left w:w="108" w:type="dxa"/>
          <w:bottom w:w="0" w:type="dxa"/>
          <w:right w:w="108" w:type="dxa"/>
        </w:tblCellMar>
      </w:tblPr>
      <w:tblGrid>
        <w:gridCol w:w="960"/>
        <w:gridCol w:w="1488"/>
        <w:gridCol w:w="1544"/>
        <w:gridCol w:w="4331"/>
      </w:tblGrid>
      <w:tr>
        <w:tblPrEx>
          <w:shd w:val="clear" w:color="auto" w:fill="auto"/>
          <w:tblLayout w:type="fixed"/>
          <w:tblCellMar>
            <w:top w:w="0" w:type="dxa"/>
            <w:left w:w="108" w:type="dxa"/>
            <w:bottom w:w="0" w:type="dxa"/>
            <w:right w:w="108" w:type="dxa"/>
          </w:tblCellMar>
        </w:tblPrEx>
        <w:trPr>
          <w:trHeight w:val="711"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来源部门</w:t>
            </w:r>
          </w:p>
        </w:tc>
        <w:tc>
          <w:tcPr>
            <w:tcW w:w="148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54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成果类型</w:t>
            </w:r>
          </w:p>
        </w:tc>
        <w:tc>
          <w:tcPr>
            <w:tcW w:w="433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成果名称</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应急</w:t>
            </w:r>
          </w:p>
        </w:tc>
        <w:tc>
          <w:tcPr>
            <w:tcW w:w="148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政府减灾能力调查</w:t>
            </w:r>
          </w:p>
        </w:tc>
        <w:tc>
          <w:tcPr>
            <w:tcW w:w="1544"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政府相关部门减灾能力数据集</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政府专职消防队伍减灾能力数据集</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救灾物资储备库数据集</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应急避难场所数据集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乡镇与社区减灾能力调查</w:t>
            </w:r>
          </w:p>
        </w:tc>
        <w:tc>
          <w:tcPr>
            <w:tcW w:w="1544"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各乡镇减灾能力调查数据集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各社区（行政村）减灾能力调查数据集</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家庭减灾能力调查</w:t>
            </w:r>
          </w:p>
        </w:tc>
        <w:tc>
          <w:tcPr>
            <w:tcW w:w="1544"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家庭减灾能力抽样调查数据集</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综合减灾能力评估</w:t>
            </w:r>
          </w:p>
        </w:tc>
        <w:tc>
          <w:tcPr>
            <w:tcW w:w="1544"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区级政府减灾能力评估结果数据</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各乡镇、社区（行政村）减灾能力 评估结果数据</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抽样家庭减灾能力评估结果数据</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区级综合减灾能力评估结果数据</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区的政府、企业、乡镇、 社区和抽样家庭减灾能力评估结果图</w:t>
            </w:r>
          </w:p>
        </w:tc>
      </w:tr>
      <w:tr>
        <w:tblPrEx>
          <w:shd w:val="clear" w:color="auto" w:fill="auto"/>
          <w:tblLayout w:type="fixed"/>
          <w:tblCellMar>
            <w:top w:w="0" w:type="dxa"/>
            <w:left w:w="108" w:type="dxa"/>
            <w:bottom w:w="0" w:type="dxa"/>
            <w:right w:w="108" w:type="dxa"/>
          </w:tblCellMar>
        </w:tblPrEx>
        <w:trPr>
          <w:trHeight w:val="36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综合减灾能力评估结果图</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各乡镇单元乡镇减灾能力评估图</w:t>
            </w:r>
          </w:p>
        </w:tc>
      </w:tr>
      <w:tr>
        <w:tblPrEx>
          <w:shd w:val="clear" w:color="auto" w:fill="auto"/>
          <w:tblLayout w:type="fixed"/>
          <w:tblCellMar>
            <w:top w:w="0" w:type="dxa"/>
            <w:left w:w="108" w:type="dxa"/>
            <w:bottom w:w="0" w:type="dxa"/>
            <w:right w:w="108" w:type="dxa"/>
          </w:tblCellMar>
        </w:tblPrEx>
        <w:trPr>
          <w:trHeight w:val="711"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488"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4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4331"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各社区（乡镇村）减灾能力评估结果图</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center"/>
        <w:rPr>
          <w:rFonts w:hint="eastAsia" w:ascii="仿宋" w:hAnsi="仿宋" w:eastAsia="仿宋" w:cs="仿宋"/>
          <w:sz w:val="32"/>
          <w:szCs w:val="32"/>
          <w:lang w:val="zh-CN" w:eastAsia="zh-CN" w:bidi="zh-CN"/>
        </w:rPr>
      </w:pPr>
    </w:p>
    <w:p>
      <w:pPr>
        <w:pStyle w:val="2"/>
        <w:rPr>
          <w:rFonts w:hint="eastAsia"/>
          <w:lang w:val="zh-CN" w:eastAsia="zh-CN"/>
        </w:rPr>
      </w:pPr>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center"/>
        <w:textAlignment w:val="auto"/>
        <w:rPr>
          <w:rFonts w:hint="eastAsia" w:ascii="仿宋" w:hAnsi="仿宋" w:eastAsia="仿宋" w:cs="仿宋"/>
          <w:b/>
          <w:bCs/>
          <w:sz w:val="32"/>
          <w:szCs w:val="32"/>
          <w:lang w:val="en-US" w:eastAsia="zh-CN" w:bidi="zh-CN"/>
        </w:rPr>
      </w:pPr>
      <w:r>
        <w:rPr>
          <w:rFonts w:hint="default" w:ascii="仿宋" w:hAnsi="仿宋" w:eastAsia="仿宋" w:cs="仿宋"/>
          <w:b/>
          <w:bCs/>
          <w:sz w:val="32"/>
          <w:szCs w:val="32"/>
          <w:lang w:val="en-US" w:eastAsia="zh-CN" w:bidi="zh-CN"/>
        </w:rPr>
        <w:t>1-</w:t>
      </w:r>
      <w:r>
        <w:rPr>
          <w:rFonts w:hint="eastAsia" w:ascii="仿宋" w:hAnsi="仿宋" w:eastAsia="仿宋" w:cs="仿宋"/>
          <w:b/>
          <w:bCs/>
          <w:sz w:val="32"/>
          <w:szCs w:val="32"/>
          <w:lang w:val="en-US" w:eastAsia="zh-CN" w:bidi="zh-CN"/>
        </w:rPr>
        <w:t xml:space="preserve">9重点隐患分区分类分级综合评估成果目录 </w:t>
      </w:r>
    </w:p>
    <w:tbl>
      <w:tblPr>
        <w:tblStyle w:val="24"/>
        <w:tblW w:w="8782" w:type="dxa"/>
        <w:jc w:val="center"/>
        <w:tblInd w:w="0" w:type="dxa"/>
        <w:shd w:val="clear" w:color="auto" w:fill="auto"/>
        <w:tblLayout w:type="fixed"/>
        <w:tblCellMar>
          <w:top w:w="0" w:type="dxa"/>
          <w:left w:w="108" w:type="dxa"/>
          <w:bottom w:w="0" w:type="dxa"/>
          <w:right w:w="108" w:type="dxa"/>
        </w:tblCellMar>
      </w:tblPr>
      <w:tblGrid>
        <w:gridCol w:w="960"/>
        <w:gridCol w:w="1584"/>
        <w:gridCol w:w="1620"/>
        <w:gridCol w:w="4618"/>
      </w:tblGrid>
      <w:tr>
        <w:tblPrEx>
          <w:tblLayout w:type="fixed"/>
          <w:tblCellMar>
            <w:top w:w="0" w:type="dxa"/>
            <w:left w:w="108" w:type="dxa"/>
            <w:bottom w:w="0" w:type="dxa"/>
            <w:right w:w="108" w:type="dxa"/>
          </w:tblCellMar>
        </w:tblPrEx>
        <w:trPr>
          <w:trHeight w:val="711"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来源部门</w:t>
            </w:r>
          </w:p>
        </w:tc>
        <w:tc>
          <w:tcPr>
            <w:tcW w:w="158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任务</w:t>
            </w:r>
          </w:p>
        </w:tc>
        <w:tc>
          <w:tcPr>
            <w:tcW w:w="162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成果类型</w:t>
            </w:r>
          </w:p>
        </w:tc>
        <w:tc>
          <w:tcPr>
            <w:tcW w:w="461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成果名称</w:t>
            </w:r>
          </w:p>
        </w:tc>
      </w:tr>
      <w:tr>
        <w:tblPrEx>
          <w:shd w:val="clear" w:color="auto" w:fill="auto"/>
          <w:tblLayout w:type="fixed"/>
          <w:tblCellMar>
            <w:top w:w="0" w:type="dxa"/>
            <w:left w:w="108" w:type="dxa"/>
            <w:bottom w:w="0" w:type="dxa"/>
            <w:right w:w="108" w:type="dxa"/>
          </w:tblCellMar>
        </w:tblPrEx>
        <w:trPr>
          <w:trHeight w:val="711" w:hRule="atLeast"/>
          <w:jc w:val="center"/>
        </w:trPr>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市灾险普查办</w:t>
            </w:r>
          </w:p>
        </w:tc>
        <w:tc>
          <w:tcPr>
            <w:tcW w:w="1584"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重点隐患基础数据集成</w:t>
            </w:r>
          </w:p>
        </w:tc>
        <w:tc>
          <w:tcPr>
            <w:tcW w:w="162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61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自然灾害重点隐患综合评估基础数据库1套</w:t>
            </w:r>
          </w:p>
        </w:tc>
      </w:tr>
      <w:tr>
        <w:tblPrEx>
          <w:tblLayout w:type="fixed"/>
          <w:tblCellMar>
            <w:top w:w="0" w:type="dxa"/>
            <w:left w:w="108" w:type="dxa"/>
            <w:bottom w:w="0" w:type="dxa"/>
            <w:right w:w="108" w:type="dxa"/>
          </w:tblCellMar>
        </w:tblPrEx>
        <w:trPr>
          <w:trHeight w:val="711" w:hRule="atLeast"/>
          <w:jc w:val="center"/>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84"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多灾种致灾隐患综合评估</w:t>
            </w:r>
          </w:p>
        </w:tc>
        <w:tc>
          <w:tcPr>
            <w:tcW w:w="162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61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区级自然灾害致灾隐患分类分级评估结果数据集</w:t>
            </w:r>
          </w:p>
        </w:tc>
      </w:tr>
      <w:tr>
        <w:tblPrEx>
          <w:shd w:val="clear" w:color="auto" w:fill="auto"/>
          <w:tblLayout w:type="fixed"/>
          <w:tblCellMar>
            <w:top w:w="0" w:type="dxa"/>
            <w:left w:w="108" w:type="dxa"/>
            <w:bottom w:w="0" w:type="dxa"/>
            <w:right w:w="108" w:type="dxa"/>
          </w:tblCellMar>
        </w:tblPrEx>
        <w:trPr>
          <w:trHeight w:val="711" w:hRule="atLeast"/>
          <w:jc w:val="center"/>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8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2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61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区级自然灾害致灾隐患分类分级评估专题成果图</w:t>
            </w:r>
          </w:p>
        </w:tc>
      </w:tr>
      <w:tr>
        <w:tblPrEx>
          <w:tblLayout w:type="fixed"/>
          <w:tblCellMar>
            <w:top w:w="0" w:type="dxa"/>
            <w:left w:w="108" w:type="dxa"/>
            <w:bottom w:w="0" w:type="dxa"/>
            <w:right w:w="108" w:type="dxa"/>
          </w:tblCellMar>
        </w:tblPrEx>
        <w:trPr>
          <w:trHeight w:val="711" w:hRule="atLeast"/>
          <w:jc w:val="center"/>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8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2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61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区级多灾种致灾隐患综合评估报告</w:t>
            </w:r>
          </w:p>
        </w:tc>
      </w:tr>
      <w:tr>
        <w:tblPrEx>
          <w:shd w:val="clear" w:color="auto" w:fill="auto"/>
          <w:tblLayout w:type="fixed"/>
          <w:tblCellMar>
            <w:top w:w="0" w:type="dxa"/>
            <w:left w:w="108" w:type="dxa"/>
            <w:bottom w:w="0" w:type="dxa"/>
            <w:right w:w="108" w:type="dxa"/>
          </w:tblCellMar>
        </w:tblPrEx>
        <w:trPr>
          <w:trHeight w:val="711" w:hRule="atLeast"/>
          <w:jc w:val="center"/>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84" w:type="dxa"/>
            <w:vMerge w:val="restart"/>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区域承灾体隐患综合评估</w:t>
            </w:r>
          </w:p>
        </w:tc>
        <w:tc>
          <w:tcPr>
            <w:tcW w:w="162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数据成果</w:t>
            </w:r>
          </w:p>
        </w:tc>
        <w:tc>
          <w:tcPr>
            <w:tcW w:w="461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区级自然灾害区域承灾体综合隐患分类结果数据集</w:t>
            </w:r>
          </w:p>
        </w:tc>
      </w:tr>
      <w:tr>
        <w:tblPrEx>
          <w:tblLayout w:type="fixed"/>
          <w:tblCellMar>
            <w:top w:w="0" w:type="dxa"/>
            <w:left w:w="108" w:type="dxa"/>
            <w:bottom w:w="0" w:type="dxa"/>
            <w:right w:w="108" w:type="dxa"/>
          </w:tblCellMar>
        </w:tblPrEx>
        <w:trPr>
          <w:trHeight w:val="90" w:hRule="atLeast"/>
          <w:jc w:val="center"/>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8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2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图件成果</w:t>
            </w:r>
          </w:p>
        </w:tc>
        <w:tc>
          <w:tcPr>
            <w:tcW w:w="461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区级区域承灾体隐患综合评估成果清单图</w:t>
            </w:r>
          </w:p>
        </w:tc>
      </w:tr>
      <w:tr>
        <w:tblPrEx>
          <w:tblLayout w:type="fixed"/>
          <w:tblCellMar>
            <w:top w:w="0" w:type="dxa"/>
            <w:left w:w="108" w:type="dxa"/>
            <w:bottom w:w="0" w:type="dxa"/>
            <w:right w:w="108" w:type="dxa"/>
          </w:tblCellMar>
        </w:tblPrEx>
        <w:trPr>
          <w:trHeight w:val="1407" w:hRule="atLeast"/>
          <w:jc w:val="center"/>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584" w:type="dxa"/>
            <w:vMerge w:val="continue"/>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c>
          <w:tcPr>
            <w:tcW w:w="162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文字报告成果</w:t>
            </w:r>
          </w:p>
        </w:tc>
        <w:tc>
          <w:tcPr>
            <w:tcW w:w="4618"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反映区域承灾体综合隐患分类分区评估所采用的基础数据、评估方法、评估结果以及灾害防治建议的文字报告</w:t>
            </w:r>
          </w:p>
        </w:tc>
      </w:tr>
    </w:tbl>
    <w:p>
      <w:pPr>
        <w:keepNext w:val="0"/>
        <w:keepLines w:val="0"/>
        <w:pageBreakBefore w:val="0"/>
        <w:widowControl w:val="0"/>
        <w:kinsoku/>
        <w:wordWrap/>
        <w:overflowPunct/>
        <w:topLinePunct w:val="0"/>
        <w:autoSpaceDE w:val="0"/>
        <w:autoSpaceDN/>
        <w:bidi w:val="0"/>
        <w:adjustRightInd/>
        <w:snapToGrid/>
        <w:spacing w:line="560" w:lineRule="exact"/>
        <w:ind w:left="0" w:leftChars="0" w:right="0" w:firstLine="640" w:firstLineChars="200"/>
        <w:jc w:val="both"/>
        <w:rPr>
          <w:rFonts w:hint="eastAsia" w:ascii="仿宋" w:hAnsi="仿宋" w:eastAsia="仿宋" w:cs="仿宋"/>
          <w:sz w:val="32"/>
          <w:szCs w:val="32"/>
        </w:rPr>
      </w:pPr>
      <w:r>
        <w:rPr>
          <w:rFonts w:hint="eastAsia" w:ascii="仿宋" w:hAnsi="仿宋" w:eastAsia="仿宋" w:cs="仿宋"/>
          <w:sz w:val="32"/>
          <w:szCs w:val="32"/>
        </w:rPr>
        <w:t>注：此为预估，最终以</w:t>
      </w:r>
      <w:r>
        <w:rPr>
          <w:rFonts w:hint="eastAsia" w:ascii="仿宋" w:hAnsi="仿宋" w:eastAsia="仿宋" w:cs="仿宋"/>
          <w:sz w:val="32"/>
          <w:szCs w:val="32"/>
          <w:lang w:val="en-US" w:eastAsia="zh-CN"/>
        </w:rPr>
        <w:t>区</w:t>
      </w:r>
      <w:r>
        <w:rPr>
          <w:rFonts w:hint="eastAsia" w:ascii="仿宋" w:hAnsi="仿宋" w:eastAsia="仿宋" w:cs="仿宋"/>
          <w:sz w:val="32"/>
          <w:szCs w:val="32"/>
        </w:rPr>
        <w:t>级调查数据为准</w:t>
      </w: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pStyle w:val="2"/>
        <w:rPr>
          <w:rFonts w:hint="eastAsia"/>
          <w:lang w:val="zh-CN" w:eastAsia="zh-CN"/>
        </w:rPr>
      </w:pPr>
    </w:p>
    <w:p>
      <w:pPr>
        <w:pStyle w:val="2"/>
        <w:rPr>
          <w:rFonts w:hint="eastAsia"/>
          <w:lang w:val="zh-CN" w:eastAsia="zh-CN"/>
        </w:rPr>
      </w:pPr>
    </w:p>
    <w:p>
      <w:pPr>
        <w:keepNext w:val="0"/>
        <w:keepLines w:val="0"/>
        <w:pageBreakBefore w:val="0"/>
        <w:widowControl w:val="0"/>
        <w:kinsoku/>
        <w:wordWrap/>
        <w:overflowPunct/>
        <w:topLinePunct w:val="0"/>
        <w:autoSpaceDE w:val="0"/>
        <w:autoSpaceDN/>
        <w:bidi w:val="0"/>
        <w:adjustRightInd/>
        <w:snapToGrid/>
        <w:spacing w:line="560" w:lineRule="exact"/>
        <w:ind w:right="0"/>
        <w:jc w:val="both"/>
        <w:rPr>
          <w:rFonts w:hint="eastAsia" w:ascii="仿宋" w:hAnsi="仿宋" w:eastAsia="仿宋" w:cs="仿宋"/>
          <w:sz w:val="32"/>
          <w:szCs w:val="32"/>
          <w:lang w:val="zh-CN" w:eastAsia="zh-CN" w:bidi="zh-CN"/>
        </w:rPr>
      </w:pPr>
    </w:p>
    <w:p>
      <w:pPr>
        <w:pStyle w:val="4"/>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left="0" w:leftChars="0" w:right="0" w:firstLine="0" w:firstLineChars="0"/>
        <w:jc w:val="both"/>
        <w:textAlignment w:val="auto"/>
        <w:rPr>
          <w:rFonts w:hint="eastAsia" w:ascii="黑体" w:hAnsi="黑体" w:eastAsia="黑体" w:cs="黑体"/>
          <w:b/>
          <w:bCs/>
          <w:sz w:val="36"/>
          <w:szCs w:val="36"/>
          <w:lang w:val="en-US" w:eastAsia="zh-CN"/>
        </w:rPr>
      </w:pPr>
      <w:bookmarkStart w:id="405" w:name="_Toc28428"/>
      <w:bookmarkStart w:id="406" w:name="_Toc29543"/>
      <w:r>
        <w:rPr>
          <w:rFonts w:hint="eastAsia" w:ascii="黑体" w:hAnsi="黑体" w:eastAsia="黑体" w:cs="黑体"/>
          <w:b/>
          <w:bCs/>
          <w:sz w:val="36"/>
          <w:szCs w:val="36"/>
          <w:lang w:val="en-US" w:eastAsia="zh-CN"/>
        </w:rPr>
        <w:t>附件五：分管领导及联络员</w:t>
      </w:r>
      <w:bookmarkEnd w:id="405"/>
      <w:bookmarkEnd w:id="406"/>
    </w:p>
    <w:p>
      <w:pPr>
        <w:keepNext w:val="0"/>
        <w:keepLines w:val="0"/>
        <w:pageBreakBefore w:val="0"/>
        <w:widowControl w:val="0"/>
        <w:kinsoku/>
        <w:wordWrap/>
        <w:overflowPunct/>
        <w:topLinePunct w:val="0"/>
        <w:autoSpaceDE w:val="0"/>
        <w:autoSpaceDN/>
        <w:bidi w:val="0"/>
        <w:adjustRightInd/>
        <w:snapToGrid/>
        <w:spacing w:before="0" w:beforeLines="30" w:after="0" w:afterLines="30" w:line="560" w:lineRule="exact"/>
        <w:ind w:right="0"/>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崇明区第一次全国自然灾害综合风险普查联络员</w:t>
      </w:r>
    </w:p>
    <w:tbl>
      <w:tblPr>
        <w:tblStyle w:val="24"/>
        <w:tblW w:w="8394" w:type="dxa"/>
        <w:tblInd w:w="0" w:type="dxa"/>
        <w:shd w:val="clear" w:color="auto" w:fill="auto"/>
        <w:tblLayout w:type="fixed"/>
        <w:tblCellMar>
          <w:top w:w="0" w:type="dxa"/>
          <w:left w:w="108" w:type="dxa"/>
          <w:bottom w:w="0" w:type="dxa"/>
          <w:right w:w="108" w:type="dxa"/>
        </w:tblCellMar>
      </w:tblPr>
      <w:tblGrid>
        <w:gridCol w:w="833"/>
        <w:gridCol w:w="1944"/>
        <w:gridCol w:w="1369"/>
        <w:gridCol w:w="1403"/>
        <w:gridCol w:w="1105"/>
        <w:gridCol w:w="1740"/>
      </w:tblGrid>
      <w:tr>
        <w:tblPrEx>
          <w:shd w:val="clear" w:color="auto" w:fill="auto"/>
          <w:tblLayout w:type="fixed"/>
          <w:tblCellMar>
            <w:top w:w="0" w:type="dxa"/>
            <w:left w:w="108" w:type="dxa"/>
            <w:bottom w:w="0" w:type="dxa"/>
            <w:right w:w="108" w:type="dxa"/>
          </w:tblCellMar>
        </w:tblPrEx>
        <w:trPr>
          <w:trHeight w:val="427"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单位</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分管领导</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ascii="Arial" w:hAnsi="Arial" w:eastAsia="宋体" w:cs="Arial"/>
                <w:b/>
                <w:bCs/>
                <w:i w:val="0"/>
                <w:iCs w:val="0"/>
                <w:color w:val="000000"/>
                <w:sz w:val="28"/>
                <w:szCs w:val="28"/>
                <w:u w:val="none"/>
              </w:rPr>
            </w:pPr>
            <w:r>
              <w:rPr>
                <w:rFonts w:hint="default" w:ascii="Arial" w:hAnsi="Arial" w:eastAsia="宋体" w:cs="Arial"/>
                <w:b/>
                <w:bCs/>
                <w:i w:val="0"/>
                <w:iCs w:val="0"/>
                <w:color w:val="000000"/>
                <w:kern w:val="0"/>
                <w:sz w:val="28"/>
                <w:szCs w:val="28"/>
                <w:u w:val="none"/>
                <w:lang w:val="en-US" w:eastAsia="zh-CN" w:bidi="ar"/>
              </w:rPr>
              <w:t>职务</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联络员</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职务</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区财政局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袁全美</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专管员</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区民族宗教办</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刘晓静</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干部</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区发展改革委</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王健</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何萧</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科员</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区经委</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顾立超</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孙海珠</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区教育局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陆杰</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蔡锦宇</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科员</w:t>
            </w:r>
          </w:p>
        </w:tc>
      </w:tr>
      <w:tr>
        <w:tblPrEx>
          <w:tblLayout w:type="fixed"/>
          <w:tblCellMar>
            <w:top w:w="0" w:type="dxa"/>
            <w:left w:w="108" w:type="dxa"/>
            <w:bottom w:w="0" w:type="dxa"/>
            <w:right w:w="108" w:type="dxa"/>
          </w:tblCellMar>
        </w:tblPrEx>
        <w:trPr>
          <w:trHeight w:val="696"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区科委</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范伟峰</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朱涛</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信息化综合科科长</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区民政局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张耀范</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陈丽华</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科长</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区资源规划局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施俊龙</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分管局长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蔡丹</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权籍科负责人</w:t>
            </w:r>
          </w:p>
        </w:tc>
      </w:tr>
      <w:tr>
        <w:tblPrEx>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区生态环境局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师先义</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仇厚田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科员</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区建设管理委</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施诚</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李杰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四级调研员</w:t>
            </w:r>
          </w:p>
        </w:tc>
      </w:tr>
      <w:tr>
        <w:tblPrEx>
          <w:tblLayout w:type="fixed"/>
          <w:tblCellMar>
            <w:top w:w="0" w:type="dxa"/>
            <w:left w:w="108" w:type="dxa"/>
            <w:bottom w:w="0" w:type="dxa"/>
            <w:right w:w="108" w:type="dxa"/>
          </w:tblCellMar>
        </w:tblPrEx>
        <w:trPr>
          <w:trHeight w:val="696"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11</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区农业农村委</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张锋</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党委委员副主任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杜德杰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高储</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区水务局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rPr>
              <w:t>柏茂松</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朱志鹏</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副科长</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13</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区文化旅游局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施建华</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张洁</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副科长</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14</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区卫生健康委</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张哲医</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周海峰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科员</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15</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区市场监管局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高捷峰</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施宇丹</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四级主任科员</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16</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区体育局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俞永峰</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张积惠</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办公室文员</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17</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区统计局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宋娟</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季欢欢</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val="0"/>
              <w:autoSpaceDN/>
              <w:bidi w:val="0"/>
              <w:adjustRightInd/>
              <w:jc w:val="center"/>
              <w:rPr>
                <w:rFonts w:hint="eastAsia" w:ascii="仿宋" w:hAnsi="仿宋" w:eastAsia="仿宋" w:cs="仿宋"/>
                <w:i w:val="0"/>
                <w:iCs w:val="0"/>
                <w:color w:val="000000"/>
                <w:sz w:val="28"/>
                <w:szCs w:val="28"/>
                <w:u w:val="none"/>
              </w:rPr>
            </w:pP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18</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区绿化市容局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蔡建新</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印皓辰</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林业科副科长</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区民防办</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唐志群</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谭琦琦</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科员</w:t>
            </w:r>
          </w:p>
        </w:tc>
      </w:tr>
      <w:tr>
        <w:tblPrEx>
          <w:tblLayout w:type="fixed"/>
          <w:tblCellMar>
            <w:top w:w="0" w:type="dxa"/>
            <w:left w:w="108" w:type="dxa"/>
            <w:bottom w:w="0" w:type="dxa"/>
            <w:right w:w="108" w:type="dxa"/>
          </w:tblCellMar>
        </w:tblPrEx>
        <w:trPr>
          <w:trHeight w:val="696"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区住房保障房屋管理局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龚平</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龚一为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工作人员</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21</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rPr>
              <w:t>张飞雁</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倪朝辉</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副主任</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陆桓</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副科长</w:t>
            </w:r>
          </w:p>
        </w:tc>
      </w:tr>
      <w:tr>
        <w:tblPrEx>
          <w:shd w:val="clear" w:color="auto" w:fill="auto"/>
          <w:tblLayout w:type="fixed"/>
          <w:tblCellMar>
            <w:top w:w="0" w:type="dxa"/>
            <w:left w:w="108" w:type="dxa"/>
            <w:bottom w:w="0" w:type="dxa"/>
            <w:right w:w="108" w:type="dxa"/>
          </w:tblCellMar>
        </w:tblPrEx>
        <w:trPr>
          <w:trHeight w:val="696"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22</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区气象局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顾海斌</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周胜健</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社会管理科科长</w:t>
            </w:r>
          </w:p>
        </w:tc>
      </w:tr>
      <w:tr>
        <w:tblPrEx>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23</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崇明海事局</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李咏桥</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宋刚</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指挥中心主任</w:t>
            </w:r>
          </w:p>
        </w:tc>
      </w:tr>
      <w:tr>
        <w:tblPrEx>
          <w:shd w:val="clear" w:color="auto" w:fill="auto"/>
          <w:tblLayout w:type="fixed"/>
          <w:tblCellMar>
            <w:top w:w="0" w:type="dxa"/>
            <w:left w:w="108" w:type="dxa"/>
            <w:bottom w:w="0" w:type="dxa"/>
            <w:right w:w="108" w:type="dxa"/>
          </w:tblCellMar>
        </w:tblPrEx>
        <w:trPr>
          <w:trHeight w:val="348" w:hRule="atLeast"/>
        </w:trPr>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24</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区大数据中心</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茅德</w:t>
            </w: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副局长</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陈志昌</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bidi w:val="0"/>
              <w:adjustRightInd/>
              <w:jc w:val="center"/>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办公室主任</w:t>
            </w:r>
          </w:p>
        </w:tc>
      </w:tr>
    </w:tbl>
    <w:p>
      <w:pPr>
        <w:tabs>
          <w:tab w:val="left" w:pos="2208"/>
        </w:tabs>
        <w:bidi w:val="0"/>
        <w:jc w:val="left"/>
        <w:rPr>
          <w:rFonts w:hint="eastAsia" w:ascii="宋体" w:hAnsi="宋体" w:eastAsia="宋体" w:cs="宋体"/>
          <w:sz w:val="22"/>
          <w:szCs w:val="22"/>
          <w:lang w:val="en-US" w:eastAsia="zh-CN" w:bidi="zh-CN"/>
        </w:rPr>
      </w:pPr>
    </w:p>
    <w:sectPr>
      <w:footerReference r:id="rId18" w:type="default"/>
      <w:pgSz w:w="11910" w:h="16840"/>
      <w:pgMar w:top="1440" w:right="1803" w:bottom="1440" w:left="1803" w:header="0" w:footer="1601" w:gutter="0"/>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C65CB38-759A-4A19-B50A-01F8A3270E2E}"/>
  </w:font>
  <w:font w:name="黑体">
    <w:panose1 w:val="02010609060101010101"/>
    <w:charset w:val="86"/>
    <w:family w:val="auto"/>
    <w:pitch w:val="default"/>
    <w:sig w:usb0="800002BF" w:usb1="38CF7CFA" w:usb2="00000016" w:usb3="00000000" w:csb0="00040001" w:csb1="00000000"/>
    <w:embedRegular r:id="rId2" w:fontKey="{45A08A4B-18DE-4A7D-B998-F24D0DF112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3" w:fontKey="{E87883F3-6361-46B2-AEAC-DF59C9090ED3}"/>
  </w:font>
  <w:font w:name="方正公文黑体">
    <w:altName w:val="黑体"/>
    <w:panose1 w:val="02000500000000000000"/>
    <w:charset w:val="86"/>
    <w:family w:val="auto"/>
    <w:pitch w:val="default"/>
    <w:sig w:usb0="00000000" w:usb1="00000000"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4" w:fontKey="{8557BCB3-3BB1-4CF4-9432-FF19250E1E3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5" w:fontKey="{286AA3F3-CE98-43AE-AFBF-5A0320818481}"/>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184</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fWQwUAgAAFQ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qyklmins6Pzt6/n74/nHFwIdAGqtn8Nva+EZujemw6IHvYcyzt1V&#10;TsUbExHYAfXpCq/oAuExaDaZzXKYOGzDA/mzp3DrfHgrjCJRKKjD/hKs7LjxoXcdXGI1bdaNlGmH&#10;UpO2oNOXr/M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V9ZDBQCAAAVBAAADgAAAAAAAAAB&#10;ACAAAAAfAQAAZHJzL2Uyb0RvYy54bWxQSwUGAAAAAAYABgBZAQAApQU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184</w:t>
                    </w:r>
                    <w:r>
                      <w:rPr>
                        <w:rFonts w:hint="eastAsia" w:ascii="黑体" w:hAnsi="黑体" w:eastAsia="黑体" w:cs="黑体"/>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185</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185</w:t>
                    </w:r>
                    <w:r>
                      <w:rPr>
                        <w:rFonts w:hint="eastAsia" w:ascii="黑体" w:hAnsi="黑体" w:eastAsia="黑体" w:cs="黑体"/>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187</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187</w:t>
                    </w:r>
                    <w:r>
                      <w:rPr>
                        <w:rFonts w:hint="eastAsia" w:ascii="黑体" w:hAnsi="黑体" w:eastAsia="黑体" w:cs="黑体"/>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191</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XVf4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X72h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FxXVf4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191</w:t>
                    </w:r>
                    <w:r>
                      <w:rPr>
                        <w:rFonts w:hint="eastAsia" w:ascii="黑体" w:hAnsi="黑体" w:eastAsia="黑体" w:cs="黑体"/>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192</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192</w:t>
                    </w:r>
                    <w:r>
                      <w:rPr>
                        <w:rFonts w:hint="eastAsia" w:ascii="黑体" w:hAnsi="黑体" w:eastAsia="黑体" w:cs="黑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15"/>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151</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151</w:t>
                    </w:r>
                    <w:r>
                      <w:rPr>
                        <w:rFonts w:hint="eastAsia" w:ascii="黑体" w:hAnsi="黑体" w:eastAsia="黑体" w:cs="黑体"/>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12"/>
      </w:rPr>
    </w:pPr>
    <w:r>
      <w:rPr>
        <w:sz w:val="1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172</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172</w:t>
                    </w:r>
                    <w:r>
                      <w:rPr>
                        <w:rFonts w:hint="eastAsia" w:ascii="黑体" w:hAnsi="黑体" w:eastAsia="黑体" w:cs="黑体"/>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174</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174</w:t>
                    </w:r>
                    <w:r>
                      <w:rPr>
                        <w:rFonts w:hint="eastAsia" w:ascii="黑体" w:hAnsi="黑体" w:eastAsia="黑体" w:cs="黑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180</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180</w:t>
                    </w:r>
                    <w:r>
                      <w:rPr>
                        <w:rFonts w:hint="eastAsia" w:ascii="黑体" w:hAnsi="黑体" w:eastAsia="黑体" w:cs="黑体"/>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ind w:left="0"/>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183</w:t>
                          </w:r>
                          <w:r>
                            <w:rPr>
                              <w:rFonts w:hint="eastAsia" w:ascii="黑体" w:hAnsi="黑体" w:eastAsia="黑体" w:cs="黑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pStyle w:val="15"/>
                    </w:pPr>
                    <w:r>
                      <w:rPr>
                        <w:rFonts w:hint="eastAsia" w:ascii="黑体" w:hAnsi="黑体" w:eastAsia="黑体" w:cs="黑体"/>
                      </w:rPr>
                      <w:fldChar w:fldCharType="begin"/>
                    </w:r>
                    <w:r>
                      <w:rPr>
                        <w:rFonts w:hint="eastAsia" w:ascii="黑体" w:hAnsi="黑体" w:eastAsia="黑体" w:cs="黑体"/>
                      </w:rPr>
                      <w:instrText xml:space="preserve"> PAGE  \* MERGEFORMAT </w:instrText>
                    </w:r>
                    <w:r>
                      <w:rPr>
                        <w:rFonts w:hint="eastAsia" w:ascii="黑体" w:hAnsi="黑体" w:eastAsia="黑体" w:cs="黑体"/>
                      </w:rPr>
                      <w:fldChar w:fldCharType="separate"/>
                    </w:r>
                    <w:r>
                      <w:rPr>
                        <w:rFonts w:hint="eastAsia" w:ascii="黑体" w:hAnsi="黑体" w:eastAsia="黑体" w:cs="黑体"/>
                      </w:rPr>
                      <w:t>183</w:t>
                    </w:r>
                    <w:r>
                      <w:rPr>
                        <w:rFonts w:hint="eastAsia" w:ascii="黑体" w:hAnsi="黑体" w:eastAsia="黑体" w:cs="黑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spacing w:after="120"/>
      <w:ind w:right="6619"/>
      <w:rPr>
        <w:rFonts w:asci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34CB4A"/>
    <w:multiLevelType w:val="singleLevel"/>
    <w:tmpl w:val="8934CB4A"/>
    <w:lvl w:ilvl="0" w:tentative="0">
      <w:start w:val="1"/>
      <w:numFmt w:val="decimalEnclosedCircleChinese"/>
      <w:suff w:val="nothing"/>
      <w:lvlText w:val="%1　"/>
      <w:lvlJc w:val="left"/>
      <w:pPr>
        <w:ind w:left="0" w:firstLine="400"/>
      </w:pPr>
      <w:rPr>
        <w:rFonts w:hint="eastAsia"/>
      </w:rPr>
    </w:lvl>
  </w:abstractNum>
  <w:abstractNum w:abstractNumId="1">
    <w:nsid w:val="9E7D0CBF"/>
    <w:multiLevelType w:val="singleLevel"/>
    <w:tmpl w:val="9E7D0CBF"/>
    <w:lvl w:ilvl="0" w:tentative="0">
      <w:start w:val="2"/>
      <w:numFmt w:val="decimalEnclosedCircleChinese"/>
      <w:suff w:val="nothing"/>
      <w:lvlText w:val="%1　"/>
      <w:lvlJc w:val="left"/>
      <w:pPr>
        <w:ind w:left="0" w:firstLine="403"/>
      </w:pPr>
      <w:rPr>
        <w:rFonts w:hint="eastAsia"/>
      </w:rPr>
    </w:lvl>
  </w:abstractNum>
  <w:abstractNum w:abstractNumId="2">
    <w:nsid w:val="B51F87F5"/>
    <w:multiLevelType w:val="singleLevel"/>
    <w:tmpl w:val="B51F87F5"/>
    <w:lvl w:ilvl="0" w:tentative="0">
      <w:start w:val="1"/>
      <w:numFmt w:val="chineseCounting"/>
      <w:suff w:val="nothing"/>
      <w:lvlText w:val="（%1）"/>
      <w:lvlJc w:val="left"/>
      <w:pPr>
        <w:ind w:left="0" w:firstLine="420"/>
      </w:pPr>
      <w:rPr>
        <w:rFonts w:hint="eastAsia"/>
      </w:rPr>
    </w:lvl>
  </w:abstractNum>
  <w:abstractNum w:abstractNumId="3">
    <w:nsid w:val="B8588DC4"/>
    <w:multiLevelType w:val="singleLevel"/>
    <w:tmpl w:val="B8588DC4"/>
    <w:lvl w:ilvl="0" w:tentative="0">
      <w:start w:val="5"/>
      <w:numFmt w:val="decimalEnclosedCircleChinese"/>
      <w:suff w:val="nothing"/>
      <w:lvlText w:val="%1　"/>
      <w:lvlJc w:val="left"/>
      <w:pPr>
        <w:ind w:left="0" w:firstLine="403"/>
      </w:pPr>
      <w:rPr>
        <w:rFonts w:hint="eastAsia"/>
      </w:rPr>
    </w:lvl>
  </w:abstractNum>
  <w:abstractNum w:abstractNumId="4">
    <w:nsid w:val="BE16A036"/>
    <w:multiLevelType w:val="singleLevel"/>
    <w:tmpl w:val="BE16A036"/>
    <w:lvl w:ilvl="0" w:tentative="0">
      <w:start w:val="1"/>
      <w:numFmt w:val="lowerLetter"/>
      <w:lvlText w:val="%1."/>
      <w:lvlJc w:val="left"/>
      <w:pPr>
        <w:ind w:left="425" w:hanging="425"/>
      </w:pPr>
      <w:rPr>
        <w:rFonts w:hint="default"/>
      </w:rPr>
    </w:lvl>
  </w:abstractNum>
  <w:abstractNum w:abstractNumId="5">
    <w:nsid w:val="C06482F9"/>
    <w:multiLevelType w:val="singleLevel"/>
    <w:tmpl w:val="C06482F9"/>
    <w:lvl w:ilvl="0" w:tentative="0">
      <w:start w:val="3"/>
      <w:numFmt w:val="decimal"/>
      <w:suff w:val="nothing"/>
      <w:lvlText w:val="（%1）"/>
      <w:lvlJc w:val="left"/>
    </w:lvl>
  </w:abstractNum>
  <w:abstractNum w:abstractNumId="6">
    <w:nsid w:val="CD0051C0"/>
    <w:multiLevelType w:val="singleLevel"/>
    <w:tmpl w:val="CD0051C0"/>
    <w:lvl w:ilvl="0" w:tentative="0">
      <w:start w:val="1"/>
      <w:numFmt w:val="chineseCounting"/>
      <w:suff w:val="nothing"/>
      <w:lvlText w:val="（%1）"/>
      <w:lvlJc w:val="left"/>
      <w:pPr>
        <w:ind w:left="0" w:firstLine="420"/>
      </w:pPr>
      <w:rPr>
        <w:rFonts w:hint="eastAsia"/>
      </w:rPr>
    </w:lvl>
  </w:abstractNum>
  <w:abstractNum w:abstractNumId="7">
    <w:nsid w:val="CE63C59B"/>
    <w:multiLevelType w:val="singleLevel"/>
    <w:tmpl w:val="CE63C59B"/>
    <w:lvl w:ilvl="0" w:tentative="0">
      <w:start w:val="1"/>
      <w:numFmt w:val="decimalEnclosedCircleChinese"/>
      <w:suff w:val="nothing"/>
      <w:lvlText w:val="%1　"/>
      <w:lvlJc w:val="left"/>
      <w:pPr>
        <w:ind w:left="0" w:firstLine="400"/>
      </w:pPr>
      <w:rPr>
        <w:rFonts w:hint="eastAsia"/>
      </w:rPr>
    </w:lvl>
  </w:abstractNum>
  <w:abstractNum w:abstractNumId="8">
    <w:nsid w:val="0817DD71"/>
    <w:multiLevelType w:val="singleLevel"/>
    <w:tmpl w:val="0817DD71"/>
    <w:lvl w:ilvl="0" w:tentative="0">
      <w:start w:val="1"/>
      <w:numFmt w:val="chineseCounting"/>
      <w:suff w:val="nothing"/>
      <w:lvlText w:val="（%1）"/>
      <w:lvlJc w:val="left"/>
      <w:pPr>
        <w:ind w:left="0" w:firstLine="420"/>
      </w:pPr>
      <w:rPr>
        <w:rFonts w:hint="eastAsia"/>
      </w:rPr>
    </w:lvl>
  </w:abstractNum>
  <w:abstractNum w:abstractNumId="9">
    <w:nsid w:val="0CBDBB05"/>
    <w:multiLevelType w:val="singleLevel"/>
    <w:tmpl w:val="0CBDBB05"/>
    <w:lvl w:ilvl="0" w:tentative="0">
      <w:start w:val="9"/>
      <w:numFmt w:val="decimalEnclosedCircleChinese"/>
      <w:suff w:val="nothing"/>
      <w:lvlText w:val="%1　"/>
      <w:lvlJc w:val="left"/>
      <w:pPr>
        <w:ind w:left="0" w:firstLine="403"/>
      </w:pPr>
      <w:rPr>
        <w:rFonts w:hint="eastAsia"/>
      </w:rPr>
    </w:lvl>
  </w:abstractNum>
  <w:abstractNum w:abstractNumId="10">
    <w:nsid w:val="1249B949"/>
    <w:multiLevelType w:val="singleLevel"/>
    <w:tmpl w:val="1249B949"/>
    <w:lvl w:ilvl="0" w:tentative="0">
      <w:start w:val="6"/>
      <w:numFmt w:val="decimalEnclosedCircleChinese"/>
      <w:suff w:val="nothing"/>
      <w:lvlText w:val="%1　"/>
      <w:lvlJc w:val="left"/>
      <w:pPr>
        <w:ind w:left="0" w:firstLine="403"/>
      </w:pPr>
      <w:rPr>
        <w:rFonts w:hint="eastAsia"/>
      </w:rPr>
    </w:lvl>
  </w:abstractNum>
  <w:abstractNum w:abstractNumId="11">
    <w:nsid w:val="1D87CA25"/>
    <w:multiLevelType w:val="singleLevel"/>
    <w:tmpl w:val="1D87CA25"/>
    <w:lvl w:ilvl="0" w:tentative="0">
      <w:start w:val="1"/>
      <w:numFmt w:val="lowerLetter"/>
      <w:lvlText w:val="%1."/>
      <w:lvlJc w:val="left"/>
      <w:pPr>
        <w:ind w:left="425" w:hanging="425"/>
      </w:pPr>
      <w:rPr>
        <w:rFonts w:hint="default"/>
      </w:rPr>
    </w:lvl>
  </w:abstractNum>
  <w:abstractNum w:abstractNumId="12">
    <w:nsid w:val="28132916"/>
    <w:multiLevelType w:val="singleLevel"/>
    <w:tmpl w:val="28132916"/>
    <w:lvl w:ilvl="0" w:tentative="0">
      <w:start w:val="7"/>
      <w:numFmt w:val="decimalEnclosedCircleChinese"/>
      <w:suff w:val="nothing"/>
      <w:lvlText w:val="%1　"/>
      <w:lvlJc w:val="left"/>
      <w:pPr>
        <w:ind w:left="0" w:firstLine="403"/>
      </w:pPr>
      <w:rPr>
        <w:rFonts w:hint="eastAsia"/>
      </w:rPr>
    </w:lvl>
  </w:abstractNum>
  <w:abstractNum w:abstractNumId="13">
    <w:nsid w:val="46E50213"/>
    <w:multiLevelType w:val="singleLevel"/>
    <w:tmpl w:val="46E50213"/>
    <w:lvl w:ilvl="0" w:tentative="0">
      <w:start w:val="3"/>
      <w:numFmt w:val="decimalEnclosedCircleChinese"/>
      <w:suff w:val="nothing"/>
      <w:lvlText w:val="%1　"/>
      <w:lvlJc w:val="left"/>
      <w:pPr>
        <w:ind w:left="0" w:firstLine="403"/>
      </w:pPr>
      <w:rPr>
        <w:rFonts w:hint="eastAsia"/>
      </w:rPr>
    </w:lvl>
  </w:abstractNum>
  <w:abstractNum w:abstractNumId="14">
    <w:nsid w:val="4B80D33F"/>
    <w:multiLevelType w:val="singleLevel"/>
    <w:tmpl w:val="4B80D33F"/>
    <w:lvl w:ilvl="0" w:tentative="0">
      <w:start w:val="1"/>
      <w:numFmt w:val="chineseCounting"/>
      <w:suff w:val="nothing"/>
      <w:lvlText w:val="（%1）"/>
      <w:lvlJc w:val="left"/>
      <w:pPr>
        <w:ind w:left="0" w:firstLine="420"/>
      </w:pPr>
      <w:rPr>
        <w:rFonts w:hint="eastAsia"/>
      </w:rPr>
    </w:lvl>
  </w:abstractNum>
  <w:abstractNum w:abstractNumId="15">
    <w:nsid w:val="5774F3B4"/>
    <w:multiLevelType w:val="singleLevel"/>
    <w:tmpl w:val="5774F3B4"/>
    <w:lvl w:ilvl="0" w:tentative="0">
      <w:start w:val="4"/>
      <w:numFmt w:val="decimalEnclosedCircleChinese"/>
      <w:suff w:val="nothing"/>
      <w:lvlText w:val="%1　"/>
      <w:lvlJc w:val="left"/>
      <w:pPr>
        <w:ind w:left="0" w:firstLine="403"/>
      </w:pPr>
      <w:rPr>
        <w:rFonts w:hint="eastAsia"/>
      </w:rPr>
    </w:lvl>
  </w:abstractNum>
  <w:abstractNum w:abstractNumId="16">
    <w:nsid w:val="5C32B824"/>
    <w:multiLevelType w:val="singleLevel"/>
    <w:tmpl w:val="5C32B824"/>
    <w:lvl w:ilvl="0" w:tentative="0">
      <w:start w:val="1"/>
      <w:numFmt w:val="chineseCounting"/>
      <w:suff w:val="nothing"/>
      <w:lvlText w:val="（%1）"/>
      <w:lvlJc w:val="left"/>
      <w:pPr>
        <w:ind w:left="0" w:firstLine="420"/>
      </w:pPr>
      <w:rPr>
        <w:rFonts w:hint="eastAsia"/>
      </w:rPr>
    </w:lvl>
  </w:abstractNum>
  <w:abstractNum w:abstractNumId="17">
    <w:nsid w:val="638D53FE"/>
    <w:multiLevelType w:val="singleLevel"/>
    <w:tmpl w:val="638D53FE"/>
    <w:lvl w:ilvl="0" w:tentative="0">
      <w:start w:val="1"/>
      <w:numFmt w:val="chineseCounting"/>
      <w:suff w:val="nothing"/>
      <w:lvlText w:val="（%1）"/>
      <w:lvlJc w:val="left"/>
      <w:pPr>
        <w:ind w:left="0" w:firstLine="420"/>
      </w:pPr>
      <w:rPr>
        <w:rFonts w:hint="eastAsia"/>
      </w:rPr>
    </w:lvl>
  </w:abstractNum>
  <w:abstractNum w:abstractNumId="18">
    <w:nsid w:val="72FAA3C1"/>
    <w:multiLevelType w:val="singleLevel"/>
    <w:tmpl w:val="72FAA3C1"/>
    <w:lvl w:ilvl="0" w:tentative="0">
      <w:start w:val="8"/>
      <w:numFmt w:val="decimalEnclosedCircleChinese"/>
      <w:suff w:val="nothing"/>
      <w:lvlText w:val="%1　"/>
      <w:lvlJc w:val="left"/>
      <w:pPr>
        <w:ind w:left="0" w:firstLine="403"/>
      </w:pPr>
      <w:rPr>
        <w:rFonts w:hint="eastAsia"/>
      </w:rPr>
    </w:lvl>
  </w:abstractNum>
  <w:num w:numId="1">
    <w:abstractNumId w:val="8"/>
  </w:num>
  <w:num w:numId="2">
    <w:abstractNumId w:val="7"/>
  </w:num>
  <w:num w:numId="3">
    <w:abstractNumId w:val="17"/>
  </w:num>
  <w:num w:numId="4">
    <w:abstractNumId w:val="0"/>
  </w:num>
  <w:num w:numId="5">
    <w:abstractNumId w:val="1"/>
  </w:num>
  <w:num w:numId="6">
    <w:abstractNumId w:val="13"/>
  </w:num>
  <w:num w:numId="7">
    <w:abstractNumId w:val="15"/>
  </w:num>
  <w:num w:numId="8">
    <w:abstractNumId w:val="3"/>
  </w:num>
  <w:num w:numId="9">
    <w:abstractNumId w:val="10"/>
  </w:num>
  <w:num w:numId="10">
    <w:abstractNumId w:val="12"/>
  </w:num>
  <w:num w:numId="11">
    <w:abstractNumId w:val="18"/>
  </w:num>
  <w:num w:numId="12">
    <w:abstractNumId w:val="9"/>
  </w:num>
  <w:num w:numId="13">
    <w:abstractNumId w:val="6"/>
  </w:num>
  <w:num w:numId="14">
    <w:abstractNumId w:val="2"/>
  </w:num>
  <w:num w:numId="15">
    <w:abstractNumId w:val="14"/>
  </w:num>
  <w:num w:numId="16">
    <w:abstractNumId w:val="16"/>
  </w:num>
  <w:num w:numId="17">
    <w:abstractNumId w:val="4"/>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hideSpellingErrors/>
  <w:documentProtection w:enforcement="0"/>
  <w:defaultTabStop w:val="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47"/>
    <w:rsid w:val="00141104"/>
    <w:rsid w:val="002045FA"/>
    <w:rsid w:val="0057272C"/>
    <w:rsid w:val="005A4AD8"/>
    <w:rsid w:val="006866E5"/>
    <w:rsid w:val="006C015D"/>
    <w:rsid w:val="00825B61"/>
    <w:rsid w:val="00971FA3"/>
    <w:rsid w:val="00C66F47"/>
    <w:rsid w:val="00F7018C"/>
    <w:rsid w:val="022568ED"/>
    <w:rsid w:val="03096988"/>
    <w:rsid w:val="041C4491"/>
    <w:rsid w:val="068D0CFF"/>
    <w:rsid w:val="07003E59"/>
    <w:rsid w:val="082666E6"/>
    <w:rsid w:val="0A2B631E"/>
    <w:rsid w:val="0C612920"/>
    <w:rsid w:val="0C887B50"/>
    <w:rsid w:val="0CF777DF"/>
    <w:rsid w:val="0DBC7A7D"/>
    <w:rsid w:val="0F825F5A"/>
    <w:rsid w:val="0FA12E88"/>
    <w:rsid w:val="11C651DF"/>
    <w:rsid w:val="12507467"/>
    <w:rsid w:val="128F2D67"/>
    <w:rsid w:val="12A45B6D"/>
    <w:rsid w:val="12F726E3"/>
    <w:rsid w:val="135F0340"/>
    <w:rsid w:val="14803E40"/>
    <w:rsid w:val="14F9336F"/>
    <w:rsid w:val="150E6CF7"/>
    <w:rsid w:val="15A937E3"/>
    <w:rsid w:val="173F0033"/>
    <w:rsid w:val="17A25598"/>
    <w:rsid w:val="17EB4DA7"/>
    <w:rsid w:val="18DE1B8D"/>
    <w:rsid w:val="19250FE5"/>
    <w:rsid w:val="1D5170AE"/>
    <w:rsid w:val="1E040A46"/>
    <w:rsid w:val="1FC30FF3"/>
    <w:rsid w:val="204A12FF"/>
    <w:rsid w:val="20726DC9"/>
    <w:rsid w:val="213D2245"/>
    <w:rsid w:val="2222450F"/>
    <w:rsid w:val="22A10F7D"/>
    <w:rsid w:val="25EA2C2A"/>
    <w:rsid w:val="263E6F66"/>
    <w:rsid w:val="26DA1152"/>
    <w:rsid w:val="27324ED3"/>
    <w:rsid w:val="27C4599A"/>
    <w:rsid w:val="27DC0AC5"/>
    <w:rsid w:val="281908AC"/>
    <w:rsid w:val="28826F68"/>
    <w:rsid w:val="28A95BA7"/>
    <w:rsid w:val="298D2CE2"/>
    <w:rsid w:val="29EB41B2"/>
    <w:rsid w:val="2ADB4EC5"/>
    <w:rsid w:val="2BEC1E2B"/>
    <w:rsid w:val="2D755585"/>
    <w:rsid w:val="2DC82C15"/>
    <w:rsid w:val="2EDF6288"/>
    <w:rsid w:val="30C73830"/>
    <w:rsid w:val="30D1329E"/>
    <w:rsid w:val="314631E8"/>
    <w:rsid w:val="317A0A74"/>
    <w:rsid w:val="31805AD6"/>
    <w:rsid w:val="323C4A92"/>
    <w:rsid w:val="3267589C"/>
    <w:rsid w:val="32E16A54"/>
    <w:rsid w:val="32FF4E18"/>
    <w:rsid w:val="36A161B5"/>
    <w:rsid w:val="36E11B08"/>
    <w:rsid w:val="36F65B1F"/>
    <w:rsid w:val="37866E20"/>
    <w:rsid w:val="37ED277C"/>
    <w:rsid w:val="386E6402"/>
    <w:rsid w:val="3A1447B7"/>
    <w:rsid w:val="3A7751B3"/>
    <w:rsid w:val="3D2D172D"/>
    <w:rsid w:val="3D994232"/>
    <w:rsid w:val="3E776C33"/>
    <w:rsid w:val="3E784885"/>
    <w:rsid w:val="3FBD768B"/>
    <w:rsid w:val="3FDD0EDC"/>
    <w:rsid w:val="41A34710"/>
    <w:rsid w:val="45477EBD"/>
    <w:rsid w:val="45641DAB"/>
    <w:rsid w:val="45D86F5E"/>
    <w:rsid w:val="465868E2"/>
    <w:rsid w:val="46675B48"/>
    <w:rsid w:val="467E2EB2"/>
    <w:rsid w:val="47D745AD"/>
    <w:rsid w:val="489578D0"/>
    <w:rsid w:val="498454BD"/>
    <w:rsid w:val="4D2D4BAA"/>
    <w:rsid w:val="4DFE45AB"/>
    <w:rsid w:val="4F544CE7"/>
    <w:rsid w:val="4F78253B"/>
    <w:rsid w:val="500C0C9D"/>
    <w:rsid w:val="507C49D8"/>
    <w:rsid w:val="510D7C53"/>
    <w:rsid w:val="513B7CE2"/>
    <w:rsid w:val="51F37AAC"/>
    <w:rsid w:val="51F4352C"/>
    <w:rsid w:val="53795099"/>
    <w:rsid w:val="538B4E31"/>
    <w:rsid w:val="545802D7"/>
    <w:rsid w:val="5564566D"/>
    <w:rsid w:val="559C6E24"/>
    <w:rsid w:val="560548A7"/>
    <w:rsid w:val="573D41F2"/>
    <w:rsid w:val="585F6D4D"/>
    <w:rsid w:val="58CF4144"/>
    <w:rsid w:val="58E45C85"/>
    <w:rsid w:val="59387E79"/>
    <w:rsid w:val="59AA69C6"/>
    <w:rsid w:val="5A5D6C12"/>
    <w:rsid w:val="5B054F31"/>
    <w:rsid w:val="5B097113"/>
    <w:rsid w:val="5B125607"/>
    <w:rsid w:val="5BD5715D"/>
    <w:rsid w:val="5C0C024B"/>
    <w:rsid w:val="5CDC6CAA"/>
    <w:rsid w:val="5D8C35F2"/>
    <w:rsid w:val="5FC810A4"/>
    <w:rsid w:val="5FCC6C37"/>
    <w:rsid w:val="60924E06"/>
    <w:rsid w:val="610375C9"/>
    <w:rsid w:val="61157240"/>
    <w:rsid w:val="61DB4FC4"/>
    <w:rsid w:val="647E74A0"/>
    <w:rsid w:val="65387578"/>
    <w:rsid w:val="6594770C"/>
    <w:rsid w:val="665072BA"/>
    <w:rsid w:val="67101795"/>
    <w:rsid w:val="674B4F88"/>
    <w:rsid w:val="67D41B5C"/>
    <w:rsid w:val="67F05DF6"/>
    <w:rsid w:val="6AD94584"/>
    <w:rsid w:val="6AE63B36"/>
    <w:rsid w:val="6B7B55C9"/>
    <w:rsid w:val="6BD46B99"/>
    <w:rsid w:val="6CDE2A2C"/>
    <w:rsid w:val="6D594E6F"/>
    <w:rsid w:val="6DA10465"/>
    <w:rsid w:val="6EAB172B"/>
    <w:rsid w:val="71D16E2F"/>
    <w:rsid w:val="7286182C"/>
    <w:rsid w:val="745345E6"/>
    <w:rsid w:val="749E6FE1"/>
    <w:rsid w:val="755D72DE"/>
    <w:rsid w:val="76485B1D"/>
    <w:rsid w:val="769F1031"/>
    <w:rsid w:val="771800E1"/>
    <w:rsid w:val="77936305"/>
    <w:rsid w:val="79597A5C"/>
    <w:rsid w:val="7D0D0A12"/>
    <w:rsid w:val="7D4D4D6A"/>
    <w:rsid w:val="7F330C8B"/>
    <w:rsid w:val="7F6416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4">
    <w:name w:val="heading 1"/>
    <w:basedOn w:val="1"/>
    <w:next w:val="1"/>
    <w:qFormat/>
    <w:uiPriority w:val="1"/>
    <w:pPr>
      <w:spacing w:before="65"/>
      <w:ind w:left="1142" w:right="1208"/>
      <w:jc w:val="center"/>
      <w:outlineLvl w:val="0"/>
    </w:pPr>
    <w:rPr>
      <w:sz w:val="36"/>
      <w:szCs w:val="36"/>
    </w:rPr>
  </w:style>
  <w:style w:type="paragraph" w:styleId="5">
    <w:name w:val="heading 2"/>
    <w:basedOn w:val="1"/>
    <w:next w:val="1"/>
    <w:link w:val="46"/>
    <w:qFormat/>
    <w:uiPriority w:val="1"/>
    <w:pPr>
      <w:ind w:left="879" w:hanging="560"/>
      <w:outlineLvl w:val="1"/>
    </w:pPr>
    <w:rPr>
      <w:rFonts w:ascii="黑体" w:hAnsi="黑体" w:eastAsia="黑体" w:cs="黑体"/>
      <w:sz w:val="32"/>
      <w:szCs w:val="32"/>
    </w:rPr>
  </w:style>
  <w:style w:type="paragraph" w:styleId="6">
    <w:name w:val="heading 3"/>
    <w:basedOn w:val="1"/>
    <w:next w:val="1"/>
    <w:qFormat/>
    <w:uiPriority w:val="1"/>
    <w:pPr>
      <w:ind w:left="1068" w:hanging="749"/>
      <w:outlineLvl w:val="2"/>
    </w:pPr>
    <w:rPr>
      <w:rFonts w:ascii="楷体" w:hAnsi="楷体" w:eastAsia="楷体" w:cs="楷体"/>
      <w:sz w:val="30"/>
      <w:szCs w:val="30"/>
    </w:rPr>
  </w:style>
  <w:style w:type="paragraph" w:styleId="7">
    <w:name w:val="heading 4"/>
    <w:basedOn w:val="1"/>
    <w:next w:val="1"/>
    <w:qFormat/>
    <w:uiPriority w:val="1"/>
    <w:pPr>
      <w:ind w:left="1583" w:hanging="705"/>
      <w:outlineLvl w:val="3"/>
    </w:pPr>
    <w:rPr>
      <w:rFonts w:ascii="方正公文黑体" w:hAnsi="方正公文黑体" w:eastAsia="方正公文黑体" w:cs="方正公文黑体"/>
      <w:b/>
      <w:bCs/>
      <w:sz w:val="28"/>
      <w:szCs w:val="28"/>
    </w:rPr>
  </w:style>
  <w:style w:type="paragraph" w:styleId="8">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1">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Body Text First Indent 21"/>
    <w:basedOn w:val="3"/>
    <w:qFormat/>
    <w:uiPriority w:val="0"/>
    <w:pPr>
      <w:ind w:firstLine="420"/>
    </w:pPr>
  </w:style>
  <w:style w:type="paragraph" w:customStyle="1" w:styleId="3">
    <w:name w:val="Body Text Indent1"/>
    <w:basedOn w:val="1"/>
    <w:qFormat/>
    <w:uiPriority w:val="0"/>
    <w:pPr>
      <w:ind w:firstLine="600" w:firstLineChars="200"/>
    </w:pPr>
    <w:rPr>
      <w:sz w:val="30"/>
    </w:rPr>
  </w:style>
  <w:style w:type="paragraph" w:styleId="9">
    <w:name w:val="Normal Indent"/>
    <w:basedOn w:val="1"/>
    <w:qFormat/>
    <w:uiPriority w:val="0"/>
    <w:pPr>
      <w:widowControl/>
      <w:ind w:firstLine="420" w:firstLineChars="200"/>
    </w:pPr>
    <w:rPr>
      <w:rFonts w:ascii="Arial" w:hAnsi="Arial" w:eastAsia="方正仿宋_GB2312" w:cs="Times New Roman"/>
      <w:sz w:val="28"/>
      <w:szCs w:val="24"/>
      <w:lang w:bidi="en-US"/>
    </w:rPr>
  </w:style>
  <w:style w:type="paragraph" w:styleId="10">
    <w:name w:val="caption"/>
    <w:basedOn w:val="1"/>
    <w:next w:val="1"/>
    <w:link w:val="34"/>
    <w:unhideWhenUsed/>
    <w:qFormat/>
    <w:uiPriority w:val="35"/>
    <w:pPr>
      <w:spacing w:beforeLines="50" w:afterLines="50"/>
      <w:jc w:val="center"/>
    </w:pPr>
    <w:rPr>
      <w:rFonts w:ascii="Arial" w:hAnsi="Arial" w:eastAsia="黑体" w:cstheme="majorBidi"/>
      <w:sz w:val="21"/>
      <w:szCs w:val="24"/>
    </w:rPr>
  </w:style>
  <w:style w:type="paragraph" w:styleId="11">
    <w:name w:val="annotation text"/>
    <w:basedOn w:val="1"/>
    <w:qFormat/>
    <w:uiPriority w:val="0"/>
    <w:pPr>
      <w:jc w:val="left"/>
    </w:pPr>
  </w:style>
  <w:style w:type="paragraph" w:styleId="12">
    <w:name w:val="Body Text"/>
    <w:basedOn w:val="1"/>
    <w:link w:val="48"/>
    <w:qFormat/>
    <w:uiPriority w:val="1"/>
    <w:pPr>
      <w:ind w:left="320"/>
    </w:pPr>
    <w:rPr>
      <w:sz w:val="28"/>
      <w:szCs w:val="28"/>
    </w:rPr>
  </w:style>
  <w:style w:type="paragraph" w:styleId="13">
    <w:name w:val="toc 3"/>
    <w:basedOn w:val="1"/>
    <w:next w:val="1"/>
    <w:qFormat/>
    <w:uiPriority w:val="1"/>
    <w:pPr>
      <w:spacing w:before="188"/>
      <w:ind w:left="108"/>
    </w:pPr>
    <w:rPr>
      <w:rFonts w:ascii="楷体" w:hAnsi="楷体" w:eastAsia="楷体" w:cs="楷体"/>
      <w:b/>
      <w:bCs/>
      <w:sz w:val="28"/>
      <w:szCs w:val="28"/>
    </w:rPr>
  </w:style>
  <w:style w:type="paragraph" w:styleId="14">
    <w:name w:val="Balloon Text"/>
    <w:basedOn w:val="1"/>
    <w:link w:val="47"/>
    <w:qFormat/>
    <w:uiPriority w:val="0"/>
    <w:rPr>
      <w:sz w:val="18"/>
      <w:szCs w:val="18"/>
    </w:rPr>
  </w:style>
  <w:style w:type="paragraph" w:styleId="15">
    <w:name w:val="footer"/>
    <w:basedOn w:val="1"/>
    <w:qFormat/>
    <w:uiPriority w:val="99"/>
    <w:pPr>
      <w:tabs>
        <w:tab w:val="center" w:pos="4153"/>
        <w:tab w:val="right" w:pos="8306"/>
      </w:tabs>
      <w:snapToGrid w:val="0"/>
    </w:pPr>
    <w:rPr>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1"/>
    <w:pPr>
      <w:spacing w:before="188"/>
      <w:ind w:right="335"/>
      <w:jc w:val="right"/>
    </w:pPr>
    <w:rPr>
      <w:rFonts w:ascii="楷体" w:hAnsi="楷体" w:eastAsia="楷体" w:cs="楷体"/>
      <w:b/>
      <w:bCs/>
      <w:sz w:val="28"/>
      <w:szCs w:val="28"/>
    </w:rPr>
  </w:style>
  <w:style w:type="paragraph" w:styleId="18">
    <w:name w:val="toc 4"/>
    <w:basedOn w:val="1"/>
    <w:next w:val="1"/>
    <w:qFormat/>
    <w:uiPriority w:val="1"/>
    <w:pPr>
      <w:spacing w:before="213"/>
      <w:ind w:left="792" w:hanging="411"/>
    </w:pPr>
    <w:rPr>
      <w:rFonts w:ascii="楷体" w:hAnsi="楷体" w:eastAsia="楷体" w:cs="楷体"/>
      <w:sz w:val="24"/>
      <w:szCs w:val="24"/>
    </w:rPr>
  </w:style>
  <w:style w:type="paragraph" w:styleId="19">
    <w:name w:val="toc 2"/>
    <w:basedOn w:val="1"/>
    <w:next w:val="1"/>
    <w:qFormat/>
    <w:uiPriority w:val="1"/>
    <w:pPr>
      <w:spacing w:before="211"/>
      <w:ind w:left="792" w:right="336" w:hanging="793"/>
      <w:jc w:val="right"/>
    </w:pPr>
    <w:rPr>
      <w:rFonts w:ascii="楷体" w:hAnsi="楷体" w:eastAsia="楷体" w:cs="楷体"/>
      <w:sz w:val="24"/>
      <w:szCs w:val="24"/>
    </w:rPr>
  </w:style>
  <w:style w:type="paragraph" w:styleId="20">
    <w:name w:val="Normal (Web)"/>
    <w:basedOn w:val="1"/>
    <w:unhideWhenUsed/>
    <w:qFormat/>
    <w:uiPriority w:val="99"/>
    <w:pPr>
      <w:widowControl/>
    </w:pPr>
    <w:rPr>
      <w:sz w:val="24"/>
      <w:szCs w:val="24"/>
    </w:rPr>
  </w:style>
  <w:style w:type="character" w:styleId="22">
    <w:name w:val="page number"/>
    <w:basedOn w:val="21"/>
    <w:qFormat/>
    <w:uiPriority w:val="0"/>
  </w:style>
  <w:style w:type="character" w:styleId="23">
    <w:name w:val="Hyperlink"/>
    <w:basedOn w:val="21"/>
    <w:qFormat/>
    <w:uiPriority w:val="0"/>
    <w:rPr>
      <w:color w:val="0000FF"/>
      <w:u w:val="single"/>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26">
    <w:name w:val="Table Normal"/>
    <w:semiHidden/>
    <w:unhideWhenUsed/>
    <w:qFormat/>
    <w:uiPriority w:val="2"/>
    <w:tblPr>
      <w:tblLayout w:type="fixed"/>
      <w:tblCellMar>
        <w:top w:w="0" w:type="dxa"/>
        <w:left w:w="0" w:type="dxa"/>
        <w:bottom w:w="0" w:type="dxa"/>
        <w:right w:w="0" w:type="dxa"/>
      </w:tblCellMar>
    </w:tblPr>
  </w:style>
  <w:style w:type="paragraph" w:styleId="27">
    <w:name w:val="List Paragraph"/>
    <w:basedOn w:val="1"/>
    <w:qFormat/>
    <w:uiPriority w:val="1"/>
    <w:pPr>
      <w:ind w:left="320" w:firstLine="559"/>
    </w:pPr>
  </w:style>
  <w:style w:type="paragraph" w:customStyle="1" w:styleId="28">
    <w:name w:val="Table Paragraph"/>
    <w:basedOn w:val="1"/>
    <w:qFormat/>
    <w:uiPriority w:val="1"/>
  </w:style>
  <w:style w:type="paragraph" w:customStyle="1" w:styleId="29">
    <w:name w:val="报告正文-SWEDI"/>
    <w:basedOn w:val="1"/>
    <w:qFormat/>
    <w:uiPriority w:val="0"/>
    <w:pPr>
      <w:ind w:firstLine="480" w:firstLineChars="200"/>
    </w:pPr>
    <w:rPr>
      <w:szCs w:val="21"/>
    </w:rPr>
  </w:style>
  <w:style w:type="paragraph" w:customStyle="1" w:styleId="30">
    <w:name w:val="表头图名"/>
    <w:basedOn w:val="1"/>
    <w:qFormat/>
    <w:uiPriority w:val="0"/>
    <w:pPr>
      <w:spacing w:before="78" w:beforeLines="25"/>
      <w:jc w:val="center"/>
    </w:pPr>
    <w:rPr>
      <w:rFonts w:ascii="仿宋" w:hAnsi="仿宋" w:cs="Times New Roman"/>
      <w:b/>
      <w:bCs/>
      <w:color w:val="000000" w:themeColor="text1"/>
      <w:szCs w:val="28"/>
      <w:lang w:bidi="en-US"/>
      <w14:textFill>
        <w14:solidFill>
          <w14:schemeClr w14:val="tx1"/>
        </w14:solidFill>
      </w14:textFill>
    </w:rPr>
  </w:style>
  <w:style w:type="paragraph" w:customStyle="1" w:styleId="31">
    <w:name w:val="表格图片"/>
    <w:basedOn w:val="1"/>
    <w:qFormat/>
    <w:uiPriority w:val="0"/>
    <w:pPr>
      <w:jc w:val="center"/>
      <w:textAlignment w:val="center"/>
    </w:pPr>
    <w:rPr>
      <w:rFonts w:cs="Times New Roman"/>
      <w:sz w:val="21"/>
      <w:szCs w:val="18"/>
    </w:rPr>
  </w:style>
  <w:style w:type="paragraph" w:customStyle="1" w:styleId="32">
    <w:name w:val="表格内容-SWEDI"/>
    <w:basedOn w:val="1"/>
    <w:qFormat/>
    <w:uiPriority w:val="0"/>
    <w:pPr>
      <w:jc w:val="center"/>
    </w:pPr>
    <w:rPr>
      <w:rFonts w:cs="Times New Roman"/>
      <w:sz w:val="21"/>
      <w:szCs w:val="24"/>
    </w:rPr>
  </w:style>
  <w:style w:type="table" w:customStyle="1" w:styleId="33">
    <w:name w:val="网格型1"/>
    <w:basedOn w:val="24"/>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4">
    <w:name w:val="题注 Char"/>
    <w:link w:val="10"/>
    <w:qFormat/>
    <w:uiPriority w:val="0"/>
    <w:rPr>
      <w:rFonts w:ascii="Arial" w:hAnsi="Arial" w:eastAsia="黑体" w:cstheme="majorBidi"/>
      <w:sz w:val="21"/>
      <w:szCs w:val="24"/>
    </w:rPr>
  </w:style>
  <w:style w:type="paragraph" w:customStyle="1" w:styleId="35">
    <w:name w:val="表格"/>
    <w:basedOn w:val="1"/>
    <w:qFormat/>
    <w:uiPriority w:val="0"/>
    <w:rPr>
      <w:color w:val="000000"/>
      <w:sz w:val="21"/>
      <w:szCs w:val="18"/>
    </w:rPr>
  </w:style>
  <w:style w:type="paragraph" w:customStyle="1" w:styleId="36">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character" w:customStyle="1" w:styleId="37">
    <w:name w:val="标题 2 Char"/>
    <w:basedOn w:val="21"/>
    <w:qFormat/>
    <w:uiPriority w:val="9"/>
    <w:rPr>
      <w:rFonts w:ascii="黑体" w:hAnsi="黑体" w:eastAsia="黑体" w:cs="黑体"/>
      <w:sz w:val="32"/>
      <w:szCs w:val="32"/>
      <w:lang w:val="zh-CN" w:eastAsia="zh-CN" w:bidi="zh-CN"/>
    </w:rPr>
  </w:style>
  <w:style w:type="table" w:customStyle="1" w:styleId="38">
    <w:name w:val="无格式表格 22"/>
    <w:basedOn w:val="24"/>
    <w:qFormat/>
    <w:uiPriority w:val="42"/>
    <w:tblPr>
      <w:tblBorders>
        <w:top w:val="single" w:color="7F7F7F" w:sz="4" w:space="0"/>
        <w:bottom w:val="single" w:color="7F7F7F" w:sz="4" w:space="0"/>
      </w:tblBorders>
      <w:tblLayout w:type="fixed"/>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paragraph" w:customStyle="1" w:styleId="39">
    <w:name w:val="表格内容"/>
    <w:basedOn w:val="1"/>
    <w:qFormat/>
    <w:uiPriority w:val="0"/>
    <w:pPr>
      <w:ind w:left="24" w:leftChars="17" w:right="24" w:rightChars="10"/>
    </w:pPr>
    <w:rPr>
      <w:sz w:val="21"/>
    </w:rPr>
  </w:style>
  <w:style w:type="paragraph" w:customStyle="1" w:styleId="40">
    <w:name w:val="Other|1"/>
    <w:basedOn w:val="1"/>
    <w:qFormat/>
    <w:uiPriority w:val="0"/>
    <w:pPr>
      <w:spacing w:after="600" w:line="372" w:lineRule="auto"/>
      <w:ind w:firstLine="400"/>
    </w:pPr>
    <w:rPr>
      <w:sz w:val="30"/>
      <w:szCs w:val="30"/>
      <w:lang w:val="zh-TW" w:eastAsia="zh-TW" w:bidi="zh-TW"/>
    </w:rPr>
  </w:style>
  <w:style w:type="paragraph" w:customStyle="1" w:styleId="41">
    <w:name w:val="Table caption|1"/>
    <w:basedOn w:val="1"/>
    <w:qFormat/>
    <w:uiPriority w:val="0"/>
    <w:pPr>
      <w:spacing w:line="137" w:lineRule="exact"/>
    </w:pPr>
    <w:rPr>
      <w:sz w:val="13"/>
      <w:szCs w:val="13"/>
      <w:lang w:val="zh-TW" w:eastAsia="zh-TW" w:bidi="zh-TW"/>
    </w:rPr>
  </w:style>
  <w:style w:type="paragraph" w:customStyle="1" w:styleId="42">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table" w:customStyle="1" w:styleId="44">
    <w:name w:val="网格型711"/>
    <w:basedOn w:val="24"/>
    <w:qFormat/>
    <w:uiPriority w:val="3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table" w:customStyle="1" w:styleId="45">
    <w:name w:val="图表格3"/>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6">
    <w:name w:val="标题 2 Char1"/>
    <w:basedOn w:val="21"/>
    <w:link w:val="5"/>
    <w:qFormat/>
    <w:uiPriority w:val="9"/>
    <w:rPr>
      <w:rFonts w:ascii="Times New Roman" w:hAnsi="Times New Roman" w:eastAsia="黑体" w:cstheme="majorBidi"/>
      <w:b/>
      <w:bCs/>
      <w:sz w:val="32"/>
      <w:szCs w:val="32"/>
    </w:rPr>
  </w:style>
  <w:style w:type="character" w:customStyle="1" w:styleId="47">
    <w:name w:val="批注框文本 Char"/>
    <w:basedOn w:val="21"/>
    <w:link w:val="14"/>
    <w:qFormat/>
    <w:uiPriority w:val="0"/>
    <w:rPr>
      <w:rFonts w:ascii="宋体" w:hAnsi="宋体" w:eastAsia="宋体" w:cs="宋体"/>
      <w:sz w:val="18"/>
      <w:szCs w:val="18"/>
      <w:lang w:val="zh-CN" w:bidi="zh-CN"/>
    </w:rPr>
  </w:style>
  <w:style w:type="character" w:customStyle="1" w:styleId="48">
    <w:name w:val="正文文本 Char"/>
    <w:basedOn w:val="21"/>
    <w:link w:val="12"/>
    <w:qFormat/>
    <w:uiPriority w:val="1"/>
    <w:rPr>
      <w:rFonts w:ascii="宋体" w:hAnsi="宋体" w:eastAsia="宋体" w:cs="宋体"/>
      <w:sz w:val="28"/>
      <w:szCs w:val="28"/>
      <w:lang w:val="zh-CN" w:bidi="zh-CN"/>
    </w:rPr>
  </w:style>
  <w:style w:type="paragraph" w:customStyle="1" w:styleId="49">
    <w:name w:val="WPSOffice手动目录 2"/>
    <w:qFormat/>
    <w:uiPriority w:val="0"/>
    <w:pPr>
      <w:ind w:leftChars="200"/>
    </w:pPr>
    <w:rPr>
      <w:rFonts w:asciiTheme="minorHAnsi" w:hAnsiTheme="minorHAnsi" w:eastAsiaTheme="minorEastAsia" w:cstheme="minorBidi"/>
      <w:sz w:val="20"/>
      <w:szCs w:val="20"/>
    </w:rPr>
  </w:style>
  <w:style w:type="paragraph" w:customStyle="1" w:styleId="50">
    <w:name w:val="WPSOffice手动目录 1"/>
    <w:qFormat/>
    <w:uiPriority w:val="0"/>
    <w:pPr>
      <w:ind w:leftChars="0"/>
    </w:pPr>
    <w:rPr>
      <w:rFonts w:asciiTheme="minorHAnsi" w:hAnsiTheme="minorHAnsi" w:eastAsiaTheme="minorEastAsia" w:cstheme="minorBidi"/>
      <w:sz w:val="20"/>
      <w:szCs w:val="20"/>
    </w:rPr>
  </w:style>
  <w:style w:type="paragraph" w:customStyle="1" w:styleId="51">
    <w:name w:val="WPSOffice手动目录 3"/>
    <w:qFormat/>
    <w:uiPriority w:val="0"/>
    <w:pPr>
      <w:ind w:leftChars="400"/>
    </w:pPr>
    <w:rPr>
      <w:rFonts w:asciiTheme="minorHAnsi" w:hAnsiTheme="minorHAnsi" w:eastAsiaTheme="minorEastAsia" w:cstheme="minorBidi"/>
      <w:sz w:val="20"/>
      <w:szCs w:val="20"/>
    </w:rPr>
  </w:style>
  <w:style w:type="character" w:customStyle="1" w:styleId="52">
    <w:name w:val="font51"/>
    <w:basedOn w:val="21"/>
    <w:qFormat/>
    <w:uiPriority w:val="0"/>
    <w:rPr>
      <w:rFonts w:ascii="Arial" w:hAnsi="Arial" w:cs="Arial"/>
      <w:color w:val="000000"/>
      <w:sz w:val="28"/>
      <w:szCs w:val="28"/>
      <w:u w:val="none"/>
    </w:rPr>
  </w:style>
  <w:style w:type="character" w:customStyle="1" w:styleId="53">
    <w:name w:val="font41"/>
    <w:basedOn w:val="21"/>
    <w:qFormat/>
    <w:uiPriority w:val="0"/>
    <w:rPr>
      <w:rFonts w:hint="eastAsia" w:ascii="仿宋" w:hAnsi="仿宋" w:eastAsia="仿宋" w:cs="仿宋"/>
      <w:color w:val="000000"/>
      <w:sz w:val="28"/>
      <w:szCs w:val="28"/>
      <w:u w:val="none"/>
    </w:rPr>
  </w:style>
  <w:style w:type="character" w:customStyle="1" w:styleId="54">
    <w:name w:val="font31"/>
    <w:basedOn w:val="21"/>
    <w:qFormat/>
    <w:uiPriority w:val="0"/>
    <w:rPr>
      <w:rFonts w:hint="eastAsia" w:ascii="仿宋" w:hAnsi="仿宋" w:eastAsia="仿宋" w:cs="仿宋"/>
      <w:color w:val="000000"/>
      <w:sz w:val="28"/>
      <w:szCs w:val="28"/>
      <w:u w:val="none"/>
    </w:rPr>
  </w:style>
  <w:style w:type="character" w:customStyle="1" w:styleId="55">
    <w:name w:val="font11"/>
    <w:basedOn w:val="21"/>
    <w:qFormat/>
    <w:uiPriority w:val="0"/>
    <w:rPr>
      <w:rFonts w:hint="eastAsia" w:ascii="仿宋" w:hAnsi="仿宋" w:eastAsia="仿宋" w:cs="仿宋"/>
      <w:color w:val="000000"/>
      <w:sz w:val="28"/>
      <w:szCs w:val="28"/>
      <w:u w:val="none"/>
    </w:rPr>
  </w:style>
  <w:style w:type="character" w:customStyle="1" w:styleId="56">
    <w:name w:val="font21"/>
    <w:basedOn w:val="21"/>
    <w:qFormat/>
    <w:uiPriority w:val="0"/>
    <w:rPr>
      <w:rFonts w:hint="eastAsia" w:ascii="仿宋" w:hAnsi="仿宋" w:eastAsia="仿宋" w:cs="仿宋"/>
      <w:color w:val="000000"/>
      <w:sz w:val="28"/>
      <w:szCs w:val="28"/>
      <w:u w:val="none"/>
    </w:rPr>
  </w:style>
  <w:style w:type="paragraph" w:customStyle="1" w:styleId="57">
    <w:name w:val="标题3"/>
    <w:basedOn w:val="6"/>
    <w:qFormat/>
    <w:uiPriority w:val="0"/>
    <w:pPr>
      <w:widowControl/>
      <w:spacing w:before="156" w:beforeLines="50" w:after="93" w:afterLines="30" w:line="240" w:lineRule="auto"/>
    </w:pPr>
    <w:rPr>
      <w:rFonts w:ascii="仿宋" w:hAnsi="仿宋" w:eastAsia="仿宋"/>
      <w:sz w:val="28"/>
      <w:szCs w:val="28"/>
    </w:rPr>
  </w:style>
  <w:style w:type="paragraph" w:customStyle="1" w:styleId="58">
    <w:name w:val="标题2"/>
    <w:basedOn w:val="5"/>
    <w:next w:val="1"/>
    <w:qFormat/>
    <w:uiPriority w:val="0"/>
    <w:pPr>
      <w:widowControl/>
      <w:spacing w:before="312" w:after="93"/>
    </w:pPr>
    <w:rPr>
      <w:szCs w:val="28"/>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213</Pages>
  <Words>91499</Words>
  <Characters>94075</Characters>
  <Lines>1352</Lines>
  <Paragraphs>380</Paragraphs>
  <TotalTime>161</TotalTime>
  <ScaleCrop>false</ScaleCrop>
  <LinksUpToDate>false</LinksUpToDate>
  <CharactersWithSpaces>95211</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2021-08-05T07:39:00Z</dcterms:created>
  <dc:creator>lsy</dc:creator>
  <cp:lastModifiedBy>嘻嘻！</cp:lastModifiedBy>
  <cp:lastPrinted>2021-09-16T05:48:35Z</cp:lastPrinted>
  <dcterms:modified xsi:type="dcterms:W3CDTF">2021-09-16T09:19:48Z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Creator">
    <vt:lpwstr>WPS 文字</vt:lpwstr>
  </property>
  <property fmtid="{D5CDD505-2E9C-101B-9397-08002B2CF9AE}" pid="4" name="LastSaved">
    <vt:filetime>2021-08-05T00:00:00Z</vt:filetime>
  </property>
  <property fmtid="{D5CDD505-2E9C-101B-9397-08002B2CF9AE}" pid="5" name="KSOProductBuildVer">
    <vt:lpwstr>2052-10.8.2.7119</vt:lpwstr>
  </property>
  <property fmtid="{D5CDD505-2E9C-101B-9397-08002B2CF9AE}" pid="6" name="ICV">
    <vt:lpwstr>95811169A3D044E294AA78B7F438679E</vt:lpwstr>
  </property>
</Properties>
</file>